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84E7F" w14:textId="59C75E65" w:rsidR="00527A31" w:rsidRDefault="00527A31" w:rsidP="00527A31">
      <w:pPr>
        <w:pStyle w:val="Coverheading"/>
      </w:pPr>
      <w:r w:rsidRPr="00527A31">
        <w:t>AUSTRALIAN GOVERNMENT DEPARTMENT OF HEALTH</w:t>
      </w:r>
    </w:p>
    <w:p w14:paraId="017FB620" w14:textId="54689EC8" w:rsidR="00527A31" w:rsidRPr="0011214B" w:rsidRDefault="00527A31" w:rsidP="0011214B">
      <w:pPr>
        <w:pStyle w:val="DocumentTitle"/>
      </w:pPr>
      <w:bookmarkStart w:id="0" w:name="_GoBack"/>
      <w:r w:rsidRPr="0011214B">
        <w:t>Review of the Radiation Oncology Health Program Grant Scheme</w:t>
      </w:r>
    </w:p>
    <w:bookmarkEnd w:id="0"/>
    <w:p w14:paraId="3D7F6AE7" w14:textId="1C689A7B" w:rsidR="00527A31" w:rsidRPr="0011214B" w:rsidRDefault="00527A31" w:rsidP="0011214B">
      <w:pPr>
        <w:pStyle w:val="Covertitle"/>
      </w:pPr>
      <w:r w:rsidRPr="0011214B">
        <w:t>FINAL REPORT</w:t>
      </w:r>
    </w:p>
    <w:p w14:paraId="283B8996" w14:textId="77777777" w:rsidR="003B3C06" w:rsidRPr="0011214B" w:rsidRDefault="00527A31" w:rsidP="0011214B">
      <w:pPr>
        <w:pStyle w:val="DocumentPublishDate"/>
      </w:pPr>
      <w:r w:rsidRPr="0011214B">
        <w:t>18 December 2020</w:t>
      </w:r>
    </w:p>
    <w:p w14:paraId="2909CE1B" w14:textId="77777777" w:rsidR="009D0954" w:rsidRPr="00890883" w:rsidRDefault="009D0954" w:rsidP="00890883">
      <w:r>
        <w:br w:type="page"/>
      </w:r>
    </w:p>
    <w:p w14:paraId="12B1E21E" w14:textId="7983BCE2" w:rsidR="00890883" w:rsidRPr="00890883" w:rsidRDefault="00890883" w:rsidP="00890883">
      <w:r>
        <w:rPr>
          <w:noProof/>
          <w:lang w:eastAsia="en-AU"/>
        </w:rPr>
        <w:lastRenderedPageBreak/>
        <w:drawing>
          <wp:inline distT="0" distB="0" distL="0" distR="0" wp14:anchorId="4DF21EB1" wp14:editId="73D19026">
            <wp:extent cx="1132762" cy="1501140"/>
            <wp:effectExtent l="0" t="0" r="0" b="3810"/>
            <wp:docPr id="2" name="Picture 2" descr="Healthcare Management Advis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5963" cy="1505381"/>
                    </a:xfrm>
                    <a:prstGeom prst="rect">
                      <a:avLst/>
                    </a:prstGeom>
                  </pic:spPr>
                </pic:pic>
              </a:graphicData>
            </a:graphic>
          </wp:inline>
        </w:drawing>
      </w:r>
    </w:p>
    <w:p w14:paraId="0A00A94D" w14:textId="6930DD97" w:rsidR="00527A31" w:rsidRPr="007F376B" w:rsidRDefault="00527A31" w:rsidP="006F77B5">
      <w:pPr>
        <w:spacing w:before="3000"/>
        <w:rPr>
          <w:rStyle w:val="Strong"/>
        </w:rPr>
      </w:pPr>
      <w:r w:rsidRPr="007F376B">
        <w:rPr>
          <w:rStyle w:val="Strong"/>
        </w:rPr>
        <w:t>Our Vision</w:t>
      </w:r>
    </w:p>
    <w:p w14:paraId="566B999B" w14:textId="77777777" w:rsidR="00527A31" w:rsidRPr="00890883" w:rsidRDefault="00527A31" w:rsidP="007F376B">
      <w:r w:rsidRPr="00890883">
        <w:t>To positively impact people’s lives by helping create better health services</w:t>
      </w:r>
    </w:p>
    <w:p w14:paraId="78F0B6B5" w14:textId="77777777" w:rsidR="00527A31" w:rsidRPr="007F376B" w:rsidRDefault="00527A31" w:rsidP="00890883">
      <w:pPr>
        <w:rPr>
          <w:rStyle w:val="Strong"/>
        </w:rPr>
      </w:pPr>
      <w:r w:rsidRPr="007F376B">
        <w:rPr>
          <w:rStyle w:val="Strong"/>
        </w:rPr>
        <w:t>Our Mission</w:t>
      </w:r>
    </w:p>
    <w:p w14:paraId="7E36B5A2" w14:textId="44FB0972" w:rsidR="003B3C06" w:rsidRDefault="00527A31" w:rsidP="003B3C06">
      <w:r w:rsidRPr="00890883">
        <w:t>To use our management consulting skills to provide expert advice and support to health funders, service providers and users</w:t>
      </w:r>
    </w:p>
    <w:p w14:paraId="6DA621E5" w14:textId="44E94159" w:rsidR="007F376B" w:rsidRDefault="007F376B" w:rsidP="003B3C06">
      <w:r>
        <w:br w:type="page"/>
      </w:r>
    </w:p>
    <w:sdt>
      <w:sdtPr>
        <w:rPr>
          <w:rFonts w:ascii="Arial" w:eastAsiaTheme="minorHAnsi" w:hAnsi="Arial" w:cstheme="minorBidi"/>
          <w:spacing w:val="-2"/>
          <w:sz w:val="20"/>
          <w:szCs w:val="22"/>
          <w:lang w:val="en-AU"/>
        </w:rPr>
        <w:id w:val="1325481598"/>
        <w:docPartObj>
          <w:docPartGallery w:val="Table of Contents"/>
          <w:docPartUnique/>
        </w:docPartObj>
      </w:sdtPr>
      <w:sdtEndPr>
        <w:rPr>
          <w:b/>
          <w:bCs/>
          <w:noProof/>
        </w:rPr>
      </w:sdtEndPr>
      <w:sdtContent>
        <w:p w14:paraId="05124878" w14:textId="3E88F739" w:rsidR="007F376B" w:rsidRDefault="007F376B" w:rsidP="007F376B">
          <w:pPr>
            <w:pStyle w:val="TOCHeading"/>
            <w:numPr>
              <w:ilvl w:val="0"/>
              <w:numId w:val="0"/>
            </w:numPr>
          </w:pPr>
          <w:r>
            <w:t>Table of Contents</w:t>
          </w:r>
        </w:p>
        <w:p w14:paraId="622A5CE1" w14:textId="4DAF4266" w:rsidR="007F376B" w:rsidRPr="00C93B98" w:rsidRDefault="007F376B">
          <w:pPr>
            <w:pStyle w:val="TOC1"/>
            <w:tabs>
              <w:tab w:val="right" w:leader="dot" w:pos="10025"/>
            </w:tabs>
            <w:rPr>
              <w:rFonts w:asciiTheme="minorHAnsi" w:eastAsiaTheme="minorEastAsia" w:hAnsiTheme="minorHAnsi" w:cstheme="minorBidi"/>
              <w:noProof/>
              <w:color w:val="auto"/>
              <w:spacing w:val="0"/>
              <w:sz w:val="20"/>
              <w:lang w:eastAsia="en-AU"/>
            </w:rPr>
          </w:pPr>
          <w:r>
            <w:fldChar w:fldCharType="begin"/>
          </w:r>
          <w:r>
            <w:instrText xml:space="preserve"> TOC \o "1-3" \h \z \u </w:instrText>
          </w:r>
          <w:r>
            <w:fldChar w:fldCharType="separate"/>
          </w:r>
          <w:hyperlink w:anchor="_Toc73696657" w:history="1">
            <w:r w:rsidRPr="00C93B98">
              <w:rPr>
                <w:rStyle w:val="Hyperlink"/>
                <w:noProof/>
                <w:sz w:val="20"/>
              </w:rPr>
              <w:t>Abbreviations</w:t>
            </w:r>
            <w:r w:rsidRPr="00C93B98">
              <w:rPr>
                <w:noProof/>
                <w:webHidden/>
                <w:sz w:val="20"/>
              </w:rPr>
              <w:tab/>
            </w:r>
            <w:r w:rsidRPr="00C93B98">
              <w:rPr>
                <w:noProof/>
                <w:webHidden/>
                <w:sz w:val="20"/>
              </w:rPr>
              <w:fldChar w:fldCharType="begin"/>
            </w:r>
            <w:r w:rsidRPr="00C93B98">
              <w:rPr>
                <w:noProof/>
                <w:webHidden/>
                <w:sz w:val="20"/>
              </w:rPr>
              <w:instrText xml:space="preserve"> PAGEREF _Toc73696657 \h </w:instrText>
            </w:r>
            <w:r w:rsidRPr="00C93B98">
              <w:rPr>
                <w:noProof/>
                <w:webHidden/>
                <w:sz w:val="20"/>
              </w:rPr>
            </w:r>
            <w:r w:rsidRPr="00C93B98">
              <w:rPr>
                <w:noProof/>
                <w:webHidden/>
                <w:sz w:val="20"/>
              </w:rPr>
              <w:fldChar w:fldCharType="separate"/>
            </w:r>
            <w:r w:rsidR="00C93B98" w:rsidRPr="00C93B98">
              <w:rPr>
                <w:noProof/>
                <w:webHidden/>
                <w:sz w:val="20"/>
              </w:rPr>
              <w:t>5</w:t>
            </w:r>
            <w:r w:rsidRPr="00C93B98">
              <w:rPr>
                <w:noProof/>
                <w:webHidden/>
                <w:sz w:val="20"/>
              </w:rPr>
              <w:fldChar w:fldCharType="end"/>
            </w:r>
          </w:hyperlink>
        </w:p>
        <w:p w14:paraId="0E3A0021" w14:textId="3A9F699D" w:rsidR="007F376B" w:rsidRPr="00C93B98" w:rsidRDefault="004B24F3">
          <w:pPr>
            <w:pStyle w:val="TOC1"/>
            <w:tabs>
              <w:tab w:val="right" w:leader="dot" w:pos="10025"/>
            </w:tabs>
            <w:rPr>
              <w:rFonts w:asciiTheme="minorHAnsi" w:eastAsiaTheme="minorEastAsia" w:hAnsiTheme="minorHAnsi" w:cstheme="minorBidi"/>
              <w:noProof/>
              <w:color w:val="auto"/>
              <w:spacing w:val="0"/>
              <w:sz w:val="20"/>
              <w:lang w:eastAsia="en-AU"/>
            </w:rPr>
          </w:pPr>
          <w:hyperlink w:anchor="_Toc73696658" w:history="1">
            <w:r w:rsidR="007F376B" w:rsidRPr="00C93B98">
              <w:rPr>
                <w:rStyle w:val="Hyperlink"/>
                <w:noProof/>
                <w:sz w:val="20"/>
              </w:rPr>
              <w:t>Executive Summary</w:t>
            </w:r>
            <w:r w:rsidR="007F376B" w:rsidRPr="00C93B98">
              <w:rPr>
                <w:noProof/>
                <w:webHidden/>
                <w:sz w:val="20"/>
              </w:rPr>
              <w:tab/>
            </w:r>
            <w:r w:rsidR="007F376B" w:rsidRPr="00C93B98">
              <w:rPr>
                <w:noProof/>
                <w:webHidden/>
                <w:sz w:val="20"/>
              </w:rPr>
              <w:fldChar w:fldCharType="begin"/>
            </w:r>
            <w:r w:rsidR="007F376B" w:rsidRPr="00C93B98">
              <w:rPr>
                <w:noProof/>
                <w:webHidden/>
                <w:sz w:val="20"/>
              </w:rPr>
              <w:instrText xml:space="preserve"> PAGEREF _Toc73696658 \h </w:instrText>
            </w:r>
            <w:r w:rsidR="007F376B" w:rsidRPr="00C93B98">
              <w:rPr>
                <w:noProof/>
                <w:webHidden/>
                <w:sz w:val="20"/>
              </w:rPr>
            </w:r>
            <w:r w:rsidR="007F376B" w:rsidRPr="00C93B98">
              <w:rPr>
                <w:noProof/>
                <w:webHidden/>
                <w:sz w:val="20"/>
              </w:rPr>
              <w:fldChar w:fldCharType="separate"/>
            </w:r>
            <w:r w:rsidR="00C93B98" w:rsidRPr="00C93B98">
              <w:rPr>
                <w:noProof/>
                <w:webHidden/>
                <w:sz w:val="20"/>
              </w:rPr>
              <w:t>6</w:t>
            </w:r>
            <w:r w:rsidR="007F376B" w:rsidRPr="00C93B98">
              <w:rPr>
                <w:noProof/>
                <w:webHidden/>
                <w:sz w:val="20"/>
              </w:rPr>
              <w:fldChar w:fldCharType="end"/>
            </w:r>
          </w:hyperlink>
        </w:p>
        <w:p w14:paraId="6223A40A" w14:textId="140A7861"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659" w:history="1">
            <w:r w:rsidR="007F376B" w:rsidRPr="000D17FB">
              <w:rPr>
                <w:rStyle w:val="Hyperlink"/>
                <w:noProof/>
              </w:rPr>
              <w:t>Summary of review findings and recommendations</w:t>
            </w:r>
            <w:r w:rsidR="007F376B">
              <w:rPr>
                <w:noProof/>
                <w:webHidden/>
              </w:rPr>
              <w:tab/>
            </w:r>
            <w:r w:rsidR="007F376B">
              <w:rPr>
                <w:noProof/>
                <w:webHidden/>
              </w:rPr>
              <w:fldChar w:fldCharType="begin"/>
            </w:r>
            <w:r w:rsidR="007F376B">
              <w:rPr>
                <w:noProof/>
                <w:webHidden/>
              </w:rPr>
              <w:instrText xml:space="preserve"> PAGEREF _Toc73696659 \h </w:instrText>
            </w:r>
            <w:r w:rsidR="007F376B">
              <w:rPr>
                <w:noProof/>
                <w:webHidden/>
              </w:rPr>
            </w:r>
            <w:r w:rsidR="007F376B">
              <w:rPr>
                <w:noProof/>
                <w:webHidden/>
              </w:rPr>
              <w:fldChar w:fldCharType="separate"/>
            </w:r>
            <w:r w:rsidR="00C93B98">
              <w:rPr>
                <w:noProof/>
                <w:webHidden/>
              </w:rPr>
              <w:t>7</w:t>
            </w:r>
            <w:r w:rsidR="007F376B">
              <w:rPr>
                <w:noProof/>
                <w:webHidden/>
              </w:rPr>
              <w:fldChar w:fldCharType="end"/>
            </w:r>
          </w:hyperlink>
        </w:p>
        <w:p w14:paraId="0C58FA5D" w14:textId="7B7DD7B8"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60" w:history="1">
            <w:r w:rsidR="007F376B" w:rsidRPr="000D17FB">
              <w:rPr>
                <w:rStyle w:val="Hyperlink"/>
                <w:noProof/>
              </w:rPr>
              <w:t>KRA-A: the ongoing appropriateness of the ROHPG</w:t>
            </w:r>
            <w:r w:rsidR="007F376B">
              <w:rPr>
                <w:noProof/>
                <w:webHidden/>
              </w:rPr>
              <w:tab/>
            </w:r>
            <w:r w:rsidR="007F376B">
              <w:rPr>
                <w:noProof/>
                <w:webHidden/>
              </w:rPr>
              <w:fldChar w:fldCharType="begin"/>
            </w:r>
            <w:r w:rsidR="007F376B">
              <w:rPr>
                <w:noProof/>
                <w:webHidden/>
              </w:rPr>
              <w:instrText xml:space="preserve"> PAGEREF _Toc73696660 \h </w:instrText>
            </w:r>
            <w:r w:rsidR="007F376B">
              <w:rPr>
                <w:noProof/>
                <w:webHidden/>
              </w:rPr>
            </w:r>
            <w:r w:rsidR="007F376B">
              <w:rPr>
                <w:noProof/>
                <w:webHidden/>
              </w:rPr>
              <w:fldChar w:fldCharType="separate"/>
            </w:r>
            <w:r w:rsidR="00C93B98">
              <w:rPr>
                <w:noProof/>
                <w:webHidden/>
              </w:rPr>
              <w:t>7</w:t>
            </w:r>
            <w:r w:rsidR="007F376B">
              <w:rPr>
                <w:noProof/>
                <w:webHidden/>
              </w:rPr>
              <w:fldChar w:fldCharType="end"/>
            </w:r>
          </w:hyperlink>
        </w:p>
        <w:p w14:paraId="4C897662" w14:textId="294E2733"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61" w:history="1">
            <w:r w:rsidR="007F376B" w:rsidRPr="000D17FB">
              <w:rPr>
                <w:rStyle w:val="Hyperlink"/>
                <w:noProof/>
              </w:rPr>
              <w:t>KRA-B: the effectiveness of the Scheme in meeting the program’s objectives</w:t>
            </w:r>
            <w:r w:rsidR="007F376B">
              <w:rPr>
                <w:noProof/>
                <w:webHidden/>
              </w:rPr>
              <w:tab/>
            </w:r>
            <w:r w:rsidR="007F376B">
              <w:rPr>
                <w:noProof/>
                <w:webHidden/>
              </w:rPr>
              <w:fldChar w:fldCharType="begin"/>
            </w:r>
            <w:r w:rsidR="007F376B">
              <w:rPr>
                <w:noProof/>
                <w:webHidden/>
              </w:rPr>
              <w:instrText xml:space="preserve"> PAGEREF _Toc73696661 \h </w:instrText>
            </w:r>
            <w:r w:rsidR="007F376B">
              <w:rPr>
                <w:noProof/>
                <w:webHidden/>
              </w:rPr>
            </w:r>
            <w:r w:rsidR="007F376B">
              <w:rPr>
                <w:noProof/>
                <w:webHidden/>
              </w:rPr>
              <w:fldChar w:fldCharType="separate"/>
            </w:r>
            <w:r w:rsidR="00C93B98">
              <w:rPr>
                <w:noProof/>
                <w:webHidden/>
              </w:rPr>
              <w:t>7</w:t>
            </w:r>
            <w:r w:rsidR="007F376B">
              <w:rPr>
                <w:noProof/>
                <w:webHidden/>
              </w:rPr>
              <w:fldChar w:fldCharType="end"/>
            </w:r>
          </w:hyperlink>
        </w:p>
        <w:p w14:paraId="508F7B12" w14:textId="1A1F2A4A"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62" w:history="1">
            <w:r w:rsidR="007F376B" w:rsidRPr="000D17FB">
              <w:rPr>
                <w:rStyle w:val="Hyperlink"/>
                <w:noProof/>
              </w:rPr>
              <w:t>KRA-C: the efficient and effective administration of the ROHPG Scheme</w:t>
            </w:r>
            <w:r w:rsidR="007F376B">
              <w:rPr>
                <w:noProof/>
                <w:webHidden/>
              </w:rPr>
              <w:tab/>
            </w:r>
            <w:r w:rsidR="007F376B">
              <w:rPr>
                <w:noProof/>
                <w:webHidden/>
              </w:rPr>
              <w:fldChar w:fldCharType="begin"/>
            </w:r>
            <w:r w:rsidR="007F376B">
              <w:rPr>
                <w:noProof/>
                <w:webHidden/>
              </w:rPr>
              <w:instrText xml:space="preserve"> PAGEREF _Toc73696662 \h </w:instrText>
            </w:r>
            <w:r w:rsidR="007F376B">
              <w:rPr>
                <w:noProof/>
                <w:webHidden/>
              </w:rPr>
            </w:r>
            <w:r w:rsidR="007F376B">
              <w:rPr>
                <w:noProof/>
                <w:webHidden/>
              </w:rPr>
              <w:fldChar w:fldCharType="separate"/>
            </w:r>
            <w:r w:rsidR="00C93B98">
              <w:rPr>
                <w:noProof/>
                <w:webHidden/>
              </w:rPr>
              <w:t>7</w:t>
            </w:r>
            <w:r w:rsidR="007F376B">
              <w:rPr>
                <w:noProof/>
                <w:webHidden/>
              </w:rPr>
              <w:fldChar w:fldCharType="end"/>
            </w:r>
          </w:hyperlink>
        </w:p>
        <w:p w14:paraId="2B7149D7" w14:textId="265D2734"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63" w:history="1">
            <w:r w:rsidR="007F376B" w:rsidRPr="000D17FB">
              <w:rPr>
                <w:rStyle w:val="Hyperlink"/>
                <w:noProof/>
              </w:rPr>
              <w:t>KRA-D: appropriate accountability for ROHPG Scheme funds</w:t>
            </w:r>
            <w:r w:rsidR="007F376B">
              <w:rPr>
                <w:noProof/>
                <w:webHidden/>
              </w:rPr>
              <w:tab/>
            </w:r>
            <w:r w:rsidR="007F376B">
              <w:rPr>
                <w:noProof/>
                <w:webHidden/>
              </w:rPr>
              <w:fldChar w:fldCharType="begin"/>
            </w:r>
            <w:r w:rsidR="007F376B">
              <w:rPr>
                <w:noProof/>
                <w:webHidden/>
              </w:rPr>
              <w:instrText xml:space="preserve"> PAGEREF _Toc73696663 \h </w:instrText>
            </w:r>
            <w:r w:rsidR="007F376B">
              <w:rPr>
                <w:noProof/>
                <w:webHidden/>
              </w:rPr>
            </w:r>
            <w:r w:rsidR="007F376B">
              <w:rPr>
                <w:noProof/>
                <w:webHidden/>
              </w:rPr>
              <w:fldChar w:fldCharType="separate"/>
            </w:r>
            <w:r w:rsidR="00C93B98">
              <w:rPr>
                <w:noProof/>
                <w:webHidden/>
              </w:rPr>
              <w:t>8</w:t>
            </w:r>
            <w:r w:rsidR="007F376B">
              <w:rPr>
                <w:noProof/>
                <w:webHidden/>
              </w:rPr>
              <w:fldChar w:fldCharType="end"/>
            </w:r>
          </w:hyperlink>
        </w:p>
        <w:p w14:paraId="342A90F4" w14:textId="3C7E5B07"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664" w:history="1">
            <w:r w:rsidR="007F376B" w:rsidRPr="000D17FB">
              <w:rPr>
                <w:rStyle w:val="Hyperlink"/>
                <w:noProof/>
              </w:rPr>
              <w:t>Future directions</w:t>
            </w:r>
            <w:r w:rsidR="007F376B">
              <w:rPr>
                <w:noProof/>
                <w:webHidden/>
              </w:rPr>
              <w:tab/>
            </w:r>
            <w:r w:rsidR="007F376B">
              <w:rPr>
                <w:noProof/>
                <w:webHidden/>
              </w:rPr>
              <w:fldChar w:fldCharType="begin"/>
            </w:r>
            <w:r w:rsidR="007F376B">
              <w:rPr>
                <w:noProof/>
                <w:webHidden/>
              </w:rPr>
              <w:instrText xml:space="preserve"> PAGEREF _Toc73696664 \h </w:instrText>
            </w:r>
            <w:r w:rsidR="007F376B">
              <w:rPr>
                <w:noProof/>
                <w:webHidden/>
              </w:rPr>
            </w:r>
            <w:r w:rsidR="007F376B">
              <w:rPr>
                <w:noProof/>
                <w:webHidden/>
              </w:rPr>
              <w:fldChar w:fldCharType="separate"/>
            </w:r>
            <w:r w:rsidR="00C93B98">
              <w:rPr>
                <w:noProof/>
                <w:webHidden/>
              </w:rPr>
              <w:t>9</w:t>
            </w:r>
            <w:r w:rsidR="007F376B">
              <w:rPr>
                <w:noProof/>
                <w:webHidden/>
              </w:rPr>
              <w:fldChar w:fldCharType="end"/>
            </w:r>
          </w:hyperlink>
        </w:p>
        <w:p w14:paraId="60079DEE" w14:textId="439C3862"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65" w:history="1">
            <w:r w:rsidR="007F376B" w:rsidRPr="000D17FB">
              <w:rPr>
                <w:rStyle w:val="Hyperlink"/>
                <w:noProof/>
              </w:rPr>
              <w:t>Option 1: Adjustments to strengthen the existing ROHPG Scheme</w:t>
            </w:r>
            <w:r w:rsidR="007F376B">
              <w:rPr>
                <w:noProof/>
                <w:webHidden/>
              </w:rPr>
              <w:tab/>
            </w:r>
            <w:r w:rsidR="007F376B">
              <w:rPr>
                <w:noProof/>
                <w:webHidden/>
              </w:rPr>
              <w:fldChar w:fldCharType="begin"/>
            </w:r>
            <w:r w:rsidR="007F376B">
              <w:rPr>
                <w:noProof/>
                <w:webHidden/>
              </w:rPr>
              <w:instrText xml:space="preserve"> PAGEREF _Toc73696665 \h </w:instrText>
            </w:r>
            <w:r w:rsidR="007F376B">
              <w:rPr>
                <w:noProof/>
                <w:webHidden/>
              </w:rPr>
            </w:r>
            <w:r w:rsidR="007F376B">
              <w:rPr>
                <w:noProof/>
                <w:webHidden/>
              </w:rPr>
              <w:fldChar w:fldCharType="separate"/>
            </w:r>
            <w:r w:rsidR="00C93B98">
              <w:rPr>
                <w:noProof/>
                <w:webHidden/>
              </w:rPr>
              <w:t>9</w:t>
            </w:r>
            <w:r w:rsidR="007F376B">
              <w:rPr>
                <w:noProof/>
                <w:webHidden/>
              </w:rPr>
              <w:fldChar w:fldCharType="end"/>
            </w:r>
          </w:hyperlink>
        </w:p>
        <w:p w14:paraId="1F42A3A2" w14:textId="11E6245C"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66" w:history="1">
            <w:r w:rsidR="007F376B" w:rsidRPr="000D17FB">
              <w:rPr>
                <w:rStyle w:val="Hyperlink"/>
                <w:noProof/>
              </w:rPr>
              <w:t>Option 2: Development of a national body with input from all jurisdictions, colleagues, peak bodies and public and private facilities for radiotherapy planning that includes capital funding for high-cost equipment.</w:t>
            </w:r>
            <w:r w:rsidR="007F376B">
              <w:rPr>
                <w:noProof/>
                <w:webHidden/>
              </w:rPr>
              <w:tab/>
            </w:r>
            <w:r w:rsidR="007F376B">
              <w:rPr>
                <w:noProof/>
                <w:webHidden/>
              </w:rPr>
              <w:fldChar w:fldCharType="begin"/>
            </w:r>
            <w:r w:rsidR="007F376B">
              <w:rPr>
                <w:noProof/>
                <w:webHidden/>
              </w:rPr>
              <w:instrText xml:space="preserve"> PAGEREF _Toc73696666 \h </w:instrText>
            </w:r>
            <w:r w:rsidR="007F376B">
              <w:rPr>
                <w:noProof/>
                <w:webHidden/>
              </w:rPr>
            </w:r>
            <w:r w:rsidR="007F376B">
              <w:rPr>
                <w:noProof/>
                <w:webHidden/>
              </w:rPr>
              <w:fldChar w:fldCharType="separate"/>
            </w:r>
            <w:r w:rsidR="00C93B98">
              <w:rPr>
                <w:noProof/>
                <w:webHidden/>
              </w:rPr>
              <w:t>9</w:t>
            </w:r>
            <w:r w:rsidR="007F376B">
              <w:rPr>
                <w:noProof/>
                <w:webHidden/>
              </w:rPr>
              <w:fldChar w:fldCharType="end"/>
            </w:r>
          </w:hyperlink>
        </w:p>
        <w:p w14:paraId="5A8C2E1B" w14:textId="3C6B5E40"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667" w:history="1">
            <w:r w:rsidR="007F376B" w:rsidRPr="000D17FB">
              <w:rPr>
                <w:rStyle w:val="Hyperlink"/>
                <w:noProof/>
              </w:rPr>
              <w:t>1</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Introduction</w:t>
            </w:r>
            <w:r w:rsidR="007F376B">
              <w:rPr>
                <w:noProof/>
                <w:webHidden/>
              </w:rPr>
              <w:tab/>
            </w:r>
            <w:r w:rsidR="007F376B">
              <w:rPr>
                <w:noProof/>
                <w:webHidden/>
              </w:rPr>
              <w:fldChar w:fldCharType="begin"/>
            </w:r>
            <w:r w:rsidR="007F376B">
              <w:rPr>
                <w:noProof/>
                <w:webHidden/>
              </w:rPr>
              <w:instrText xml:space="preserve"> PAGEREF _Toc73696667 \h </w:instrText>
            </w:r>
            <w:r w:rsidR="007F376B">
              <w:rPr>
                <w:noProof/>
                <w:webHidden/>
              </w:rPr>
            </w:r>
            <w:r w:rsidR="007F376B">
              <w:rPr>
                <w:noProof/>
                <w:webHidden/>
              </w:rPr>
              <w:fldChar w:fldCharType="separate"/>
            </w:r>
            <w:r w:rsidR="00C93B98">
              <w:rPr>
                <w:noProof/>
                <w:webHidden/>
              </w:rPr>
              <w:t>10</w:t>
            </w:r>
            <w:r w:rsidR="007F376B">
              <w:rPr>
                <w:noProof/>
                <w:webHidden/>
              </w:rPr>
              <w:fldChar w:fldCharType="end"/>
            </w:r>
          </w:hyperlink>
        </w:p>
        <w:p w14:paraId="4ED19ABF" w14:textId="0126B5DD"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68" w:history="1">
            <w:r w:rsidR="007F376B" w:rsidRPr="000D17FB">
              <w:rPr>
                <w:rStyle w:val="Hyperlink"/>
                <w:noProof/>
              </w:rPr>
              <w:t>1.1</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Background and review objectives</w:t>
            </w:r>
            <w:r w:rsidR="007F376B">
              <w:rPr>
                <w:noProof/>
                <w:webHidden/>
              </w:rPr>
              <w:tab/>
            </w:r>
            <w:r w:rsidR="007F376B">
              <w:rPr>
                <w:noProof/>
                <w:webHidden/>
              </w:rPr>
              <w:fldChar w:fldCharType="begin"/>
            </w:r>
            <w:r w:rsidR="007F376B">
              <w:rPr>
                <w:noProof/>
                <w:webHidden/>
              </w:rPr>
              <w:instrText xml:space="preserve"> PAGEREF _Toc73696668 \h </w:instrText>
            </w:r>
            <w:r w:rsidR="007F376B">
              <w:rPr>
                <w:noProof/>
                <w:webHidden/>
              </w:rPr>
            </w:r>
            <w:r w:rsidR="007F376B">
              <w:rPr>
                <w:noProof/>
                <w:webHidden/>
              </w:rPr>
              <w:fldChar w:fldCharType="separate"/>
            </w:r>
            <w:r w:rsidR="00C93B98">
              <w:rPr>
                <w:noProof/>
                <w:webHidden/>
              </w:rPr>
              <w:t>10</w:t>
            </w:r>
            <w:r w:rsidR="007F376B">
              <w:rPr>
                <w:noProof/>
                <w:webHidden/>
              </w:rPr>
              <w:fldChar w:fldCharType="end"/>
            </w:r>
          </w:hyperlink>
        </w:p>
        <w:p w14:paraId="5A2A8287" w14:textId="017D7586"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69" w:history="1">
            <w:r w:rsidR="007F376B" w:rsidRPr="000D17FB">
              <w:rPr>
                <w:rStyle w:val="Hyperlink"/>
                <w:noProof/>
              </w:rPr>
              <w:t>1.2</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Project methodology</w:t>
            </w:r>
            <w:r w:rsidR="007F376B">
              <w:rPr>
                <w:noProof/>
                <w:webHidden/>
              </w:rPr>
              <w:tab/>
            </w:r>
            <w:r w:rsidR="007F376B">
              <w:rPr>
                <w:noProof/>
                <w:webHidden/>
              </w:rPr>
              <w:fldChar w:fldCharType="begin"/>
            </w:r>
            <w:r w:rsidR="007F376B">
              <w:rPr>
                <w:noProof/>
                <w:webHidden/>
              </w:rPr>
              <w:instrText xml:space="preserve"> PAGEREF _Toc73696669 \h </w:instrText>
            </w:r>
            <w:r w:rsidR="007F376B">
              <w:rPr>
                <w:noProof/>
                <w:webHidden/>
              </w:rPr>
            </w:r>
            <w:r w:rsidR="007F376B">
              <w:rPr>
                <w:noProof/>
                <w:webHidden/>
              </w:rPr>
              <w:fldChar w:fldCharType="separate"/>
            </w:r>
            <w:r w:rsidR="00C93B98">
              <w:rPr>
                <w:noProof/>
                <w:webHidden/>
              </w:rPr>
              <w:t>10</w:t>
            </w:r>
            <w:r w:rsidR="007F376B">
              <w:rPr>
                <w:noProof/>
                <w:webHidden/>
              </w:rPr>
              <w:fldChar w:fldCharType="end"/>
            </w:r>
          </w:hyperlink>
        </w:p>
        <w:p w14:paraId="2BDE5986" w14:textId="5AA850C9"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70" w:history="1">
            <w:r w:rsidR="007F376B" w:rsidRPr="000D17FB">
              <w:rPr>
                <w:rStyle w:val="Hyperlink"/>
                <w:noProof/>
              </w:rPr>
              <w:t>1.3</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Purpose of this document</w:t>
            </w:r>
            <w:r w:rsidR="007F376B">
              <w:rPr>
                <w:noProof/>
                <w:webHidden/>
              </w:rPr>
              <w:tab/>
            </w:r>
            <w:r w:rsidR="007F376B">
              <w:rPr>
                <w:noProof/>
                <w:webHidden/>
              </w:rPr>
              <w:fldChar w:fldCharType="begin"/>
            </w:r>
            <w:r w:rsidR="007F376B">
              <w:rPr>
                <w:noProof/>
                <w:webHidden/>
              </w:rPr>
              <w:instrText xml:space="preserve"> PAGEREF _Toc73696670 \h </w:instrText>
            </w:r>
            <w:r w:rsidR="007F376B">
              <w:rPr>
                <w:noProof/>
                <w:webHidden/>
              </w:rPr>
            </w:r>
            <w:r w:rsidR="007F376B">
              <w:rPr>
                <w:noProof/>
                <w:webHidden/>
              </w:rPr>
              <w:fldChar w:fldCharType="separate"/>
            </w:r>
            <w:r w:rsidR="00C93B98">
              <w:rPr>
                <w:noProof/>
                <w:webHidden/>
              </w:rPr>
              <w:t>11</w:t>
            </w:r>
            <w:r w:rsidR="007F376B">
              <w:rPr>
                <w:noProof/>
                <w:webHidden/>
              </w:rPr>
              <w:fldChar w:fldCharType="end"/>
            </w:r>
          </w:hyperlink>
        </w:p>
        <w:p w14:paraId="0C1D336A" w14:textId="6CE5DE7E" w:rsidR="007F376B" w:rsidRDefault="004B24F3" w:rsidP="00206139">
          <w:pPr>
            <w:pStyle w:val="TOC1"/>
            <w:tabs>
              <w:tab w:val="left" w:pos="1361"/>
              <w:tab w:val="right" w:leader="dot" w:pos="10025"/>
            </w:tabs>
            <w:spacing w:before="120" w:after="120"/>
            <w:ind w:left="0"/>
            <w:contextualSpacing w:val="0"/>
            <w:rPr>
              <w:rFonts w:asciiTheme="minorHAnsi" w:eastAsiaTheme="minorEastAsia" w:hAnsiTheme="minorHAnsi" w:cstheme="minorBidi"/>
              <w:noProof/>
              <w:color w:val="auto"/>
              <w:spacing w:val="0"/>
              <w:szCs w:val="22"/>
              <w:lang w:eastAsia="en-AU"/>
            </w:rPr>
          </w:pPr>
          <w:hyperlink w:anchor="_Toc73696671" w:history="1">
            <w:r w:rsidR="007F376B" w:rsidRPr="00F93488">
              <w:rPr>
                <w:rStyle w:val="Hyperlink"/>
                <w:caps/>
                <w:noProof/>
                <w:sz w:val="24"/>
                <w:szCs w:val="24"/>
              </w:rPr>
              <w:t>PART A</w:t>
            </w:r>
            <w:r w:rsidR="007F376B" w:rsidRPr="00F93488">
              <w:rPr>
                <w:rFonts w:asciiTheme="minorHAnsi" w:eastAsiaTheme="minorEastAsia" w:hAnsiTheme="minorHAnsi" w:cstheme="minorBidi"/>
                <w:noProof/>
                <w:color w:val="auto"/>
                <w:spacing w:val="0"/>
                <w:sz w:val="24"/>
                <w:szCs w:val="24"/>
                <w:lang w:eastAsia="en-AU"/>
              </w:rPr>
              <w:tab/>
            </w:r>
            <w:r w:rsidR="007F376B" w:rsidRPr="00F93488">
              <w:rPr>
                <w:rStyle w:val="Hyperlink"/>
                <w:noProof/>
                <w:sz w:val="24"/>
                <w:szCs w:val="24"/>
              </w:rPr>
              <w:t>Context</w:t>
            </w:r>
            <w:r w:rsidR="007F376B">
              <w:rPr>
                <w:noProof/>
                <w:webHidden/>
              </w:rPr>
              <w:tab/>
            </w:r>
            <w:r w:rsidR="007F376B">
              <w:rPr>
                <w:noProof/>
                <w:webHidden/>
              </w:rPr>
              <w:fldChar w:fldCharType="begin"/>
            </w:r>
            <w:r w:rsidR="007F376B">
              <w:rPr>
                <w:noProof/>
                <w:webHidden/>
              </w:rPr>
              <w:instrText xml:space="preserve"> PAGEREF _Toc73696671 \h </w:instrText>
            </w:r>
            <w:r w:rsidR="007F376B">
              <w:rPr>
                <w:noProof/>
                <w:webHidden/>
              </w:rPr>
            </w:r>
            <w:r w:rsidR="007F376B">
              <w:rPr>
                <w:noProof/>
                <w:webHidden/>
              </w:rPr>
              <w:fldChar w:fldCharType="separate"/>
            </w:r>
            <w:r w:rsidR="00C93B98">
              <w:rPr>
                <w:noProof/>
                <w:webHidden/>
              </w:rPr>
              <w:t>12</w:t>
            </w:r>
            <w:r w:rsidR="007F376B">
              <w:rPr>
                <w:noProof/>
                <w:webHidden/>
              </w:rPr>
              <w:fldChar w:fldCharType="end"/>
            </w:r>
          </w:hyperlink>
        </w:p>
        <w:p w14:paraId="574A12CB" w14:textId="4B42F539"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672" w:history="1">
            <w:r w:rsidR="007F376B" w:rsidRPr="000D17FB">
              <w:rPr>
                <w:rStyle w:val="Hyperlink"/>
                <w:noProof/>
              </w:rPr>
              <w:t>2</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Situation analysis</w:t>
            </w:r>
            <w:r w:rsidR="007F376B">
              <w:rPr>
                <w:noProof/>
                <w:webHidden/>
              </w:rPr>
              <w:tab/>
            </w:r>
            <w:r w:rsidR="007F376B">
              <w:rPr>
                <w:noProof/>
                <w:webHidden/>
              </w:rPr>
              <w:fldChar w:fldCharType="begin"/>
            </w:r>
            <w:r w:rsidR="007F376B">
              <w:rPr>
                <w:noProof/>
                <w:webHidden/>
              </w:rPr>
              <w:instrText xml:space="preserve"> PAGEREF _Toc73696672 \h </w:instrText>
            </w:r>
            <w:r w:rsidR="007F376B">
              <w:rPr>
                <w:noProof/>
                <w:webHidden/>
              </w:rPr>
            </w:r>
            <w:r w:rsidR="007F376B">
              <w:rPr>
                <w:noProof/>
                <w:webHidden/>
              </w:rPr>
              <w:fldChar w:fldCharType="separate"/>
            </w:r>
            <w:r w:rsidR="00C93B98">
              <w:rPr>
                <w:noProof/>
                <w:webHidden/>
              </w:rPr>
              <w:t>13</w:t>
            </w:r>
            <w:r w:rsidR="007F376B">
              <w:rPr>
                <w:noProof/>
                <w:webHidden/>
              </w:rPr>
              <w:fldChar w:fldCharType="end"/>
            </w:r>
          </w:hyperlink>
        </w:p>
        <w:p w14:paraId="4FBFD2CE" w14:textId="2AC6C6B4"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73" w:history="1">
            <w:r w:rsidR="007F376B" w:rsidRPr="000D17FB">
              <w:rPr>
                <w:rStyle w:val="Hyperlink"/>
                <w:noProof/>
              </w:rPr>
              <w:t>2.1</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Radiotherapy</w:t>
            </w:r>
            <w:r w:rsidR="007F376B">
              <w:rPr>
                <w:noProof/>
                <w:webHidden/>
              </w:rPr>
              <w:tab/>
            </w:r>
            <w:r w:rsidR="007F376B">
              <w:rPr>
                <w:noProof/>
                <w:webHidden/>
              </w:rPr>
              <w:fldChar w:fldCharType="begin"/>
            </w:r>
            <w:r w:rsidR="007F376B">
              <w:rPr>
                <w:noProof/>
                <w:webHidden/>
              </w:rPr>
              <w:instrText xml:space="preserve"> PAGEREF _Toc73696673 \h </w:instrText>
            </w:r>
            <w:r w:rsidR="007F376B">
              <w:rPr>
                <w:noProof/>
                <w:webHidden/>
              </w:rPr>
            </w:r>
            <w:r w:rsidR="007F376B">
              <w:rPr>
                <w:noProof/>
                <w:webHidden/>
              </w:rPr>
              <w:fldChar w:fldCharType="separate"/>
            </w:r>
            <w:r w:rsidR="00C93B98">
              <w:rPr>
                <w:noProof/>
                <w:webHidden/>
              </w:rPr>
              <w:t>13</w:t>
            </w:r>
            <w:r w:rsidR="007F376B">
              <w:rPr>
                <w:noProof/>
                <w:webHidden/>
              </w:rPr>
              <w:fldChar w:fldCharType="end"/>
            </w:r>
          </w:hyperlink>
        </w:p>
        <w:p w14:paraId="0D07199B" w14:textId="5507CE91"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74" w:history="1">
            <w:r w:rsidR="007F376B" w:rsidRPr="000D17FB">
              <w:rPr>
                <w:rStyle w:val="Hyperlink"/>
                <w:noProof/>
              </w:rPr>
              <w:t>2.2</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Provision of radiotherapy in Australia</w:t>
            </w:r>
            <w:r w:rsidR="007F376B">
              <w:rPr>
                <w:noProof/>
                <w:webHidden/>
              </w:rPr>
              <w:tab/>
            </w:r>
            <w:r w:rsidR="007F376B">
              <w:rPr>
                <w:noProof/>
                <w:webHidden/>
              </w:rPr>
              <w:fldChar w:fldCharType="begin"/>
            </w:r>
            <w:r w:rsidR="007F376B">
              <w:rPr>
                <w:noProof/>
                <w:webHidden/>
              </w:rPr>
              <w:instrText xml:space="preserve"> PAGEREF _Toc73696674 \h </w:instrText>
            </w:r>
            <w:r w:rsidR="007F376B">
              <w:rPr>
                <w:noProof/>
                <w:webHidden/>
              </w:rPr>
            </w:r>
            <w:r w:rsidR="007F376B">
              <w:rPr>
                <w:noProof/>
                <w:webHidden/>
              </w:rPr>
              <w:fldChar w:fldCharType="separate"/>
            </w:r>
            <w:r w:rsidR="00C93B98">
              <w:rPr>
                <w:noProof/>
                <w:webHidden/>
              </w:rPr>
              <w:t>14</w:t>
            </w:r>
            <w:r w:rsidR="007F376B">
              <w:rPr>
                <w:noProof/>
                <w:webHidden/>
              </w:rPr>
              <w:fldChar w:fldCharType="end"/>
            </w:r>
          </w:hyperlink>
        </w:p>
        <w:p w14:paraId="646E10F2" w14:textId="5E78683F"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75" w:history="1">
            <w:r w:rsidR="007F376B" w:rsidRPr="000D17FB">
              <w:rPr>
                <w:rStyle w:val="Hyperlink"/>
                <w:noProof/>
              </w:rPr>
              <w:t>2.3</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ROHPG funding models</w:t>
            </w:r>
            <w:r w:rsidR="007F376B">
              <w:rPr>
                <w:noProof/>
                <w:webHidden/>
              </w:rPr>
              <w:tab/>
            </w:r>
            <w:r w:rsidR="007F376B">
              <w:rPr>
                <w:noProof/>
                <w:webHidden/>
              </w:rPr>
              <w:fldChar w:fldCharType="begin"/>
            </w:r>
            <w:r w:rsidR="007F376B">
              <w:rPr>
                <w:noProof/>
                <w:webHidden/>
              </w:rPr>
              <w:instrText xml:space="preserve"> PAGEREF _Toc73696675 \h </w:instrText>
            </w:r>
            <w:r w:rsidR="007F376B">
              <w:rPr>
                <w:noProof/>
                <w:webHidden/>
              </w:rPr>
            </w:r>
            <w:r w:rsidR="007F376B">
              <w:rPr>
                <w:noProof/>
                <w:webHidden/>
              </w:rPr>
              <w:fldChar w:fldCharType="separate"/>
            </w:r>
            <w:r w:rsidR="00C93B98">
              <w:rPr>
                <w:noProof/>
                <w:webHidden/>
              </w:rPr>
              <w:t>14</w:t>
            </w:r>
            <w:r w:rsidR="007F376B">
              <w:rPr>
                <w:noProof/>
                <w:webHidden/>
              </w:rPr>
              <w:fldChar w:fldCharType="end"/>
            </w:r>
          </w:hyperlink>
        </w:p>
        <w:p w14:paraId="6D8CF23F" w14:textId="7E1AFA75"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76" w:history="1">
            <w:r w:rsidR="007F376B" w:rsidRPr="000D17FB">
              <w:rPr>
                <w:rStyle w:val="Hyperlink"/>
                <w:noProof/>
              </w:rPr>
              <w:t>2.4</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Radiotherapy planning</w:t>
            </w:r>
            <w:r w:rsidR="007F376B">
              <w:rPr>
                <w:noProof/>
                <w:webHidden/>
              </w:rPr>
              <w:tab/>
            </w:r>
            <w:r w:rsidR="007F376B">
              <w:rPr>
                <w:noProof/>
                <w:webHidden/>
              </w:rPr>
              <w:fldChar w:fldCharType="begin"/>
            </w:r>
            <w:r w:rsidR="007F376B">
              <w:rPr>
                <w:noProof/>
                <w:webHidden/>
              </w:rPr>
              <w:instrText xml:space="preserve"> PAGEREF _Toc73696676 \h </w:instrText>
            </w:r>
            <w:r w:rsidR="007F376B">
              <w:rPr>
                <w:noProof/>
                <w:webHidden/>
              </w:rPr>
            </w:r>
            <w:r w:rsidR="007F376B">
              <w:rPr>
                <w:noProof/>
                <w:webHidden/>
              </w:rPr>
              <w:fldChar w:fldCharType="separate"/>
            </w:r>
            <w:r w:rsidR="00C93B98">
              <w:rPr>
                <w:noProof/>
                <w:webHidden/>
              </w:rPr>
              <w:t>16</w:t>
            </w:r>
            <w:r w:rsidR="007F376B">
              <w:rPr>
                <w:noProof/>
                <w:webHidden/>
              </w:rPr>
              <w:fldChar w:fldCharType="end"/>
            </w:r>
          </w:hyperlink>
        </w:p>
        <w:p w14:paraId="53364F06" w14:textId="1A222EA1"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77" w:history="1">
            <w:r w:rsidR="007F376B" w:rsidRPr="000D17FB">
              <w:rPr>
                <w:rStyle w:val="Hyperlink"/>
                <w:noProof/>
              </w:rPr>
              <w:t>2.5</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Access to services</w:t>
            </w:r>
            <w:r w:rsidR="007F376B">
              <w:rPr>
                <w:noProof/>
                <w:webHidden/>
              </w:rPr>
              <w:tab/>
            </w:r>
            <w:r w:rsidR="007F376B">
              <w:rPr>
                <w:noProof/>
                <w:webHidden/>
              </w:rPr>
              <w:fldChar w:fldCharType="begin"/>
            </w:r>
            <w:r w:rsidR="007F376B">
              <w:rPr>
                <w:noProof/>
                <w:webHidden/>
              </w:rPr>
              <w:instrText xml:space="preserve"> PAGEREF _Toc73696677 \h </w:instrText>
            </w:r>
            <w:r w:rsidR="007F376B">
              <w:rPr>
                <w:noProof/>
                <w:webHidden/>
              </w:rPr>
            </w:r>
            <w:r w:rsidR="007F376B">
              <w:rPr>
                <w:noProof/>
                <w:webHidden/>
              </w:rPr>
              <w:fldChar w:fldCharType="separate"/>
            </w:r>
            <w:r w:rsidR="00C93B98">
              <w:rPr>
                <w:noProof/>
                <w:webHidden/>
              </w:rPr>
              <w:t>18</w:t>
            </w:r>
            <w:r w:rsidR="007F376B">
              <w:rPr>
                <w:noProof/>
                <w:webHidden/>
              </w:rPr>
              <w:fldChar w:fldCharType="end"/>
            </w:r>
          </w:hyperlink>
        </w:p>
        <w:p w14:paraId="658287FF" w14:textId="72EE02EF"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678" w:history="1">
            <w:r w:rsidR="007F376B" w:rsidRPr="000D17FB">
              <w:rPr>
                <w:rStyle w:val="Hyperlink"/>
                <w:noProof/>
              </w:rPr>
              <w:t>3</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Review framework</w:t>
            </w:r>
            <w:r w:rsidR="007F376B">
              <w:rPr>
                <w:noProof/>
                <w:webHidden/>
              </w:rPr>
              <w:tab/>
            </w:r>
            <w:r w:rsidR="007F376B">
              <w:rPr>
                <w:noProof/>
                <w:webHidden/>
              </w:rPr>
              <w:fldChar w:fldCharType="begin"/>
            </w:r>
            <w:r w:rsidR="007F376B">
              <w:rPr>
                <w:noProof/>
                <w:webHidden/>
              </w:rPr>
              <w:instrText xml:space="preserve"> PAGEREF _Toc73696678 \h </w:instrText>
            </w:r>
            <w:r w:rsidR="007F376B">
              <w:rPr>
                <w:noProof/>
                <w:webHidden/>
              </w:rPr>
            </w:r>
            <w:r w:rsidR="007F376B">
              <w:rPr>
                <w:noProof/>
                <w:webHidden/>
              </w:rPr>
              <w:fldChar w:fldCharType="separate"/>
            </w:r>
            <w:r w:rsidR="00C93B98">
              <w:rPr>
                <w:noProof/>
                <w:webHidden/>
              </w:rPr>
              <w:t>20</w:t>
            </w:r>
            <w:r w:rsidR="007F376B">
              <w:rPr>
                <w:noProof/>
                <w:webHidden/>
              </w:rPr>
              <w:fldChar w:fldCharType="end"/>
            </w:r>
          </w:hyperlink>
        </w:p>
        <w:p w14:paraId="5BA83447" w14:textId="6BEE3C1A" w:rsidR="007F376B" w:rsidRDefault="004B24F3" w:rsidP="00206139">
          <w:pPr>
            <w:pStyle w:val="TOC1"/>
            <w:tabs>
              <w:tab w:val="left" w:pos="1361"/>
              <w:tab w:val="right" w:leader="dot" w:pos="10025"/>
            </w:tabs>
            <w:spacing w:before="120" w:after="120"/>
            <w:ind w:left="0"/>
            <w:contextualSpacing w:val="0"/>
            <w:rPr>
              <w:rFonts w:asciiTheme="minorHAnsi" w:eastAsiaTheme="minorEastAsia" w:hAnsiTheme="minorHAnsi" w:cstheme="minorBidi"/>
              <w:noProof/>
              <w:color w:val="auto"/>
              <w:spacing w:val="0"/>
              <w:szCs w:val="22"/>
              <w:lang w:eastAsia="en-AU"/>
            </w:rPr>
          </w:pPr>
          <w:hyperlink w:anchor="_Toc73696679" w:history="1">
            <w:r w:rsidR="007F376B" w:rsidRPr="00F93488">
              <w:rPr>
                <w:rStyle w:val="Hyperlink"/>
                <w:caps/>
                <w:noProof/>
                <w:sz w:val="24"/>
                <w:szCs w:val="24"/>
              </w:rPr>
              <w:t>PART</w:t>
            </w:r>
            <w:r w:rsidR="007F376B" w:rsidRPr="000D17FB">
              <w:rPr>
                <w:rStyle w:val="Hyperlink"/>
                <w:caps/>
                <w:noProof/>
              </w:rPr>
              <w:t xml:space="preserve"> </w:t>
            </w:r>
            <w:r w:rsidR="007F376B" w:rsidRPr="00206139">
              <w:rPr>
                <w:rStyle w:val="Hyperlink"/>
                <w:caps/>
                <w:noProof/>
                <w:sz w:val="24"/>
                <w:szCs w:val="24"/>
              </w:rPr>
              <w:t>B</w:t>
            </w:r>
            <w:r w:rsidR="007F376B" w:rsidRPr="00206139">
              <w:rPr>
                <w:rFonts w:asciiTheme="minorHAnsi" w:eastAsiaTheme="minorEastAsia" w:hAnsiTheme="minorHAnsi" w:cstheme="minorBidi"/>
                <w:noProof/>
                <w:color w:val="auto"/>
                <w:spacing w:val="0"/>
                <w:sz w:val="24"/>
                <w:szCs w:val="24"/>
                <w:lang w:eastAsia="en-AU"/>
              </w:rPr>
              <w:tab/>
            </w:r>
            <w:r w:rsidR="007F376B" w:rsidRPr="00206139">
              <w:rPr>
                <w:rStyle w:val="Hyperlink"/>
                <w:noProof/>
                <w:sz w:val="24"/>
                <w:szCs w:val="24"/>
              </w:rPr>
              <w:t>Review Findings</w:t>
            </w:r>
            <w:r w:rsidR="007F376B">
              <w:rPr>
                <w:noProof/>
                <w:webHidden/>
              </w:rPr>
              <w:tab/>
            </w:r>
            <w:r w:rsidR="007F376B">
              <w:rPr>
                <w:noProof/>
                <w:webHidden/>
              </w:rPr>
              <w:fldChar w:fldCharType="begin"/>
            </w:r>
            <w:r w:rsidR="007F376B">
              <w:rPr>
                <w:noProof/>
                <w:webHidden/>
              </w:rPr>
              <w:instrText xml:space="preserve"> PAGEREF _Toc73696679 \h </w:instrText>
            </w:r>
            <w:r w:rsidR="007F376B">
              <w:rPr>
                <w:noProof/>
                <w:webHidden/>
              </w:rPr>
            </w:r>
            <w:r w:rsidR="007F376B">
              <w:rPr>
                <w:noProof/>
                <w:webHidden/>
              </w:rPr>
              <w:fldChar w:fldCharType="separate"/>
            </w:r>
            <w:r w:rsidR="00C93B98">
              <w:rPr>
                <w:noProof/>
                <w:webHidden/>
              </w:rPr>
              <w:t>22</w:t>
            </w:r>
            <w:r w:rsidR="007F376B">
              <w:rPr>
                <w:noProof/>
                <w:webHidden/>
              </w:rPr>
              <w:fldChar w:fldCharType="end"/>
            </w:r>
          </w:hyperlink>
        </w:p>
        <w:p w14:paraId="5EEA5E2F" w14:textId="08928FBC"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680" w:history="1">
            <w:r w:rsidR="007F376B" w:rsidRPr="000D17FB">
              <w:rPr>
                <w:rStyle w:val="Hyperlink"/>
                <w:noProof/>
              </w:rPr>
              <w:t>4</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Key Review Area A: Ongoing appropriateness</w:t>
            </w:r>
            <w:r w:rsidR="007F376B">
              <w:rPr>
                <w:noProof/>
                <w:webHidden/>
              </w:rPr>
              <w:tab/>
            </w:r>
            <w:r w:rsidR="007F376B">
              <w:rPr>
                <w:noProof/>
                <w:webHidden/>
              </w:rPr>
              <w:fldChar w:fldCharType="begin"/>
            </w:r>
            <w:r w:rsidR="007F376B">
              <w:rPr>
                <w:noProof/>
                <w:webHidden/>
              </w:rPr>
              <w:instrText xml:space="preserve"> PAGEREF _Toc73696680 \h </w:instrText>
            </w:r>
            <w:r w:rsidR="007F376B">
              <w:rPr>
                <w:noProof/>
                <w:webHidden/>
              </w:rPr>
            </w:r>
            <w:r w:rsidR="007F376B">
              <w:rPr>
                <w:noProof/>
                <w:webHidden/>
              </w:rPr>
              <w:fldChar w:fldCharType="separate"/>
            </w:r>
            <w:r w:rsidR="00C93B98">
              <w:rPr>
                <w:noProof/>
                <w:webHidden/>
              </w:rPr>
              <w:t>22</w:t>
            </w:r>
            <w:r w:rsidR="007F376B">
              <w:rPr>
                <w:noProof/>
                <w:webHidden/>
              </w:rPr>
              <w:fldChar w:fldCharType="end"/>
            </w:r>
          </w:hyperlink>
        </w:p>
        <w:p w14:paraId="602C1B79" w14:textId="60076BBA"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681" w:history="1">
            <w:r w:rsidR="007F376B" w:rsidRPr="00F93488">
              <w:rPr>
                <w:rStyle w:val="Hyperlink"/>
                <w:b w:val="0"/>
                <w:noProof/>
              </w:rPr>
              <w:t>Summary of recommendations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_Toc73696681 \h </w:instrText>
            </w:r>
            <w:r w:rsidR="007F376B" w:rsidRPr="00F93488">
              <w:rPr>
                <w:b w:val="0"/>
                <w:noProof/>
                <w:webHidden/>
              </w:rPr>
            </w:r>
            <w:r w:rsidR="007F376B" w:rsidRPr="00F93488">
              <w:rPr>
                <w:b w:val="0"/>
                <w:noProof/>
                <w:webHidden/>
              </w:rPr>
              <w:fldChar w:fldCharType="separate"/>
            </w:r>
            <w:r w:rsidR="00C93B98">
              <w:rPr>
                <w:b w:val="0"/>
                <w:noProof/>
                <w:webHidden/>
              </w:rPr>
              <w:t>22</w:t>
            </w:r>
            <w:r w:rsidR="007F376B" w:rsidRPr="00F93488">
              <w:rPr>
                <w:b w:val="0"/>
                <w:noProof/>
                <w:webHidden/>
              </w:rPr>
              <w:fldChar w:fldCharType="end"/>
            </w:r>
          </w:hyperlink>
        </w:p>
        <w:p w14:paraId="1726C81A" w14:textId="5AE71F2E"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682" w:history="1">
            <w:r w:rsidR="007F376B" w:rsidRPr="00F93488">
              <w:rPr>
                <w:rStyle w:val="Hyperlink"/>
                <w:b w:val="0"/>
                <w:noProof/>
              </w:rPr>
              <w:t>Review questions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_Toc73696682 \h </w:instrText>
            </w:r>
            <w:r w:rsidR="007F376B" w:rsidRPr="00F93488">
              <w:rPr>
                <w:b w:val="0"/>
                <w:noProof/>
                <w:webHidden/>
              </w:rPr>
            </w:r>
            <w:r w:rsidR="007F376B" w:rsidRPr="00F93488">
              <w:rPr>
                <w:b w:val="0"/>
                <w:noProof/>
                <w:webHidden/>
              </w:rPr>
              <w:fldChar w:fldCharType="separate"/>
            </w:r>
            <w:r w:rsidR="00C93B98">
              <w:rPr>
                <w:b w:val="0"/>
                <w:noProof/>
                <w:webHidden/>
              </w:rPr>
              <w:t>22</w:t>
            </w:r>
            <w:r w:rsidR="007F376B" w:rsidRPr="00F93488">
              <w:rPr>
                <w:b w:val="0"/>
                <w:noProof/>
                <w:webHidden/>
              </w:rPr>
              <w:fldChar w:fldCharType="end"/>
            </w:r>
          </w:hyperlink>
        </w:p>
        <w:p w14:paraId="45D74A70" w14:textId="1527E6FE"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683" w:history="1">
            <w:r w:rsidR="007F376B" w:rsidRPr="00F93488">
              <w:rPr>
                <w:rStyle w:val="Hyperlink"/>
                <w:b w:val="0"/>
                <w:noProof/>
              </w:rPr>
              <w:t>Analysis and findings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_Toc73696683 \h </w:instrText>
            </w:r>
            <w:r w:rsidR="007F376B" w:rsidRPr="00F93488">
              <w:rPr>
                <w:b w:val="0"/>
                <w:noProof/>
                <w:webHidden/>
              </w:rPr>
            </w:r>
            <w:r w:rsidR="007F376B" w:rsidRPr="00F93488">
              <w:rPr>
                <w:b w:val="0"/>
                <w:noProof/>
                <w:webHidden/>
              </w:rPr>
              <w:fldChar w:fldCharType="separate"/>
            </w:r>
            <w:r w:rsidR="00C93B98">
              <w:rPr>
                <w:b w:val="0"/>
                <w:noProof/>
                <w:webHidden/>
              </w:rPr>
              <w:t>22</w:t>
            </w:r>
            <w:r w:rsidR="007F376B" w:rsidRPr="00F93488">
              <w:rPr>
                <w:b w:val="0"/>
                <w:noProof/>
                <w:webHidden/>
              </w:rPr>
              <w:fldChar w:fldCharType="end"/>
            </w:r>
          </w:hyperlink>
        </w:p>
        <w:p w14:paraId="6F4F7EFB" w14:textId="5DD9ED7C"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84" w:history="1">
            <w:r w:rsidR="007F376B" w:rsidRPr="000D17FB">
              <w:rPr>
                <w:rStyle w:val="Hyperlink"/>
                <w:noProof/>
              </w:rPr>
              <w:t>4.1</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Ongoing relevance of the ROHPG scheme objectives</w:t>
            </w:r>
            <w:r w:rsidR="007F376B">
              <w:rPr>
                <w:noProof/>
                <w:webHidden/>
              </w:rPr>
              <w:tab/>
            </w:r>
            <w:r w:rsidR="007F376B">
              <w:rPr>
                <w:noProof/>
                <w:webHidden/>
              </w:rPr>
              <w:fldChar w:fldCharType="begin"/>
            </w:r>
            <w:r w:rsidR="007F376B">
              <w:rPr>
                <w:noProof/>
                <w:webHidden/>
              </w:rPr>
              <w:instrText xml:space="preserve"> PAGEREF _Toc73696684 \h </w:instrText>
            </w:r>
            <w:r w:rsidR="007F376B">
              <w:rPr>
                <w:noProof/>
                <w:webHidden/>
              </w:rPr>
            </w:r>
            <w:r w:rsidR="007F376B">
              <w:rPr>
                <w:noProof/>
                <w:webHidden/>
              </w:rPr>
              <w:fldChar w:fldCharType="separate"/>
            </w:r>
            <w:r w:rsidR="00C93B98">
              <w:rPr>
                <w:noProof/>
                <w:webHidden/>
              </w:rPr>
              <w:t>22</w:t>
            </w:r>
            <w:r w:rsidR="007F376B">
              <w:rPr>
                <w:noProof/>
                <w:webHidden/>
              </w:rPr>
              <w:fldChar w:fldCharType="end"/>
            </w:r>
          </w:hyperlink>
        </w:p>
        <w:p w14:paraId="57C74A49" w14:textId="6427EC5B"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85" w:history="1">
            <w:r w:rsidR="007F376B" w:rsidRPr="000D17FB">
              <w:rPr>
                <w:rStyle w:val="Hyperlink"/>
                <w:noProof/>
              </w:rPr>
              <w:t>4.2</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Analysis of radiotherapy funding</w:t>
            </w:r>
            <w:r w:rsidR="007F376B">
              <w:rPr>
                <w:noProof/>
                <w:webHidden/>
              </w:rPr>
              <w:tab/>
            </w:r>
            <w:r w:rsidR="007F376B">
              <w:rPr>
                <w:noProof/>
                <w:webHidden/>
              </w:rPr>
              <w:fldChar w:fldCharType="begin"/>
            </w:r>
            <w:r w:rsidR="007F376B">
              <w:rPr>
                <w:noProof/>
                <w:webHidden/>
              </w:rPr>
              <w:instrText xml:space="preserve"> PAGEREF _Toc73696685 \h </w:instrText>
            </w:r>
            <w:r w:rsidR="007F376B">
              <w:rPr>
                <w:noProof/>
                <w:webHidden/>
              </w:rPr>
            </w:r>
            <w:r w:rsidR="007F376B">
              <w:rPr>
                <w:noProof/>
                <w:webHidden/>
              </w:rPr>
              <w:fldChar w:fldCharType="separate"/>
            </w:r>
            <w:r w:rsidR="00C93B98">
              <w:rPr>
                <w:noProof/>
                <w:webHidden/>
              </w:rPr>
              <w:t>24</w:t>
            </w:r>
            <w:r w:rsidR="007F376B">
              <w:rPr>
                <w:noProof/>
                <w:webHidden/>
              </w:rPr>
              <w:fldChar w:fldCharType="end"/>
            </w:r>
          </w:hyperlink>
        </w:p>
        <w:p w14:paraId="1379A9F7" w14:textId="0BFB5EAD"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86" w:history="1">
            <w:r w:rsidR="007F376B" w:rsidRPr="000D17FB">
              <w:rPr>
                <w:rStyle w:val="Hyperlink"/>
                <w:noProof/>
              </w:rPr>
              <w:t>4.3</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Trade-off analysis of alternative funding models</w:t>
            </w:r>
            <w:r w:rsidR="007F376B">
              <w:rPr>
                <w:noProof/>
                <w:webHidden/>
              </w:rPr>
              <w:tab/>
            </w:r>
            <w:r w:rsidR="007F376B">
              <w:rPr>
                <w:noProof/>
                <w:webHidden/>
              </w:rPr>
              <w:fldChar w:fldCharType="begin"/>
            </w:r>
            <w:r w:rsidR="007F376B">
              <w:rPr>
                <w:noProof/>
                <w:webHidden/>
              </w:rPr>
              <w:instrText xml:space="preserve"> PAGEREF _Toc73696686 \h </w:instrText>
            </w:r>
            <w:r w:rsidR="007F376B">
              <w:rPr>
                <w:noProof/>
                <w:webHidden/>
              </w:rPr>
            </w:r>
            <w:r w:rsidR="007F376B">
              <w:rPr>
                <w:noProof/>
                <w:webHidden/>
              </w:rPr>
              <w:fldChar w:fldCharType="separate"/>
            </w:r>
            <w:r w:rsidR="00C93B98">
              <w:rPr>
                <w:noProof/>
                <w:webHidden/>
              </w:rPr>
              <w:t>25</w:t>
            </w:r>
            <w:r w:rsidR="007F376B">
              <w:rPr>
                <w:noProof/>
                <w:webHidden/>
              </w:rPr>
              <w:fldChar w:fldCharType="end"/>
            </w:r>
          </w:hyperlink>
        </w:p>
        <w:p w14:paraId="3D7A1B3C" w14:textId="50729203"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87" w:history="1">
            <w:r w:rsidR="007F376B" w:rsidRPr="000D17FB">
              <w:rPr>
                <w:rStyle w:val="Hyperlink"/>
                <w:noProof/>
              </w:rPr>
              <w:t>4.4</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Alignment with state/territory and national funding arrangements</w:t>
            </w:r>
            <w:r w:rsidR="007F376B">
              <w:rPr>
                <w:noProof/>
                <w:webHidden/>
              </w:rPr>
              <w:tab/>
            </w:r>
            <w:r w:rsidR="007F376B">
              <w:rPr>
                <w:noProof/>
                <w:webHidden/>
              </w:rPr>
              <w:fldChar w:fldCharType="begin"/>
            </w:r>
            <w:r w:rsidR="007F376B">
              <w:rPr>
                <w:noProof/>
                <w:webHidden/>
              </w:rPr>
              <w:instrText xml:space="preserve"> PAGEREF _Toc73696687 \h </w:instrText>
            </w:r>
            <w:r w:rsidR="007F376B">
              <w:rPr>
                <w:noProof/>
                <w:webHidden/>
              </w:rPr>
            </w:r>
            <w:r w:rsidR="007F376B">
              <w:rPr>
                <w:noProof/>
                <w:webHidden/>
              </w:rPr>
              <w:fldChar w:fldCharType="separate"/>
            </w:r>
            <w:r w:rsidR="00C93B98">
              <w:rPr>
                <w:noProof/>
                <w:webHidden/>
              </w:rPr>
              <w:t>29</w:t>
            </w:r>
            <w:r w:rsidR="007F376B">
              <w:rPr>
                <w:noProof/>
                <w:webHidden/>
              </w:rPr>
              <w:fldChar w:fldCharType="end"/>
            </w:r>
          </w:hyperlink>
        </w:p>
        <w:p w14:paraId="1073909C" w14:textId="2991898B"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88" w:history="1">
            <w:r w:rsidR="007F376B" w:rsidRPr="000D17FB">
              <w:rPr>
                <w:rStyle w:val="Hyperlink"/>
                <w:noProof/>
              </w:rPr>
              <w:t>4.5</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Conclusion</w:t>
            </w:r>
            <w:r w:rsidR="007F376B">
              <w:rPr>
                <w:noProof/>
                <w:webHidden/>
              </w:rPr>
              <w:tab/>
            </w:r>
            <w:r w:rsidR="007F376B">
              <w:rPr>
                <w:noProof/>
                <w:webHidden/>
              </w:rPr>
              <w:fldChar w:fldCharType="begin"/>
            </w:r>
            <w:r w:rsidR="007F376B">
              <w:rPr>
                <w:noProof/>
                <w:webHidden/>
              </w:rPr>
              <w:instrText xml:space="preserve"> PAGEREF _Toc73696688 \h </w:instrText>
            </w:r>
            <w:r w:rsidR="007F376B">
              <w:rPr>
                <w:noProof/>
                <w:webHidden/>
              </w:rPr>
            </w:r>
            <w:r w:rsidR="007F376B">
              <w:rPr>
                <w:noProof/>
                <w:webHidden/>
              </w:rPr>
              <w:fldChar w:fldCharType="separate"/>
            </w:r>
            <w:r w:rsidR="00C93B98">
              <w:rPr>
                <w:noProof/>
                <w:webHidden/>
              </w:rPr>
              <w:t>29</w:t>
            </w:r>
            <w:r w:rsidR="007F376B">
              <w:rPr>
                <w:noProof/>
                <w:webHidden/>
              </w:rPr>
              <w:fldChar w:fldCharType="end"/>
            </w:r>
          </w:hyperlink>
        </w:p>
        <w:p w14:paraId="3C7F72E9" w14:textId="66B4D152"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689" w:history="1">
            <w:r w:rsidR="007F376B" w:rsidRPr="000D17FB">
              <w:rPr>
                <w:rStyle w:val="Hyperlink"/>
                <w:noProof/>
              </w:rPr>
              <w:t>5</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Key Review Area B: Effectiveness</w:t>
            </w:r>
            <w:r w:rsidR="007F376B">
              <w:rPr>
                <w:noProof/>
                <w:webHidden/>
              </w:rPr>
              <w:tab/>
            </w:r>
            <w:r w:rsidR="007F376B">
              <w:rPr>
                <w:noProof/>
                <w:webHidden/>
              </w:rPr>
              <w:fldChar w:fldCharType="begin"/>
            </w:r>
            <w:r w:rsidR="007F376B">
              <w:rPr>
                <w:noProof/>
                <w:webHidden/>
              </w:rPr>
              <w:instrText xml:space="preserve"> PAGEREF _Toc73696689 \h </w:instrText>
            </w:r>
            <w:r w:rsidR="007F376B">
              <w:rPr>
                <w:noProof/>
                <w:webHidden/>
              </w:rPr>
            </w:r>
            <w:r w:rsidR="007F376B">
              <w:rPr>
                <w:noProof/>
                <w:webHidden/>
              </w:rPr>
              <w:fldChar w:fldCharType="separate"/>
            </w:r>
            <w:r w:rsidR="00C93B98">
              <w:rPr>
                <w:noProof/>
                <w:webHidden/>
              </w:rPr>
              <w:t>31</w:t>
            </w:r>
            <w:r w:rsidR="007F376B">
              <w:rPr>
                <w:noProof/>
                <w:webHidden/>
              </w:rPr>
              <w:fldChar w:fldCharType="end"/>
            </w:r>
          </w:hyperlink>
        </w:p>
        <w:p w14:paraId="00681E01" w14:textId="72E792F0"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690" w:history="1">
            <w:r w:rsidR="007F376B" w:rsidRPr="00F93488">
              <w:rPr>
                <w:rStyle w:val="Hyperlink"/>
                <w:b w:val="0"/>
                <w:noProof/>
              </w:rPr>
              <w:t>Summary of recommendations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_Toc73696690 \h </w:instrText>
            </w:r>
            <w:r w:rsidR="007F376B" w:rsidRPr="00F93488">
              <w:rPr>
                <w:b w:val="0"/>
                <w:noProof/>
                <w:webHidden/>
              </w:rPr>
            </w:r>
            <w:r w:rsidR="007F376B" w:rsidRPr="00F93488">
              <w:rPr>
                <w:b w:val="0"/>
                <w:noProof/>
                <w:webHidden/>
              </w:rPr>
              <w:fldChar w:fldCharType="separate"/>
            </w:r>
            <w:r w:rsidR="00C93B98">
              <w:rPr>
                <w:b w:val="0"/>
                <w:noProof/>
                <w:webHidden/>
              </w:rPr>
              <w:t>31</w:t>
            </w:r>
            <w:r w:rsidR="007F376B" w:rsidRPr="00F93488">
              <w:rPr>
                <w:b w:val="0"/>
                <w:noProof/>
                <w:webHidden/>
              </w:rPr>
              <w:fldChar w:fldCharType="end"/>
            </w:r>
          </w:hyperlink>
        </w:p>
        <w:p w14:paraId="3553B92C" w14:textId="7DACA069"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691" w:history="1">
            <w:r w:rsidR="007F376B" w:rsidRPr="00F93488">
              <w:rPr>
                <w:rStyle w:val="Hyperlink"/>
                <w:b w:val="0"/>
                <w:noProof/>
              </w:rPr>
              <w:t>Review questions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_Toc73696691 \h </w:instrText>
            </w:r>
            <w:r w:rsidR="007F376B" w:rsidRPr="00F93488">
              <w:rPr>
                <w:b w:val="0"/>
                <w:noProof/>
                <w:webHidden/>
              </w:rPr>
            </w:r>
            <w:r w:rsidR="007F376B" w:rsidRPr="00F93488">
              <w:rPr>
                <w:b w:val="0"/>
                <w:noProof/>
                <w:webHidden/>
              </w:rPr>
              <w:fldChar w:fldCharType="separate"/>
            </w:r>
            <w:r w:rsidR="00C93B98">
              <w:rPr>
                <w:b w:val="0"/>
                <w:noProof/>
                <w:webHidden/>
              </w:rPr>
              <w:t>31</w:t>
            </w:r>
            <w:r w:rsidR="007F376B" w:rsidRPr="00F93488">
              <w:rPr>
                <w:b w:val="0"/>
                <w:noProof/>
                <w:webHidden/>
              </w:rPr>
              <w:fldChar w:fldCharType="end"/>
            </w:r>
          </w:hyperlink>
        </w:p>
        <w:p w14:paraId="67F39849" w14:textId="0A097762"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692" w:history="1">
            <w:r w:rsidR="007F376B" w:rsidRPr="00F93488">
              <w:rPr>
                <w:rStyle w:val="Hyperlink"/>
                <w:b w:val="0"/>
                <w:noProof/>
              </w:rPr>
              <w:t>Analysis and findings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_Toc73696692 \h </w:instrText>
            </w:r>
            <w:r w:rsidR="007F376B" w:rsidRPr="00F93488">
              <w:rPr>
                <w:b w:val="0"/>
                <w:noProof/>
                <w:webHidden/>
              </w:rPr>
            </w:r>
            <w:r w:rsidR="007F376B" w:rsidRPr="00F93488">
              <w:rPr>
                <w:b w:val="0"/>
                <w:noProof/>
                <w:webHidden/>
              </w:rPr>
              <w:fldChar w:fldCharType="separate"/>
            </w:r>
            <w:r w:rsidR="00C93B98">
              <w:rPr>
                <w:b w:val="0"/>
                <w:noProof/>
                <w:webHidden/>
              </w:rPr>
              <w:t>31</w:t>
            </w:r>
            <w:r w:rsidR="007F376B" w:rsidRPr="00F93488">
              <w:rPr>
                <w:b w:val="0"/>
                <w:noProof/>
                <w:webHidden/>
              </w:rPr>
              <w:fldChar w:fldCharType="end"/>
            </w:r>
          </w:hyperlink>
        </w:p>
        <w:p w14:paraId="072625CE" w14:textId="09FF6C4B"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93" w:history="1">
            <w:r w:rsidR="007F376B" w:rsidRPr="000D17FB">
              <w:rPr>
                <w:rStyle w:val="Hyperlink"/>
                <w:noProof/>
              </w:rPr>
              <w:t>5.1</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Adequate and equitable access</w:t>
            </w:r>
            <w:r w:rsidR="007F376B">
              <w:rPr>
                <w:noProof/>
                <w:webHidden/>
              </w:rPr>
              <w:tab/>
            </w:r>
            <w:r w:rsidR="007F376B">
              <w:rPr>
                <w:noProof/>
                <w:webHidden/>
              </w:rPr>
              <w:fldChar w:fldCharType="begin"/>
            </w:r>
            <w:r w:rsidR="007F376B">
              <w:rPr>
                <w:noProof/>
                <w:webHidden/>
              </w:rPr>
              <w:instrText xml:space="preserve"> PAGEREF _Toc73696693 \h </w:instrText>
            </w:r>
            <w:r w:rsidR="007F376B">
              <w:rPr>
                <w:noProof/>
                <w:webHidden/>
              </w:rPr>
            </w:r>
            <w:r w:rsidR="007F376B">
              <w:rPr>
                <w:noProof/>
                <w:webHidden/>
              </w:rPr>
              <w:fldChar w:fldCharType="separate"/>
            </w:r>
            <w:r w:rsidR="00C93B98">
              <w:rPr>
                <w:noProof/>
                <w:webHidden/>
              </w:rPr>
              <w:t>31</w:t>
            </w:r>
            <w:r w:rsidR="007F376B">
              <w:rPr>
                <w:noProof/>
                <w:webHidden/>
              </w:rPr>
              <w:fldChar w:fldCharType="end"/>
            </w:r>
          </w:hyperlink>
        </w:p>
        <w:p w14:paraId="5D84F7EC" w14:textId="2BF7A6AE"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94" w:history="1">
            <w:r w:rsidR="007F376B" w:rsidRPr="000D17FB">
              <w:rPr>
                <w:rStyle w:val="Hyperlink"/>
                <w:noProof/>
              </w:rPr>
              <w:t>5.2</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Safety and quality of equipment</w:t>
            </w:r>
            <w:r w:rsidR="007F376B">
              <w:rPr>
                <w:noProof/>
                <w:webHidden/>
              </w:rPr>
              <w:tab/>
            </w:r>
            <w:r w:rsidR="007F376B">
              <w:rPr>
                <w:noProof/>
                <w:webHidden/>
              </w:rPr>
              <w:fldChar w:fldCharType="begin"/>
            </w:r>
            <w:r w:rsidR="007F376B">
              <w:rPr>
                <w:noProof/>
                <w:webHidden/>
              </w:rPr>
              <w:instrText xml:space="preserve"> PAGEREF _Toc73696694 \h </w:instrText>
            </w:r>
            <w:r w:rsidR="007F376B">
              <w:rPr>
                <w:noProof/>
                <w:webHidden/>
              </w:rPr>
            </w:r>
            <w:r w:rsidR="007F376B">
              <w:rPr>
                <w:noProof/>
                <w:webHidden/>
              </w:rPr>
              <w:fldChar w:fldCharType="separate"/>
            </w:r>
            <w:r w:rsidR="00C93B98">
              <w:rPr>
                <w:noProof/>
                <w:webHidden/>
              </w:rPr>
              <w:t>35</w:t>
            </w:r>
            <w:r w:rsidR="007F376B">
              <w:rPr>
                <w:noProof/>
                <w:webHidden/>
              </w:rPr>
              <w:fldChar w:fldCharType="end"/>
            </w:r>
          </w:hyperlink>
        </w:p>
        <w:p w14:paraId="5127F964" w14:textId="6D07DFDD"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695" w:history="1">
            <w:r w:rsidR="007F376B" w:rsidRPr="000D17FB">
              <w:rPr>
                <w:rStyle w:val="Hyperlink"/>
                <w:noProof/>
              </w:rPr>
              <w:t>5.3</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Conclusion</w:t>
            </w:r>
            <w:r w:rsidR="007F376B">
              <w:rPr>
                <w:noProof/>
                <w:webHidden/>
              </w:rPr>
              <w:tab/>
            </w:r>
            <w:r w:rsidR="007F376B">
              <w:rPr>
                <w:noProof/>
                <w:webHidden/>
              </w:rPr>
              <w:fldChar w:fldCharType="begin"/>
            </w:r>
            <w:r w:rsidR="007F376B">
              <w:rPr>
                <w:noProof/>
                <w:webHidden/>
              </w:rPr>
              <w:instrText xml:space="preserve"> PAGEREF _Toc73696695 \h </w:instrText>
            </w:r>
            <w:r w:rsidR="007F376B">
              <w:rPr>
                <w:noProof/>
                <w:webHidden/>
              </w:rPr>
            </w:r>
            <w:r w:rsidR="007F376B">
              <w:rPr>
                <w:noProof/>
                <w:webHidden/>
              </w:rPr>
              <w:fldChar w:fldCharType="separate"/>
            </w:r>
            <w:r w:rsidR="00C93B98">
              <w:rPr>
                <w:noProof/>
                <w:webHidden/>
              </w:rPr>
              <w:t>38</w:t>
            </w:r>
            <w:r w:rsidR="007F376B">
              <w:rPr>
                <w:noProof/>
                <w:webHidden/>
              </w:rPr>
              <w:fldChar w:fldCharType="end"/>
            </w:r>
          </w:hyperlink>
        </w:p>
        <w:p w14:paraId="0597574F" w14:textId="4594CDC1"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696" w:history="1">
            <w:r w:rsidR="007F376B" w:rsidRPr="000D17FB">
              <w:rPr>
                <w:rStyle w:val="Hyperlink"/>
                <w:noProof/>
              </w:rPr>
              <w:t>6</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Key Review Area C: Efficient and effective administration</w:t>
            </w:r>
            <w:r w:rsidR="007F376B">
              <w:rPr>
                <w:noProof/>
                <w:webHidden/>
              </w:rPr>
              <w:tab/>
            </w:r>
            <w:r w:rsidR="007F376B">
              <w:rPr>
                <w:noProof/>
                <w:webHidden/>
              </w:rPr>
              <w:fldChar w:fldCharType="begin"/>
            </w:r>
            <w:r w:rsidR="007F376B">
              <w:rPr>
                <w:noProof/>
                <w:webHidden/>
              </w:rPr>
              <w:instrText xml:space="preserve"> PAGEREF _Toc73696696 \h </w:instrText>
            </w:r>
            <w:r w:rsidR="007F376B">
              <w:rPr>
                <w:noProof/>
                <w:webHidden/>
              </w:rPr>
            </w:r>
            <w:r w:rsidR="007F376B">
              <w:rPr>
                <w:noProof/>
                <w:webHidden/>
              </w:rPr>
              <w:fldChar w:fldCharType="separate"/>
            </w:r>
            <w:r w:rsidR="00C93B98">
              <w:rPr>
                <w:noProof/>
                <w:webHidden/>
              </w:rPr>
              <w:t>39</w:t>
            </w:r>
            <w:r w:rsidR="007F376B">
              <w:rPr>
                <w:noProof/>
                <w:webHidden/>
              </w:rPr>
              <w:fldChar w:fldCharType="end"/>
            </w:r>
          </w:hyperlink>
        </w:p>
        <w:p w14:paraId="19FD2D58" w14:textId="1E8899CC"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697" w:history="1">
            <w:r w:rsidR="007F376B" w:rsidRPr="00F93488">
              <w:rPr>
                <w:rStyle w:val="Hyperlink"/>
                <w:b w:val="0"/>
                <w:noProof/>
              </w:rPr>
              <w:t>Summary of recommendations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_Toc73696697 \h </w:instrText>
            </w:r>
            <w:r w:rsidR="007F376B" w:rsidRPr="00F93488">
              <w:rPr>
                <w:b w:val="0"/>
                <w:noProof/>
                <w:webHidden/>
              </w:rPr>
            </w:r>
            <w:r w:rsidR="007F376B" w:rsidRPr="00F93488">
              <w:rPr>
                <w:b w:val="0"/>
                <w:noProof/>
                <w:webHidden/>
              </w:rPr>
              <w:fldChar w:fldCharType="separate"/>
            </w:r>
            <w:r w:rsidR="00C93B98">
              <w:rPr>
                <w:b w:val="0"/>
                <w:noProof/>
                <w:webHidden/>
              </w:rPr>
              <w:t>39</w:t>
            </w:r>
            <w:r w:rsidR="007F376B" w:rsidRPr="00F93488">
              <w:rPr>
                <w:b w:val="0"/>
                <w:noProof/>
                <w:webHidden/>
              </w:rPr>
              <w:fldChar w:fldCharType="end"/>
            </w:r>
          </w:hyperlink>
        </w:p>
        <w:p w14:paraId="20C152ED" w14:textId="15BCFE69"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698" w:history="1">
            <w:r w:rsidR="007F376B" w:rsidRPr="00F93488">
              <w:rPr>
                <w:rStyle w:val="Hyperlink"/>
                <w:b w:val="0"/>
                <w:noProof/>
              </w:rPr>
              <w:t>Review questions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_Toc73696698 \h </w:instrText>
            </w:r>
            <w:r w:rsidR="007F376B" w:rsidRPr="00F93488">
              <w:rPr>
                <w:b w:val="0"/>
                <w:noProof/>
                <w:webHidden/>
              </w:rPr>
            </w:r>
            <w:r w:rsidR="007F376B" w:rsidRPr="00F93488">
              <w:rPr>
                <w:b w:val="0"/>
                <w:noProof/>
                <w:webHidden/>
              </w:rPr>
              <w:fldChar w:fldCharType="separate"/>
            </w:r>
            <w:r w:rsidR="00C93B98">
              <w:rPr>
                <w:b w:val="0"/>
                <w:noProof/>
                <w:webHidden/>
              </w:rPr>
              <w:t>39</w:t>
            </w:r>
            <w:r w:rsidR="007F376B" w:rsidRPr="00F93488">
              <w:rPr>
                <w:b w:val="0"/>
                <w:noProof/>
                <w:webHidden/>
              </w:rPr>
              <w:fldChar w:fldCharType="end"/>
            </w:r>
          </w:hyperlink>
        </w:p>
        <w:p w14:paraId="33970C4A" w14:textId="1803EEDF"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699" w:history="1">
            <w:r w:rsidR="007F376B" w:rsidRPr="00F93488">
              <w:rPr>
                <w:rStyle w:val="Hyperlink"/>
                <w:b w:val="0"/>
                <w:noProof/>
              </w:rPr>
              <w:t>Analysis and findings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_Toc73696699 \h </w:instrText>
            </w:r>
            <w:r w:rsidR="007F376B" w:rsidRPr="00F93488">
              <w:rPr>
                <w:b w:val="0"/>
                <w:noProof/>
                <w:webHidden/>
              </w:rPr>
            </w:r>
            <w:r w:rsidR="007F376B" w:rsidRPr="00F93488">
              <w:rPr>
                <w:b w:val="0"/>
                <w:noProof/>
                <w:webHidden/>
              </w:rPr>
              <w:fldChar w:fldCharType="separate"/>
            </w:r>
            <w:r w:rsidR="00C93B98">
              <w:rPr>
                <w:b w:val="0"/>
                <w:noProof/>
                <w:webHidden/>
              </w:rPr>
              <w:t>40</w:t>
            </w:r>
            <w:r w:rsidR="007F376B" w:rsidRPr="00F93488">
              <w:rPr>
                <w:b w:val="0"/>
                <w:noProof/>
                <w:webHidden/>
              </w:rPr>
              <w:fldChar w:fldCharType="end"/>
            </w:r>
          </w:hyperlink>
        </w:p>
        <w:p w14:paraId="44BF4395" w14:textId="082CF0AE"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00" w:history="1">
            <w:r w:rsidR="007F376B" w:rsidRPr="000D17FB">
              <w:rPr>
                <w:rStyle w:val="Hyperlink"/>
                <w:noProof/>
              </w:rPr>
              <w:t>6.1</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Effectiveness of the capital contribution</w:t>
            </w:r>
            <w:r w:rsidR="007F376B">
              <w:rPr>
                <w:noProof/>
                <w:webHidden/>
              </w:rPr>
              <w:tab/>
            </w:r>
            <w:r w:rsidR="007F376B">
              <w:rPr>
                <w:noProof/>
                <w:webHidden/>
              </w:rPr>
              <w:fldChar w:fldCharType="begin"/>
            </w:r>
            <w:r w:rsidR="007F376B">
              <w:rPr>
                <w:noProof/>
                <w:webHidden/>
              </w:rPr>
              <w:instrText xml:space="preserve"> PAGEREF _Toc73696700 \h </w:instrText>
            </w:r>
            <w:r w:rsidR="007F376B">
              <w:rPr>
                <w:noProof/>
                <w:webHidden/>
              </w:rPr>
            </w:r>
            <w:r w:rsidR="007F376B">
              <w:rPr>
                <w:noProof/>
                <w:webHidden/>
              </w:rPr>
              <w:fldChar w:fldCharType="separate"/>
            </w:r>
            <w:r w:rsidR="00C93B98">
              <w:rPr>
                <w:noProof/>
                <w:webHidden/>
              </w:rPr>
              <w:t>40</w:t>
            </w:r>
            <w:r w:rsidR="007F376B">
              <w:rPr>
                <w:noProof/>
                <w:webHidden/>
              </w:rPr>
              <w:fldChar w:fldCharType="end"/>
            </w:r>
          </w:hyperlink>
        </w:p>
        <w:p w14:paraId="789076A7" w14:textId="58C4A74A"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01" w:history="1">
            <w:r w:rsidR="007F376B" w:rsidRPr="000D17FB">
              <w:rPr>
                <w:rStyle w:val="Hyperlink"/>
                <w:noProof/>
              </w:rPr>
              <w:t>6.2</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Effectiveness of annual payment cycles</w:t>
            </w:r>
            <w:r w:rsidR="007F376B">
              <w:rPr>
                <w:noProof/>
                <w:webHidden/>
              </w:rPr>
              <w:tab/>
            </w:r>
            <w:r w:rsidR="007F376B">
              <w:rPr>
                <w:noProof/>
                <w:webHidden/>
              </w:rPr>
              <w:fldChar w:fldCharType="begin"/>
            </w:r>
            <w:r w:rsidR="007F376B">
              <w:rPr>
                <w:noProof/>
                <w:webHidden/>
              </w:rPr>
              <w:instrText xml:space="preserve"> PAGEREF _Toc73696701 \h </w:instrText>
            </w:r>
            <w:r w:rsidR="007F376B">
              <w:rPr>
                <w:noProof/>
                <w:webHidden/>
              </w:rPr>
            </w:r>
            <w:r w:rsidR="007F376B">
              <w:rPr>
                <w:noProof/>
                <w:webHidden/>
              </w:rPr>
              <w:fldChar w:fldCharType="separate"/>
            </w:r>
            <w:r w:rsidR="00C93B98">
              <w:rPr>
                <w:noProof/>
                <w:webHidden/>
              </w:rPr>
              <w:t>42</w:t>
            </w:r>
            <w:r w:rsidR="007F376B">
              <w:rPr>
                <w:noProof/>
                <w:webHidden/>
              </w:rPr>
              <w:fldChar w:fldCharType="end"/>
            </w:r>
          </w:hyperlink>
        </w:p>
        <w:p w14:paraId="5924E877" w14:textId="63483C40"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02" w:history="1">
            <w:r w:rsidR="007F376B" w:rsidRPr="000D17FB">
              <w:rPr>
                <w:rStyle w:val="Hyperlink"/>
                <w:noProof/>
              </w:rPr>
              <w:t>6.3</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Impact of removing the link to MBS service volume</w:t>
            </w:r>
            <w:r w:rsidR="007F376B">
              <w:rPr>
                <w:noProof/>
                <w:webHidden/>
              </w:rPr>
              <w:tab/>
            </w:r>
            <w:r w:rsidR="007F376B">
              <w:rPr>
                <w:noProof/>
                <w:webHidden/>
              </w:rPr>
              <w:fldChar w:fldCharType="begin"/>
            </w:r>
            <w:r w:rsidR="007F376B">
              <w:rPr>
                <w:noProof/>
                <w:webHidden/>
              </w:rPr>
              <w:instrText xml:space="preserve"> PAGEREF _Toc73696702 \h </w:instrText>
            </w:r>
            <w:r w:rsidR="007F376B">
              <w:rPr>
                <w:noProof/>
                <w:webHidden/>
              </w:rPr>
            </w:r>
            <w:r w:rsidR="007F376B">
              <w:rPr>
                <w:noProof/>
                <w:webHidden/>
              </w:rPr>
              <w:fldChar w:fldCharType="separate"/>
            </w:r>
            <w:r w:rsidR="00C93B98">
              <w:rPr>
                <w:noProof/>
                <w:webHidden/>
              </w:rPr>
              <w:t>42</w:t>
            </w:r>
            <w:r w:rsidR="007F376B">
              <w:rPr>
                <w:noProof/>
                <w:webHidden/>
              </w:rPr>
              <w:fldChar w:fldCharType="end"/>
            </w:r>
          </w:hyperlink>
        </w:p>
        <w:p w14:paraId="77F70A8C" w14:textId="6BD7C267"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03" w:history="1">
            <w:r w:rsidR="007F376B" w:rsidRPr="000D17FB">
              <w:rPr>
                <w:rStyle w:val="Hyperlink"/>
                <w:noProof/>
              </w:rPr>
              <w:t>6.4</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Setting of priority areas</w:t>
            </w:r>
            <w:r w:rsidR="007F376B">
              <w:rPr>
                <w:noProof/>
                <w:webHidden/>
              </w:rPr>
              <w:tab/>
            </w:r>
            <w:r w:rsidR="007F376B">
              <w:rPr>
                <w:noProof/>
                <w:webHidden/>
              </w:rPr>
              <w:fldChar w:fldCharType="begin"/>
            </w:r>
            <w:r w:rsidR="007F376B">
              <w:rPr>
                <w:noProof/>
                <w:webHidden/>
              </w:rPr>
              <w:instrText xml:space="preserve"> PAGEREF _Toc73696703 \h </w:instrText>
            </w:r>
            <w:r w:rsidR="007F376B">
              <w:rPr>
                <w:noProof/>
                <w:webHidden/>
              </w:rPr>
            </w:r>
            <w:r w:rsidR="007F376B">
              <w:rPr>
                <w:noProof/>
                <w:webHidden/>
              </w:rPr>
              <w:fldChar w:fldCharType="separate"/>
            </w:r>
            <w:r w:rsidR="00C93B98">
              <w:rPr>
                <w:noProof/>
                <w:webHidden/>
              </w:rPr>
              <w:t>42</w:t>
            </w:r>
            <w:r w:rsidR="007F376B">
              <w:rPr>
                <w:noProof/>
                <w:webHidden/>
              </w:rPr>
              <w:fldChar w:fldCharType="end"/>
            </w:r>
          </w:hyperlink>
        </w:p>
        <w:p w14:paraId="5B5C9D96" w14:textId="3ECD89BE"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04" w:history="1">
            <w:r w:rsidR="007F376B" w:rsidRPr="000D17FB">
              <w:rPr>
                <w:rStyle w:val="Hyperlink"/>
                <w:noProof/>
              </w:rPr>
              <w:t>6.5</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Timeframes for new services to become operational</w:t>
            </w:r>
            <w:r w:rsidR="007F376B">
              <w:rPr>
                <w:noProof/>
                <w:webHidden/>
              </w:rPr>
              <w:tab/>
            </w:r>
            <w:r w:rsidR="007F376B">
              <w:rPr>
                <w:noProof/>
                <w:webHidden/>
              </w:rPr>
              <w:fldChar w:fldCharType="begin"/>
            </w:r>
            <w:r w:rsidR="007F376B">
              <w:rPr>
                <w:noProof/>
                <w:webHidden/>
              </w:rPr>
              <w:instrText xml:space="preserve"> PAGEREF _Toc73696704 \h </w:instrText>
            </w:r>
            <w:r w:rsidR="007F376B">
              <w:rPr>
                <w:noProof/>
                <w:webHidden/>
              </w:rPr>
            </w:r>
            <w:r w:rsidR="007F376B">
              <w:rPr>
                <w:noProof/>
                <w:webHidden/>
              </w:rPr>
              <w:fldChar w:fldCharType="separate"/>
            </w:r>
            <w:r w:rsidR="00C93B98">
              <w:rPr>
                <w:noProof/>
                <w:webHidden/>
              </w:rPr>
              <w:t>44</w:t>
            </w:r>
            <w:r w:rsidR="007F376B">
              <w:rPr>
                <w:noProof/>
                <w:webHidden/>
              </w:rPr>
              <w:fldChar w:fldCharType="end"/>
            </w:r>
          </w:hyperlink>
        </w:p>
        <w:p w14:paraId="0B165FBC" w14:textId="6C074ADB"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05" w:history="1">
            <w:r w:rsidR="007F376B" w:rsidRPr="000D17FB">
              <w:rPr>
                <w:rStyle w:val="Hyperlink"/>
                <w:noProof/>
              </w:rPr>
              <w:t>6.6</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Transparency of new approved ROHPG service locations</w:t>
            </w:r>
            <w:r w:rsidR="007F376B">
              <w:rPr>
                <w:noProof/>
                <w:webHidden/>
              </w:rPr>
              <w:tab/>
            </w:r>
            <w:r w:rsidR="007F376B">
              <w:rPr>
                <w:noProof/>
                <w:webHidden/>
              </w:rPr>
              <w:fldChar w:fldCharType="begin"/>
            </w:r>
            <w:r w:rsidR="007F376B">
              <w:rPr>
                <w:noProof/>
                <w:webHidden/>
              </w:rPr>
              <w:instrText xml:space="preserve"> PAGEREF _Toc73696705 \h </w:instrText>
            </w:r>
            <w:r w:rsidR="007F376B">
              <w:rPr>
                <w:noProof/>
                <w:webHidden/>
              </w:rPr>
            </w:r>
            <w:r w:rsidR="007F376B">
              <w:rPr>
                <w:noProof/>
                <w:webHidden/>
              </w:rPr>
              <w:fldChar w:fldCharType="separate"/>
            </w:r>
            <w:r w:rsidR="00C93B98">
              <w:rPr>
                <w:noProof/>
                <w:webHidden/>
              </w:rPr>
              <w:t>44</w:t>
            </w:r>
            <w:r w:rsidR="007F376B">
              <w:rPr>
                <w:noProof/>
                <w:webHidden/>
              </w:rPr>
              <w:fldChar w:fldCharType="end"/>
            </w:r>
          </w:hyperlink>
        </w:p>
        <w:p w14:paraId="74635369" w14:textId="5B8C4D15"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06" w:history="1">
            <w:r w:rsidR="007F376B" w:rsidRPr="000D17FB">
              <w:rPr>
                <w:rStyle w:val="Hyperlink"/>
                <w:noProof/>
              </w:rPr>
              <w:t>6.7</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Impact of the dosimetry audits</w:t>
            </w:r>
            <w:r w:rsidR="007F376B">
              <w:rPr>
                <w:noProof/>
                <w:webHidden/>
              </w:rPr>
              <w:tab/>
            </w:r>
            <w:r w:rsidR="007F376B">
              <w:rPr>
                <w:noProof/>
                <w:webHidden/>
              </w:rPr>
              <w:fldChar w:fldCharType="begin"/>
            </w:r>
            <w:r w:rsidR="007F376B">
              <w:rPr>
                <w:noProof/>
                <w:webHidden/>
              </w:rPr>
              <w:instrText xml:space="preserve"> PAGEREF _Toc73696706 \h </w:instrText>
            </w:r>
            <w:r w:rsidR="007F376B">
              <w:rPr>
                <w:noProof/>
                <w:webHidden/>
              </w:rPr>
            </w:r>
            <w:r w:rsidR="007F376B">
              <w:rPr>
                <w:noProof/>
                <w:webHidden/>
              </w:rPr>
              <w:fldChar w:fldCharType="separate"/>
            </w:r>
            <w:r w:rsidR="00C93B98">
              <w:rPr>
                <w:noProof/>
                <w:webHidden/>
              </w:rPr>
              <w:t>45</w:t>
            </w:r>
            <w:r w:rsidR="007F376B">
              <w:rPr>
                <w:noProof/>
                <w:webHidden/>
              </w:rPr>
              <w:fldChar w:fldCharType="end"/>
            </w:r>
          </w:hyperlink>
        </w:p>
        <w:p w14:paraId="2183D21E" w14:textId="00AAE868"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07" w:history="1">
            <w:r w:rsidR="007F376B" w:rsidRPr="000D17FB">
              <w:rPr>
                <w:rStyle w:val="Hyperlink"/>
                <w:noProof/>
              </w:rPr>
              <w:t>6.8</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Conclusion</w:t>
            </w:r>
            <w:r w:rsidR="007F376B">
              <w:rPr>
                <w:noProof/>
                <w:webHidden/>
              </w:rPr>
              <w:tab/>
            </w:r>
            <w:r w:rsidR="007F376B">
              <w:rPr>
                <w:noProof/>
                <w:webHidden/>
              </w:rPr>
              <w:fldChar w:fldCharType="begin"/>
            </w:r>
            <w:r w:rsidR="007F376B">
              <w:rPr>
                <w:noProof/>
                <w:webHidden/>
              </w:rPr>
              <w:instrText xml:space="preserve"> PAGEREF _Toc73696707 \h </w:instrText>
            </w:r>
            <w:r w:rsidR="007F376B">
              <w:rPr>
                <w:noProof/>
                <w:webHidden/>
              </w:rPr>
            </w:r>
            <w:r w:rsidR="007F376B">
              <w:rPr>
                <w:noProof/>
                <w:webHidden/>
              </w:rPr>
              <w:fldChar w:fldCharType="separate"/>
            </w:r>
            <w:r w:rsidR="00C93B98">
              <w:rPr>
                <w:noProof/>
                <w:webHidden/>
              </w:rPr>
              <w:t>46</w:t>
            </w:r>
            <w:r w:rsidR="007F376B">
              <w:rPr>
                <w:noProof/>
                <w:webHidden/>
              </w:rPr>
              <w:fldChar w:fldCharType="end"/>
            </w:r>
          </w:hyperlink>
        </w:p>
        <w:p w14:paraId="59207CD3" w14:textId="460B4C97"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708" w:history="1">
            <w:r w:rsidR="007F376B" w:rsidRPr="000D17FB">
              <w:rPr>
                <w:rStyle w:val="Hyperlink"/>
                <w:noProof/>
              </w:rPr>
              <w:t>7</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Key Review Area D: Appropriate accountability</w:t>
            </w:r>
            <w:r w:rsidR="007F376B">
              <w:rPr>
                <w:noProof/>
                <w:webHidden/>
              </w:rPr>
              <w:tab/>
            </w:r>
            <w:r w:rsidR="007F376B">
              <w:rPr>
                <w:noProof/>
                <w:webHidden/>
              </w:rPr>
              <w:fldChar w:fldCharType="begin"/>
            </w:r>
            <w:r w:rsidR="007F376B">
              <w:rPr>
                <w:noProof/>
                <w:webHidden/>
              </w:rPr>
              <w:instrText xml:space="preserve"> PAGEREF _Toc73696708 \h </w:instrText>
            </w:r>
            <w:r w:rsidR="007F376B">
              <w:rPr>
                <w:noProof/>
                <w:webHidden/>
              </w:rPr>
            </w:r>
            <w:r w:rsidR="007F376B">
              <w:rPr>
                <w:noProof/>
                <w:webHidden/>
              </w:rPr>
              <w:fldChar w:fldCharType="separate"/>
            </w:r>
            <w:r w:rsidR="00C93B98">
              <w:rPr>
                <w:noProof/>
                <w:webHidden/>
              </w:rPr>
              <w:t>48</w:t>
            </w:r>
            <w:r w:rsidR="007F376B">
              <w:rPr>
                <w:noProof/>
                <w:webHidden/>
              </w:rPr>
              <w:fldChar w:fldCharType="end"/>
            </w:r>
          </w:hyperlink>
        </w:p>
        <w:p w14:paraId="4E617FC5" w14:textId="25427040"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709" w:history="1">
            <w:r w:rsidR="007F376B" w:rsidRPr="00F93488">
              <w:rPr>
                <w:rStyle w:val="Hyperlink"/>
                <w:b w:val="0"/>
                <w:noProof/>
              </w:rPr>
              <w:t>Summary of recommendations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_Toc73696709 \h </w:instrText>
            </w:r>
            <w:r w:rsidR="007F376B" w:rsidRPr="00F93488">
              <w:rPr>
                <w:b w:val="0"/>
                <w:noProof/>
                <w:webHidden/>
              </w:rPr>
            </w:r>
            <w:r w:rsidR="007F376B" w:rsidRPr="00F93488">
              <w:rPr>
                <w:b w:val="0"/>
                <w:noProof/>
                <w:webHidden/>
              </w:rPr>
              <w:fldChar w:fldCharType="separate"/>
            </w:r>
            <w:r w:rsidR="00C93B98">
              <w:rPr>
                <w:b w:val="0"/>
                <w:noProof/>
                <w:webHidden/>
              </w:rPr>
              <w:t>48</w:t>
            </w:r>
            <w:r w:rsidR="007F376B" w:rsidRPr="00F93488">
              <w:rPr>
                <w:b w:val="0"/>
                <w:noProof/>
                <w:webHidden/>
              </w:rPr>
              <w:fldChar w:fldCharType="end"/>
            </w:r>
          </w:hyperlink>
        </w:p>
        <w:p w14:paraId="0D6F8F99" w14:textId="0CDD3C02"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710" w:history="1">
            <w:r w:rsidR="007F376B" w:rsidRPr="00F93488">
              <w:rPr>
                <w:rStyle w:val="Hyperlink"/>
                <w:b w:val="0"/>
                <w:noProof/>
              </w:rPr>
              <w:t>Review questions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_Toc73696710 \h </w:instrText>
            </w:r>
            <w:r w:rsidR="007F376B" w:rsidRPr="00F93488">
              <w:rPr>
                <w:b w:val="0"/>
                <w:noProof/>
                <w:webHidden/>
              </w:rPr>
            </w:r>
            <w:r w:rsidR="007F376B" w:rsidRPr="00F93488">
              <w:rPr>
                <w:b w:val="0"/>
                <w:noProof/>
                <w:webHidden/>
              </w:rPr>
              <w:fldChar w:fldCharType="separate"/>
            </w:r>
            <w:r w:rsidR="00C93B98">
              <w:rPr>
                <w:b w:val="0"/>
                <w:noProof/>
                <w:webHidden/>
              </w:rPr>
              <w:t>48</w:t>
            </w:r>
            <w:r w:rsidR="007F376B" w:rsidRPr="00F93488">
              <w:rPr>
                <w:b w:val="0"/>
                <w:noProof/>
                <w:webHidden/>
              </w:rPr>
              <w:fldChar w:fldCharType="end"/>
            </w:r>
          </w:hyperlink>
        </w:p>
        <w:p w14:paraId="0BE48AB2" w14:textId="623DD441" w:rsidR="007F376B" w:rsidRPr="00F93488" w:rsidRDefault="004B24F3">
          <w:pPr>
            <w:pStyle w:val="TOC2"/>
            <w:tabs>
              <w:tab w:val="right" w:leader="dot" w:pos="10025"/>
            </w:tabs>
            <w:rPr>
              <w:rFonts w:asciiTheme="minorHAnsi" w:eastAsiaTheme="minorEastAsia" w:hAnsiTheme="minorHAnsi" w:cstheme="minorBidi"/>
              <w:b w:val="0"/>
              <w:noProof/>
              <w:color w:val="auto"/>
              <w:spacing w:val="0"/>
              <w:sz w:val="22"/>
              <w:szCs w:val="22"/>
              <w:lang w:eastAsia="en-AU"/>
            </w:rPr>
          </w:pPr>
          <w:hyperlink w:anchor="_Toc73696711" w:history="1">
            <w:r w:rsidR="007F376B" w:rsidRPr="00F93488">
              <w:rPr>
                <w:rStyle w:val="Hyperlink"/>
                <w:b w:val="0"/>
                <w:noProof/>
              </w:rPr>
              <w:t>Analysis and findings</w:t>
            </w:r>
            <w:r w:rsidR="007F376B" w:rsidRPr="00F93488">
              <w:rPr>
                <w:b w:val="0"/>
                <w:noProof/>
                <w:webHidden/>
              </w:rPr>
              <w:tab/>
            </w:r>
            <w:r w:rsidR="007F376B" w:rsidRPr="00F93488">
              <w:rPr>
                <w:b w:val="0"/>
                <w:noProof/>
                <w:webHidden/>
              </w:rPr>
              <w:fldChar w:fldCharType="begin"/>
            </w:r>
            <w:r w:rsidR="007F376B" w:rsidRPr="00F93488">
              <w:rPr>
                <w:b w:val="0"/>
                <w:noProof/>
                <w:webHidden/>
              </w:rPr>
              <w:instrText xml:space="preserve"> PAGEREF _Toc73696711 \h </w:instrText>
            </w:r>
            <w:r w:rsidR="007F376B" w:rsidRPr="00F93488">
              <w:rPr>
                <w:b w:val="0"/>
                <w:noProof/>
                <w:webHidden/>
              </w:rPr>
            </w:r>
            <w:r w:rsidR="007F376B" w:rsidRPr="00F93488">
              <w:rPr>
                <w:b w:val="0"/>
                <w:noProof/>
                <w:webHidden/>
              </w:rPr>
              <w:fldChar w:fldCharType="separate"/>
            </w:r>
            <w:r w:rsidR="00C93B98">
              <w:rPr>
                <w:b w:val="0"/>
                <w:noProof/>
                <w:webHidden/>
              </w:rPr>
              <w:t>48</w:t>
            </w:r>
            <w:r w:rsidR="007F376B" w:rsidRPr="00F93488">
              <w:rPr>
                <w:b w:val="0"/>
                <w:noProof/>
                <w:webHidden/>
              </w:rPr>
              <w:fldChar w:fldCharType="end"/>
            </w:r>
          </w:hyperlink>
        </w:p>
        <w:p w14:paraId="59A98549" w14:textId="494142E6"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12" w:history="1">
            <w:r w:rsidR="007F376B" w:rsidRPr="000D17FB">
              <w:rPr>
                <w:rStyle w:val="Hyperlink"/>
                <w:noProof/>
              </w:rPr>
              <w:t>7.1</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Program administration arrangements</w:t>
            </w:r>
            <w:r w:rsidR="007F376B">
              <w:rPr>
                <w:noProof/>
                <w:webHidden/>
              </w:rPr>
              <w:tab/>
            </w:r>
            <w:r w:rsidR="007F376B">
              <w:rPr>
                <w:noProof/>
                <w:webHidden/>
              </w:rPr>
              <w:fldChar w:fldCharType="begin"/>
            </w:r>
            <w:r w:rsidR="007F376B">
              <w:rPr>
                <w:noProof/>
                <w:webHidden/>
              </w:rPr>
              <w:instrText xml:space="preserve"> PAGEREF _Toc73696712 \h </w:instrText>
            </w:r>
            <w:r w:rsidR="007F376B">
              <w:rPr>
                <w:noProof/>
                <w:webHidden/>
              </w:rPr>
            </w:r>
            <w:r w:rsidR="007F376B">
              <w:rPr>
                <w:noProof/>
                <w:webHidden/>
              </w:rPr>
              <w:fldChar w:fldCharType="separate"/>
            </w:r>
            <w:r w:rsidR="00C93B98">
              <w:rPr>
                <w:noProof/>
                <w:webHidden/>
              </w:rPr>
              <w:t>48</w:t>
            </w:r>
            <w:r w:rsidR="007F376B">
              <w:rPr>
                <w:noProof/>
                <w:webHidden/>
              </w:rPr>
              <w:fldChar w:fldCharType="end"/>
            </w:r>
          </w:hyperlink>
        </w:p>
        <w:p w14:paraId="576B2B51" w14:textId="6A9B196B"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13" w:history="1">
            <w:r w:rsidR="007F376B" w:rsidRPr="000D17FB">
              <w:rPr>
                <w:rStyle w:val="Hyperlink"/>
                <w:noProof/>
              </w:rPr>
              <w:t>7.2</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Conditions of funding</w:t>
            </w:r>
            <w:r w:rsidR="007F376B">
              <w:rPr>
                <w:noProof/>
                <w:webHidden/>
              </w:rPr>
              <w:tab/>
            </w:r>
            <w:r w:rsidR="007F376B">
              <w:rPr>
                <w:noProof/>
                <w:webHidden/>
              </w:rPr>
              <w:fldChar w:fldCharType="begin"/>
            </w:r>
            <w:r w:rsidR="007F376B">
              <w:rPr>
                <w:noProof/>
                <w:webHidden/>
              </w:rPr>
              <w:instrText xml:space="preserve"> PAGEREF _Toc73696713 \h </w:instrText>
            </w:r>
            <w:r w:rsidR="007F376B">
              <w:rPr>
                <w:noProof/>
                <w:webHidden/>
              </w:rPr>
            </w:r>
            <w:r w:rsidR="007F376B">
              <w:rPr>
                <w:noProof/>
                <w:webHidden/>
              </w:rPr>
              <w:fldChar w:fldCharType="separate"/>
            </w:r>
            <w:r w:rsidR="00C93B98">
              <w:rPr>
                <w:noProof/>
                <w:webHidden/>
              </w:rPr>
              <w:t>52</w:t>
            </w:r>
            <w:r w:rsidR="007F376B">
              <w:rPr>
                <w:noProof/>
                <w:webHidden/>
              </w:rPr>
              <w:fldChar w:fldCharType="end"/>
            </w:r>
          </w:hyperlink>
        </w:p>
        <w:p w14:paraId="4569AE8C" w14:textId="17A4A9E8"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14" w:history="1">
            <w:r w:rsidR="007F376B" w:rsidRPr="000D17FB">
              <w:rPr>
                <w:rStyle w:val="Hyperlink"/>
                <w:noProof/>
              </w:rPr>
              <w:t>7.3</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Performance indicators</w:t>
            </w:r>
            <w:r w:rsidR="007F376B">
              <w:rPr>
                <w:noProof/>
                <w:webHidden/>
              </w:rPr>
              <w:tab/>
            </w:r>
            <w:r w:rsidR="007F376B">
              <w:rPr>
                <w:noProof/>
                <w:webHidden/>
              </w:rPr>
              <w:fldChar w:fldCharType="begin"/>
            </w:r>
            <w:r w:rsidR="007F376B">
              <w:rPr>
                <w:noProof/>
                <w:webHidden/>
              </w:rPr>
              <w:instrText xml:space="preserve"> PAGEREF _Toc73696714 \h </w:instrText>
            </w:r>
            <w:r w:rsidR="007F376B">
              <w:rPr>
                <w:noProof/>
                <w:webHidden/>
              </w:rPr>
            </w:r>
            <w:r w:rsidR="007F376B">
              <w:rPr>
                <w:noProof/>
                <w:webHidden/>
              </w:rPr>
              <w:fldChar w:fldCharType="separate"/>
            </w:r>
            <w:r w:rsidR="00C93B98">
              <w:rPr>
                <w:noProof/>
                <w:webHidden/>
              </w:rPr>
              <w:t>53</w:t>
            </w:r>
            <w:r w:rsidR="007F376B">
              <w:rPr>
                <w:noProof/>
                <w:webHidden/>
              </w:rPr>
              <w:fldChar w:fldCharType="end"/>
            </w:r>
          </w:hyperlink>
        </w:p>
        <w:p w14:paraId="025A0ED3" w14:textId="5C147BC5"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15" w:history="1">
            <w:r w:rsidR="007F376B" w:rsidRPr="000D17FB">
              <w:rPr>
                <w:rStyle w:val="Hyperlink"/>
                <w:noProof/>
              </w:rPr>
              <w:t>7.4</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Conclusion</w:t>
            </w:r>
            <w:r w:rsidR="007F376B">
              <w:rPr>
                <w:noProof/>
                <w:webHidden/>
              </w:rPr>
              <w:tab/>
            </w:r>
            <w:r w:rsidR="007F376B">
              <w:rPr>
                <w:noProof/>
                <w:webHidden/>
              </w:rPr>
              <w:fldChar w:fldCharType="begin"/>
            </w:r>
            <w:r w:rsidR="007F376B">
              <w:rPr>
                <w:noProof/>
                <w:webHidden/>
              </w:rPr>
              <w:instrText xml:space="preserve"> PAGEREF _Toc73696715 \h </w:instrText>
            </w:r>
            <w:r w:rsidR="007F376B">
              <w:rPr>
                <w:noProof/>
                <w:webHidden/>
              </w:rPr>
            </w:r>
            <w:r w:rsidR="007F376B">
              <w:rPr>
                <w:noProof/>
                <w:webHidden/>
              </w:rPr>
              <w:fldChar w:fldCharType="separate"/>
            </w:r>
            <w:r w:rsidR="00C93B98">
              <w:rPr>
                <w:noProof/>
                <w:webHidden/>
              </w:rPr>
              <w:t>53</w:t>
            </w:r>
            <w:r w:rsidR="007F376B">
              <w:rPr>
                <w:noProof/>
                <w:webHidden/>
              </w:rPr>
              <w:fldChar w:fldCharType="end"/>
            </w:r>
          </w:hyperlink>
        </w:p>
        <w:p w14:paraId="53F75F96" w14:textId="1EB23264" w:rsidR="007F376B" w:rsidRDefault="004B24F3" w:rsidP="00206139">
          <w:pPr>
            <w:pStyle w:val="TOC1"/>
            <w:tabs>
              <w:tab w:val="left" w:pos="1361"/>
              <w:tab w:val="right" w:leader="dot" w:pos="10025"/>
            </w:tabs>
            <w:spacing w:before="120" w:after="120"/>
            <w:ind w:left="0"/>
            <w:contextualSpacing w:val="0"/>
            <w:rPr>
              <w:rFonts w:asciiTheme="minorHAnsi" w:eastAsiaTheme="minorEastAsia" w:hAnsiTheme="minorHAnsi" w:cstheme="minorBidi"/>
              <w:noProof/>
              <w:color w:val="auto"/>
              <w:spacing w:val="0"/>
              <w:szCs w:val="22"/>
              <w:lang w:eastAsia="en-AU"/>
            </w:rPr>
          </w:pPr>
          <w:hyperlink w:anchor="_Toc73696716" w:history="1">
            <w:r w:rsidR="007F376B" w:rsidRPr="00F93488">
              <w:rPr>
                <w:rStyle w:val="Hyperlink"/>
                <w:caps/>
                <w:noProof/>
                <w:sz w:val="24"/>
                <w:szCs w:val="24"/>
              </w:rPr>
              <w:t>PART</w:t>
            </w:r>
            <w:r w:rsidR="007F376B" w:rsidRPr="00206139">
              <w:rPr>
                <w:rStyle w:val="Hyperlink"/>
                <w:caps/>
                <w:noProof/>
                <w:sz w:val="24"/>
                <w:szCs w:val="24"/>
              </w:rPr>
              <w:t xml:space="preserve"> C</w:t>
            </w:r>
            <w:r w:rsidR="007F376B" w:rsidRPr="00206139">
              <w:rPr>
                <w:rFonts w:asciiTheme="minorHAnsi" w:eastAsiaTheme="minorEastAsia" w:hAnsiTheme="minorHAnsi" w:cstheme="minorBidi"/>
                <w:noProof/>
                <w:color w:val="auto"/>
                <w:spacing w:val="0"/>
                <w:sz w:val="24"/>
                <w:szCs w:val="24"/>
                <w:lang w:eastAsia="en-AU"/>
              </w:rPr>
              <w:tab/>
            </w:r>
            <w:r w:rsidR="007F376B" w:rsidRPr="00206139">
              <w:rPr>
                <w:rStyle w:val="Hyperlink"/>
                <w:noProof/>
                <w:sz w:val="24"/>
                <w:szCs w:val="24"/>
              </w:rPr>
              <w:t>Future directions</w:t>
            </w:r>
            <w:r w:rsidR="007F376B">
              <w:rPr>
                <w:noProof/>
                <w:webHidden/>
              </w:rPr>
              <w:tab/>
            </w:r>
            <w:r w:rsidR="007F376B">
              <w:rPr>
                <w:noProof/>
                <w:webHidden/>
              </w:rPr>
              <w:fldChar w:fldCharType="begin"/>
            </w:r>
            <w:r w:rsidR="007F376B">
              <w:rPr>
                <w:noProof/>
                <w:webHidden/>
              </w:rPr>
              <w:instrText xml:space="preserve"> PAGEREF _Toc73696716 \h </w:instrText>
            </w:r>
            <w:r w:rsidR="007F376B">
              <w:rPr>
                <w:noProof/>
                <w:webHidden/>
              </w:rPr>
            </w:r>
            <w:r w:rsidR="007F376B">
              <w:rPr>
                <w:noProof/>
                <w:webHidden/>
              </w:rPr>
              <w:fldChar w:fldCharType="separate"/>
            </w:r>
            <w:r w:rsidR="00C93B98">
              <w:rPr>
                <w:noProof/>
                <w:webHidden/>
              </w:rPr>
              <w:t>54</w:t>
            </w:r>
            <w:r w:rsidR="007F376B">
              <w:rPr>
                <w:noProof/>
                <w:webHidden/>
              </w:rPr>
              <w:fldChar w:fldCharType="end"/>
            </w:r>
          </w:hyperlink>
        </w:p>
        <w:p w14:paraId="541ADA68" w14:textId="321F5FB2"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717" w:history="1">
            <w:r w:rsidR="007F376B" w:rsidRPr="000D17FB">
              <w:rPr>
                <w:rStyle w:val="Hyperlink"/>
                <w:noProof/>
              </w:rPr>
              <w:t>8</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Future directions</w:t>
            </w:r>
            <w:r w:rsidR="007F376B">
              <w:rPr>
                <w:noProof/>
                <w:webHidden/>
              </w:rPr>
              <w:tab/>
            </w:r>
            <w:r w:rsidR="007F376B">
              <w:rPr>
                <w:noProof/>
                <w:webHidden/>
              </w:rPr>
              <w:fldChar w:fldCharType="begin"/>
            </w:r>
            <w:r w:rsidR="007F376B">
              <w:rPr>
                <w:noProof/>
                <w:webHidden/>
              </w:rPr>
              <w:instrText xml:space="preserve"> PAGEREF _Toc73696717 \h </w:instrText>
            </w:r>
            <w:r w:rsidR="007F376B">
              <w:rPr>
                <w:noProof/>
                <w:webHidden/>
              </w:rPr>
            </w:r>
            <w:r w:rsidR="007F376B">
              <w:rPr>
                <w:noProof/>
                <w:webHidden/>
              </w:rPr>
              <w:fldChar w:fldCharType="separate"/>
            </w:r>
            <w:r w:rsidR="00C93B98">
              <w:rPr>
                <w:noProof/>
                <w:webHidden/>
              </w:rPr>
              <w:t>55</w:t>
            </w:r>
            <w:r w:rsidR="007F376B">
              <w:rPr>
                <w:noProof/>
                <w:webHidden/>
              </w:rPr>
              <w:fldChar w:fldCharType="end"/>
            </w:r>
          </w:hyperlink>
        </w:p>
        <w:p w14:paraId="25399B41" w14:textId="20E9A57F"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18" w:history="1">
            <w:r w:rsidR="007F376B" w:rsidRPr="000D17FB">
              <w:rPr>
                <w:rStyle w:val="Hyperlink"/>
                <w:noProof/>
              </w:rPr>
              <w:t>8.1</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Issue and rationale</w:t>
            </w:r>
            <w:r w:rsidR="007F376B">
              <w:rPr>
                <w:noProof/>
                <w:webHidden/>
              </w:rPr>
              <w:tab/>
            </w:r>
            <w:r w:rsidR="007F376B">
              <w:rPr>
                <w:noProof/>
                <w:webHidden/>
              </w:rPr>
              <w:fldChar w:fldCharType="begin"/>
            </w:r>
            <w:r w:rsidR="007F376B">
              <w:rPr>
                <w:noProof/>
                <w:webHidden/>
              </w:rPr>
              <w:instrText xml:space="preserve"> PAGEREF _Toc73696718 \h </w:instrText>
            </w:r>
            <w:r w:rsidR="007F376B">
              <w:rPr>
                <w:noProof/>
                <w:webHidden/>
              </w:rPr>
            </w:r>
            <w:r w:rsidR="007F376B">
              <w:rPr>
                <w:noProof/>
                <w:webHidden/>
              </w:rPr>
              <w:fldChar w:fldCharType="separate"/>
            </w:r>
            <w:r w:rsidR="00C93B98">
              <w:rPr>
                <w:noProof/>
                <w:webHidden/>
              </w:rPr>
              <w:t>55</w:t>
            </w:r>
            <w:r w:rsidR="007F376B">
              <w:rPr>
                <w:noProof/>
                <w:webHidden/>
              </w:rPr>
              <w:fldChar w:fldCharType="end"/>
            </w:r>
          </w:hyperlink>
        </w:p>
        <w:p w14:paraId="2E05CD6D" w14:textId="53CFE245"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19" w:history="1">
            <w:r w:rsidR="007F376B" w:rsidRPr="000D17FB">
              <w:rPr>
                <w:rStyle w:val="Hyperlink"/>
                <w:noProof/>
              </w:rPr>
              <w:t>8.2</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Options</w:t>
            </w:r>
            <w:r w:rsidR="007F376B">
              <w:rPr>
                <w:noProof/>
                <w:webHidden/>
              </w:rPr>
              <w:tab/>
            </w:r>
            <w:r w:rsidR="007F376B">
              <w:rPr>
                <w:noProof/>
                <w:webHidden/>
              </w:rPr>
              <w:fldChar w:fldCharType="begin"/>
            </w:r>
            <w:r w:rsidR="007F376B">
              <w:rPr>
                <w:noProof/>
                <w:webHidden/>
              </w:rPr>
              <w:instrText xml:space="preserve"> PAGEREF _Toc73696719 \h </w:instrText>
            </w:r>
            <w:r w:rsidR="007F376B">
              <w:rPr>
                <w:noProof/>
                <w:webHidden/>
              </w:rPr>
            </w:r>
            <w:r w:rsidR="007F376B">
              <w:rPr>
                <w:noProof/>
                <w:webHidden/>
              </w:rPr>
              <w:fldChar w:fldCharType="separate"/>
            </w:r>
            <w:r w:rsidR="00C93B98">
              <w:rPr>
                <w:noProof/>
                <w:webHidden/>
              </w:rPr>
              <w:t>56</w:t>
            </w:r>
            <w:r w:rsidR="007F376B">
              <w:rPr>
                <w:noProof/>
                <w:webHidden/>
              </w:rPr>
              <w:fldChar w:fldCharType="end"/>
            </w:r>
          </w:hyperlink>
        </w:p>
        <w:p w14:paraId="2FA6AD02" w14:textId="59A9E188" w:rsidR="007F376B" w:rsidRDefault="004B24F3">
          <w:pPr>
            <w:pStyle w:val="TOC2"/>
            <w:tabs>
              <w:tab w:val="right" w:leader="dot" w:pos="10025"/>
            </w:tabs>
            <w:rPr>
              <w:rFonts w:asciiTheme="minorHAnsi" w:eastAsiaTheme="minorEastAsia" w:hAnsiTheme="minorHAnsi" w:cstheme="minorBidi"/>
              <w:noProof/>
              <w:color w:val="auto"/>
              <w:spacing w:val="0"/>
              <w:sz w:val="22"/>
              <w:szCs w:val="22"/>
              <w:lang w:eastAsia="en-AU"/>
            </w:rPr>
          </w:pPr>
          <w:hyperlink w:anchor="_Toc73696720" w:history="1">
            <w:r w:rsidR="007F376B" w:rsidRPr="000D17FB">
              <w:rPr>
                <w:rStyle w:val="Hyperlink"/>
                <w:noProof/>
              </w:rPr>
              <w:t>9</w:t>
            </w:r>
            <w:r w:rsidR="007F376B">
              <w:rPr>
                <w:rFonts w:asciiTheme="minorHAnsi" w:eastAsiaTheme="minorEastAsia" w:hAnsiTheme="minorHAnsi" w:cstheme="minorBidi"/>
                <w:noProof/>
                <w:color w:val="auto"/>
                <w:spacing w:val="0"/>
                <w:sz w:val="22"/>
                <w:szCs w:val="22"/>
                <w:lang w:eastAsia="en-AU"/>
              </w:rPr>
              <w:tab/>
            </w:r>
            <w:r w:rsidR="007F376B" w:rsidRPr="000D17FB">
              <w:rPr>
                <w:rStyle w:val="Hyperlink"/>
                <w:noProof/>
              </w:rPr>
              <w:t>Appendices</w:t>
            </w:r>
            <w:r w:rsidR="007F376B">
              <w:rPr>
                <w:noProof/>
                <w:webHidden/>
              </w:rPr>
              <w:tab/>
            </w:r>
            <w:r w:rsidR="007F376B">
              <w:rPr>
                <w:noProof/>
                <w:webHidden/>
              </w:rPr>
              <w:fldChar w:fldCharType="begin"/>
            </w:r>
            <w:r w:rsidR="007F376B">
              <w:rPr>
                <w:noProof/>
                <w:webHidden/>
              </w:rPr>
              <w:instrText xml:space="preserve"> PAGEREF _Toc73696720 \h </w:instrText>
            </w:r>
            <w:r w:rsidR="007F376B">
              <w:rPr>
                <w:noProof/>
                <w:webHidden/>
              </w:rPr>
            </w:r>
            <w:r w:rsidR="007F376B">
              <w:rPr>
                <w:noProof/>
                <w:webHidden/>
              </w:rPr>
              <w:fldChar w:fldCharType="separate"/>
            </w:r>
            <w:r w:rsidR="00C93B98">
              <w:rPr>
                <w:noProof/>
                <w:webHidden/>
              </w:rPr>
              <w:t>58</w:t>
            </w:r>
            <w:r w:rsidR="007F376B">
              <w:rPr>
                <w:noProof/>
                <w:webHidden/>
              </w:rPr>
              <w:fldChar w:fldCharType="end"/>
            </w:r>
          </w:hyperlink>
        </w:p>
        <w:p w14:paraId="2847FA79" w14:textId="2D240ACB"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21" w:history="1">
            <w:r w:rsidR="007F376B" w:rsidRPr="000D17FB">
              <w:rPr>
                <w:rStyle w:val="Hyperlink"/>
                <w:noProof/>
              </w:rPr>
              <w:t>Appendix A Consulted stakeholders</w:t>
            </w:r>
            <w:r w:rsidR="007F376B">
              <w:rPr>
                <w:noProof/>
                <w:webHidden/>
              </w:rPr>
              <w:tab/>
            </w:r>
            <w:r w:rsidR="007F376B">
              <w:rPr>
                <w:noProof/>
                <w:webHidden/>
              </w:rPr>
              <w:fldChar w:fldCharType="begin"/>
            </w:r>
            <w:r w:rsidR="007F376B">
              <w:rPr>
                <w:noProof/>
                <w:webHidden/>
              </w:rPr>
              <w:instrText xml:space="preserve"> PAGEREF _Toc73696721 \h </w:instrText>
            </w:r>
            <w:r w:rsidR="007F376B">
              <w:rPr>
                <w:noProof/>
                <w:webHidden/>
              </w:rPr>
            </w:r>
            <w:r w:rsidR="007F376B">
              <w:rPr>
                <w:noProof/>
                <w:webHidden/>
              </w:rPr>
              <w:fldChar w:fldCharType="separate"/>
            </w:r>
            <w:r w:rsidR="00C93B98">
              <w:rPr>
                <w:noProof/>
                <w:webHidden/>
              </w:rPr>
              <w:t>58</w:t>
            </w:r>
            <w:r w:rsidR="007F376B">
              <w:rPr>
                <w:noProof/>
                <w:webHidden/>
              </w:rPr>
              <w:fldChar w:fldCharType="end"/>
            </w:r>
          </w:hyperlink>
        </w:p>
        <w:p w14:paraId="6C60B824" w14:textId="3DDA59DD"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22" w:history="1">
            <w:r w:rsidR="007F376B" w:rsidRPr="000D17FB">
              <w:rPr>
                <w:rStyle w:val="Hyperlink"/>
                <w:noProof/>
              </w:rPr>
              <w:t>Appendix B Trade-off analysis</w:t>
            </w:r>
            <w:r w:rsidR="007F376B">
              <w:rPr>
                <w:noProof/>
                <w:webHidden/>
              </w:rPr>
              <w:tab/>
            </w:r>
            <w:r w:rsidR="007F376B">
              <w:rPr>
                <w:noProof/>
                <w:webHidden/>
              </w:rPr>
              <w:fldChar w:fldCharType="begin"/>
            </w:r>
            <w:r w:rsidR="007F376B">
              <w:rPr>
                <w:noProof/>
                <w:webHidden/>
              </w:rPr>
              <w:instrText xml:space="preserve"> PAGEREF _Toc73696722 \h </w:instrText>
            </w:r>
            <w:r w:rsidR="007F376B">
              <w:rPr>
                <w:noProof/>
                <w:webHidden/>
              </w:rPr>
            </w:r>
            <w:r w:rsidR="007F376B">
              <w:rPr>
                <w:noProof/>
                <w:webHidden/>
              </w:rPr>
              <w:fldChar w:fldCharType="separate"/>
            </w:r>
            <w:r w:rsidR="00C93B98">
              <w:rPr>
                <w:noProof/>
                <w:webHidden/>
              </w:rPr>
              <w:t>61</w:t>
            </w:r>
            <w:r w:rsidR="007F376B">
              <w:rPr>
                <w:noProof/>
                <w:webHidden/>
              </w:rPr>
              <w:fldChar w:fldCharType="end"/>
            </w:r>
          </w:hyperlink>
        </w:p>
        <w:p w14:paraId="55852228" w14:textId="4C30891C"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23" w:history="1">
            <w:r w:rsidR="007F376B" w:rsidRPr="000D17FB">
              <w:rPr>
                <w:rStyle w:val="Hyperlink"/>
                <w:noProof/>
              </w:rPr>
              <w:t>Appendix C Growth and distribution of linac numbers in Australia</w:t>
            </w:r>
            <w:r w:rsidR="007F376B">
              <w:rPr>
                <w:noProof/>
                <w:webHidden/>
              </w:rPr>
              <w:tab/>
            </w:r>
            <w:r w:rsidR="007F376B">
              <w:rPr>
                <w:noProof/>
                <w:webHidden/>
              </w:rPr>
              <w:fldChar w:fldCharType="begin"/>
            </w:r>
            <w:r w:rsidR="007F376B">
              <w:rPr>
                <w:noProof/>
                <w:webHidden/>
              </w:rPr>
              <w:instrText xml:space="preserve"> PAGEREF _Toc73696723 \h </w:instrText>
            </w:r>
            <w:r w:rsidR="007F376B">
              <w:rPr>
                <w:noProof/>
                <w:webHidden/>
              </w:rPr>
            </w:r>
            <w:r w:rsidR="007F376B">
              <w:rPr>
                <w:noProof/>
                <w:webHidden/>
              </w:rPr>
              <w:fldChar w:fldCharType="separate"/>
            </w:r>
            <w:r w:rsidR="00C93B98">
              <w:rPr>
                <w:noProof/>
                <w:webHidden/>
              </w:rPr>
              <w:t>68</w:t>
            </w:r>
            <w:r w:rsidR="007F376B">
              <w:rPr>
                <w:noProof/>
                <w:webHidden/>
              </w:rPr>
              <w:fldChar w:fldCharType="end"/>
            </w:r>
          </w:hyperlink>
        </w:p>
        <w:p w14:paraId="6F7C33B7" w14:textId="530D0223"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24" w:history="1">
            <w:r w:rsidR="007F376B" w:rsidRPr="000D17FB">
              <w:rPr>
                <w:rStyle w:val="Hyperlink"/>
                <w:noProof/>
              </w:rPr>
              <w:t>Appendix D RT waiting time data (AIHW)</w:t>
            </w:r>
            <w:r w:rsidR="007F376B">
              <w:rPr>
                <w:noProof/>
                <w:webHidden/>
              </w:rPr>
              <w:tab/>
            </w:r>
            <w:r w:rsidR="007F376B">
              <w:rPr>
                <w:noProof/>
                <w:webHidden/>
              </w:rPr>
              <w:fldChar w:fldCharType="begin"/>
            </w:r>
            <w:r w:rsidR="007F376B">
              <w:rPr>
                <w:noProof/>
                <w:webHidden/>
              </w:rPr>
              <w:instrText xml:space="preserve"> PAGEREF _Toc73696724 \h </w:instrText>
            </w:r>
            <w:r w:rsidR="007F376B">
              <w:rPr>
                <w:noProof/>
                <w:webHidden/>
              </w:rPr>
            </w:r>
            <w:r w:rsidR="007F376B">
              <w:rPr>
                <w:noProof/>
                <w:webHidden/>
              </w:rPr>
              <w:fldChar w:fldCharType="separate"/>
            </w:r>
            <w:r w:rsidR="00C93B98">
              <w:rPr>
                <w:noProof/>
                <w:webHidden/>
              </w:rPr>
              <w:t>70</w:t>
            </w:r>
            <w:r w:rsidR="007F376B">
              <w:rPr>
                <w:noProof/>
                <w:webHidden/>
              </w:rPr>
              <w:fldChar w:fldCharType="end"/>
            </w:r>
          </w:hyperlink>
        </w:p>
        <w:p w14:paraId="0AD8F5DC" w14:textId="3F0C45D9"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25" w:history="1">
            <w:r w:rsidR="007F376B" w:rsidRPr="000D17FB">
              <w:rPr>
                <w:rStyle w:val="Hyperlink"/>
                <w:noProof/>
              </w:rPr>
              <w:t>Appendix E Analysis of service provision of radiotherapy facilities</w:t>
            </w:r>
            <w:r w:rsidR="007F376B">
              <w:rPr>
                <w:noProof/>
                <w:webHidden/>
              </w:rPr>
              <w:tab/>
            </w:r>
            <w:r w:rsidR="007F376B">
              <w:rPr>
                <w:noProof/>
                <w:webHidden/>
              </w:rPr>
              <w:fldChar w:fldCharType="begin"/>
            </w:r>
            <w:r w:rsidR="007F376B">
              <w:rPr>
                <w:noProof/>
                <w:webHidden/>
              </w:rPr>
              <w:instrText xml:space="preserve"> PAGEREF _Toc73696725 \h </w:instrText>
            </w:r>
            <w:r w:rsidR="007F376B">
              <w:rPr>
                <w:noProof/>
                <w:webHidden/>
              </w:rPr>
            </w:r>
            <w:r w:rsidR="007F376B">
              <w:rPr>
                <w:noProof/>
                <w:webHidden/>
              </w:rPr>
              <w:fldChar w:fldCharType="separate"/>
            </w:r>
            <w:r w:rsidR="00C93B98">
              <w:rPr>
                <w:noProof/>
                <w:webHidden/>
              </w:rPr>
              <w:t>71</w:t>
            </w:r>
            <w:r w:rsidR="007F376B">
              <w:rPr>
                <w:noProof/>
                <w:webHidden/>
              </w:rPr>
              <w:fldChar w:fldCharType="end"/>
            </w:r>
          </w:hyperlink>
        </w:p>
        <w:p w14:paraId="405CAE7F" w14:textId="7B9CB949"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26" w:history="1">
            <w:r w:rsidR="007F376B" w:rsidRPr="000D17FB">
              <w:rPr>
                <w:rStyle w:val="Hyperlink"/>
                <w:noProof/>
              </w:rPr>
              <w:t>Appendix F Bulk-billing rates</w:t>
            </w:r>
            <w:r w:rsidR="007F376B">
              <w:rPr>
                <w:noProof/>
                <w:webHidden/>
              </w:rPr>
              <w:tab/>
            </w:r>
            <w:r w:rsidR="007F376B">
              <w:rPr>
                <w:noProof/>
                <w:webHidden/>
              </w:rPr>
              <w:fldChar w:fldCharType="begin"/>
            </w:r>
            <w:r w:rsidR="007F376B">
              <w:rPr>
                <w:noProof/>
                <w:webHidden/>
              </w:rPr>
              <w:instrText xml:space="preserve"> PAGEREF _Toc73696726 \h </w:instrText>
            </w:r>
            <w:r w:rsidR="007F376B">
              <w:rPr>
                <w:noProof/>
                <w:webHidden/>
              </w:rPr>
            </w:r>
            <w:r w:rsidR="007F376B">
              <w:rPr>
                <w:noProof/>
                <w:webHidden/>
              </w:rPr>
              <w:fldChar w:fldCharType="separate"/>
            </w:r>
            <w:r w:rsidR="00C93B98">
              <w:rPr>
                <w:noProof/>
                <w:webHidden/>
              </w:rPr>
              <w:t>77</w:t>
            </w:r>
            <w:r w:rsidR="007F376B">
              <w:rPr>
                <w:noProof/>
                <w:webHidden/>
              </w:rPr>
              <w:fldChar w:fldCharType="end"/>
            </w:r>
          </w:hyperlink>
        </w:p>
        <w:p w14:paraId="3E9F131B" w14:textId="52F1BEF5"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27" w:history="1">
            <w:r w:rsidR="007F376B" w:rsidRPr="000D17FB">
              <w:rPr>
                <w:rStyle w:val="Hyperlink"/>
                <w:noProof/>
              </w:rPr>
              <w:t>Appendix G Example scoring matrix for application criteria</w:t>
            </w:r>
            <w:r w:rsidR="007F376B">
              <w:rPr>
                <w:noProof/>
                <w:webHidden/>
              </w:rPr>
              <w:tab/>
            </w:r>
            <w:r w:rsidR="007F376B">
              <w:rPr>
                <w:noProof/>
                <w:webHidden/>
              </w:rPr>
              <w:fldChar w:fldCharType="begin"/>
            </w:r>
            <w:r w:rsidR="007F376B">
              <w:rPr>
                <w:noProof/>
                <w:webHidden/>
              </w:rPr>
              <w:instrText xml:space="preserve"> PAGEREF _Toc73696727 \h </w:instrText>
            </w:r>
            <w:r w:rsidR="007F376B">
              <w:rPr>
                <w:noProof/>
                <w:webHidden/>
              </w:rPr>
            </w:r>
            <w:r w:rsidR="007F376B">
              <w:rPr>
                <w:noProof/>
                <w:webHidden/>
              </w:rPr>
              <w:fldChar w:fldCharType="separate"/>
            </w:r>
            <w:r w:rsidR="00C93B98">
              <w:rPr>
                <w:noProof/>
                <w:webHidden/>
              </w:rPr>
              <w:t>78</w:t>
            </w:r>
            <w:r w:rsidR="007F376B">
              <w:rPr>
                <w:noProof/>
                <w:webHidden/>
              </w:rPr>
              <w:fldChar w:fldCharType="end"/>
            </w:r>
          </w:hyperlink>
        </w:p>
        <w:p w14:paraId="77ACCBE5" w14:textId="573F518F" w:rsidR="007F376B" w:rsidRDefault="004B24F3">
          <w:pPr>
            <w:pStyle w:val="TOC3"/>
            <w:tabs>
              <w:tab w:val="right" w:leader="dot" w:pos="10025"/>
            </w:tabs>
            <w:rPr>
              <w:rFonts w:asciiTheme="minorHAnsi" w:eastAsiaTheme="minorEastAsia" w:hAnsiTheme="minorHAnsi" w:cstheme="minorBidi"/>
              <w:noProof/>
              <w:color w:val="auto"/>
              <w:spacing w:val="0"/>
              <w:sz w:val="22"/>
              <w:szCs w:val="22"/>
              <w:lang w:eastAsia="en-AU"/>
            </w:rPr>
          </w:pPr>
          <w:hyperlink w:anchor="_Toc73696728" w:history="1">
            <w:r w:rsidR="007F376B" w:rsidRPr="000D17FB">
              <w:rPr>
                <w:rStyle w:val="Hyperlink"/>
                <w:noProof/>
              </w:rPr>
              <w:t>Appendix H References</w:t>
            </w:r>
            <w:r w:rsidR="007F376B">
              <w:rPr>
                <w:noProof/>
                <w:webHidden/>
              </w:rPr>
              <w:tab/>
            </w:r>
            <w:r w:rsidR="007F376B">
              <w:rPr>
                <w:noProof/>
                <w:webHidden/>
              </w:rPr>
              <w:fldChar w:fldCharType="begin"/>
            </w:r>
            <w:r w:rsidR="007F376B">
              <w:rPr>
                <w:noProof/>
                <w:webHidden/>
              </w:rPr>
              <w:instrText xml:space="preserve"> PAGEREF _Toc73696728 \h </w:instrText>
            </w:r>
            <w:r w:rsidR="007F376B">
              <w:rPr>
                <w:noProof/>
                <w:webHidden/>
              </w:rPr>
            </w:r>
            <w:r w:rsidR="007F376B">
              <w:rPr>
                <w:noProof/>
                <w:webHidden/>
              </w:rPr>
              <w:fldChar w:fldCharType="separate"/>
            </w:r>
            <w:r w:rsidR="00C93B98">
              <w:rPr>
                <w:noProof/>
                <w:webHidden/>
              </w:rPr>
              <w:t>80</w:t>
            </w:r>
            <w:r w:rsidR="007F376B">
              <w:rPr>
                <w:noProof/>
                <w:webHidden/>
              </w:rPr>
              <w:fldChar w:fldCharType="end"/>
            </w:r>
          </w:hyperlink>
        </w:p>
        <w:p w14:paraId="2972CA09" w14:textId="1795A011" w:rsidR="007F376B" w:rsidRDefault="007F376B">
          <w:r>
            <w:rPr>
              <w:b/>
              <w:bCs/>
              <w:noProof/>
            </w:rPr>
            <w:fldChar w:fldCharType="end"/>
          </w:r>
        </w:p>
      </w:sdtContent>
    </w:sdt>
    <w:p w14:paraId="0710CCA0" w14:textId="4C539B25" w:rsidR="003B3C06" w:rsidRPr="00785F73" w:rsidRDefault="00047030" w:rsidP="005822F6">
      <w:pPr>
        <w:pStyle w:val="Heading1"/>
        <w:numPr>
          <w:ilvl w:val="0"/>
          <w:numId w:val="0"/>
        </w:numPr>
      </w:pPr>
      <w:bookmarkStart w:id="1" w:name="_Toc59198436"/>
      <w:bookmarkStart w:id="2" w:name="_Toc66193903"/>
      <w:bookmarkStart w:id="3" w:name="_Toc73696657"/>
      <w:r w:rsidRPr="00785F73">
        <w:lastRenderedPageBreak/>
        <w:t>Abbreviations</w:t>
      </w:r>
      <w:bookmarkEnd w:id="1"/>
      <w:bookmarkEnd w:id="2"/>
      <w:bookmarkEnd w:id="3"/>
    </w:p>
    <w:tbl>
      <w:tblPr>
        <w:tblStyle w:val="GridTable1Light"/>
        <w:tblW w:w="5000" w:type="pct"/>
        <w:tblLook w:val="00A0" w:firstRow="1" w:lastRow="0" w:firstColumn="1" w:lastColumn="0" w:noHBand="0" w:noVBand="0"/>
        <w:tblDescription w:val="Acronyms/Abbreviations"/>
      </w:tblPr>
      <w:tblGrid>
        <w:gridCol w:w="2181"/>
        <w:gridCol w:w="7844"/>
      </w:tblGrid>
      <w:tr w:rsidR="0086289F" w:rsidRPr="009B6AA8" w14:paraId="7233DA7F" w14:textId="77777777" w:rsidTr="003E28C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088" w:type="pct"/>
          </w:tcPr>
          <w:p w14:paraId="1FBE8E30" w14:textId="46795D59" w:rsidR="0086289F" w:rsidRPr="00FE59F2" w:rsidRDefault="003C4C4F" w:rsidP="006A731F">
            <w:pPr>
              <w:rPr>
                <w:caps/>
              </w:rPr>
            </w:pPr>
            <w:r>
              <w:rPr>
                <w:caps/>
              </w:rPr>
              <w:t>A</w:t>
            </w:r>
            <w:r w:rsidRPr="003C4C4F">
              <w:rPr>
                <w:caps/>
              </w:rPr>
              <w:t>cronyms</w:t>
            </w:r>
          </w:p>
        </w:tc>
        <w:tc>
          <w:tcPr>
            <w:tcW w:w="3912" w:type="pct"/>
          </w:tcPr>
          <w:p w14:paraId="6C61778A" w14:textId="52E254EA" w:rsidR="0086289F" w:rsidRPr="009B6AA8" w:rsidRDefault="0086289F" w:rsidP="006A731F">
            <w:pPr>
              <w:cnfStyle w:val="100000000000" w:firstRow="1" w:lastRow="0" w:firstColumn="0" w:lastColumn="0" w:oddVBand="0" w:evenVBand="0" w:oddHBand="0" w:evenHBand="0" w:firstRowFirstColumn="0" w:firstRowLastColumn="0" w:lastRowFirstColumn="0" w:lastRowLastColumn="0"/>
              <w:rPr>
                <w:caps/>
              </w:rPr>
            </w:pPr>
            <w:r>
              <w:rPr>
                <w:caps/>
              </w:rPr>
              <w:t>Abbreviations</w:t>
            </w:r>
          </w:p>
        </w:tc>
      </w:tr>
      <w:tr w:rsidR="00B92C10" w:rsidRPr="009B6AA8" w14:paraId="387464B2"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1CC7FDC3" w14:textId="77777777" w:rsidR="00B92C10" w:rsidRPr="009B6AA8" w:rsidRDefault="00B92C10" w:rsidP="006A731F">
            <w:r w:rsidRPr="009B6AA8">
              <w:t>ACDS</w:t>
            </w:r>
          </w:p>
        </w:tc>
        <w:tc>
          <w:tcPr>
            <w:tcW w:w="3912" w:type="pct"/>
          </w:tcPr>
          <w:p w14:paraId="3F5EF1F0" w14:textId="5C59F2A4" w:rsidR="00B92C10" w:rsidRPr="009B6AA8" w:rsidRDefault="00E06173" w:rsidP="006A731F">
            <w:pPr>
              <w:cnfStyle w:val="000000000000" w:firstRow="0" w:lastRow="0" w:firstColumn="0" w:lastColumn="0" w:oddVBand="0" w:evenVBand="0" w:oddHBand="0" w:evenHBand="0" w:firstRowFirstColumn="0" w:firstRowLastColumn="0" w:lastRowFirstColumn="0" w:lastRowLastColumn="0"/>
            </w:pPr>
            <w:r w:rsidRPr="009B6AA8">
              <w:t>Australian Clinical Dosimetry Service</w:t>
            </w:r>
          </w:p>
        </w:tc>
      </w:tr>
      <w:tr w:rsidR="00B92C10" w:rsidRPr="009B6AA8" w14:paraId="53356BC8"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6447D8B4" w14:textId="77777777" w:rsidR="00B92C10" w:rsidRPr="009B6AA8" w:rsidRDefault="00B92C10" w:rsidP="006A731F">
            <w:r w:rsidRPr="009B6AA8">
              <w:t>AIHW</w:t>
            </w:r>
          </w:p>
        </w:tc>
        <w:tc>
          <w:tcPr>
            <w:tcW w:w="3912" w:type="pct"/>
          </w:tcPr>
          <w:p w14:paraId="33515BA4"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Australian Institute of Health and Welfare</w:t>
            </w:r>
          </w:p>
        </w:tc>
      </w:tr>
      <w:tr w:rsidR="00B92C10" w:rsidRPr="009B6AA8" w14:paraId="736FB4AC"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4374C341" w14:textId="77777777" w:rsidR="00B92C10" w:rsidRPr="009B6AA8" w:rsidRDefault="00B92C10" w:rsidP="006A731F">
            <w:r w:rsidRPr="009B6AA8">
              <w:t>ARPANSA</w:t>
            </w:r>
          </w:p>
        </w:tc>
        <w:tc>
          <w:tcPr>
            <w:tcW w:w="3912" w:type="pct"/>
          </w:tcPr>
          <w:p w14:paraId="71736828"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Australian Radiation Protection and Nuclear Safety Agency</w:t>
            </w:r>
          </w:p>
        </w:tc>
      </w:tr>
      <w:tr w:rsidR="00B92C10" w:rsidRPr="009B6AA8" w14:paraId="0BC6A891"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647F7C8C" w14:textId="77777777" w:rsidR="00B92C10" w:rsidRPr="009B6AA8" w:rsidRDefault="00B92C10" w:rsidP="006A731F">
            <w:r w:rsidRPr="009B6AA8">
              <w:t>ASR</w:t>
            </w:r>
          </w:p>
        </w:tc>
        <w:tc>
          <w:tcPr>
            <w:tcW w:w="3912" w:type="pct"/>
          </w:tcPr>
          <w:p w14:paraId="09DA038B"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Age Standardised Incidence Rate</w:t>
            </w:r>
          </w:p>
        </w:tc>
      </w:tr>
      <w:tr w:rsidR="007D5B1A" w:rsidRPr="009B6AA8" w14:paraId="462996D1"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31AB6D45" w14:textId="1EEB392A" w:rsidR="007D5B1A" w:rsidRPr="009B6AA8" w:rsidRDefault="007D5B1A" w:rsidP="006A731F">
            <w:r>
              <w:t>CCORE</w:t>
            </w:r>
          </w:p>
        </w:tc>
        <w:tc>
          <w:tcPr>
            <w:tcW w:w="3912" w:type="pct"/>
          </w:tcPr>
          <w:p w14:paraId="188BCC4E" w14:textId="42635A9F" w:rsidR="007D5B1A" w:rsidRPr="009B6AA8" w:rsidRDefault="007D5B1A" w:rsidP="006A731F">
            <w:pPr>
              <w:cnfStyle w:val="000000000000" w:firstRow="0" w:lastRow="0" w:firstColumn="0" w:lastColumn="0" w:oddVBand="0" w:evenVBand="0" w:oddHBand="0" w:evenHBand="0" w:firstRowFirstColumn="0" w:firstRowLastColumn="0" w:lastRowFirstColumn="0" w:lastRowLastColumn="0"/>
            </w:pPr>
            <w:r w:rsidRPr="007D5B1A">
              <w:t>Collaboration for Cancer Outcomes Research and Evaluation</w:t>
            </w:r>
          </w:p>
        </w:tc>
      </w:tr>
      <w:tr w:rsidR="00B92C10" w:rsidRPr="009B6AA8" w14:paraId="16A3F86C"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5F3D7793" w14:textId="77777777" w:rsidR="00B92C10" w:rsidRPr="009B6AA8" w:rsidRDefault="00B92C10" w:rsidP="006A731F">
            <w:r w:rsidRPr="009B6AA8">
              <w:t>CHHHS</w:t>
            </w:r>
          </w:p>
        </w:tc>
        <w:tc>
          <w:tcPr>
            <w:tcW w:w="3912" w:type="pct"/>
          </w:tcPr>
          <w:p w14:paraId="54212562"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Cairns and Hinterland Hospital and Health Service</w:t>
            </w:r>
          </w:p>
        </w:tc>
      </w:tr>
      <w:tr w:rsidR="00B92C10" w:rsidRPr="009B6AA8" w14:paraId="411FF255"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2B7DF637" w14:textId="77777777" w:rsidR="00B92C10" w:rsidRPr="009B6AA8" w:rsidRDefault="00B92C10" w:rsidP="006A731F">
            <w:r w:rsidRPr="009B6AA8">
              <w:t>DVA</w:t>
            </w:r>
          </w:p>
        </w:tc>
        <w:tc>
          <w:tcPr>
            <w:tcW w:w="3912" w:type="pct"/>
          </w:tcPr>
          <w:p w14:paraId="1A5B718D" w14:textId="6A974FC3"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Department of Veterans</w:t>
            </w:r>
            <w:r w:rsidR="00973AEC" w:rsidRPr="009B6AA8">
              <w:t>’</w:t>
            </w:r>
            <w:r w:rsidRPr="009B6AA8">
              <w:t xml:space="preserve"> Affairs</w:t>
            </w:r>
          </w:p>
        </w:tc>
      </w:tr>
      <w:tr w:rsidR="00B92C10" w:rsidRPr="009B6AA8" w14:paraId="4AD7091C"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01A084FE" w14:textId="77777777" w:rsidR="00B92C10" w:rsidRPr="009B6AA8" w:rsidRDefault="00B92C10" w:rsidP="006A731F">
            <w:r w:rsidRPr="009B6AA8">
              <w:t>EBRT</w:t>
            </w:r>
          </w:p>
        </w:tc>
        <w:tc>
          <w:tcPr>
            <w:tcW w:w="3912" w:type="pct"/>
          </w:tcPr>
          <w:p w14:paraId="061ABD26"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External Beam Radiation Therapy</w:t>
            </w:r>
          </w:p>
        </w:tc>
      </w:tr>
      <w:tr w:rsidR="00B92C10" w:rsidRPr="009B6AA8" w14:paraId="29A42293"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36856640" w14:textId="77777777" w:rsidR="00B92C10" w:rsidRPr="009B6AA8" w:rsidRDefault="00B92C10" w:rsidP="006A731F">
            <w:r w:rsidRPr="009B6AA8">
              <w:t>GP</w:t>
            </w:r>
          </w:p>
        </w:tc>
        <w:tc>
          <w:tcPr>
            <w:tcW w:w="3912" w:type="pct"/>
          </w:tcPr>
          <w:p w14:paraId="36B06F21"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General Practitioner / General Practice</w:t>
            </w:r>
          </w:p>
        </w:tc>
      </w:tr>
      <w:tr w:rsidR="00B80B09" w:rsidRPr="009B6AA8" w14:paraId="7EC5AC1F"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68352FDE" w14:textId="0DDB1846" w:rsidR="00B80B09" w:rsidRPr="009B6AA8" w:rsidRDefault="00B80B09" w:rsidP="006A731F">
            <w:r>
              <w:t>HDR</w:t>
            </w:r>
          </w:p>
        </w:tc>
        <w:tc>
          <w:tcPr>
            <w:tcW w:w="3912" w:type="pct"/>
          </w:tcPr>
          <w:p w14:paraId="5B7A52C1" w14:textId="5CC96880" w:rsidR="00B80B09" w:rsidRPr="009B6AA8" w:rsidRDefault="00B80B09" w:rsidP="006A731F">
            <w:pPr>
              <w:cnfStyle w:val="000000000000" w:firstRow="0" w:lastRow="0" w:firstColumn="0" w:lastColumn="0" w:oddVBand="0" w:evenVBand="0" w:oddHBand="0" w:evenHBand="0" w:firstRowFirstColumn="0" w:firstRowLastColumn="0" w:lastRowFirstColumn="0" w:lastRowLastColumn="0"/>
            </w:pPr>
            <w:r>
              <w:t>High dose-rate</w:t>
            </w:r>
          </w:p>
        </w:tc>
      </w:tr>
      <w:tr w:rsidR="00B92C10" w:rsidRPr="009B6AA8" w14:paraId="5C1B1FE1"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18CF3639" w14:textId="77777777" w:rsidR="00B92C10" w:rsidRPr="009B6AA8" w:rsidRDefault="00B92C10" w:rsidP="006A731F">
            <w:r w:rsidRPr="009B6AA8">
              <w:t>HMA</w:t>
            </w:r>
          </w:p>
        </w:tc>
        <w:tc>
          <w:tcPr>
            <w:tcW w:w="3912" w:type="pct"/>
          </w:tcPr>
          <w:p w14:paraId="605FF3DC"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Healthcare Management Advisors</w:t>
            </w:r>
          </w:p>
        </w:tc>
      </w:tr>
      <w:tr w:rsidR="00B92C10" w:rsidRPr="009B6AA8" w14:paraId="1417D2AD"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17A2D63A" w14:textId="77777777" w:rsidR="00B92C10" w:rsidRPr="009B6AA8" w:rsidRDefault="00B92C10" w:rsidP="006A731F">
            <w:r w:rsidRPr="009B6AA8">
              <w:t>IGRT</w:t>
            </w:r>
          </w:p>
        </w:tc>
        <w:tc>
          <w:tcPr>
            <w:tcW w:w="3912" w:type="pct"/>
          </w:tcPr>
          <w:p w14:paraId="5D014097"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Image-Guided Radiation Therapy</w:t>
            </w:r>
          </w:p>
        </w:tc>
      </w:tr>
      <w:tr w:rsidR="00B92C10" w:rsidRPr="009B6AA8" w14:paraId="1C99320A"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70F9E6F3" w14:textId="77777777" w:rsidR="00B92C10" w:rsidRPr="009B6AA8" w:rsidRDefault="00B92C10" w:rsidP="006A731F">
            <w:r w:rsidRPr="009B6AA8">
              <w:t>IMRT</w:t>
            </w:r>
          </w:p>
        </w:tc>
        <w:tc>
          <w:tcPr>
            <w:tcW w:w="3912" w:type="pct"/>
          </w:tcPr>
          <w:p w14:paraId="3E1DE9A5"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Intensity-Modulated Radiation Therapy</w:t>
            </w:r>
          </w:p>
        </w:tc>
      </w:tr>
      <w:tr w:rsidR="00B92C10" w:rsidRPr="009B6AA8" w14:paraId="1D8B6543"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3C216DF8" w14:textId="77777777" w:rsidR="00B92C10" w:rsidRPr="009B6AA8" w:rsidRDefault="00B92C10" w:rsidP="006A731F">
            <w:r w:rsidRPr="009B6AA8">
              <w:t>KRA</w:t>
            </w:r>
          </w:p>
        </w:tc>
        <w:tc>
          <w:tcPr>
            <w:tcW w:w="3912" w:type="pct"/>
          </w:tcPr>
          <w:p w14:paraId="69848FBE"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Key Review Area</w:t>
            </w:r>
          </w:p>
        </w:tc>
      </w:tr>
      <w:tr w:rsidR="00B92C10" w:rsidRPr="009B6AA8" w14:paraId="0F8885E1"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07B86AC6" w14:textId="4CF636C8" w:rsidR="00B92C10" w:rsidRPr="009B6AA8" w:rsidRDefault="00EE0B7E" w:rsidP="006A731F">
            <w:proofErr w:type="spellStart"/>
            <w:r>
              <w:t>L</w:t>
            </w:r>
            <w:r w:rsidR="00B92C10" w:rsidRPr="009B6AA8">
              <w:t>inac</w:t>
            </w:r>
            <w:proofErr w:type="spellEnd"/>
          </w:p>
        </w:tc>
        <w:tc>
          <w:tcPr>
            <w:tcW w:w="3912" w:type="pct"/>
          </w:tcPr>
          <w:p w14:paraId="48E4E095"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 xml:space="preserve">Linear accelerator </w:t>
            </w:r>
          </w:p>
        </w:tc>
      </w:tr>
      <w:tr w:rsidR="00B92C10" w:rsidRPr="009B6AA8" w14:paraId="11F7EB8C"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0384C2BD" w14:textId="77777777" w:rsidR="00B92C10" w:rsidRPr="009B6AA8" w:rsidRDefault="00B92C10" w:rsidP="006A731F">
            <w:r w:rsidRPr="009B6AA8">
              <w:t>MBS</w:t>
            </w:r>
          </w:p>
        </w:tc>
        <w:tc>
          <w:tcPr>
            <w:tcW w:w="3912" w:type="pct"/>
          </w:tcPr>
          <w:p w14:paraId="172F7067"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Medicare Benefits Schedule</w:t>
            </w:r>
          </w:p>
        </w:tc>
      </w:tr>
      <w:tr w:rsidR="00B92C10" w:rsidRPr="009B6AA8" w14:paraId="189954EF"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6F142250" w14:textId="7841DF29" w:rsidR="00B92C10" w:rsidRPr="009B6AA8" w:rsidRDefault="00B92C10" w:rsidP="006A731F">
            <w:r w:rsidRPr="009B6AA8">
              <w:t>MM</w:t>
            </w:r>
            <w:r w:rsidR="000920F7" w:rsidRPr="009B6AA8">
              <w:t>1</w:t>
            </w:r>
          </w:p>
        </w:tc>
        <w:tc>
          <w:tcPr>
            <w:tcW w:w="3912" w:type="pct"/>
          </w:tcPr>
          <w:p w14:paraId="727549B3" w14:textId="4B15DDBD"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 xml:space="preserve">Major </w:t>
            </w:r>
            <w:r w:rsidR="00973AEC" w:rsidRPr="009B6AA8">
              <w:t>city</w:t>
            </w:r>
          </w:p>
        </w:tc>
      </w:tr>
      <w:tr w:rsidR="00B92C10" w:rsidRPr="009B6AA8" w14:paraId="77E3ADB8"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4D5C26DF" w14:textId="77777777" w:rsidR="00B92C10" w:rsidRPr="009B6AA8" w:rsidRDefault="00B92C10" w:rsidP="006A731F">
            <w:r w:rsidRPr="009B6AA8">
              <w:t>MM2</w:t>
            </w:r>
          </w:p>
        </w:tc>
        <w:tc>
          <w:tcPr>
            <w:tcW w:w="3912" w:type="pct"/>
          </w:tcPr>
          <w:p w14:paraId="634C0EE1"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Regional area</w:t>
            </w:r>
          </w:p>
        </w:tc>
      </w:tr>
      <w:tr w:rsidR="00B92C10" w:rsidRPr="009B6AA8" w14:paraId="25F8D232"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748C5FD4" w14:textId="77777777" w:rsidR="00B92C10" w:rsidRPr="009B6AA8" w:rsidRDefault="00B92C10" w:rsidP="006A731F">
            <w:r w:rsidRPr="009B6AA8">
              <w:t>MM3</w:t>
            </w:r>
          </w:p>
        </w:tc>
        <w:tc>
          <w:tcPr>
            <w:tcW w:w="3912" w:type="pct"/>
          </w:tcPr>
          <w:p w14:paraId="48454F1C"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Rural area</w:t>
            </w:r>
          </w:p>
        </w:tc>
      </w:tr>
      <w:tr w:rsidR="00B92C10" w:rsidRPr="009B6AA8" w14:paraId="490C8291"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55A486A7" w14:textId="77777777" w:rsidR="00B92C10" w:rsidRPr="009B6AA8" w:rsidRDefault="00B92C10" w:rsidP="006A731F">
            <w:r w:rsidRPr="009B6AA8">
              <w:t>MMM</w:t>
            </w:r>
          </w:p>
        </w:tc>
        <w:tc>
          <w:tcPr>
            <w:tcW w:w="3912" w:type="pct"/>
          </w:tcPr>
          <w:p w14:paraId="23CEA13E"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 xml:space="preserve">Modified Monash Model (of remoteness classification) </w:t>
            </w:r>
          </w:p>
        </w:tc>
      </w:tr>
      <w:tr w:rsidR="00B92C10" w:rsidRPr="009B6AA8" w14:paraId="319F473B"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7FF9D39B" w14:textId="77777777" w:rsidR="00B92C10" w:rsidRPr="009B6AA8" w:rsidRDefault="00B92C10" w:rsidP="006A731F">
            <w:r w:rsidRPr="009B6AA8">
              <w:t>MRI</w:t>
            </w:r>
          </w:p>
        </w:tc>
        <w:tc>
          <w:tcPr>
            <w:tcW w:w="3912" w:type="pct"/>
          </w:tcPr>
          <w:p w14:paraId="2E37E6D5"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Magnetic resonance imaging</w:t>
            </w:r>
          </w:p>
        </w:tc>
      </w:tr>
      <w:tr w:rsidR="00B92C10" w:rsidRPr="009B6AA8" w14:paraId="6EC37B40"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467C71B5" w14:textId="77777777" w:rsidR="00B92C10" w:rsidRPr="009B6AA8" w:rsidRDefault="00B92C10" w:rsidP="006A731F">
            <w:r w:rsidRPr="009B6AA8">
              <w:t>NHA</w:t>
            </w:r>
          </w:p>
        </w:tc>
        <w:tc>
          <w:tcPr>
            <w:tcW w:w="3912" w:type="pct"/>
          </w:tcPr>
          <w:p w14:paraId="2F230D56"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National Healthcare Agreement</w:t>
            </w:r>
          </w:p>
        </w:tc>
      </w:tr>
      <w:tr w:rsidR="00B92C10" w:rsidRPr="009B6AA8" w14:paraId="67226FDF"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5C5C2C60" w14:textId="77777777" w:rsidR="00B92C10" w:rsidRPr="009B6AA8" w:rsidRDefault="00B92C10" w:rsidP="006A731F">
            <w:r w:rsidRPr="009B6AA8">
              <w:t>OUR</w:t>
            </w:r>
          </w:p>
        </w:tc>
        <w:tc>
          <w:tcPr>
            <w:tcW w:w="3912" w:type="pct"/>
          </w:tcPr>
          <w:p w14:paraId="571F4EE4"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Optimal (Radiotherapy) Utilisation Rate</w:t>
            </w:r>
          </w:p>
        </w:tc>
      </w:tr>
      <w:tr w:rsidR="00B92C10" w:rsidRPr="009B6AA8" w14:paraId="14FC4253"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2F2A9F32" w14:textId="77777777" w:rsidR="00B92C10" w:rsidRPr="009B6AA8" w:rsidRDefault="00B92C10" w:rsidP="006A731F">
            <w:proofErr w:type="spellStart"/>
            <w:r w:rsidRPr="009B6AA8">
              <w:t>QoL</w:t>
            </w:r>
            <w:proofErr w:type="spellEnd"/>
            <w:r w:rsidRPr="009B6AA8">
              <w:t xml:space="preserve"> </w:t>
            </w:r>
          </w:p>
        </w:tc>
        <w:tc>
          <w:tcPr>
            <w:tcW w:w="3912" w:type="pct"/>
          </w:tcPr>
          <w:p w14:paraId="112A0B32"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Quality of Life</w:t>
            </w:r>
          </w:p>
        </w:tc>
      </w:tr>
      <w:tr w:rsidR="00B92C10" w:rsidRPr="009B6AA8" w14:paraId="16A03EA9"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2C8936BB" w14:textId="77777777" w:rsidR="00B92C10" w:rsidRPr="009B6AA8" w:rsidRDefault="00B92C10" w:rsidP="006A731F">
            <w:r w:rsidRPr="009B6AA8">
              <w:t>RANZCR</w:t>
            </w:r>
          </w:p>
        </w:tc>
        <w:tc>
          <w:tcPr>
            <w:tcW w:w="3912" w:type="pct"/>
          </w:tcPr>
          <w:p w14:paraId="27056FD6" w14:textId="27164AED" w:rsidR="00B92C10" w:rsidRPr="009B6AA8" w:rsidRDefault="004431AF" w:rsidP="006A731F">
            <w:pPr>
              <w:cnfStyle w:val="000000000000" w:firstRow="0" w:lastRow="0" w:firstColumn="0" w:lastColumn="0" w:oddVBand="0" w:evenVBand="0" w:oddHBand="0" w:evenHBand="0" w:firstRowFirstColumn="0" w:firstRowLastColumn="0" w:lastRowFirstColumn="0" w:lastRowLastColumn="0"/>
            </w:pPr>
            <w:r w:rsidRPr="009B6AA8">
              <w:t xml:space="preserve">The </w:t>
            </w:r>
            <w:bookmarkStart w:id="4" w:name="_Hlk56437246"/>
            <w:r w:rsidRPr="009B6AA8">
              <w:t>Royal Australian and New Zealand College of Radiologists</w:t>
            </w:r>
            <w:bookmarkEnd w:id="4"/>
          </w:p>
        </w:tc>
      </w:tr>
      <w:tr w:rsidR="00B92C10" w:rsidRPr="009B6AA8" w14:paraId="5B1D4A35"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347E4653" w14:textId="77777777" w:rsidR="00B92C10" w:rsidRPr="009B6AA8" w:rsidRDefault="00B92C10" w:rsidP="008107FF">
            <w:r w:rsidRPr="009B6AA8">
              <w:t>ROHPG</w:t>
            </w:r>
          </w:p>
        </w:tc>
        <w:tc>
          <w:tcPr>
            <w:tcW w:w="3912" w:type="pct"/>
          </w:tcPr>
          <w:p w14:paraId="6B5C9DC4" w14:textId="77777777" w:rsidR="00B92C10" w:rsidRPr="009B6AA8" w:rsidRDefault="00B92C10" w:rsidP="00B92C10">
            <w:pPr>
              <w:cnfStyle w:val="000000000000" w:firstRow="0" w:lastRow="0" w:firstColumn="0" w:lastColumn="0" w:oddVBand="0" w:evenVBand="0" w:oddHBand="0" w:evenHBand="0" w:firstRowFirstColumn="0" w:firstRowLastColumn="0" w:lastRowFirstColumn="0" w:lastRowLastColumn="0"/>
            </w:pPr>
            <w:r w:rsidRPr="009B6AA8">
              <w:t xml:space="preserve">Radiation Oncology Health Program Grant Scheme </w:t>
            </w:r>
          </w:p>
        </w:tc>
      </w:tr>
      <w:tr w:rsidR="00B92C10" w:rsidRPr="009B6AA8" w14:paraId="0C4E2CB7"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1C908BAD" w14:textId="77777777" w:rsidR="00B92C10" w:rsidRPr="009B6AA8" w:rsidRDefault="00B92C10" w:rsidP="006A731F">
            <w:r w:rsidRPr="009B6AA8">
              <w:t>RT</w:t>
            </w:r>
          </w:p>
        </w:tc>
        <w:tc>
          <w:tcPr>
            <w:tcW w:w="3912" w:type="pct"/>
          </w:tcPr>
          <w:p w14:paraId="704B1AC0"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Radiotherapy</w:t>
            </w:r>
          </w:p>
        </w:tc>
      </w:tr>
      <w:tr w:rsidR="00B92C10" w:rsidRPr="009B6AA8" w14:paraId="3D165ED8"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2E1630CA" w14:textId="77777777" w:rsidR="00B92C10" w:rsidRPr="009B6AA8" w:rsidRDefault="00B92C10" w:rsidP="006A731F">
            <w:r w:rsidRPr="009B6AA8">
              <w:t>SBRT</w:t>
            </w:r>
          </w:p>
        </w:tc>
        <w:tc>
          <w:tcPr>
            <w:tcW w:w="3912" w:type="pct"/>
          </w:tcPr>
          <w:p w14:paraId="245A73BA"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Stereotactic Body Radiation Therapy</w:t>
            </w:r>
          </w:p>
        </w:tc>
      </w:tr>
      <w:tr w:rsidR="00B92C10" w:rsidRPr="009B6AA8" w14:paraId="18EE6AD0"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1E4147C2" w14:textId="77777777" w:rsidR="00B92C10" w:rsidRPr="009B6AA8" w:rsidRDefault="00B92C10" w:rsidP="006A731F">
            <w:r w:rsidRPr="009B6AA8">
              <w:t>SRS</w:t>
            </w:r>
          </w:p>
        </w:tc>
        <w:tc>
          <w:tcPr>
            <w:tcW w:w="3912" w:type="pct"/>
          </w:tcPr>
          <w:p w14:paraId="496A954C"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Stereotactic Radiosurgery</w:t>
            </w:r>
          </w:p>
        </w:tc>
      </w:tr>
      <w:tr w:rsidR="00B92C10" w:rsidRPr="009B6AA8" w14:paraId="69979D4D"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0D847E1D" w14:textId="77777777" w:rsidR="00B92C10" w:rsidRPr="009B6AA8" w:rsidRDefault="00B92C10" w:rsidP="006A731F">
            <w:r w:rsidRPr="009B6AA8">
              <w:t xml:space="preserve">The Department </w:t>
            </w:r>
          </w:p>
        </w:tc>
        <w:tc>
          <w:tcPr>
            <w:tcW w:w="3912" w:type="pct"/>
          </w:tcPr>
          <w:p w14:paraId="2EE6DC21"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 xml:space="preserve">The Australian Government Department of Health </w:t>
            </w:r>
          </w:p>
        </w:tc>
      </w:tr>
      <w:tr w:rsidR="008A10D9" w:rsidRPr="009B6AA8" w14:paraId="431E2671"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34CD5279" w14:textId="6A4203AE" w:rsidR="008A10D9" w:rsidRPr="009B6AA8" w:rsidRDefault="008A10D9" w:rsidP="006A731F">
            <w:r>
              <w:t>TVM</w:t>
            </w:r>
          </w:p>
        </w:tc>
        <w:tc>
          <w:tcPr>
            <w:tcW w:w="3912" w:type="pct"/>
          </w:tcPr>
          <w:p w14:paraId="43E1A906" w14:textId="0515D679" w:rsidR="008A10D9" w:rsidRPr="009B6AA8" w:rsidRDefault="008A10D9" w:rsidP="006A731F">
            <w:pPr>
              <w:cnfStyle w:val="000000000000" w:firstRow="0" w:lastRow="0" w:firstColumn="0" w:lastColumn="0" w:oddVBand="0" w:evenVBand="0" w:oddHBand="0" w:evenHBand="0" w:firstRowFirstColumn="0" w:firstRowLastColumn="0" w:lastRowFirstColumn="0" w:lastRowLastColumn="0"/>
            </w:pPr>
            <w:r>
              <w:t>Time value of money</w:t>
            </w:r>
          </w:p>
        </w:tc>
      </w:tr>
      <w:tr w:rsidR="00B92C10" w:rsidRPr="009B6AA8" w14:paraId="51F68B09" w14:textId="77777777" w:rsidTr="003E28C8">
        <w:trPr>
          <w:trHeight w:val="283"/>
        </w:trPr>
        <w:tc>
          <w:tcPr>
            <w:cnfStyle w:val="001000000000" w:firstRow="0" w:lastRow="0" w:firstColumn="1" w:lastColumn="0" w:oddVBand="0" w:evenVBand="0" w:oddHBand="0" w:evenHBand="0" w:firstRowFirstColumn="0" w:firstRowLastColumn="0" w:lastRowFirstColumn="0" w:lastRowLastColumn="0"/>
            <w:tcW w:w="1088" w:type="pct"/>
          </w:tcPr>
          <w:p w14:paraId="787A7F77" w14:textId="77777777" w:rsidR="00B92C10" w:rsidRPr="009B6AA8" w:rsidRDefault="00B92C10" w:rsidP="006A731F">
            <w:r w:rsidRPr="009B6AA8">
              <w:t>UR</w:t>
            </w:r>
          </w:p>
        </w:tc>
        <w:tc>
          <w:tcPr>
            <w:tcW w:w="3912" w:type="pct"/>
          </w:tcPr>
          <w:p w14:paraId="0E78F909" w14:textId="77777777" w:rsidR="00B92C10" w:rsidRPr="009B6AA8" w:rsidRDefault="00B92C10" w:rsidP="006A731F">
            <w:pPr>
              <w:cnfStyle w:val="000000000000" w:firstRow="0" w:lastRow="0" w:firstColumn="0" w:lastColumn="0" w:oddVBand="0" w:evenVBand="0" w:oddHBand="0" w:evenHBand="0" w:firstRowFirstColumn="0" w:firstRowLastColumn="0" w:lastRowFirstColumn="0" w:lastRowLastColumn="0"/>
            </w:pPr>
            <w:r w:rsidRPr="009B6AA8">
              <w:t xml:space="preserve">Utilisation rate </w:t>
            </w:r>
          </w:p>
        </w:tc>
      </w:tr>
    </w:tbl>
    <w:p w14:paraId="68A28FBA" w14:textId="77777777" w:rsidR="0011214B" w:rsidRDefault="0011214B" w:rsidP="00A37405">
      <w:pPr>
        <w:sectPr w:rsidR="0011214B" w:rsidSect="005822F6">
          <w:footerReference w:type="default" r:id="rId10"/>
          <w:pgSz w:w="11906" w:h="16838" w:code="9"/>
          <w:pgMar w:top="709" w:right="1134" w:bottom="737" w:left="737" w:header="567" w:footer="284" w:gutter="0"/>
          <w:pgNumType w:start="1"/>
          <w:cols w:space="708"/>
          <w:docGrid w:linePitch="360"/>
        </w:sectPr>
      </w:pPr>
    </w:p>
    <w:p w14:paraId="53290D53" w14:textId="1C3282C0" w:rsidR="0011214B" w:rsidRPr="0054538B" w:rsidRDefault="004F5CDF" w:rsidP="007A408D">
      <w:pPr>
        <w:pStyle w:val="Heading1"/>
        <w:numPr>
          <w:ilvl w:val="0"/>
          <w:numId w:val="0"/>
        </w:numPr>
        <w:ind w:left="432" w:hanging="432"/>
      </w:pPr>
      <w:bookmarkStart w:id="5" w:name="_Toc73696658"/>
      <w:r w:rsidRPr="00785F73">
        <w:lastRenderedPageBreak/>
        <w:t>Executive Summary</w:t>
      </w:r>
      <w:bookmarkEnd w:id="5"/>
    </w:p>
    <w:p w14:paraId="0BCFE82B" w14:textId="05FF2F08" w:rsidR="00A945C8" w:rsidRPr="009B6AA8" w:rsidRDefault="00A945C8" w:rsidP="00A37405">
      <w:r w:rsidRPr="009B6AA8">
        <w:t>The Radiation Oncology Health Program Grant (ROHPG) is an atypical funding mechanism that exists in the context of the prevalence of cancer in Australia, the importance of radiotherapy for cancer treatment, the impact of access to radiotherapy equipment on utilisation of radiotherapy as a treatment, and the relative high cost of associated equipment used in the delivery of radiotherapy.</w:t>
      </w:r>
    </w:p>
    <w:p w14:paraId="420A5E69" w14:textId="19A20A27" w:rsidR="00A945C8" w:rsidRPr="009B6AA8" w:rsidRDefault="00A945C8" w:rsidP="00A945C8">
      <w:r w:rsidRPr="009B6AA8">
        <w:t xml:space="preserve">Of contextual relevance too, is the recognition through this </w:t>
      </w:r>
      <w:r w:rsidR="00FD606B">
        <w:t>Scheme</w:t>
      </w:r>
      <w:r w:rsidRPr="009B6AA8">
        <w:t xml:space="preserve"> of the combined importance of the public and private segments of the health sector in provision of radiotherapy treatments to Australian patients.</w:t>
      </w:r>
    </w:p>
    <w:p w14:paraId="0097FC44" w14:textId="77777777" w:rsidR="00373EE3" w:rsidRDefault="00A945C8" w:rsidP="00A945C8">
      <w:r w:rsidRPr="009B6AA8">
        <w:t xml:space="preserve">Under a more typical scenario, </w:t>
      </w:r>
      <w:r w:rsidR="00ED3765">
        <w:t>s</w:t>
      </w:r>
      <w:r w:rsidR="00ED3765" w:rsidRPr="009B6AA8">
        <w:t xml:space="preserve">tate </w:t>
      </w:r>
      <w:r w:rsidRPr="009B6AA8">
        <w:t xml:space="preserve">or </w:t>
      </w:r>
      <w:r w:rsidR="00ED3765">
        <w:t>t</w:t>
      </w:r>
      <w:r w:rsidR="00ED3765" w:rsidRPr="009B6AA8">
        <w:t xml:space="preserve">erritory </w:t>
      </w:r>
      <w:r w:rsidR="00ED3765">
        <w:t>g</w:t>
      </w:r>
      <w:r w:rsidR="00ED3765" w:rsidRPr="009B6AA8">
        <w:t xml:space="preserve">overnment </w:t>
      </w:r>
      <w:r w:rsidRPr="009B6AA8">
        <w:t xml:space="preserve">would be responsible for capital expenditure for public </w:t>
      </w:r>
      <w:r w:rsidR="007A75A8">
        <w:t>facilities</w:t>
      </w:r>
      <w:r w:rsidRPr="009B6AA8">
        <w:t xml:space="preserve"> within their jurisdiction. These arrangements are facilitated through National Healthcare Agreements between </w:t>
      </w:r>
      <w:r w:rsidR="00ED3765">
        <w:t>s</w:t>
      </w:r>
      <w:r w:rsidR="00ED3765" w:rsidRPr="009B6AA8">
        <w:t xml:space="preserve">tate </w:t>
      </w:r>
      <w:r w:rsidRPr="009B6AA8">
        <w:t xml:space="preserve">or </w:t>
      </w:r>
      <w:r w:rsidR="00ED3765">
        <w:t>t</w:t>
      </w:r>
      <w:r w:rsidR="00ED3765" w:rsidRPr="009B6AA8">
        <w:t xml:space="preserve">erritory </w:t>
      </w:r>
      <w:r w:rsidR="00ED3765">
        <w:t>g</w:t>
      </w:r>
      <w:r w:rsidR="00ED3765" w:rsidRPr="009B6AA8">
        <w:t>overnment</w:t>
      </w:r>
      <w:r w:rsidR="00ED3765">
        <w:t>s</w:t>
      </w:r>
      <w:r w:rsidR="00ED3765" w:rsidRPr="009B6AA8">
        <w:t xml:space="preserve"> </w:t>
      </w:r>
      <w:r w:rsidRPr="009B6AA8">
        <w:t xml:space="preserve">and the Australian Government. Private </w:t>
      </w:r>
      <w:r w:rsidR="007A75A8">
        <w:t>facilities</w:t>
      </w:r>
      <w:r w:rsidRPr="009B6AA8">
        <w:t xml:space="preserve"> would determine the commercial viability of establishing a service through capital investment, based on subsequent reimbursement on activity.</w:t>
      </w:r>
    </w:p>
    <w:p w14:paraId="574D97EF" w14:textId="04670E30" w:rsidR="00A945C8" w:rsidRPr="009B6AA8" w:rsidRDefault="00A945C8" w:rsidP="00A945C8">
      <w:r w:rsidRPr="009B6AA8">
        <w:t>However, the disproportionate cost of radiotherapy equipment compared to reimbursement available create</w:t>
      </w:r>
      <w:r w:rsidR="00973AEC" w:rsidRPr="009B6AA8">
        <w:t>s</w:t>
      </w:r>
      <w:r w:rsidRPr="009B6AA8">
        <w:t xml:space="preserve"> a perverse incentive to maximise radiotherapy throughput to create a sustainable service model. This goes against emerging trends in radiotherapy</w:t>
      </w:r>
      <w:r w:rsidR="00973AEC" w:rsidRPr="009B6AA8">
        <w:t>,</w:t>
      </w:r>
      <w:r w:rsidRPr="009B6AA8">
        <w:t xml:space="preserve"> which </w:t>
      </w:r>
      <w:r w:rsidR="00973AEC" w:rsidRPr="009B6AA8">
        <w:t xml:space="preserve">are </w:t>
      </w:r>
      <w:r w:rsidRPr="009B6AA8">
        <w:t>moving to a ‘</w:t>
      </w:r>
      <w:proofErr w:type="spellStart"/>
      <w:r w:rsidRPr="009B6AA8">
        <w:t>hypofractionation</w:t>
      </w:r>
      <w:proofErr w:type="spellEnd"/>
      <w:r w:rsidRPr="009B6AA8">
        <w:t xml:space="preserve">’ model of fewer but higher doses of radiotherapy to minimise damage to healthy tissue. </w:t>
      </w:r>
      <w:proofErr w:type="spellStart"/>
      <w:r w:rsidRPr="009B6AA8">
        <w:t>Hypofractionation</w:t>
      </w:r>
      <w:proofErr w:type="spellEnd"/>
      <w:r w:rsidRPr="009B6AA8">
        <w:t xml:space="preserve"> is made possible with linear accelerator and imaging technology advances. Although </w:t>
      </w:r>
      <w:proofErr w:type="spellStart"/>
      <w:r w:rsidRPr="009B6AA8">
        <w:t>hypofractionation</w:t>
      </w:r>
      <w:proofErr w:type="spellEnd"/>
      <w:r w:rsidRPr="009B6AA8">
        <w:t xml:space="preserve"> is reducing the timeframes required for radiotherapy courses, courses of treatment still range from </w:t>
      </w:r>
      <w:r w:rsidR="00F50C65">
        <w:t>an average of two to six weeks.</w:t>
      </w:r>
    </w:p>
    <w:p w14:paraId="08F0C2A3" w14:textId="77777777" w:rsidR="00373EE3" w:rsidRDefault="00A945C8" w:rsidP="00A945C8">
      <w:r w:rsidRPr="009B6AA8">
        <w:t xml:space="preserve">Lengthy treatment courses present challenges for regional </w:t>
      </w:r>
      <w:r w:rsidR="0074746C">
        <w:t>and</w:t>
      </w:r>
      <w:r w:rsidR="0074746C" w:rsidRPr="009B6AA8">
        <w:t xml:space="preserve"> </w:t>
      </w:r>
      <w:r w:rsidRPr="009B6AA8">
        <w:t>rural patients if they have to travel for treatment for weeks at a time. This is a driver for making radiotherapy available closer to home for all Australians. However, this desire needs to be balanced with pragmatic considerations of the workforce implications and the ability of radiotherapy services to integrate with broader cancer care.</w:t>
      </w:r>
    </w:p>
    <w:p w14:paraId="7DA33E97" w14:textId="77777777" w:rsidR="00373EE3" w:rsidRDefault="00A945C8" w:rsidP="00A945C8">
      <w:r w:rsidRPr="009B6AA8">
        <w:t xml:space="preserve">When the ROHPG commenced in 1988 there were only 46 linear accelerators in Australia, with very few in regional and rural areas, resulting in access inequities, lengthy wait time and underutilisation of radiotherapy as a treatment modality. Today Australia has a fleet of </w:t>
      </w:r>
      <w:r w:rsidR="00760CC3">
        <w:t>approximately</w:t>
      </w:r>
      <w:r w:rsidR="00760CC3" w:rsidRPr="009B6AA8">
        <w:t xml:space="preserve"> </w:t>
      </w:r>
      <w:r w:rsidRPr="009B6AA8">
        <w:t>200 linear accelerators in metropolitan and regional areas as well as a selection of key rural areas, and radiotherapy utilisation rates continue to rise.</w:t>
      </w:r>
    </w:p>
    <w:p w14:paraId="2A2C1AFA" w14:textId="77777777" w:rsidR="00373EE3" w:rsidRDefault="00A945C8" w:rsidP="00A945C8">
      <w:r w:rsidRPr="009B6AA8">
        <w:t xml:space="preserve">Given the changing context of radiotherapy in Australia, the Australian Government Department of Health (the Department) sought to review the ongoing relevance and need for the ROHPG </w:t>
      </w:r>
      <w:r w:rsidR="00FD606B">
        <w:t>Scheme</w:t>
      </w:r>
      <w:r w:rsidRPr="009B6AA8">
        <w:t xml:space="preserve"> and the impacts of recent changes to the </w:t>
      </w:r>
      <w:r w:rsidR="00FD606B">
        <w:t>Scheme</w:t>
      </w:r>
      <w:r w:rsidRPr="009B6AA8">
        <w:t>’s funding and administration arrangements that occurred in 2017.</w:t>
      </w:r>
    </w:p>
    <w:p w14:paraId="7595E169" w14:textId="7AA51539" w:rsidR="00A945C8" w:rsidRPr="009B6AA8" w:rsidRDefault="00A945C8" w:rsidP="00A945C8">
      <w:r w:rsidRPr="009B6AA8">
        <w:t>The Department engaged Healthcare Management Advisors (HMA) to:</w:t>
      </w:r>
    </w:p>
    <w:p w14:paraId="11F57288" w14:textId="77777777" w:rsidR="00A945C8" w:rsidRPr="009B6AA8" w:rsidRDefault="00A945C8" w:rsidP="00A945C8">
      <w:pPr>
        <w:pStyle w:val="Quote"/>
      </w:pPr>
      <w:r w:rsidRPr="009B6AA8">
        <w:t>‘</w:t>
      </w:r>
      <w:proofErr w:type="gramStart"/>
      <w:r w:rsidRPr="009B6AA8">
        <w:t>assess</w:t>
      </w:r>
      <w:proofErr w:type="gramEnd"/>
      <w:r w:rsidRPr="009B6AA8">
        <w:t xml:space="preserve"> the effectiveness of the Radiation Oncology Health Program Grants (ROHPG) Scheme against the objectives of the program, including the impact of revised arrangements introduced in 2017.’</w:t>
      </w:r>
    </w:p>
    <w:p w14:paraId="049E7066" w14:textId="77777777" w:rsidR="00373EE3" w:rsidRDefault="00A945C8" w:rsidP="00A945C8">
      <w:r w:rsidRPr="009B6AA8">
        <w:t>The review process was undertaken from August to November 2020 and focused on fo</w:t>
      </w:r>
      <w:r w:rsidR="00973AEC" w:rsidRPr="009B6AA8">
        <w:t>u</w:t>
      </w:r>
      <w:r w:rsidRPr="009B6AA8">
        <w:t>r key review areas (KRA):</w:t>
      </w:r>
    </w:p>
    <w:p w14:paraId="3D86E4B4" w14:textId="7913B89E" w:rsidR="00A945C8" w:rsidRPr="000E490D" w:rsidRDefault="00A945C8" w:rsidP="000E490D">
      <w:pPr>
        <w:pStyle w:val="ListBullet"/>
      </w:pPr>
      <w:r w:rsidRPr="009B6AA8">
        <w:t xml:space="preserve">KRA-A: the ongoing </w:t>
      </w:r>
      <w:r w:rsidRPr="000E490D">
        <w:t>appropriateness of the ROHPG</w:t>
      </w:r>
    </w:p>
    <w:p w14:paraId="46FD15BB" w14:textId="77777777" w:rsidR="00373EE3" w:rsidRPr="000E490D" w:rsidRDefault="00A945C8" w:rsidP="000E490D">
      <w:pPr>
        <w:pStyle w:val="ListBullet"/>
      </w:pPr>
      <w:r w:rsidRPr="000E490D">
        <w:t>KRA-B: the effectiveness of the Scheme in meeting the program’s objectives</w:t>
      </w:r>
    </w:p>
    <w:p w14:paraId="49F24200" w14:textId="77777777" w:rsidR="00373EE3" w:rsidRPr="000E490D" w:rsidRDefault="00A945C8" w:rsidP="000E490D">
      <w:pPr>
        <w:pStyle w:val="ListBullet"/>
      </w:pPr>
      <w:r w:rsidRPr="000E490D">
        <w:t>KRA-C: the efficient and effective administration of the ROHPG Scheme, and</w:t>
      </w:r>
    </w:p>
    <w:p w14:paraId="19DEDFEA" w14:textId="76377E39" w:rsidR="00A945C8" w:rsidRPr="009B6AA8" w:rsidRDefault="00A945C8" w:rsidP="000E490D">
      <w:pPr>
        <w:pStyle w:val="ListBullet"/>
      </w:pPr>
      <w:r w:rsidRPr="000E490D">
        <w:t>KRA-D: appropriate accountability for</w:t>
      </w:r>
      <w:r w:rsidRPr="009B6AA8">
        <w:t xml:space="preserve"> ROHPG Scheme funds.</w:t>
      </w:r>
    </w:p>
    <w:p w14:paraId="7CECC892" w14:textId="77777777" w:rsidR="00373EE3" w:rsidRPr="00812B79" w:rsidRDefault="00A945C8" w:rsidP="00812B79">
      <w:r w:rsidRPr="009B6AA8">
        <w:t xml:space="preserve">The review included consultation with public and private radiotherapy </w:t>
      </w:r>
      <w:r w:rsidR="007A75A8">
        <w:t>facilities</w:t>
      </w:r>
      <w:r w:rsidRPr="009B6AA8">
        <w:t xml:space="preserve"> that receive ROHPG funding, the Department, jurisdictional departments of health (or equivalent), peak bodies and colleges, safety and quality agencies, consumer advocacy groups</w:t>
      </w:r>
      <w:r w:rsidR="00973AEC" w:rsidRPr="009B6AA8">
        <w:t>,</w:t>
      </w:r>
      <w:r w:rsidRPr="009B6AA8">
        <w:t xml:space="preserve"> and linear accelerator vendors. In addition, the review process considered published literature and policy and program documentation</w:t>
      </w:r>
      <w:r w:rsidR="00973AEC" w:rsidRPr="009B6AA8">
        <w:t>,</w:t>
      </w:r>
      <w:r w:rsidRPr="009B6AA8">
        <w:t xml:space="preserve"> analysis of ROHPG funding and equipment data, Australian Institute of Health and Welfare cancer incidence </w:t>
      </w:r>
      <w:r w:rsidR="00D5302A">
        <w:t>and</w:t>
      </w:r>
      <w:r w:rsidRPr="009B6AA8">
        <w:t xml:space="preserve"> </w:t>
      </w:r>
      <w:r w:rsidRPr="00D65C79">
        <w:t>radiotherapy data</w:t>
      </w:r>
      <w:r w:rsidR="00973AEC" w:rsidRPr="00D65C79">
        <w:t>,</w:t>
      </w:r>
      <w:r w:rsidRPr="00D65C79">
        <w:t xml:space="preserve"> and Medicare service and benefits paid data.</w:t>
      </w:r>
    </w:p>
    <w:p w14:paraId="4054714F" w14:textId="2F06A0AC" w:rsidR="00373EE3" w:rsidRPr="004F5CDF" w:rsidRDefault="00A945C8" w:rsidP="007A408D">
      <w:pPr>
        <w:pStyle w:val="Heading2"/>
        <w:ind w:left="576" w:hanging="576"/>
      </w:pPr>
      <w:bookmarkStart w:id="6" w:name="_Toc73696659"/>
      <w:r w:rsidRPr="009B6AA8">
        <w:lastRenderedPageBreak/>
        <w:t xml:space="preserve">Summary of review </w:t>
      </w:r>
      <w:r w:rsidRPr="005F39A9">
        <w:t>findings</w:t>
      </w:r>
      <w:r w:rsidRPr="009B6AA8">
        <w:t xml:space="preserve"> and recommendations</w:t>
      </w:r>
      <w:bookmarkEnd w:id="6"/>
    </w:p>
    <w:p w14:paraId="7E78BDDE" w14:textId="3A5E7E8E" w:rsidR="00A945C8" w:rsidRPr="004F5CDF" w:rsidRDefault="00A945C8" w:rsidP="00EC05B4">
      <w:pPr>
        <w:pStyle w:val="Heading3"/>
      </w:pPr>
      <w:bookmarkStart w:id="7" w:name="_Toc73696660"/>
      <w:r w:rsidRPr="009B6AA8">
        <w:t xml:space="preserve">KRA-A: the ongoing appropriateness of the </w:t>
      </w:r>
      <w:r w:rsidRPr="00EC05B4">
        <w:t>ROHPG</w:t>
      </w:r>
      <w:bookmarkEnd w:id="7"/>
    </w:p>
    <w:p w14:paraId="4304EA8F" w14:textId="77777777" w:rsidR="00373EE3" w:rsidRDefault="00A945C8" w:rsidP="00A945C8">
      <w:r w:rsidRPr="009B6AA8">
        <w:t xml:space="preserve">The review found the objectives of the ROHPG remain relevant, as radiotherapy continues to be a major component of cancer treatment, contributing to favourable outcomes in a range of high prevalence cancers. Many factors contribute to developing a radiotherapy service and providing </w:t>
      </w:r>
      <w:r w:rsidR="0074746C" w:rsidRPr="009B6AA8">
        <w:t>high</w:t>
      </w:r>
      <w:r w:rsidR="0074746C">
        <w:t>-</w:t>
      </w:r>
      <w:r w:rsidRPr="009B6AA8">
        <w:t xml:space="preserve">quality care for patients, including workforce, support services and integration into multidisciplinary teams. It is appropriate for these factors to be considered in assessing ROHPG funding applications. However, the review found that the process of setting priority areas by jurisdictions is not operating as intended and needs further consideration. In addition, there is a </w:t>
      </w:r>
      <w:r w:rsidR="0068652F">
        <w:t>misalign</w:t>
      </w:r>
      <w:r w:rsidRPr="009B6AA8">
        <w:t>ment between Australian Government funding commitments for regional radiotherapy infrastructure and ROHPG priority areas.</w:t>
      </w:r>
    </w:p>
    <w:p w14:paraId="62EC1160" w14:textId="77777777" w:rsidR="00373EE3" w:rsidRDefault="00A945C8" w:rsidP="00A945C8">
      <w:pPr>
        <w:spacing w:before="240"/>
      </w:pPr>
      <w:r w:rsidRPr="009B6AA8">
        <w:t xml:space="preserve">A trade-off analysis assessed the relative advantage of the current ROHPG </w:t>
      </w:r>
      <w:r w:rsidR="00FD606B">
        <w:t>Scheme</w:t>
      </w:r>
      <w:r w:rsidRPr="009B6AA8">
        <w:t xml:space="preserve"> (stat</w:t>
      </w:r>
      <w:r w:rsidR="0074746C">
        <w:t>us</w:t>
      </w:r>
      <w:r w:rsidRPr="009B6AA8">
        <w:t xml:space="preserve"> quo) against other potential funding options. The analysis did not find any of the alternative mechanisms to be more advantageous in their entirety. However, additional administrative efficiency is suggested through a more traditional grant program mechanism, or funding via state/territory jurisdictions.</w:t>
      </w:r>
    </w:p>
    <w:p w14:paraId="06BD5709" w14:textId="2EA74AC4" w:rsidR="0001065C" w:rsidRPr="009B6AA8" w:rsidRDefault="0001065C" w:rsidP="004F5CDF">
      <w:pPr>
        <w:pStyle w:val="ProjectImplication"/>
      </w:pPr>
      <w:r w:rsidRPr="009B6AA8">
        <w:rPr>
          <w:b/>
          <w:bCs/>
        </w:rPr>
        <w:t>Recommendation 1.</w:t>
      </w:r>
      <w:r w:rsidRPr="009B6AA8">
        <w:t xml:space="preserve"> The Department should continue to support the capital costs of high</w:t>
      </w:r>
      <w:r>
        <w:t>-</w:t>
      </w:r>
      <w:r w:rsidRPr="009B6AA8">
        <w:t xml:space="preserve">cost RT equipment. However, steps should be taken to further integrate the </w:t>
      </w:r>
      <w:r w:rsidR="00FD606B">
        <w:t>Scheme</w:t>
      </w:r>
      <w:r w:rsidRPr="009B6AA8">
        <w:t xml:space="preserve"> with jurisdiction RT planning.</w:t>
      </w:r>
    </w:p>
    <w:p w14:paraId="07D23A28" w14:textId="3CF56FDE" w:rsidR="0001065C" w:rsidRPr="009B6AA8" w:rsidRDefault="0001065C" w:rsidP="004F5CDF">
      <w:pPr>
        <w:pStyle w:val="ProjectImplication"/>
      </w:pPr>
      <w:r w:rsidRPr="009B6AA8">
        <w:rPr>
          <w:b/>
          <w:bCs/>
        </w:rPr>
        <w:t xml:space="preserve">Recommendation </w:t>
      </w:r>
      <w:r w:rsidR="00D71738">
        <w:rPr>
          <w:b/>
          <w:bCs/>
        </w:rPr>
        <w:t>2</w:t>
      </w:r>
      <w:r w:rsidRPr="009B6AA8">
        <w:rPr>
          <w:b/>
          <w:bCs/>
        </w:rPr>
        <w:t>.</w:t>
      </w:r>
      <w:r w:rsidRPr="009B6AA8">
        <w:t xml:space="preserve"> Steps to better integrate the ROHPG with national and state/territory RT planning are required to prevent ongoing </w:t>
      </w:r>
      <w:r>
        <w:t>misalign</w:t>
      </w:r>
      <w:r w:rsidRPr="009B6AA8">
        <w:t>ment of cancer planning agendas.</w:t>
      </w:r>
    </w:p>
    <w:p w14:paraId="23E68B9E" w14:textId="3D35418C" w:rsidR="00373EE3" w:rsidRPr="0046687F" w:rsidRDefault="00A945C8" w:rsidP="00EC05B4">
      <w:pPr>
        <w:pStyle w:val="Heading3"/>
      </w:pPr>
      <w:bookmarkStart w:id="8" w:name="_Toc73696661"/>
      <w:r w:rsidRPr="0046687F">
        <w:t>KRA-B: the effectiveness of the Scheme in meeting the program’s objectives</w:t>
      </w:r>
      <w:bookmarkEnd w:id="8"/>
    </w:p>
    <w:p w14:paraId="79CB4913" w14:textId="77777777" w:rsidR="00373EE3" w:rsidRDefault="00A945C8" w:rsidP="007E64A5">
      <w:r w:rsidRPr="009B6AA8">
        <w:t xml:space="preserve">The review found that the ROHPG made a significant financial contribution </w:t>
      </w:r>
      <w:r w:rsidR="00D71738">
        <w:t xml:space="preserve">to </w:t>
      </w:r>
      <w:r w:rsidRPr="009B6AA8">
        <w:t xml:space="preserve">the fleet of linear accelerators in Australia, supported growth in linear accelerator numbers, and promoted timely turnover of linear accelerators in the fleet. However, there was no evidence that private </w:t>
      </w:r>
      <w:r w:rsidR="007A75A8">
        <w:t>facilities</w:t>
      </w:r>
      <w:r w:rsidRPr="009B6AA8">
        <w:t xml:space="preserve"> have a higher throughput average than public </w:t>
      </w:r>
      <w:r w:rsidR="007A75A8">
        <w:t>facilities</w:t>
      </w:r>
      <w:r w:rsidRPr="009B6AA8">
        <w:t xml:space="preserve"> (per linear accelerator per annum). We therefore recommend that ROHPG payments be made in equal timeframes for all </w:t>
      </w:r>
      <w:r w:rsidR="007A75A8">
        <w:t>facilities</w:t>
      </w:r>
      <w:r w:rsidRPr="009B6AA8">
        <w:t>, which should be over a period of no more than 10 years.</w:t>
      </w:r>
    </w:p>
    <w:p w14:paraId="761CC877" w14:textId="77777777" w:rsidR="00373EE3" w:rsidRDefault="00A945C8" w:rsidP="00A945C8">
      <w:r w:rsidRPr="009B6AA8">
        <w:t xml:space="preserve">The review also found </w:t>
      </w:r>
      <w:r w:rsidR="002E1DEC">
        <w:t>that</w:t>
      </w:r>
      <w:r w:rsidR="002E1DEC" w:rsidRPr="009B6AA8">
        <w:t xml:space="preserve"> </w:t>
      </w:r>
      <w:r w:rsidRPr="009B6AA8">
        <w:t>the radiotherapy community look</w:t>
      </w:r>
      <w:r w:rsidR="002E1DEC">
        <w:t>s</w:t>
      </w:r>
      <w:r w:rsidRPr="009B6AA8">
        <w:t xml:space="preserve"> to the ROHPG to drive consistency and best practice in the absence of national regulation and planning. As such, there is possibility to expand the conditions of funding to promote broader quality and safety aspect</w:t>
      </w:r>
      <w:r w:rsidR="002E1DEC">
        <w:t>s</w:t>
      </w:r>
      <w:r w:rsidRPr="009B6AA8">
        <w:t xml:space="preserve"> of radiotherapy</w:t>
      </w:r>
      <w:r w:rsidR="00760CC3">
        <w:t xml:space="preserve"> as they emerge</w:t>
      </w:r>
      <w:r w:rsidRPr="009B6AA8">
        <w:t>.</w:t>
      </w:r>
    </w:p>
    <w:p w14:paraId="65DA6A7E" w14:textId="06BF5B43" w:rsidR="0001065C" w:rsidRPr="009B6AA8" w:rsidRDefault="0001065C" w:rsidP="004F5CDF">
      <w:pPr>
        <w:pStyle w:val="ProjectImplication"/>
      </w:pPr>
      <w:r w:rsidRPr="009B6AA8">
        <w:rPr>
          <w:b/>
          <w:bCs/>
        </w:rPr>
        <w:t xml:space="preserve">Recommendation </w:t>
      </w:r>
      <w:r w:rsidR="00D71738">
        <w:rPr>
          <w:b/>
          <w:bCs/>
        </w:rPr>
        <w:t>3</w:t>
      </w:r>
      <w:r w:rsidRPr="009B6AA8">
        <w:rPr>
          <w:b/>
          <w:bCs/>
        </w:rPr>
        <w:t xml:space="preserve">. </w:t>
      </w:r>
      <w:r w:rsidRPr="009B6AA8">
        <w:t xml:space="preserve">The ROHPG should be offered with subsidy timeframes that do not differentiate between public and private </w:t>
      </w:r>
      <w:r>
        <w:t>facilities</w:t>
      </w:r>
      <w:r w:rsidRPr="009B6AA8">
        <w:t xml:space="preserve">. The timeframe should be no longer than 10 years. The </w:t>
      </w:r>
      <w:r>
        <w:t>D</w:t>
      </w:r>
      <w:r w:rsidRPr="009B6AA8">
        <w:t>epartment may wish to consider shorter timeframes on a case</w:t>
      </w:r>
      <w:r>
        <w:t>-</w:t>
      </w:r>
      <w:r w:rsidRPr="009B6AA8">
        <w:t>by</w:t>
      </w:r>
      <w:r>
        <w:t>-</w:t>
      </w:r>
      <w:r w:rsidRPr="009B6AA8">
        <w:t xml:space="preserve">case </w:t>
      </w:r>
      <w:r w:rsidR="00EB6FB4" w:rsidRPr="009B6AA8">
        <w:t>basis if</w:t>
      </w:r>
      <w:r w:rsidRPr="009B6AA8">
        <w:t xml:space="preserve"> suitable evidence of very high throughput can be demonstrated.</w:t>
      </w:r>
    </w:p>
    <w:p w14:paraId="07343E24" w14:textId="3218AFCF" w:rsidR="0001065C" w:rsidRPr="009B6AA8" w:rsidRDefault="0001065C" w:rsidP="004F5CDF">
      <w:pPr>
        <w:pStyle w:val="ProjectImplication"/>
      </w:pPr>
      <w:r w:rsidRPr="009B6AA8">
        <w:rPr>
          <w:b/>
          <w:bCs/>
        </w:rPr>
        <w:t xml:space="preserve">Recommendation </w:t>
      </w:r>
      <w:r w:rsidR="00D71738">
        <w:rPr>
          <w:b/>
          <w:bCs/>
        </w:rPr>
        <w:t>4</w:t>
      </w:r>
      <w:r w:rsidRPr="009B6AA8">
        <w:rPr>
          <w:b/>
          <w:bCs/>
        </w:rPr>
        <w:t>.</w:t>
      </w:r>
      <w:r w:rsidRPr="009B6AA8">
        <w:t xml:space="preserve"> </w:t>
      </w:r>
      <w:r>
        <w:t xml:space="preserve">The Department may wish to consider the inclusion of </w:t>
      </w:r>
      <w:r w:rsidRPr="004F5CDF">
        <w:t>additional</w:t>
      </w:r>
      <w:r>
        <w:t xml:space="preserve"> safety monitoring measures into the ROHPG funding conditions in future as they emerge </w:t>
      </w:r>
      <w:r w:rsidR="007D5B1A">
        <w:t xml:space="preserve">or are mandated by jurisdictions </w:t>
      </w:r>
      <w:r>
        <w:t xml:space="preserve">(e.g. the </w:t>
      </w:r>
      <w:r w:rsidRPr="009B6AA8">
        <w:t>Australian Radiation Incident Registry</w:t>
      </w:r>
      <w:r>
        <w:t xml:space="preserve"> or Radiation Oncology Standards). However, it is not the place of a capital grants scheme to enforce quality standards for the radiation oncology sector.</w:t>
      </w:r>
    </w:p>
    <w:p w14:paraId="3EA2AC50" w14:textId="18976D0B" w:rsidR="00373EE3" w:rsidRPr="00A404F1" w:rsidRDefault="00A945C8" w:rsidP="00A404F1">
      <w:pPr>
        <w:pStyle w:val="Heading3"/>
      </w:pPr>
      <w:bookmarkStart w:id="9" w:name="_Toc73696662"/>
      <w:r w:rsidRPr="004F5CDF">
        <w:t>KRA-C: the efficient and effective administration of the ROHPG Scheme</w:t>
      </w:r>
      <w:bookmarkEnd w:id="9"/>
    </w:p>
    <w:p w14:paraId="39D5044F" w14:textId="49438719" w:rsidR="00A945C8" w:rsidRPr="009B6AA8" w:rsidRDefault="00A945C8" w:rsidP="00A945C8">
      <w:r w:rsidRPr="009B6AA8">
        <w:t>The review found that the $3</w:t>
      </w:r>
      <w:r w:rsidR="00D65C79">
        <w:t xml:space="preserve"> </w:t>
      </w:r>
      <w:r w:rsidRPr="00D65C79">
        <w:t>m</w:t>
      </w:r>
      <w:r w:rsidR="0066465D">
        <w:t>illion</w:t>
      </w:r>
      <w:r w:rsidRPr="00D65C79">
        <w:t xml:space="preserve"> contribution to linear accelerator capital costs is a significant contribution to the current costs of base level </w:t>
      </w:r>
      <w:proofErr w:type="spellStart"/>
      <w:r w:rsidR="00D65C79" w:rsidRPr="00D65C79">
        <w:t>linac</w:t>
      </w:r>
      <w:r w:rsidR="002E1DEC">
        <w:t>s</w:t>
      </w:r>
      <w:proofErr w:type="spellEnd"/>
      <w:r w:rsidR="00D65C79" w:rsidRPr="00D65C79">
        <w:t xml:space="preserve"> but</w:t>
      </w:r>
      <w:r w:rsidRPr="00D65C79">
        <w:t xml:space="preserve"> does not cover the full costs of add-ons required for newer treatment regimes, or advanced equipment. </w:t>
      </w:r>
      <w:r w:rsidRPr="009B6AA8">
        <w:t xml:space="preserve">The full impact of the changes to ROHPG funding (including no longer funding non-linear accelerator equipment) </w:t>
      </w:r>
      <w:r w:rsidR="00EE0B7E">
        <w:t xml:space="preserve">may </w:t>
      </w:r>
      <w:r w:rsidRPr="009B6AA8">
        <w:t xml:space="preserve">not be evident until </w:t>
      </w:r>
      <w:r w:rsidR="00760CC3">
        <w:t xml:space="preserve">equipment funded under the transition period arrangements and </w:t>
      </w:r>
      <w:r w:rsidRPr="009B6AA8">
        <w:t xml:space="preserve">linear accelerators funded under the new arrangements require replacement. </w:t>
      </w:r>
      <w:r w:rsidR="00760CC3">
        <w:t>T</w:t>
      </w:r>
      <w:r w:rsidRPr="009B6AA8">
        <w:t xml:space="preserve">he removal of brachytherapy from the ROHPG </w:t>
      </w:r>
      <w:r w:rsidR="00FD606B">
        <w:t>Scheme</w:t>
      </w:r>
      <w:r w:rsidRPr="009B6AA8">
        <w:t xml:space="preserve"> could </w:t>
      </w:r>
      <w:r w:rsidR="00760CC3">
        <w:t xml:space="preserve">result in fewer </w:t>
      </w:r>
      <w:r w:rsidR="00A071FD">
        <w:t>facilities</w:t>
      </w:r>
      <w:r w:rsidR="00760CC3">
        <w:t xml:space="preserve"> providing this treatment option in future. However, the ROHPG </w:t>
      </w:r>
      <w:r w:rsidR="00FD606B">
        <w:t>Scheme</w:t>
      </w:r>
      <w:r w:rsidR="00760CC3">
        <w:t xml:space="preserve"> only provides a contribution to high-cost equipment and alternative funding options will need to be sourced by radiotherapy facilities.</w:t>
      </w:r>
    </w:p>
    <w:p w14:paraId="3E6ED0ED" w14:textId="77777777" w:rsidR="00373EE3" w:rsidRDefault="00A945C8" w:rsidP="00A945C8">
      <w:r w:rsidRPr="009B6AA8">
        <w:t>The streamlined administrative process for the ROHPG and the annual payments are preferred by stakeholders. However de-linking payments from MBS service use created a loss of visibility for the Department about utilisation of funded equipment. The Department has implemented a suitable strategy to address this.</w:t>
      </w:r>
    </w:p>
    <w:p w14:paraId="46B54510" w14:textId="01B957ED" w:rsidR="00A945C8" w:rsidRPr="009B6AA8" w:rsidRDefault="00A945C8" w:rsidP="00A945C8">
      <w:r w:rsidRPr="009B6AA8">
        <w:t>However, the setting of priority areas and set timeframe</w:t>
      </w:r>
      <w:r w:rsidR="00D71738">
        <w:t>s</w:t>
      </w:r>
      <w:r w:rsidRPr="009B6AA8">
        <w:t xml:space="preserve"> for new applications in priority area locations has not worked as intended. At </w:t>
      </w:r>
      <w:r w:rsidR="00EE0B7E">
        <w:t xml:space="preserve">a </w:t>
      </w:r>
      <w:r w:rsidRPr="009B6AA8">
        <w:t>minimum, more transparency is required about how the priority areas are identified, with a longer-term view of upcoming priority areas. If there is a greater appetite for restructure among stakeholders, priority area setting could become integrated with greater national planning for radiotherapy that takes into consideration other necessary factors such as workforce, service integration and referral pathways.</w:t>
      </w:r>
    </w:p>
    <w:p w14:paraId="2CEE66B4" w14:textId="77777777" w:rsidR="00373EE3" w:rsidRDefault="00A945C8" w:rsidP="00A945C8">
      <w:r w:rsidRPr="009B6AA8">
        <w:lastRenderedPageBreak/>
        <w:t xml:space="preserve">A two-year timeframe for the establishing of new </w:t>
      </w:r>
      <w:r w:rsidR="00760CC3">
        <w:t xml:space="preserve">radiotherapy </w:t>
      </w:r>
      <w:r w:rsidRPr="009B6AA8">
        <w:t>facilities was considered adequate and welcomed by stakeholders to prevent ‘warehousing’ of ROHPG locations.</w:t>
      </w:r>
    </w:p>
    <w:p w14:paraId="6E206681" w14:textId="3C51E5EC" w:rsidR="0001065C" w:rsidRPr="009B6AA8" w:rsidRDefault="0001065C" w:rsidP="004F5CDF">
      <w:pPr>
        <w:pStyle w:val="ProjectImplication"/>
      </w:pPr>
      <w:r w:rsidRPr="009B6AA8">
        <w:rPr>
          <w:b/>
          <w:bCs/>
        </w:rPr>
        <w:t xml:space="preserve">Recommendation </w:t>
      </w:r>
      <w:r w:rsidR="00D71738">
        <w:rPr>
          <w:b/>
          <w:bCs/>
        </w:rPr>
        <w:t>5</w:t>
      </w:r>
      <w:r w:rsidRPr="009B6AA8">
        <w:rPr>
          <w:b/>
          <w:bCs/>
        </w:rPr>
        <w:t>.</w:t>
      </w:r>
      <w:r w:rsidRPr="009B6AA8">
        <w:t xml:space="preserve"> </w:t>
      </w:r>
      <w:r w:rsidRPr="00226482">
        <w:t xml:space="preserve">$3 million makes a significant contribution to the current costs of a base level </w:t>
      </w:r>
      <w:proofErr w:type="spellStart"/>
      <w:r w:rsidRPr="00226482">
        <w:t>linac</w:t>
      </w:r>
      <w:proofErr w:type="spellEnd"/>
      <w:r>
        <w:t>.</w:t>
      </w:r>
      <w:r w:rsidRPr="009B6AA8">
        <w:t xml:space="preserve"> </w:t>
      </w:r>
      <w:r w:rsidRPr="00226482">
        <w:t>The capital contribution should be reviewed periodically (nominally every four years) to ensure it remains an appropriate value.</w:t>
      </w:r>
    </w:p>
    <w:p w14:paraId="4005D807" w14:textId="77777777" w:rsidR="00373EE3" w:rsidRDefault="0001065C" w:rsidP="004F5CDF">
      <w:pPr>
        <w:pStyle w:val="ProjectImplication"/>
      </w:pPr>
      <w:r w:rsidRPr="009B6AA8">
        <w:rPr>
          <w:b/>
          <w:bCs/>
        </w:rPr>
        <w:t xml:space="preserve">Recommendation </w:t>
      </w:r>
      <w:r w:rsidR="00D71738">
        <w:rPr>
          <w:b/>
          <w:bCs/>
        </w:rPr>
        <w:t>6</w:t>
      </w:r>
      <w:r w:rsidRPr="009B6AA8">
        <w:rPr>
          <w:b/>
          <w:bCs/>
        </w:rPr>
        <w:t>.</w:t>
      </w:r>
      <w:r w:rsidRPr="009B6AA8">
        <w:t xml:space="preserve"> The formula used for setting priority areas in each jurisdiction should be made available, along with the estimated demand (including both met and unmet need) for each planning region. Longer-term projections should also be presented (e.g. upcoming five years), even if these areas cannot be applied for until future years. This will enable forward planning by providers.</w:t>
      </w:r>
    </w:p>
    <w:p w14:paraId="3ED138DB" w14:textId="50E6C44E" w:rsidR="0001065C" w:rsidRPr="009B6AA8" w:rsidRDefault="0001065C" w:rsidP="004F5CDF">
      <w:pPr>
        <w:pStyle w:val="ProjectImplication"/>
      </w:pPr>
      <w:r w:rsidRPr="009B6AA8">
        <w:rPr>
          <w:b/>
          <w:bCs/>
        </w:rPr>
        <w:t xml:space="preserve">Recommendation </w:t>
      </w:r>
      <w:r w:rsidR="00D71738">
        <w:rPr>
          <w:b/>
          <w:bCs/>
        </w:rPr>
        <w:t>7</w:t>
      </w:r>
      <w:r w:rsidRPr="009B6AA8">
        <w:rPr>
          <w:b/>
          <w:bCs/>
        </w:rPr>
        <w:t xml:space="preserve">. </w:t>
      </w:r>
      <w:r w:rsidRPr="009B6AA8">
        <w:t>The Department</w:t>
      </w:r>
      <w:r>
        <w:t>, in conjunction with jurisdictional departments of health,</w:t>
      </w:r>
      <w:r w:rsidRPr="009B6AA8">
        <w:t xml:space="preserve"> </w:t>
      </w:r>
      <w:r>
        <w:t xml:space="preserve">could </w:t>
      </w:r>
      <w:r w:rsidRPr="009B6AA8">
        <w:t xml:space="preserve">consider establishment of a national register of all </w:t>
      </w:r>
      <w:proofErr w:type="spellStart"/>
      <w:r w:rsidRPr="009B6AA8">
        <w:t>linacs</w:t>
      </w:r>
      <w:proofErr w:type="spellEnd"/>
      <w:r>
        <w:t xml:space="preserve"> </w:t>
      </w:r>
      <w:r w:rsidRPr="009B6AA8">
        <w:t>to support planning processes.</w:t>
      </w:r>
    </w:p>
    <w:p w14:paraId="7B7F0FAF" w14:textId="545A9494" w:rsidR="0001065C" w:rsidRPr="009B6AA8" w:rsidRDefault="0001065C" w:rsidP="004F5CDF">
      <w:pPr>
        <w:pStyle w:val="ProjectImplication"/>
      </w:pPr>
      <w:r w:rsidRPr="009B6AA8">
        <w:rPr>
          <w:b/>
          <w:bCs/>
        </w:rPr>
        <w:t xml:space="preserve">Recommendation </w:t>
      </w:r>
      <w:r w:rsidR="00D71738">
        <w:rPr>
          <w:b/>
          <w:bCs/>
        </w:rPr>
        <w:t>8</w:t>
      </w:r>
      <w:r w:rsidRPr="009B6AA8">
        <w:rPr>
          <w:b/>
          <w:bCs/>
        </w:rPr>
        <w:t>.</w:t>
      </w:r>
      <w:r w:rsidRPr="009B6AA8">
        <w:t xml:space="preserve"> The Department may wish to consider expanding the setting of priority area</w:t>
      </w:r>
      <w:r>
        <w:t>s</w:t>
      </w:r>
      <w:r w:rsidRPr="009B6AA8">
        <w:t xml:space="preserve"> to include broader radiotherapy planning at a national level, with input from jurisdiction</w:t>
      </w:r>
      <w:r>
        <w:t>s</w:t>
      </w:r>
      <w:r w:rsidRPr="009B6AA8">
        <w:t xml:space="preserve"> and </w:t>
      </w:r>
      <w:r>
        <w:t>facilities</w:t>
      </w:r>
      <w:r w:rsidRPr="009B6AA8">
        <w:t>.</w:t>
      </w:r>
    </w:p>
    <w:p w14:paraId="54899C84" w14:textId="3202CE01" w:rsidR="0001065C" w:rsidRPr="009B6AA8" w:rsidRDefault="0001065C" w:rsidP="004F5CDF">
      <w:pPr>
        <w:pStyle w:val="ProjectImplication"/>
      </w:pPr>
      <w:r w:rsidRPr="009B6AA8">
        <w:rPr>
          <w:b/>
          <w:bCs/>
        </w:rPr>
        <w:t xml:space="preserve">Recommendation </w:t>
      </w:r>
      <w:r w:rsidR="00D71738">
        <w:rPr>
          <w:b/>
          <w:bCs/>
        </w:rPr>
        <w:t>9</w:t>
      </w:r>
      <w:r w:rsidRPr="009B6AA8">
        <w:rPr>
          <w:b/>
          <w:bCs/>
        </w:rPr>
        <w:t xml:space="preserve">. </w:t>
      </w:r>
      <w:r w:rsidRPr="009B6AA8">
        <w:t>The Department should maintain the two-year timeframe for establishing new facilities. New timeframes (no longer than two years) should be negotiated with the grandfathered non-operational facilities.</w:t>
      </w:r>
    </w:p>
    <w:p w14:paraId="4C0FF34F" w14:textId="30A5C6D8" w:rsidR="00A945C8" w:rsidRPr="009B6AA8" w:rsidRDefault="0001065C" w:rsidP="004F5CDF">
      <w:pPr>
        <w:pStyle w:val="ProjectImplication"/>
      </w:pPr>
      <w:r w:rsidRPr="009B6AA8">
        <w:rPr>
          <w:b/>
          <w:bCs/>
        </w:rPr>
        <w:t>Recommendation 1</w:t>
      </w:r>
      <w:r w:rsidR="00D71738">
        <w:rPr>
          <w:b/>
          <w:bCs/>
        </w:rPr>
        <w:t>0</w:t>
      </w:r>
      <w:r w:rsidRPr="009B6AA8">
        <w:rPr>
          <w:b/>
          <w:bCs/>
        </w:rPr>
        <w:t>.</w:t>
      </w:r>
      <w:r w:rsidRPr="009B6AA8">
        <w:t xml:space="preserve"> The Department should maintain the inclusion of dosimetry monitoring.</w:t>
      </w:r>
    </w:p>
    <w:p w14:paraId="0C782A55" w14:textId="175C5AE3" w:rsidR="00A945C8" w:rsidRPr="009B6AA8" w:rsidRDefault="00A945C8" w:rsidP="00EC05B4">
      <w:pPr>
        <w:pStyle w:val="Heading3"/>
      </w:pPr>
      <w:bookmarkStart w:id="10" w:name="_Toc73696663"/>
      <w:r w:rsidRPr="00EC05B4">
        <w:t>KRA</w:t>
      </w:r>
      <w:r w:rsidRPr="009B6AA8">
        <w:t>-D: appropriate accountability for ROHPG Scheme funds</w:t>
      </w:r>
      <w:bookmarkEnd w:id="10"/>
    </w:p>
    <w:p w14:paraId="3935CB7C" w14:textId="77777777" w:rsidR="00373EE3" w:rsidRDefault="00A945C8" w:rsidP="00A945C8">
      <w:r w:rsidRPr="009B6AA8">
        <w:t xml:space="preserve">The review noted several areas where the ROHPG </w:t>
      </w:r>
      <w:r w:rsidR="00FD606B">
        <w:t>Scheme</w:t>
      </w:r>
      <w:r w:rsidRPr="009B6AA8">
        <w:t xml:space="preserve"> administration could be strengthened to increase transparency and provide assurance of the appropriate use of Australian Government funds.</w:t>
      </w:r>
    </w:p>
    <w:p w14:paraId="30AF7F77" w14:textId="77777777" w:rsidR="00A018D6" w:rsidRDefault="0001065C" w:rsidP="004F5CDF">
      <w:pPr>
        <w:pStyle w:val="ProjectImplication"/>
      </w:pPr>
      <w:r w:rsidRPr="009B6AA8">
        <w:rPr>
          <w:b/>
          <w:bCs/>
        </w:rPr>
        <w:t>Recommendation 1</w:t>
      </w:r>
      <w:r w:rsidR="00D71738">
        <w:rPr>
          <w:b/>
          <w:bCs/>
        </w:rPr>
        <w:t>1</w:t>
      </w:r>
      <w:r w:rsidRPr="009B6AA8">
        <w:rPr>
          <w:b/>
          <w:bCs/>
        </w:rPr>
        <w:t xml:space="preserve">. </w:t>
      </w:r>
      <w:r w:rsidRPr="009B6AA8">
        <w:t>The Department should strengthen the ROHPG application process by:</w:t>
      </w:r>
    </w:p>
    <w:p w14:paraId="03019CF7" w14:textId="77777777" w:rsidR="00A018D6" w:rsidRDefault="0001065C" w:rsidP="004F5CDF">
      <w:pPr>
        <w:pStyle w:val="ProjectImplication"/>
      </w:pPr>
      <w:r w:rsidRPr="009B6AA8">
        <w:t xml:space="preserve">1. Making the ROHPG guidelines </w:t>
      </w:r>
      <w:r>
        <w:t xml:space="preserve">and/or application form </w:t>
      </w:r>
      <w:r w:rsidRPr="009B6AA8">
        <w:t>more explicit about what information should be presented for the patient access criterion, even in priority area locations.</w:t>
      </w:r>
    </w:p>
    <w:p w14:paraId="70EA2A13" w14:textId="7C194CD5" w:rsidR="00A018D6" w:rsidRDefault="0001065C" w:rsidP="004F5CDF">
      <w:pPr>
        <w:pStyle w:val="ProjectImplication"/>
      </w:pPr>
      <w:r w:rsidRPr="009B6AA8">
        <w:t>2. For the affordable service criterion</w:t>
      </w:r>
      <w:r>
        <w:t>,</w:t>
      </w:r>
      <w:r w:rsidRPr="009B6AA8">
        <w:t xml:space="preserve"> seeking additional information about the proximity of </w:t>
      </w:r>
      <w:r>
        <w:t>facilities</w:t>
      </w:r>
      <w:r w:rsidRPr="009B6AA8">
        <w:t xml:space="preserve"> that have 100% bulk-billing processes (e.g. public </w:t>
      </w:r>
      <w:r>
        <w:t>facilities</w:t>
      </w:r>
      <w:r w:rsidRPr="009B6AA8">
        <w:t>) and include a description of how additional billing information (e.g. fee schedule</w:t>
      </w:r>
      <w:r w:rsidR="00A018D6">
        <w:t>s) will be scored and compared.</w:t>
      </w:r>
    </w:p>
    <w:p w14:paraId="0A3A1B9F" w14:textId="77777777" w:rsidR="00A018D6" w:rsidRDefault="0001065C" w:rsidP="004F5CDF">
      <w:pPr>
        <w:pStyle w:val="ProjectImplication"/>
      </w:pPr>
      <w:r w:rsidRPr="009B6AA8">
        <w:t xml:space="preserve">3. Requesting the provision of evidence (letters or email exchange) of stated relationships for the multidisciplinary and patient centred care criterion. </w:t>
      </w:r>
    </w:p>
    <w:p w14:paraId="35F19EF6" w14:textId="136AFB5F" w:rsidR="0001065C" w:rsidRPr="009B6AA8" w:rsidRDefault="0001065C" w:rsidP="004F5CDF">
      <w:pPr>
        <w:pStyle w:val="ProjectImplication"/>
      </w:pPr>
      <w:r w:rsidRPr="009B6AA8">
        <w:t>4. Including a scoring matrix for all criteria to enable a transparent assessment process.</w:t>
      </w:r>
    </w:p>
    <w:p w14:paraId="116C1AF6" w14:textId="7D97541D" w:rsidR="0001065C" w:rsidRPr="009B6AA8" w:rsidRDefault="0001065C" w:rsidP="004F5CDF">
      <w:pPr>
        <w:pStyle w:val="ProjectImplication"/>
      </w:pPr>
      <w:r w:rsidRPr="009B6AA8">
        <w:rPr>
          <w:b/>
          <w:bCs/>
        </w:rPr>
        <w:t>Recommendation 1</w:t>
      </w:r>
      <w:r w:rsidR="00D71738">
        <w:rPr>
          <w:b/>
          <w:bCs/>
        </w:rPr>
        <w:t>2</w:t>
      </w:r>
      <w:r w:rsidRPr="009B6AA8">
        <w:rPr>
          <w:b/>
          <w:bCs/>
        </w:rPr>
        <w:t xml:space="preserve">. </w:t>
      </w:r>
      <w:r w:rsidRPr="009B6AA8">
        <w:t xml:space="preserve">The ROHPG instrument should be updated to reflect all relevant assessment criteria and the </w:t>
      </w:r>
      <w:r>
        <w:t>facility</w:t>
      </w:r>
      <w:r w:rsidRPr="009B6AA8">
        <w:t xml:space="preserve"> declaration expanded to include additional conditions.</w:t>
      </w:r>
    </w:p>
    <w:p w14:paraId="7B530FCD" w14:textId="029AA496" w:rsidR="0001065C" w:rsidRPr="009B6AA8" w:rsidRDefault="0001065C" w:rsidP="004F5CDF">
      <w:pPr>
        <w:pStyle w:val="ProjectImplication"/>
      </w:pPr>
      <w:r w:rsidRPr="009B6AA8">
        <w:rPr>
          <w:b/>
          <w:bCs/>
        </w:rPr>
        <w:t>Recommendation 1</w:t>
      </w:r>
      <w:r w:rsidR="00D71738">
        <w:rPr>
          <w:b/>
          <w:bCs/>
        </w:rPr>
        <w:t>3</w:t>
      </w:r>
      <w:r w:rsidRPr="009B6AA8">
        <w:rPr>
          <w:b/>
          <w:bCs/>
        </w:rPr>
        <w:t xml:space="preserve">. </w:t>
      </w:r>
      <w:r w:rsidRPr="009B6AA8">
        <w:t xml:space="preserve">The Department should </w:t>
      </w:r>
      <w:r>
        <w:t xml:space="preserve">continue </w:t>
      </w:r>
      <w:r w:rsidRPr="009B6AA8">
        <w:t>pausing ROHPG payments if necessary certificates of currency have not been provided</w:t>
      </w:r>
      <w:r>
        <w:t xml:space="preserve"> and could consider pausing payments if</w:t>
      </w:r>
      <w:r w:rsidRPr="009B6AA8">
        <w:t xml:space="preserve"> equipment has not been used </w:t>
      </w:r>
      <w:r>
        <w:t xml:space="preserve">within a </w:t>
      </w:r>
      <w:r w:rsidRPr="009B6AA8">
        <w:t>financial year</w:t>
      </w:r>
      <w:r>
        <w:t xml:space="preserve">. Similarly, </w:t>
      </w:r>
      <w:r w:rsidRPr="009B6AA8">
        <w:t xml:space="preserve">additional penalties </w:t>
      </w:r>
      <w:r>
        <w:t xml:space="preserve">could be considered </w:t>
      </w:r>
      <w:r w:rsidRPr="009B6AA8">
        <w:t>such as reduced payments if other funding conditions are not met</w:t>
      </w:r>
      <w:r>
        <w:t>. However, the exact nature of appropriate penalties would need to be developed in consultation with the sector to ensure patients would not be adversely affected</w:t>
      </w:r>
      <w:r w:rsidRPr="009B6AA8">
        <w:t>.</w:t>
      </w:r>
    </w:p>
    <w:p w14:paraId="376AEABE" w14:textId="4F9F18AF" w:rsidR="00373EE3" w:rsidRPr="00A404F1" w:rsidRDefault="00A945C8" w:rsidP="007A408D">
      <w:pPr>
        <w:pStyle w:val="Heading2"/>
        <w:ind w:left="576" w:hanging="576"/>
      </w:pPr>
      <w:bookmarkStart w:id="11" w:name="_Toc73696664"/>
      <w:r w:rsidRPr="009B6AA8">
        <w:lastRenderedPageBreak/>
        <w:t>Future directions</w:t>
      </w:r>
      <w:bookmarkEnd w:id="11"/>
    </w:p>
    <w:p w14:paraId="074D5D8F" w14:textId="5FCC306F" w:rsidR="00A945C8" w:rsidRPr="009B6AA8" w:rsidRDefault="00A945C8" w:rsidP="00A945C8">
      <w:r w:rsidRPr="009B6AA8">
        <w:t>The review outline</w:t>
      </w:r>
      <w:r w:rsidR="00076CD4">
        <w:t>s</w:t>
      </w:r>
      <w:r w:rsidRPr="009B6AA8">
        <w:t xml:space="preserve"> t</w:t>
      </w:r>
      <w:r w:rsidR="00975630">
        <w:t>wo</w:t>
      </w:r>
      <w:r w:rsidRPr="009B6AA8">
        <w:t xml:space="preserve"> implementation options for the recommendations, depending on the appetite for change among stakeholders</w:t>
      </w:r>
      <w:r w:rsidR="00975630">
        <w:t>.</w:t>
      </w:r>
    </w:p>
    <w:p w14:paraId="1F3F1FEE" w14:textId="5E3D7CA3" w:rsidR="00373EE3" w:rsidRDefault="00A945C8" w:rsidP="00EC05B4">
      <w:pPr>
        <w:pStyle w:val="Heading3"/>
      </w:pPr>
      <w:bookmarkStart w:id="12" w:name="_Toc73696665"/>
      <w:r w:rsidRPr="009B6AA8">
        <w:t xml:space="preserve">Option 1: </w:t>
      </w:r>
      <w:r w:rsidR="0001065C">
        <w:t>A</w:t>
      </w:r>
      <w:r w:rsidRPr="009B6AA8">
        <w:t xml:space="preserve">djustments to strengthen the existing ROHPG </w:t>
      </w:r>
      <w:r w:rsidR="00FD606B">
        <w:t>Scheme</w:t>
      </w:r>
      <w:bookmarkEnd w:id="12"/>
    </w:p>
    <w:p w14:paraId="6FF406F9" w14:textId="77777777" w:rsidR="00373EE3" w:rsidRDefault="00A945C8" w:rsidP="00A945C8">
      <w:pPr>
        <w:keepNext/>
      </w:pPr>
      <w:r w:rsidRPr="009B6AA8">
        <w:t xml:space="preserve">ROHPG </w:t>
      </w:r>
      <w:r w:rsidR="00FD606B">
        <w:t>Scheme</w:t>
      </w:r>
      <w:r w:rsidRPr="009B6AA8">
        <w:t xml:space="preserve"> remains in its current form but is strengthened with recommended adjustments to payment timeframes, application process and conditions of funding. In addition, the process for setting priority areas is strengthen</w:t>
      </w:r>
      <w:r w:rsidR="00076CD4">
        <w:t>ed</w:t>
      </w:r>
      <w:r w:rsidRPr="009B6AA8">
        <w:t xml:space="preserve"> with greater transparency and longer prediction timeframes to allow for future planning</w:t>
      </w:r>
      <w:r w:rsidR="0001065C" w:rsidRPr="0001065C">
        <w:t xml:space="preserve"> </w:t>
      </w:r>
      <w:r w:rsidR="0001065C">
        <w:t xml:space="preserve">and consideration of </w:t>
      </w:r>
      <w:proofErr w:type="spellStart"/>
      <w:r w:rsidR="0001065C">
        <w:t>statewide</w:t>
      </w:r>
      <w:proofErr w:type="spellEnd"/>
      <w:r w:rsidR="0001065C">
        <w:t xml:space="preserve"> </w:t>
      </w:r>
      <w:r w:rsidR="0079003A">
        <w:t xml:space="preserve">radiotherapy </w:t>
      </w:r>
      <w:r w:rsidR="0001065C">
        <w:t>planning needs</w:t>
      </w:r>
      <w:r w:rsidRPr="009B6AA8">
        <w:t>.</w:t>
      </w:r>
    </w:p>
    <w:p w14:paraId="027E0785" w14:textId="2A6DC222" w:rsidR="00A945C8" w:rsidRPr="009B6AA8" w:rsidRDefault="00A945C8" w:rsidP="007C4BAF">
      <w:pPr>
        <w:pStyle w:val="Heading3"/>
      </w:pPr>
      <w:bookmarkStart w:id="13" w:name="_Toc73696666"/>
      <w:r w:rsidRPr="009B6AA8">
        <w:t xml:space="preserve">Option 2: </w:t>
      </w:r>
      <w:r w:rsidR="0001065C" w:rsidRPr="0001065C">
        <w:t>Development of a national body with input from all jurisdictions, colleagues, peak bodies and public and private facilities for radiotherapy planning that includes capital funding for high-cost equipment.</w:t>
      </w:r>
      <w:bookmarkEnd w:id="13"/>
    </w:p>
    <w:p w14:paraId="7C6DF57C" w14:textId="77777777" w:rsidR="00373EE3" w:rsidRDefault="00A945C8" w:rsidP="00A945C8">
      <w:r w:rsidRPr="009B6AA8">
        <w:t xml:space="preserve">Development of a national body with responsibility for radiotherapy planning comprising representation from all jurisdictions (including the Australian Government), public and private </w:t>
      </w:r>
      <w:r w:rsidR="00C62BBC">
        <w:t>facilities</w:t>
      </w:r>
      <w:r w:rsidRPr="009B6AA8">
        <w:t>, colleges, and peak bodies.</w:t>
      </w:r>
    </w:p>
    <w:p w14:paraId="109EE785" w14:textId="5CE3FD70" w:rsidR="007E64A5" w:rsidRDefault="00A945C8" w:rsidP="00A945C8">
      <w:r w:rsidRPr="009B6AA8">
        <w:t xml:space="preserve">This option provides a platform to include the features of Option 1 to strengthen the capital funding </w:t>
      </w:r>
      <w:r w:rsidR="00D65C79" w:rsidRPr="009B6AA8">
        <w:t>aspects but</w:t>
      </w:r>
      <w:r w:rsidRPr="009B6AA8">
        <w:t xml:space="preserve"> promote better integration of capital funding with radiotherapy planning</w:t>
      </w:r>
      <w:r w:rsidR="00076CD4">
        <w:t>. This option would</w:t>
      </w:r>
      <w:r w:rsidRPr="009B6AA8">
        <w:t xml:space="preserve"> </w:t>
      </w:r>
      <w:r w:rsidR="00076CD4">
        <w:t>also enable alignment of</w:t>
      </w:r>
      <w:r w:rsidRPr="009B6AA8">
        <w:t xml:space="preserve"> capital funding with planning agendas at the Australian Government and state and territory levels.</w:t>
      </w:r>
    </w:p>
    <w:p w14:paraId="67E9B87F" w14:textId="0FD2257B" w:rsidR="00C2133E" w:rsidRPr="00785F73" w:rsidRDefault="00375E68" w:rsidP="007E64A5">
      <w:pPr>
        <w:pStyle w:val="Heading1numbered"/>
        <w:pageBreakBefore/>
        <w:numPr>
          <w:ilvl w:val="0"/>
          <w:numId w:val="40"/>
        </w:numPr>
        <w:ind w:left="431" w:hanging="431"/>
      </w:pPr>
      <w:bookmarkStart w:id="14" w:name="_Toc59198438"/>
      <w:bookmarkStart w:id="15" w:name="_Toc66193905"/>
      <w:bookmarkStart w:id="16" w:name="_Toc73696667"/>
      <w:r w:rsidRPr="00785F73">
        <w:lastRenderedPageBreak/>
        <w:t>I</w:t>
      </w:r>
      <w:r w:rsidR="00DC7DE8" w:rsidRPr="00785F73">
        <w:t>ntroduction</w:t>
      </w:r>
      <w:bookmarkEnd w:id="14"/>
      <w:bookmarkEnd w:id="15"/>
      <w:bookmarkEnd w:id="16"/>
    </w:p>
    <w:p w14:paraId="63FDFC68" w14:textId="77777777" w:rsidR="00373EE3" w:rsidRPr="00BC705E" w:rsidRDefault="00891E0E" w:rsidP="007A408D">
      <w:pPr>
        <w:pStyle w:val="heading2numbered"/>
      </w:pPr>
      <w:bookmarkStart w:id="17" w:name="_Toc50722030"/>
      <w:bookmarkStart w:id="18" w:name="_Toc54688772"/>
      <w:bookmarkStart w:id="19" w:name="_Toc59198439"/>
      <w:bookmarkStart w:id="20" w:name="_Toc66193906"/>
      <w:bookmarkStart w:id="21" w:name="_Toc73696668"/>
      <w:bookmarkStart w:id="22" w:name="_Toc48314369"/>
      <w:bookmarkStart w:id="23" w:name="_Toc51773732"/>
      <w:r w:rsidRPr="00BC705E">
        <w:t>Background</w:t>
      </w:r>
      <w:bookmarkEnd w:id="17"/>
      <w:r w:rsidRPr="00BC705E">
        <w:t xml:space="preserve"> and review objectives</w:t>
      </w:r>
      <w:bookmarkEnd w:id="18"/>
      <w:bookmarkEnd w:id="19"/>
      <w:bookmarkEnd w:id="20"/>
      <w:bookmarkEnd w:id="21"/>
    </w:p>
    <w:p w14:paraId="1C5AB8AF" w14:textId="2120021E" w:rsidR="00891E0E" w:rsidRPr="009B6AA8" w:rsidRDefault="00891E0E" w:rsidP="00891E0E">
      <w:r w:rsidRPr="009B6AA8">
        <w:t>The Australian Government Department of Health (the Department) has engaged Healthcare Management Advisors (HMA) to:</w:t>
      </w:r>
    </w:p>
    <w:p w14:paraId="5F6BD815" w14:textId="32F3FC8B" w:rsidR="00891E0E" w:rsidRPr="009B6AA8" w:rsidRDefault="00891E0E" w:rsidP="00891E0E">
      <w:pPr>
        <w:pStyle w:val="Quote"/>
      </w:pPr>
      <w:r w:rsidRPr="009B6AA8">
        <w:t>‘</w:t>
      </w:r>
      <w:proofErr w:type="gramStart"/>
      <w:r w:rsidRPr="009B6AA8">
        <w:t>assess</w:t>
      </w:r>
      <w:proofErr w:type="gramEnd"/>
      <w:r w:rsidRPr="009B6AA8">
        <w:t xml:space="preserve"> the effectiveness of the Radiation Oncology Health Program Grants</w:t>
      </w:r>
      <w:r w:rsidR="009C1105" w:rsidRPr="009B6AA8">
        <w:t xml:space="preserve"> (ROHPG)</w:t>
      </w:r>
      <w:r w:rsidRPr="009B6AA8">
        <w:t xml:space="preserve"> Scheme against the objectives of the program, including the impact of revised arrangements introduced in 2017.’</w:t>
      </w:r>
    </w:p>
    <w:p w14:paraId="474D748C" w14:textId="77777777" w:rsidR="00891E0E" w:rsidRPr="009B6AA8" w:rsidRDefault="00891E0E" w:rsidP="00E06173">
      <w:r w:rsidRPr="009B6AA8">
        <w:t>Recognising the importance of radiation oncology services in the treatment of cancer patients, the objectives of the ROHPG Scheme are to assist in:</w:t>
      </w:r>
    </w:p>
    <w:p w14:paraId="017CED50" w14:textId="77777777" w:rsidR="00891E0E" w:rsidRPr="000E490D" w:rsidRDefault="00891E0E" w:rsidP="000E490D">
      <w:pPr>
        <w:pStyle w:val="ListBullet"/>
      </w:pPr>
      <w:r w:rsidRPr="009B6AA8">
        <w:t xml:space="preserve">improving health </w:t>
      </w:r>
      <w:r w:rsidRPr="000E490D">
        <w:t>outcomes for cancer patients</w:t>
      </w:r>
    </w:p>
    <w:p w14:paraId="30A8D05C" w14:textId="77777777" w:rsidR="00891E0E" w:rsidRPr="000E490D" w:rsidRDefault="00891E0E" w:rsidP="000E490D">
      <w:pPr>
        <w:pStyle w:val="ListBullet"/>
      </w:pPr>
      <w:r w:rsidRPr="000E490D">
        <w:t>ensuring adequate and equitable access to radiation oncology services for Australian cancer patients</w:t>
      </w:r>
    </w:p>
    <w:p w14:paraId="574E1909" w14:textId="77777777" w:rsidR="00891E0E" w:rsidRPr="000E490D" w:rsidRDefault="00891E0E" w:rsidP="000E490D">
      <w:pPr>
        <w:pStyle w:val="ListBullet"/>
      </w:pPr>
      <w:r w:rsidRPr="000E490D">
        <w:t>improving equity of access for cancer patients, and</w:t>
      </w:r>
    </w:p>
    <w:p w14:paraId="6A235BC6" w14:textId="4147ABE0" w:rsidR="00891E0E" w:rsidRPr="000E490D" w:rsidRDefault="00891E0E" w:rsidP="000E490D">
      <w:pPr>
        <w:pStyle w:val="ListBullet"/>
      </w:pPr>
      <w:proofErr w:type="gramStart"/>
      <w:r w:rsidRPr="000E490D">
        <w:t>maintaining</w:t>
      </w:r>
      <w:proofErr w:type="gramEnd"/>
      <w:r w:rsidRPr="000E490D">
        <w:t xml:space="preserve"> the quality and safety of radiation oncology equipment</w:t>
      </w:r>
      <w:r w:rsidR="00C8436C" w:rsidRPr="000E490D">
        <w:t>.</w:t>
      </w:r>
    </w:p>
    <w:p w14:paraId="3A3288DA" w14:textId="179C0531" w:rsidR="00373EE3" w:rsidRDefault="00891E0E" w:rsidP="00E06173">
      <w:r w:rsidRPr="009B6AA8">
        <w:t xml:space="preserve">The ROHPG was first introduced in 1988 under the </w:t>
      </w:r>
      <w:r w:rsidRPr="009B6AA8">
        <w:rPr>
          <w:i/>
          <w:iCs/>
        </w:rPr>
        <w:t xml:space="preserve">Health Insurance Act 1973 </w:t>
      </w:r>
      <w:r w:rsidRPr="009B6AA8">
        <w:t xml:space="preserve">(the Act) in response to the significant discrepancy </w:t>
      </w:r>
      <w:r w:rsidR="000944CF" w:rsidRPr="009B6AA8">
        <w:t xml:space="preserve">throughout the 1980s </w:t>
      </w:r>
      <w:r w:rsidRPr="009B6AA8">
        <w:t xml:space="preserve">between actual radiotherapy (RT) treatment rates and the estimated optimal utilisation rate. The Australian Government established the ROHPG as a mechanism to </w:t>
      </w:r>
      <w:r w:rsidR="000944CF" w:rsidRPr="009B6AA8">
        <w:t xml:space="preserve">expand radiation oncology </w:t>
      </w:r>
      <w:r w:rsidRPr="009B6AA8">
        <w:t xml:space="preserve">services </w:t>
      </w:r>
      <w:r w:rsidR="000944CF" w:rsidRPr="009B6AA8">
        <w:t xml:space="preserve">by providing </w:t>
      </w:r>
      <w:r w:rsidRPr="009B6AA8">
        <w:t xml:space="preserve">dedicated funding for capital equipment costs associated with RT </w:t>
      </w:r>
      <w:sdt>
        <w:sdtPr>
          <w:id w:val="-1518305234"/>
          <w:citation/>
        </w:sdtPr>
        <w:sdtContent>
          <w:r w:rsidRPr="00D65C79">
            <w:fldChar w:fldCharType="begin"/>
          </w:r>
          <w:r w:rsidRPr="009B6AA8">
            <w:instrText xml:space="preserve"> CITATION MPC16 \l 1033 </w:instrText>
          </w:r>
          <w:r w:rsidRPr="00D65C79">
            <w:fldChar w:fldCharType="separate"/>
          </w:r>
          <w:r w:rsidR="00264535" w:rsidRPr="00264535">
            <w:rPr>
              <w:noProof/>
            </w:rPr>
            <w:t>[1]</w:t>
          </w:r>
          <w:r w:rsidRPr="00D65C79">
            <w:fldChar w:fldCharType="end"/>
          </w:r>
        </w:sdtContent>
      </w:sdt>
      <w:r w:rsidR="00FE6D8C">
        <w:t>.</w:t>
      </w:r>
    </w:p>
    <w:p w14:paraId="3330F20A" w14:textId="77777777" w:rsidR="00373EE3" w:rsidRDefault="00891E0E" w:rsidP="00891E0E">
      <w:r w:rsidRPr="009B6AA8">
        <w:t xml:space="preserve">In 2016, the Scheme was reviewed and updated to ensure currency and to streamline administration processes for both the Department and radiotherapy </w:t>
      </w:r>
      <w:r w:rsidR="00C62BBC">
        <w:t>facilities</w:t>
      </w:r>
      <w:r w:rsidRPr="009B6AA8">
        <w:t xml:space="preserve">. Key changes made to the Scheme implemented in 2017 are summarised in </w:t>
      </w:r>
      <w:r w:rsidRPr="00D65C79">
        <w:fldChar w:fldCharType="begin"/>
      </w:r>
      <w:r w:rsidRPr="009B6AA8">
        <w:instrText xml:space="preserve"> REF _Ref48822119 \h </w:instrText>
      </w:r>
      <w:r w:rsidRPr="00D65C79">
        <w:fldChar w:fldCharType="separate"/>
      </w:r>
      <w:r w:rsidR="007C0448" w:rsidRPr="00D65C79">
        <w:t xml:space="preserve">Table </w:t>
      </w:r>
      <w:r w:rsidR="007C0448">
        <w:rPr>
          <w:rFonts w:hint="cs"/>
          <w:noProof/>
          <w:cs/>
        </w:rPr>
        <w:t>‎</w:t>
      </w:r>
      <w:r w:rsidR="007C0448">
        <w:rPr>
          <w:noProof/>
        </w:rPr>
        <w:t>1</w:t>
      </w:r>
      <w:r w:rsidR="007C0448">
        <w:t>.</w:t>
      </w:r>
      <w:r w:rsidR="007C0448">
        <w:rPr>
          <w:noProof/>
        </w:rPr>
        <w:t>1</w:t>
      </w:r>
      <w:r w:rsidRPr="00D65C79">
        <w:fldChar w:fldCharType="end"/>
      </w:r>
      <w:r w:rsidRPr="00D65C79">
        <w:t>.</w:t>
      </w:r>
    </w:p>
    <w:p w14:paraId="22E48C6E" w14:textId="3FB8E4DE" w:rsidR="00891E0E" w:rsidRPr="00D65C79" w:rsidRDefault="00891E0E" w:rsidP="003A79A2">
      <w:pPr>
        <w:pStyle w:val="Caption"/>
      </w:pPr>
      <w:bookmarkStart w:id="24" w:name="_Ref48822119"/>
      <w:r w:rsidRPr="00D65C79">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1</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1</w:t>
      </w:r>
      <w:r w:rsidR="004B24F3">
        <w:rPr>
          <w:noProof/>
        </w:rPr>
        <w:fldChar w:fldCharType="end"/>
      </w:r>
      <w:bookmarkEnd w:id="24"/>
      <w:r w:rsidRPr="00D65C79">
        <w:t xml:space="preserve"> </w:t>
      </w:r>
      <w:r w:rsidRPr="00E06173">
        <w:t>Changes made to the ROHPG from 2017</w:t>
      </w:r>
    </w:p>
    <w:tbl>
      <w:tblPr>
        <w:tblStyle w:val="HMATableA"/>
        <w:tblW w:w="5000" w:type="pct"/>
        <w:tblInd w:w="-5" w:type="dxa"/>
        <w:tblLook w:val="04A0" w:firstRow="1" w:lastRow="0" w:firstColumn="1" w:lastColumn="0" w:noHBand="0" w:noVBand="1"/>
        <w:tblDescription w:val="Table 1.1 list the changes to the ROHPG from 2017.  This table describes the major areas of change pre-2017 and 2017 onwards to the ROHPG, including set grant value, timing of payments, processing time, and new facility applications."/>
      </w:tblPr>
      <w:tblGrid>
        <w:gridCol w:w="2601"/>
        <w:gridCol w:w="3615"/>
        <w:gridCol w:w="3819"/>
      </w:tblGrid>
      <w:tr w:rsidR="00891E0E" w:rsidRPr="0046346A" w14:paraId="761E2BF0" w14:textId="77777777" w:rsidTr="0046346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296" w:type="pct"/>
            <w:vAlign w:val="center"/>
            <w:hideMark/>
          </w:tcPr>
          <w:p w14:paraId="34EC1FD1" w14:textId="77777777" w:rsidR="00891E0E" w:rsidRPr="0046346A" w:rsidRDefault="00891E0E" w:rsidP="0046346A">
            <w:pPr>
              <w:spacing w:before="0" w:after="0"/>
              <w:contextualSpacing w:val="0"/>
            </w:pPr>
            <w:r w:rsidRPr="0046346A">
              <w:t>Major area of change</w:t>
            </w:r>
          </w:p>
        </w:tc>
        <w:tc>
          <w:tcPr>
            <w:tcW w:w="1801" w:type="pct"/>
            <w:vAlign w:val="center"/>
            <w:hideMark/>
          </w:tcPr>
          <w:p w14:paraId="618D762E" w14:textId="27EDD93C" w:rsidR="00891E0E" w:rsidRPr="0046346A" w:rsidRDefault="009178DA" w:rsidP="0046346A">
            <w:pPr>
              <w:cnfStyle w:val="100000000000" w:firstRow="1" w:lastRow="0" w:firstColumn="0" w:lastColumn="0" w:oddVBand="0" w:evenVBand="0" w:oddHBand="0" w:evenHBand="0" w:firstRowFirstColumn="0" w:firstRowLastColumn="0" w:lastRowFirstColumn="0" w:lastRowLastColumn="0"/>
            </w:pPr>
            <w:r w:rsidRPr="0046346A">
              <w:t>P</w:t>
            </w:r>
            <w:r w:rsidR="00891E0E" w:rsidRPr="0046346A">
              <w:t>re-2017</w:t>
            </w:r>
            <w:r w:rsidR="000944CF" w:rsidRPr="0046346A">
              <w:t xml:space="preserve"> program features</w:t>
            </w:r>
          </w:p>
        </w:tc>
        <w:tc>
          <w:tcPr>
            <w:tcW w:w="1903" w:type="pct"/>
            <w:vAlign w:val="center"/>
            <w:hideMark/>
          </w:tcPr>
          <w:p w14:paraId="0AFBBA13" w14:textId="77777777" w:rsidR="00891E0E" w:rsidRPr="0046346A" w:rsidRDefault="00891E0E" w:rsidP="0046346A">
            <w:pPr>
              <w:cnfStyle w:val="100000000000" w:firstRow="1" w:lastRow="0" w:firstColumn="0" w:lastColumn="0" w:oddVBand="0" w:evenVBand="0" w:oddHBand="0" w:evenHBand="0" w:firstRowFirstColumn="0" w:firstRowLastColumn="0" w:lastRowFirstColumn="0" w:lastRowLastColumn="0"/>
            </w:pPr>
            <w:r w:rsidRPr="0046346A">
              <w:t>2017 onwards</w:t>
            </w:r>
          </w:p>
        </w:tc>
      </w:tr>
      <w:tr w:rsidR="00891E0E" w:rsidRPr="009B6AA8" w14:paraId="5FC5B270" w14:textId="77777777" w:rsidTr="0046346A">
        <w:tc>
          <w:tcPr>
            <w:cnfStyle w:val="001000000000" w:firstRow="0" w:lastRow="0" w:firstColumn="1" w:lastColumn="0" w:oddVBand="0" w:evenVBand="0" w:oddHBand="0" w:evenHBand="0" w:firstRowFirstColumn="0" w:firstRowLastColumn="0" w:lastRowFirstColumn="0" w:lastRowLastColumn="0"/>
            <w:tcW w:w="1296" w:type="pct"/>
            <w:hideMark/>
          </w:tcPr>
          <w:p w14:paraId="7E888980" w14:textId="77777777" w:rsidR="00891E0E" w:rsidRPr="009B6AA8" w:rsidRDefault="00891E0E" w:rsidP="00F97C6A">
            <w:pPr>
              <w:pStyle w:val="TableHeading"/>
            </w:pPr>
            <w:r w:rsidRPr="009B6AA8">
              <w:t>Set grant value of $3 million</w:t>
            </w:r>
          </w:p>
        </w:tc>
        <w:tc>
          <w:tcPr>
            <w:tcW w:w="1801" w:type="pct"/>
            <w:hideMark/>
          </w:tcPr>
          <w:p w14:paraId="570FE251" w14:textId="77777777" w:rsidR="00891E0E" w:rsidRPr="009B6AA8" w:rsidRDefault="00891E0E" w:rsidP="00137F10">
            <w:pPr>
              <w:pStyle w:val="Tabletext"/>
              <w:cnfStyle w:val="000000000000" w:firstRow="0" w:lastRow="0" w:firstColumn="0" w:lastColumn="0" w:oddVBand="0" w:evenVBand="0" w:oddHBand="0" w:evenHBand="0" w:firstRowFirstColumn="0" w:firstRowLastColumn="0" w:lastRowFirstColumn="0" w:lastRowLastColumn="0"/>
            </w:pPr>
            <w:r w:rsidRPr="009B6AA8">
              <w:t>Multiple applications for actual costs of radiotherapy equipment (external beam radiotherapy and brachytherapy), plus supporting infrastructure such as simulators and software. Resulting in varying grant amounts for recipients.</w:t>
            </w:r>
          </w:p>
        </w:tc>
        <w:tc>
          <w:tcPr>
            <w:tcW w:w="1903" w:type="pct"/>
            <w:hideMark/>
          </w:tcPr>
          <w:p w14:paraId="176A3025" w14:textId="22F49BBD" w:rsidR="00891E0E" w:rsidRPr="009B6AA8" w:rsidRDefault="00891E0E" w:rsidP="00137F10">
            <w:pPr>
              <w:pStyle w:val="Tabletext"/>
              <w:cnfStyle w:val="000000000000" w:firstRow="0" w:lastRow="0" w:firstColumn="0" w:lastColumn="0" w:oddVBand="0" w:evenVBand="0" w:oddHBand="0" w:evenHBand="0" w:firstRowFirstColumn="0" w:firstRowLastColumn="0" w:lastRowFirstColumn="0" w:lastRowLastColumn="0"/>
            </w:pPr>
            <w:r w:rsidRPr="009B6AA8">
              <w:t>Set contribution of $3 million for all high-value capital equipment (linear accelerators) associated with providing external beam radiation therapy accessed through a single grant application.</w:t>
            </w:r>
          </w:p>
        </w:tc>
      </w:tr>
      <w:tr w:rsidR="00891E0E" w:rsidRPr="009B6AA8" w14:paraId="6C8033E5" w14:textId="77777777" w:rsidTr="00463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hideMark/>
          </w:tcPr>
          <w:p w14:paraId="3E5B58F7" w14:textId="77777777" w:rsidR="00891E0E" w:rsidRPr="009B6AA8" w:rsidRDefault="00891E0E" w:rsidP="00F97C6A">
            <w:pPr>
              <w:pStyle w:val="TableHeading"/>
            </w:pPr>
            <w:r w:rsidRPr="009B6AA8">
              <w:t>Timing of payments</w:t>
            </w:r>
          </w:p>
        </w:tc>
        <w:tc>
          <w:tcPr>
            <w:tcW w:w="1801" w:type="pct"/>
            <w:hideMark/>
          </w:tcPr>
          <w:p w14:paraId="5170D33F" w14:textId="77777777" w:rsidR="00891E0E" w:rsidRPr="009B6AA8" w:rsidRDefault="00891E0E" w:rsidP="00137F10">
            <w:pPr>
              <w:pStyle w:val="Tabletext"/>
              <w:cnfStyle w:val="000000010000" w:firstRow="0" w:lastRow="0" w:firstColumn="0" w:lastColumn="0" w:oddVBand="0" w:evenVBand="0" w:oddHBand="0" w:evenHBand="1" w:firstRowFirstColumn="0" w:firstRowLastColumn="0" w:lastRowFirstColumn="0" w:lastRowLastColumn="0"/>
            </w:pPr>
            <w:r w:rsidRPr="009B6AA8">
              <w:t xml:space="preserve">Payments made by </w:t>
            </w:r>
            <w:proofErr w:type="spellStart"/>
            <w:r w:rsidRPr="009B6AA8">
              <w:t>Dept</w:t>
            </w:r>
            <w:proofErr w:type="spellEnd"/>
            <w:r w:rsidRPr="009B6AA8">
              <w:t xml:space="preserve"> of Human services were made monthly based on actual service provision as recorded by the volume of relevant Medicare services provided.</w:t>
            </w:r>
          </w:p>
        </w:tc>
        <w:tc>
          <w:tcPr>
            <w:tcW w:w="1903" w:type="pct"/>
            <w:hideMark/>
          </w:tcPr>
          <w:p w14:paraId="7064F7B8" w14:textId="77777777" w:rsidR="00891E0E" w:rsidRPr="009B6AA8" w:rsidRDefault="00891E0E" w:rsidP="00137F10">
            <w:pPr>
              <w:pStyle w:val="Tabletext"/>
              <w:cnfStyle w:val="000000010000" w:firstRow="0" w:lastRow="0" w:firstColumn="0" w:lastColumn="0" w:oddVBand="0" w:evenVBand="0" w:oddHBand="0" w:evenHBand="1" w:firstRowFirstColumn="0" w:firstRowLastColumn="0" w:lastRowFirstColumn="0" w:lastRowLastColumn="0"/>
            </w:pPr>
            <w:r w:rsidRPr="009B6AA8">
              <w:t>Set annual payments made by the Department of Health (conditional on provision of a valid dosimetry audit certificate) – $300,000 per annum for 10 years for public facilities, $375,000 per year for 8 years for private facilities.</w:t>
            </w:r>
          </w:p>
        </w:tc>
      </w:tr>
      <w:tr w:rsidR="00891E0E" w:rsidRPr="009B6AA8" w14:paraId="27944903" w14:textId="77777777" w:rsidTr="0046346A">
        <w:tc>
          <w:tcPr>
            <w:cnfStyle w:val="001000000000" w:firstRow="0" w:lastRow="0" w:firstColumn="1" w:lastColumn="0" w:oddVBand="0" w:evenVBand="0" w:oddHBand="0" w:evenHBand="0" w:firstRowFirstColumn="0" w:firstRowLastColumn="0" w:lastRowFirstColumn="0" w:lastRowLastColumn="0"/>
            <w:tcW w:w="1296" w:type="pct"/>
            <w:hideMark/>
          </w:tcPr>
          <w:p w14:paraId="0D53C152" w14:textId="77777777" w:rsidR="00891E0E" w:rsidRPr="009B6AA8" w:rsidRDefault="00891E0E" w:rsidP="00F97C6A">
            <w:pPr>
              <w:pStyle w:val="TableHeading"/>
            </w:pPr>
            <w:r w:rsidRPr="009B6AA8">
              <w:t>Processing time</w:t>
            </w:r>
          </w:p>
        </w:tc>
        <w:tc>
          <w:tcPr>
            <w:tcW w:w="1801" w:type="pct"/>
            <w:hideMark/>
          </w:tcPr>
          <w:p w14:paraId="612C1445" w14:textId="77777777" w:rsidR="00891E0E" w:rsidRPr="009B6AA8" w:rsidRDefault="00891E0E" w:rsidP="00137F10">
            <w:pPr>
              <w:pStyle w:val="Tabletext"/>
              <w:cnfStyle w:val="000000000000" w:firstRow="0" w:lastRow="0" w:firstColumn="0" w:lastColumn="0" w:oddVBand="0" w:evenVBand="0" w:oddHBand="0" w:evenHBand="0" w:firstRowFirstColumn="0" w:firstRowLastColumn="0" w:lastRowFirstColumn="0" w:lastRowLastColumn="0"/>
            </w:pPr>
            <w:r w:rsidRPr="009B6AA8">
              <w:t>Lengthier application process with varying approval times.</w:t>
            </w:r>
          </w:p>
        </w:tc>
        <w:tc>
          <w:tcPr>
            <w:tcW w:w="1903" w:type="pct"/>
            <w:hideMark/>
          </w:tcPr>
          <w:p w14:paraId="73127EB8" w14:textId="77777777" w:rsidR="00891E0E" w:rsidRPr="009B6AA8" w:rsidRDefault="00891E0E" w:rsidP="00137F10">
            <w:pPr>
              <w:pStyle w:val="Tabletext"/>
              <w:cnfStyle w:val="000000000000" w:firstRow="0" w:lastRow="0" w:firstColumn="0" w:lastColumn="0" w:oddVBand="0" w:evenVBand="0" w:oddHBand="0" w:evenHBand="0" w:firstRowFirstColumn="0" w:firstRowLastColumn="0" w:lastRowFirstColumn="0" w:lastRowLastColumn="0"/>
            </w:pPr>
            <w:r w:rsidRPr="009B6AA8">
              <w:t xml:space="preserve">A streamlined application process for replacement equipment. </w:t>
            </w:r>
          </w:p>
        </w:tc>
      </w:tr>
      <w:tr w:rsidR="00891E0E" w:rsidRPr="009B6AA8" w14:paraId="609D1CCE" w14:textId="77777777" w:rsidTr="00463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hideMark/>
          </w:tcPr>
          <w:p w14:paraId="7EC1CEC7" w14:textId="77777777" w:rsidR="00891E0E" w:rsidRPr="009B6AA8" w:rsidRDefault="00891E0E" w:rsidP="00F97C6A">
            <w:pPr>
              <w:pStyle w:val="TableHeading"/>
            </w:pPr>
            <w:r w:rsidRPr="009B6AA8">
              <w:t>New facility applications</w:t>
            </w:r>
          </w:p>
        </w:tc>
        <w:tc>
          <w:tcPr>
            <w:tcW w:w="1801" w:type="pct"/>
            <w:hideMark/>
          </w:tcPr>
          <w:p w14:paraId="6C26AE90" w14:textId="77777777" w:rsidR="00891E0E" w:rsidRPr="009B6AA8" w:rsidRDefault="00891E0E" w:rsidP="00137F10">
            <w:pPr>
              <w:pStyle w:val="Tabletext"/>
              <w:cnfStyle w:val="000000010000" w:firstRow="0" w:lastRow="0" w:firstColumn="0" w:lastColumn="0" w:oddVBand="0" w:evenVBand="0" w:oddHBand="0" w:evenHBand="1" w:firstRowFirstColumn="0" w:firstRowLastColumn="0" w:lastRowFirstColumn="0" w:lastRowLastColumn="0"/>
            </w:pPr>
            <w:r w:rsidRPr="009B6AA8">
              <w:t>New facilities or expansion assessed in an ongoing process which limited the ability to compare multiple applications for the same area and unfairly advantaged early applications.</w:t>
            </w:r>
          </w:p>
        </w:tc>
        <w:tc>
          <w:tcPr>
            <w:tcW w:w="1903" w:type="pct"/>
            <w:hideMark/>
          </w:tcPr>
          <w:p w14:paraId="2303B756" w14:textId="77777777" w:rsidR="00891E0E" w:rsidRPr="009B6AA8" w:rsidRDefault="00891E0E" w:rsidP="00137F10">
            <w:pPr>
              <w:pStyle w:val="Tabletext"/>
              <w:cnfStyle w:val="000000010000" w:firstRow="0" w:lastRow="0" w:firstColumn="0" w:lastColumn="0" w:oddVBand="0" w:evenVBand="0" w:oddHBand="0" w:evenHBand="1" w:firstRowFirstColumn="0" w:firstRowLastColumn="0" w:lastRowFirstColumn="0" w:lastRowLastColumn="0"/>
            </w:pPr>
            <w:r w:rsidRPr="009B6AA8">
              <w:t>Applications for new facilities or expansion assessed based on national needs analysis informed by stakeholders within jurisdictional government. Set application period for newly identified priority areas to enable comparative assessment of applications.</w:t>
            </w:r>
          </w:p>
        </w:tc>
      </w:tr>
    </w:tbl>
    <w:p w14:paraId="19BE5466" w14:textId="77777777" w:rsidR="00373EE3" w:rsidRDefault="00891E0E" w:rsidP="00891E0E">
      <w:pPr>
        <w:spacing w:before="240"/>
      </w:pPr>
      <w:r w:rsidRPr="009B6AA8">
        <w:t xml:space="preserve">The purpose of this review is to assess the effectiveness of the ROHPG against its stated objectives. </w:t>
      </w:r>
      <w:r w:rsidR="00CC680F" w:rsidRPr="009B6AA8">
        <w:t>The review also has</w:t>
      </w:r>
      <w:r w:rsidRPr="009B6AA8">
        <w:t xml:space="preserve"> a specific focus on the impact of revised arrangements introduced in 2017.</w:t>
      </w:r>
    </w:p>
    <w:p w14:paraId="7166F09D" w14:textId="4CF1E1D1" w:rsidR="00373EE3" w:rsidRPr="00BC705E" w:rsidRDefault="00CF3D69" w:rsidP="00977A8E">
      <w:pPr>
        <w:pStyle w:val="heading2numbered"/>
      </w:pPr>
      <w:bookmarkStart w:id="25" w:name="_Toc59198440"/>
      <w:bookmarkStart w:id="26" w:name="_Toc66193907"/>
      <w:bookmarkStart w:id="27" w:name="_Toc73696669"/>
      <w:r w:rsidRPr="00BC705E">
        <w:t xml:space="preserve">Project </w:t>
      </w:r>
      <w:bookmarkEnd w:id="22"/>
      <w:r w:rsidRPr="00BC705E">
        <w:t>method</w:t>
      </w:r>
      <w:bookmarkEnd w:id="23"/>
      <w:r w:rsidR="00891E0E" w:rsidRPr="00BC705E">
        <w:t>ology</w:t>
      </w:r>
      <w:bookmarkEnd w:id="25"/>
      <w:bookmarkEnd w:id="26"/>
      <w:bookmarkEnd w:id="27"/>
    </w:p>
    <w:p w14:paraId="2C5B81ED" w14:textId="04F62144" w:rsidR="00CF3D69" w:rsidRPr="009B6AA8" w:rsidRDefault="00CF3D69" w:rsidP="007C4BAF">
      <w:r w:rsidRPr="009B6AA8">
        <w:t>The ROHPG Review is being undertaken in six project stages:</w:t>
      </w:r>
    </w:p>
    <w:p w14:paraId="4D941E77" w14:textId="19C7441F" w:rsidR="00CF3D69" w:rsidRPr="009B6AA8" w:rsidRDefault="00CF3D69" w:rsidP="007C4BAF">
      <w:pPr>
        <w:pStyle w:val="ListBullet"/>
      </w:pPr>
      <w:r w:rsidRPr="009B6AA8">
        <w:t>Stage 1: Project initiation</w:t>
      </w:r>
    </w:p>
    <w:p w14:paraId="46618C01" w14:textId="61230A79" w:rsidR="00CF3D69" w:rsidRPr="009B6AA8" w:rsidRDefault="00CF3D69" w:rsidP="0046346A">
      <w:pPr>
        <w:pStyle w:val="ListBullet"/>
      </w:pPr>
      <w:r w:rsidRPr="009B6AA8">
        <w:t>Stage 2: Develop review framework and consultation strategy</w:t>
      </w:r>
    </w:p>
    <w:p w14:paraId="2744D4DC" w14:textId="2FD72D4F" w:rsidR="00CF3D69" w:rsidRPr="009B6AA8" w:rsidRDefault="00CF3D69" w:rsidP="0046346A">
      <w:pPr>
        <w:pStyle w:val="ListBullet"/>
      </w:pPr>
      <w:r w:rsidRPr="009B6AA8">
        <w:t>Stage 3: Situation analysis, to provide background and context to the ROHPG as well as examine the underlying assumptions of the Scheme for their ongoing relevance</w:t>
      </w:r>
    </w:p>
    <w:p w14:paraId="16A6D53D" w14:textId="3AD09D57" w:rsidR="00CF3D69" w:rsidRPr="009B6AA8" w:rsidRDefault="00CF3D69" w:rsidP="0046346A">
      <w:pPr>
        <w:pStyle w:val="ListBullet"/>
      </w:pPr>
      <w:r w:rsidRPr="009B6AA8">
        <w:t xml:space="preserve">Stage 4: Stakeholder consultation to gain qualitative input into the </w:t>
      </w:r>
      <w:r w:rsidRPr="0046346A">
        <w:t>review</w:t>
      </w:r>
      <w:r w:rsidRPr="009B6AA8">
        <w:t xml:space="preserve"> and quantitative data analysis</w:t>
      </w:r>
    </w:p>
    <w:p w14:paraId="194F4C6B" w14:textId="2936509B" w:rsidR="00CF3D69" w:rsidRPr="009B6AA8" w:rsidRDefault="00CF3D69" w:rsidP="0046346A">
      <w:pPr>
        <w:pStyle w:val="ListBullet"/>
      </w:pPr>
      <w:r w:rsidRPr="009B6AA8">
        <w:t xml:space="preserve">Stage 5: Triangulation of </w:t>
      </w:r>
      <w:r w:rsidRPr="0046346A">
        <w:t>information</w:t>
      </w:r>
      <w:r w:rsidRPr="009B6AA8">
        <w:t xml:space="preserve"> and </w:t>
      </w:r>
      <w:r w:rsidR="00DA2095" w:rsidRPr="009B6AA8">
        <w:t>t</w:t>
      </w:r>
      <w:r w:rsidRPr="009B6AA8">
        <w:t>rade-off analysis (Draft Report)</w:t>
      </w:r>
    </w:p>
    <w:p w14:paraId="77D58577" w14:textId="77777777" w:rsidR="00373EE3" w:rsidRDefault="00CF3D69" w:rsidP="007C4BAF">
      <w:pPr>
        <w:pStyle w:val="ListBullet"/>
      </w:pPr>
      <w:r w:rsidRPr="009B6AA8">
        <w:t>Stage 6: Final report.</w:t>
      </w:r>
    </w:p>
    <w:p w14:paraId="375E7948" w14:textId="152998BF" w:rsidR="00CC680F" w:rsidRPr="009B6AA8" w:rsidRDefault="00CC680F" w:rsidP="007C4BAF">
      <w:r w:rsidRPr="009B6AA8">
        <w:lastRenderedPageBreak/>
        <w:t>We provide commentary on two specific features of this methodology below: stakeholder consultations and data sources.</w:t>
      </w:r>
    </w:p>
    <w:p w14:paraId="7C18F56A" w14:textId="77777777" w:rsidR="00373EE3" w:rsidRPr="0046346A" w:rsidRDefault="00891E0E" w:rsidP="00977A8E">
      <w:pPr>
        <w:pStyle w:val="Heading3numbered"/>
      </w:pPr>
      <w:bookmarkStart w:id="28" w:name="_Toc59198441"/>
      <w:bookmarkStart w:id="29" w:name="_Toc66193908"/>
      <w:r w:rsidRPr="00BC705E">
        <w:t>Stakeholder consultation</w:t>
      </w:r>
      <w:bookmarkEnd w:id="28"/>
      <w:bookmarkEnd w:id="29"/>
    </w:p>
    <w:p w14:paraId="37AD11CA" w14:textId="556E1B44" w:rsidR="00891E0E" w:rsidRPr="009B6AA8" w:rsidRDefault="00891E0E" w:rsidP="007C4BAF">
      <w:r w:rsidRPr="009B6AA8">
        <w:t>Stakeholder consultation included:</w:t>
      </w:r>
    </w:p>
    <w:p w14:paraId="61F9D97C" w14:textId="77777777" w:rsidR="00373EE3" w:rsidRDefault="00891E0E" w:rsidP="007C4BAF">
      <w:pPr>
        <w:pStyle w:val="ListBullet"/>
      </w:pPr>
      <w:r w:rsidRPr="009B6AA8">
        <w:t xml:space="preserve">public and private radiotherapy </w:t>
      </w:r>
      <w:r w:rsidR="00C62BBC">
        <w:t>facilities</w:t>
      </w:r>
      <w:r w:rsidRPr="009B6AA8">
        <w:t xml:space="preserve"> that receive ROHPG funding</w:t>
      </w:r>
    </w:p>
    <w:p w14:paraId="4B98D561" w14:textId="648BCB0F" w:rsidR="00891E0E" w:rsidRPr="009B6AA8" w:rsidRDefault="00891E0E" w:rsidP="007C4BAF">
      <w:pPr>
        <w:pStyle w:val="ListBullet"/>
      </w:pPr>
      <w:r w:rsidRPr="009B6AA8">
        <w:t>radiation oncologists/radiation therapists</w:t>
      </w:r>
    </w:p>
    <w:p w14:paraId="7907F21C" w14:textId="078E08A9" w:rsidR="00891E0E" w:rsidRPr="009B6AA8" w:rsidRDefault="00891E0E" w:rsidP="007C4BAF">
      <w:pPr>
        <w:pStyle w:val="ListBullet"/>
      </w:pPr>
      <w:r w:rsidRPr="009B6AA8">
        <w:t>jurisdictional departments of health (or equivalent)</w:t>
      </w:r>
    </w:p>
    <w:p w14:paraId="09D063B4" w14:textId="3B2A9CAA" w:rsidR="00891E0E" w:rsidRPr="009B6AA8" w:rsidRDefault="00891E0E" w:rsidP="007C4BAF">
      <w:pPr>
        <w:pStyle w:val="ListBullet"/>
      </w:pPr>
      <w:r w:rsidRPr="009B6AA8">
        <w:t>peak bodies</w:t>
      </w:r>
    </w:p>
    <w:p w14:paraId="504F248E" w14:textId="31F77B80" w:rsidR="00891E0E" w:rsidRPr="009B6AA8" w:rsidRDefault="00891E0E" w:rsidP="007C4BAF">
      <w:pPr>
        <w:pStyle w:val="ListBullet"/>
      </w:pPr>
      <w:r w:rsidRPr="009B6AA8">
        <w:t xml:space="preserve">safety </w:t>
      </w:r>
      <w:r w:rsidR="00CC5B97" w:rsidRPr="009B6AA8">
        <w:t xml:space="preserve">and quality </w:t>
      </w:r>
      <w:r w:rsidRPr="009B6AA8">
        <w:t>agencies</w:t>
      </w:r>
    </w:p>
    <w:p w14:paraId="2C69454B" w14:textId="4FA0DA52" w:rsidR="00891E0E" w:rsidRPr="009B6AA8" w:rsidRDefault="00891E0E" w:rsidP="007C4BAF">
      <w:pPr>
        <w:pStyle w:val="ListBullet"/>
      </w:pPr>
      <w:r w:rsidRPr="009B6AA8">
        <w:t xml:space="preserve">consumer </w:t>
      </w:r>
      <w:r w:rsidR="00CC5B97" w:rsidRPr="009B6AA8">
        <w:t>advocacy groups</w:t>
      </w:r>
    </w:p>
    <w:p w14:paraId="6D4A9F39" w14:textId="77777777" w:rsidR="00373EE3" w:rsidRDefault="00891E0E" w:rsidP="007C4BAF">
      <w:pPr>
        <w:pStyle w:val="ListBullet"/>
      </w:pPr>
      <w:r w:rsidRPr="009B6AA8">
        <w:t>linear accelerator (</w:t>
      </w:r>
      <w:proofErr w:type="spellStart"/>
      <w:r w:rsidRPr="009B6AA8">
        <w:t>linac</w:t>
      </w:r>
      <w:proofErr w:type="spellEnd"/>
      <w:r w:rsidRPr="009B6AA8">
        <w:t>) vendors, and</w:t>
      </w:r>
    </w:p>
    <w:p w14:paraId="2BA11F04" w14:textId="77777777" w:rsidR="00373EE3" w:rsidRDefault="00891E0E" w:rsidP="000E490D">
      <w:pPr>
        <w:pStyle w:val="ListBullet"/>
      </w:pPr>
      <w:proofErr w:type="gramStart"/>
      <w:r w:rsidRPr="009B6AA8">
        <w:t>the</w:t>
      </w:r>
      <w:proofErr w:type="gramEnd"/>
      <w:r w:rsidRPr="009B6AA8">
        <w:t xml:space="preserve"> Australian </w:t>
      </w:r>
      <w:r w:rsidRPr="000E490D">
        <w:t>Government</w:t>
      </w:r>
      <w:r w:rsidRPr="009B6AA8">
        <w:t xml:space="preserve"> Department of Health.</w:t>
      </w:r>
    </w:p>
    <w:p w14:paraId="44B349F2" w14:textId="77777777" w:rsidR="00373EE3" w:rsidRDefault="00891E0E" w:rsidP="007C4BAF">
      <w:r w:rsidRPr="009B6AA8">
        <w:t>A full list of stakeholders consulted is provided at</w:t>
      </w:r>
      <w:r w:rsidR="00AC5BA9" w:rsidRPr="009B6AA8">
        <w:t xml:space="preserve"> </w:t>
      </w:r>
      <w:r w:rsidR="00AC5BA9" w:rsidRPr="00D65C79">
        <w:fldChar w:fldCharType="begin"/>
      </w:r>
      <w:r w:rsidR="00AC5BA9" w:rsidRPr="009B6AA8">
        <w:instrText xml:space="preserve"> REF _Ref55916500 \r \h  \* MERGEFORMAT </w:instrText>
      </w:r>
      <w:r w:rsidR="00AC5BA9" w:rsidRPr="00D65C79">
        <w:fldChar w:fldCharType="separate"/>
      </w:r>
      <w:r w:rsidR="007C0448">
        <w:rPr>
          <w:rFonts w:hint="cs"/>
          <w:cs/>
        </w:rPr>
        <w:t>‎</w:t>
      </w:r>
      <w:r w:rsidR="007C0448">
        <w:t>Appendix A</w:t>
      </w:r>
      <w:r w:rsidR="00AC5BA9" w:rsidRPr="00D65C79">
        <w:fldChar w:fldCharType="end"/>
      </w:r>
      <w:r w:rsidRPr="00D65C79">
        <w:t>.</w:t>
      </w:r>
    </w:p>
    <w:p w14:paraId="77316BD1" w14:textId="5F2FB804" w:rsidR="00891E0E" w:rsidRPr="0046346A" w:rsidRDefault="00891E0E" w:rsidP="00977A8E">
      <w:pPr>
        <w:pStyle w:val="Heading3numbered"/>
      </w:pPr>
      <w:bookmarkStart w:id="30" w:name="_Toc50722035"/>
      <w:bookmarkStart w:id="31" w:name="_Toc54688774"/>
      <w:bookmarkStart w:id="32" w:name="_Toc59198442"/>
      <w:bookmarkStart w:id="33" w:name="_Toc66193909"/>
      <w:r w:rsidRPr="00BC705E">
        <w:t>Data sources</w:t>
      </w:r>
      <w:bookmarkEnd w:id="30"/>
      <w:bookmarkEnd w:id="31"/>
      <w:bookmarkEnd w:id="32"/>
      <w:bookmarkEnd w:id="33"/>
    </w:p>
    <w:p w14:paraId="75DF3E3A" w14:textId="77777777" w:rsidR="00373EE3" w:rsidRDefault="009178DA" w:rsidP="00E06173">
      <w:r w:rsidRPr="009B6AA8">
        <w:t xml:space="preserve">A desktop review was undertaken as part of the situation analysis to provide context for the </w:t>
      </w:r>
      <w:r w:rsidR="00FD606B">
        <w:t>r</w:t>
      </w:r>
      <w:r w:rsidR="00FD606B" w:rsidRPr="009B6AA8">
        <w:t>eview</w:t>
      </w:r>
      <w:r w:rsidRPr="009B6AA8">
        <w:t xml:space="preserve">. In addition, quantitative data from publicly available data sources as well as ROHPG </w:t>
      </w:r>
      <w:r w:rsidR="00FD606B">
        <w:t>Scheme</w:t>
      </w:r>
      <w:r w:rsidRPr="009B6AA8">
        <w:t xml:space="preserve"> and Medical Benefit Schedule (MBS) radiotherapy data was analysed as part of the review process.</w:t>
      </w:r>
    </w:p>
    <w:p w14:paraId="3E023A0C" w14:textId="324756F2" w:rsidR="00891E0E" w:rsidRPr="009B6AA8" w:rsidRDefault="00891E0E" w:rsidP="00E06173">
      <w:r w:rsidRPr="009B6AA8">
        <w:t xml:space="preserve">Publicly available information </w:t>
      </w:r>
      <w:r w:rsidR="00EB2596">
        <w:t>w</w:t>
      </w:r>
      <w:r w:rsidRPr="009B6AA8">
        <w:t>as sourced from relevant websites including:</w:t>
      </w:r>
    </w:p>
    <w:p w14:paraId="4A911B7D" w14:textId="77777777" w:rsidR="00373EE3" w:rsidRPr="000E490D" w:rsidRDefault="00CC5B97" w:rsidP="000E490D">
      <w:pPr>
        <w:pStyle w:val="ListBullet"/>
      </w:pPr>
      <w:r w:rsidRPr="009B6AA8">
        <w:t xml:space="preserve">published literature on </w:t>
      </w:r>
      <w:r w:rsidRPr="000E490D">
        <w:t>rad</w:t>
      </w:r>
      <w:r w:rsidR="00A945C8" w:rsidRPr="000E490D">
        <w:t xml:space="preserve">iotherapy </w:t>
      </w:r>
      <w:r w:rsidRPr="000E490D">
        <w:t>as relevant</w:t>
      </w:r>
    </w:p>
    <w:p w14:paraId="7679A16B" w14:textId="10633FBE" w:rsidR="00891E0E" w:rsidRPr="000E490D" w:rsidRDefault="00891E0E" w:rsidP="000E490D">
      <w:pPr>
        <w:pStyle w:val="ListBullet"/>
      </w:pPr>
      <w:r w:rsidRPr="000E490D">
        <w:t>media releases from the Department of Health, the Prime Minister, and Minister of Health</w:t>
      </w:r>
    </w:p>
    <w:p w14:paraId="33327584" w14:textId="77777777" w:rsidR="00891E0E" w:rsidRPr="000E490D" w:rsidRDefault="00891E0E" w:rsidP="000E490D">
      <w:pPr>
        <w:pStyle w:val="ListBullet"/>
      </w:pPr>
      <w:r w:rsidRPr="000E490D">
        <w:t>reports and data tables produced by the Australian Institute of Health and Welfare (AIHW)</w:t>
      </w:r>
    </w:p>
    <w:p w14:paraId="76AD66E0" w14:textId="77777777" w:rsidR="00373EE3" w:rsidRPr="000E490D" w:rsidRDefault="00891E0E" w:rsidP="000E490D">
      <w:pPr>
        <w:pStyle w:val="ListBullet"/>
      </w:pPr>
      <w:r w:rsidRPr="000E490D">
        <w:t>websites of radiotherapy service providers, and</w:t>
      </w:r>
    </w:p>
    <w:p w14:paraId="3285113D" w14:textId="77777777" w:rsidR="00373EE3" w:rsidRDefault="00891E0E" w:rsidP="000E490D">
      <w:pPr>
        <w:pStyle w:val="ListBullet"/>
      </w:pPr>
      <w:proofErr w:type="gramStart"/>
      <w:r w:rsidRPr="000E490D">
        <w:t>websites</w:t>
      </w:r>
      <w:proofErr w:type="gramEnd"/>
      <w:r w:rsidRPr="000E490D">
        <w:t xml:space="preserve"> containing information on the</w:t>
      </w:r>
      <w:r w:rsidRPr="009B6AA8">
        <w:t xml:space="preserve"> cost of </w:t>
      </w:r>
      <w:proofErr w:type="spellStart"/>
      <w:r w:rsidRPr="009B6AA8">
        <w:t>linacs</w:t>
      </w:r>
      <w:proofErr w:type="spellEnd"/>
      <w:r w:rsidRPr="009B6AA8">
        <w:t>.</w:t>
      </w:r>
    </w:p>
    <w:p w14:paraId="383D48F1" w14:textId="7550A98A" w:rsidR="00891E0E" w:rsidRPr="009B6AA8" w:rsidRDefault="00891E0E" w:rsidP="00891E0E">
      <w:r w:rsidRPr="009B6AA8">
        <w:t>Non-publicly available data and documentation was provided by the Department, including:</w:t>
      </w:r>
    </w:p>
    <w:p w14:paraId="22241D12" w14:textId="77777777" w:rsidR="00891E0E" w:rsidRPr="009B6AA8" w:rsidRDefault="00891E0E" w:rsidP="000E490D">
      <w:pPr>
        <w:pStyle w:val="ListBullet"/>
      </w:pPr>
      <w:r w:rsidRPr="009B6AA8">
        <w:t>ROHPG payment and equipment reports</w:t>
      </w:r>
    </w:p>
    <w:p w14:paraId="5E7BF502" w14:textId="77777777" w:rsidR="00891E0E" w:rsidRPr="009B6AA8" w:rsidRDefault="00891E0E" w:rsidP="000E490D">
      <w:pPr>
        <w:pStyle w:val="ListBullet"/>
      </w:pPr>
      <w:r w:rsidRPr="000E490D">
        <w:t>administrative</w:t>
      </w:r>
      <w:r w:rsidRPr="009B6AA8">
        <w:t xml:space="preserve"> documents:</w:t>
      </w:r>
    </w:p>
    <w:p w14:paraId="547333C7" w14:textId="77777777" w:rsidR="00891E0E" w:rsidRPr="000E490D" w:rsidRDefault="00891E0E" w:rsidP="000E490D">
      <w:pPr>
        <w:pStyle w:val="ListBullet2"/>
        <w:ind w:left="851"/>
      </w:pPr>
      <w:r w:rsidRPr="000E490D">
        <w:t>service applications</w:t>
      </w:r>
    </w:p>
    <w:p w14:paraId="62964244" w14:textId="3DC83015" w:rsidR="00891E0E" w:rsidRPr="000E490D" w:rsidRDefault="00891E0E" w:rsidP="000E490D">
      <w:pPr>
        <w:pStyle w:val="ListBullet2"/>
        <w:ind w:left="851"/>
      </w:pPr>
      <w:r w:rsidRPr="000E490D">
        <w:t>instruments of funding</w:t>
      </w:r>
    </w:p>
    <w:p w14:paraId="4B108454" w14:textId="77777777" w:rsidR="00373EE3" w:rsidRPr="000E490D" w:rsidRDefault="00891E0E" w:rsidP="000E490D">
      <w:pPr>
        <w:pStyle w:val="ListBullet2"/>
        <w:ind w:left="851"/>
      </w:pPr>
      <w:r w:rsidRPr="000E490D">
        <w:t>dosimetry audit reports, and</w:t>
      </w:r>
    </w:p>
    <w:p w14:paraId="2D08E309" w14:textId="35F31F9C" w:rsidR="00891E0E" w:rsidRPr="009B6AA8" w:rsidRDefault="00891E0E" w:rsidP="000E490D">
      <w:pPr>
        <w:pStyle w:val="ListBullet"/>
      </w:pPr>
      <w:r w:rsidRPr="009B6AA8">
        <w:t>Medical Benefit Schedule (MBS) radiotherapy data.</w:t>
      </w:r>
    </w:p>
    <w:p w14:paraId="593573C7" w14:textId="59DD6D2A" w:rsidR="00373EE3" w:rsidRPr="0046346A" w:rsidRDefault="00CF3D69" w:rsidP="007A408D">
      <w:pPr>
        <w:pStyle w:val="heading2numbered"/>
      </w:pPr>
      <w:bookmarkStart w:id="34" w:name="_Toc59198443"/>
      <w:bookmarkStart w:id="35" w:name="_Toc66193910"/>
      <w:bookmarkStart w:id="36" w:name="_Toc73696670"/>
      <w:r w:rsidRPr="00BC705E">
        <w:t>Purpose of this document</w:t>
      </w:r>
      <w:bookmarkEnd w:id="34"/>
      <w:bookmarkEnd w:id="35"/>
      <w:bookmarkEnd w:id="36"/>
    </w:p>
    <w:p w14:paraId="20570A3A" w14:textId="77777777" w:rsidR="00373EE3" w:rsidRDefault="00CC5B97" w:rsidP="009178DA">
      <w:r w:rsidRPr="009B6AA8">
        <w:t>This document (</w:t>
      </w:r>
      <w:r w:rsidR="004B6D6B" w:rsidRPr="009B6AA8">
        <w:t xml:space="preserve">the </w:t>
      </w:r>
      <w:r w:rsidRPr="009B6AA8">
        <w:t xml:space="preserve">draft </w:t>
      </w:r>
      <w:r w:rsidR="004B6D6B" w:rsidRPr="009B6AA8">
        <w:t xml:space="preserve">final </w:t>
      </w:r>
      <w:r w:rsidRPr="009B6AA8">
        <w:t>report) provides a summary of the information gathered during the review</w:t>
      </w:r>
      <w:r w:rsidR="004B6D6B" w:rsidRPr="009B6AA8">
        <w:t xml:space="preserve"> and the analysis we undertook to</w:t>
      </w:r>
      <w:r w:rsidRPr="009B6AA8">
        <w:t xml:space="preserve"> assess the appropriateness, effectiveness, efficiency and accountability of the ROHPG </w:t>
      </w:r>
      <w:r w:rsidR="00FD606B">
        <w:t>Scheme</w:t>
      </w:r>
      <w:r w:rsidRPr="009B6AA8">
        <w:t>. The analysis includes a trade-off analysis of alternative funding mechanism</w:t>
      </w:r>
      <w:r w:rsidR="004B6D6B" w:rsidRPr="009B6AA8">
        <w:t>s</w:t>
      </w:r>
      <w:r w:rsidRPr="009B6AA8">
        <w:t xml:space="preserve"> for high-</w:t>
      </w:r>
      <w:r w:rsidR="007A2ED8" w:rsidRPr="009B6AA8">
        <w:t>cost</w:t>
      </w:r>
      <w:r w:rsidRPr="009B6AA8">
        <w:t xml:space="preserve"> </w:t>
      </w:r>
      <w:r w:rsidR="00A945C8" w:rsidRPr="009B6AA8">
        <w:t xml:space="preserve">radiotherapy </w:t>
      </w:r>
      <w:r w:rsidRPr="009B6AA8">
        <w:t>equipment.</w:t>
      </w:r>
    </w:p>
    <w:p w14:paraId="6DE73180" w14:textId="4E4D6225" w:rsidR="00CF3D69" w:rsidRDefault="00DA2095" w:rsidP="00CF3D69">
      <w:r w:rsidRPr="009B6AA8">
        <w:t>The remainder of this document is structured as follows:</w:t>
      </w:r>
    </w:p>
    <w:p w14:paraId="09BB0B6C" w14:textId="60E3ADFF" w:rsidR="0046346A" w:rsidRPr="001665F3" w:rsidRDefault="0046346A" w:rsidP="001665F3">
      <w:pPr>
        <w:rPr>
          <w:rStyle w:val="Strong"/>
        </w:rPr>
      </w:pPr>
      <w:r w:rsidRPr="001665F3">
        <w:rPr>
          <w:rStyle w:val="Strong"/>
        </w:rPr>
        <w:t>Context</w:t>
      </w:r>
    </w:p>
    <w:p w14:paraId="7067FA04" w14:textId="59E21BA8" w:rsidR="00DA2095" w:rsidRPr="009B6AA8" w:rsidRDefault="00DA2095" w:rsidP="00DA2095">
      <w:pPr>
        <w:pStyle w:val="ListBullet"/>
      </w:pPr>
      <w:r w:rsidRPr="009B6AA8">
        <w:t xml:space="preserve">Chapter </w:t>
      </w:r>
      <w:r w:rsidR="00E92BE2" w:rsidRPr="009B6AA8">
        <w:t>2</w:t>
      </w:r>
      <w:r w:rsidRPr="009B6AA8">
        <w:t xml:space="preserve">: Situation analysis </w:t>
      </w:r>
      <w:r w:rsidR="004B6D6B" w:rsidRPr="009B6AA8">
        <w:t>that describes the policy and operational setting in which the ROHPG functions</w:t>
      </w:r>
    </w:p>
    <w:p w14:paraId="7318CDDE" w14:textId="79F28A4F" w:rsidR="00DA2095" w:rsidRPr="009B6AA8" w:rsidRDefault="00DA2095" w:rsidP="00DA2095">
      <w:pPr>
        <w:pStyle w:val="ListBullet"/>
      </w:pPr>
      <w:r w:rsidRPr="009B6AA8">
        <w:t xml:space="preserve">Chapter </w:t>
      </w:r>
      <w:r w:rsidR="00E92BE2" w:rsidRPr="009B6AA8">
        <w:t>3</w:t>
      </w:r>
      <w:r w:rsidRPr="009B6AA8">
        <w:t xml:space="preserve">: Review framework </w:t>
      </w:r>
      <w:r w:rsidR="004B6D6B" w:rsidRPr="009B6AA8">
        <w:t>that guide</w:t>
      </w:r>
      <w:r w:rsidR="009178DA" w:rsidRPr="009B6AA8">
        <w:t>d</w:t>
      </w:r>
      <w:r w:rsidR="004B6D6B" w:rsidRPr="009B6AA8">
        <w:t xml:space="preserve"> the approach to the program review</w:t>
      </w:r>
    </w:p>
    <w:p w14:paraId="3FDEC7D6" w14:textId="77777777" w:rsidR="00373EE3" w:rsidRPr="001665F3" w:rsidRDefault="00DA2095" w:rsidP="001665F3">
      <w:pPr>
        <w:rPr>
          <w:rStyle w:val="Strong"/>
        </w:rPr>
      </w:pPr>
      <w:r w:rsidRPr="001665F3">
        <w:rPr>
          <w:rStyle w:val="Strong"/>
        </w:rPr>
        <w:t>Review findings</w:t>
      </w:r>
    </w:p>
    <w:p w14:paraId="2D48FCE9" w14:textId="463023EB" w:rsidR="004B6D6B" w:rsidRPr="009B6AA8" w:rsidRDefault="004B6D6B" w:rsidP="00DA2095">
      <w:pPr>
        <w:keepNext/>
      </w:pPr>
      <w:r w:rsidRPr="009B6AA8">
        <w:t>This section of the report provides analysis and findings against each of the Key Review Areas (KRA) specified in the review terms of reference:</w:t>
      </w:r>
    </w:p>
    <w:p w14:paraId="3BB0CFBD" w14:textId="0389B8D8" w:rsidR="008C5094" w:rsidRPr="009B6AA8" w:rsidRDefault="00DA2095" w:rsidP="008C5094">
      <w:pPr>
        <w:pStyle w:val="ListBullet"/>
      </w:pPr>
      <w:r w:rsidRPr="009B6AA8">
        <w:t xml:space="preserve">Chapter </w:t>
      </w:r>
      <w:r w:rsidR="00E92BE2" w:rsidRPr="009B6AA8">
        <w:t>4</w:t>
      </w:r>
      <w:r w:rsidRPr="009B6AA8">
        <w:t xml:space="preserve">: </w:t>
      </w:r>
      <w:r w:rsidR="008C5094" w:rsidRPr="009B6AA8">
        <w:t>KRA-A: the ongoing appropriateness of the ROHPG</w:t>
      </w:r>
    </w:p>
    <w:p w14:paraId="3C798BD2" w14:textId="77777777" w:rsidR="00373EE3" w:rsidRDefault="00DA2095" w:rsidP="008C5094">
      <w:pPr>
        <w:pStyle w:val="ListBullet"/>
      </w:pPr>
      <w:r w:rsidRPr="009B6AA8">
        <w:t xml:space="preserve">Chapter </w:t>
      </w:r>
      <w:r w:rsidR="00E92BE2" w:rsidRPr="009B6AA8">
        <w:t>5</w:t>
      </w:r>
      <w:r w:rsidRPr="009B6AA8">
        <w:t xml:space="preserve">: </w:t>
      </w:r>
      <w:r w:rsidR="008C5094" w:rsidRPr="009B6AA8">
        <w:t>KRA-B: the effectiveness of the Scheme in meeting the program’s objectives</w:t>
      </w:r>
    </w:p>
    <w:p w14:paraId="6A686405" w14:textId="60A531EF" w:rsidR="008C5094" w:rsidRPr="009B6AA8" w:rsidRDefault="00DA2095" w:rsidP="008C5094">
      <w:pPr>
        <w:pStyle w:val="ListBullet"/>
      </w:pPr>
      <w:r w:rsidRPr="009B6AA8">
        <w:t xml:space="preserve">Chapter </w:t>
      </w:r>
      <w:r w:rsidR="00E92BE2" w:rsidRPr="009B6AA8">
        <w:t>6</w:t>
      </w:r>
      <w:r w:rsidRPr="009B6AA8">
        <w:t xml:space="preserve">: </w:t>
      </w:r>
      <w:r w:rsidR="008C5094" w:rsidRPr="009B6AA8">
        <w:t>KRA-C: the efficient and effective administration of the ROHPG Scheme</w:t>
      </w:r>
    </w:p>
    <w:p w14:paraId="41D1F825" w14:textId="4AB47A2B" w:rsidR="008C5094" w:rsidRPr="009B6AA8" w:rsidRDefault="00DA2095" w:rsidP="008C5094">
      <w:pPr>
        <w:pStyle w:val="ListBullet"/>
      </w:pPr>
      <w:r w:rsidRPr="009B6AA8">
        <w:t xml:space="preserve">Chapter </w:t>
      </w:r>
      <w:r w:rsidR="00E92BE2" w:rsidRPr="009B6AA8">
        <w:t>7</w:t>
      </w:r>
      <w:r w:rsidRPr="009B6AA8">
        <w:t xml:space="preserve">: </w:t>
      </w:r>
      <w:r w:rsidR="008C5094" w:rsidRPr="009B6AA8">
        <w:t>KRA-D: appropriate accountability for ROHPG Scheme funds</w:t>
      </w:r>
    </w:p>
    <w:p w14:paraId="785F47F0" w14:textId="77777777" w:rsidR="00373EE3" w:rsidRPr="001665F3" w:rsidRDefault="00DA2095" w:rsidP="001665F3">
      <w:pPr>
        <w:rPr>
          <w:rStyle w:val="Strong"/>
        </w:rPr>
      </w:pPr>
      <w:r w:rsidRPr="001665F3">
        <w:rPr>
          <w:rStyle w:val="Strong"/>
        </w:rPr>
        <w:t>Future directions</w:t>
      </w:r>
    </w:p>
    <w:p w14:paraId="0FE6B4D3" w14:textId="77777777" w:rsidR="00373EE3" w:rsidRDefault="00E92BE2" w:rsidP="00CF3D69">
      <w:pPr>
        <w:pStyle w:val="ListBullet"/>
      </w:pPr>
      <w:r w:rsidRPr="009B6AA8">
        <w:t xml:space="preserve">Chapter 8: </w:t>
      </w:r>
      <w:r w:rsidR="004B6D6B" w:rsidRPr="009B6AA8">
        <w:t xml:space="preserve">suggests </w:t>
      </w:r>
      <w:r w:rsidR="009178DA" w:rsidRPr="009B6AA8">
        <w:t>f</w:t>
      </w:r>
      <w:r w:rsidR="00D8672B" w:rsidRPr="009B6AA8">
        <w:t>uture directions</w:t>
      </w:r>
      <w:r w:rsidR="004B6D6B" w:rsidRPr="009B6AA8">
        <w:t xml:space="preserve"> for refining the ROHPG, based on the review findings.</w:t>
      </w:r>
    </w:p>
    <w:p w14:paraId="709A267E" w14:textId="2EB21750" w:rsidR="007652F2" w:rsidRPr="000E490D" w:rsidRDefault="00DA2095" w:rsidP="00FF00FC">
      <w:pPr>
        <w:pStyle w:val="Header"/>
        <w:rPr>
          <w:u w:val="none"/>
        </w:rPr>
      </w:pPr>
      <w:bookmarkStart w:id="37" w:name="_Toc59198444"/>
      <w:bookmarkStart w:id="38" w:name="_Toc66193911"/>
      <w:bookmarkStart w:id="39" w:name="_Toc73696671"/>
      <w:r w:rsidRPr="000E490D">
        <w:rPr>
          <w:u w:val="none"/>
        </w:rPr>
        <w:lastRenderedPageBreak/>
        <w:t>Context</w:t>
      </w:r>
      <w:bookmarkEnd w:id="37"/>
      <w:bookmarkEnd w:id="38"/>
      <w:bookmarkEnd w:id="39"/>
    </w:p>
    <w:p w14:paraId="65EFD0AA" w14:textId="31BD20BB" w:rsidR="00373EE3" w:rsidRPr="00785F73" w:rsidRDefault="00DA2095" w:rsidP="00C565AA">
      <w:pPr>
        <w:pStyle w:val="Heading1numbered"/>
        <w:pageBreakBefore/>
        <w:spacing w:line="240" w:lineRule="auto"/>
      </w:pPr>
      <w:bookmarkStart w:id="40" w:name="_Toc59198445"/>
      <w:bookmarkStart w:id="41" w:name="_Toc66193912"/>
      <w:bookmarkStart w:id="42" w:name="_Toc73696672"/>
      <w:r w:rsidRPr="00785F73">
        <w:lastRenderedPageBreak/>
        <w:t xml:space="preserve">Situation </w:t>
      </w:r>
      <w:r w:rsidR="00375E68" w:rsidRPr="00785F73">
        <w:t>a</w:t>
      </w:r>
      <w:r w:rsidRPr="00785F73">
        <w:t>nalysis</w:t>
      </w:r>
      <w:bookmarkEnd w:id="40"/>
      <w:bookmarkEnd w:id="41"/>
      <w:bookmarkEnd w:id="42"/>
    </w:p>
    <w:p w14:paraId="31E40EF9" w14:textId="4C68A787" w:rsidR="000E1CD0" w:rsidRPr="00BC705E" w:rsidRDefault="000E1CD0" w:rsidP="00634532">
      <w:pPr>
        <w:pStyle w:val="heading2numbered"/>
      </w:pPr>
      <w:bookmarkStart w:id="43" w:name="_Toc50722038"/>
      <w:bookmarkStart w:id="44" w:name="_Ref51322615"/>
      <w:bookmarkStart w:id="45" w:name="_Ref51926595"/>
      <w:bookmarkStart w:id="46" w:name="_Toc54688787"/>
      <w:bookmarkStart w:id="47" w:name="_Toc59198446"/>
      <w:bookmarkStart w:id="48" w:name="_Toc66193913"/>
      <w:bookmarkStart w:id="49" w:name="_Toc73696673"/>
      <w:bookmarkStart w:id="50" w:name="_Toc54688779"/>
      <w:bookmarkStart w:id="51" w:name="_Toc54688778"/>
      <w:r w:rsidRPr="00BC705E">
        <w:t>Radiotherapy</w:t>
      </w:r>
      <w:bookmarkEnd w:id="43"/>
      <w:bookmarkEnd w:id="44"/>
      <w:bookmarkEnd w:id="45"/>
      <w:bookmarkEnd w:id="46"/>
      <w:bookmarkEnd w:id="47"/>
      <w:bookmarkEnd w:id="48"/>
      <w:bookmarkEnd w:id="49"/>
    </w:p>
    <w:p w14:paraId="70F6B6D3" w14:textId="77777777" w:rsidR="00373EE3" w:rsidRDefault="000E1CD0" w:rsidP="00736EB6">
      <w:r w:rsidRPr="009B6AA8">
        <w:t>Radiation therapy, also referred to as radiotherapy (RT), is an important treatment for many cancers</w:t>
      </w:r>
      <w:r w:rsidR="0089766D" w:rsidRPr="009B6AA8">
        <w:t xml:space="preserve">; </w:t>
      </w:r>
      <w:r w:rsidRPr="009B6AA8">
        <w:t>it can</w:t>
      </w:r>
      <w:r w:rsidR="009178DA" w:rsidRPr="009B6AA8">
        <w:t xml:space="preserve"> be</w:t>
      </w:r>
      <w:r w:rsidRPr="009B6AA8">
        <w:t xml:space="preserve"> </w:t>
      </w:r>
      <w:r w:rsidR="0089766D" w:rsidRPr="009B6AA8">
        <w:t>applied for</w:t>
      </w:r>
      <w:r w:rsidRPr="009B6AA8">
        <w:t xml:space="preserve"> </w:t>
      </w:r>
      <w:r w:rsidR="0089766D" w:rsidRPr="009B6AA8">
        <w:t xml:space="preserve">both </w:t>
      </w:r>
      <w:r w:rsidRPr="009B6AA8">
        <w:t xml:space="preserve">curative </w:t>
      </w:r>
      <w:r w:rsidR="00D65C79" w:rsidRPr="009B6AA8">
        <w:t>and</w:t>
      </w:r>
      <w:r w:rsidRPr="009B6AA8">
        <w:t xml:space="preserve"> palliative </w:t>
      </w:r>
      <w:r w:rsidR="0089766D" w:rsidRPr="009B6AA8">
        <w:t>reasons</w:t>
      </w:r>
      <w:r w:rsidRPr="009B6AA8">
        <w:t>.</w:t>
      </w:r>
    </w:p>
    <w:p w14:paraId="394056DD" w14:textId="79975D3B" w:rsidR="00373EE3" w:rsidRDefault="000E1CD0" w:rsidP="00736EB6">
      <w:r w:rsidRPr="009B6AA8">
        <w:t xml:space="preserve">There are two main modes of delivery: internal radiation therapy known as brachytherapy, and external beam radiation therapy </w:t>
      </w:r>
      <w:sdt>
        <w:sdtPr>
          <w:id w:val="-154920603"/>
          <w:citation/>
        </w:sdtPr>
        <w:sdtContent>
          <w:r w:rsidRPr="00D65C79">
            <w:fldChar w:fldCharType="begin"/>
          </w:r>
          <w:r w:rsidRPr="009B6AA8">
            <w:instrText xml:space="preserve"> CITATION Nat19 \l 3081 </w:instrText>
          </w:r>
          <w:r w:rsidRPr="00D65C79">
            <w:fldChar w:fldCharType="separate"/>
          </w:r>
          <w:r w:rsidR="00264535" w:rsidRPr="00264535">
            <w:rPr>
              <w:noProof/>
            </w:rPr>
            <w:t>[2]</w:t>
          </w:r>
          <w:r w:rsidRPr="00D65C79">
            <w:fldChar w:fldCharType="end"/>
          </w:r>
        </w:sdtContent>
      </w:sdt>
      <w:r w:rsidRPr="00D65C79">
        <w:t>.</w:t>
      </w:r>
    </w:p>
    <w:p w14:paraId="696E66BD" w14:textId="43D0B86F" w:rsidR="000E1CD0" w:rsidRPr="009B6AA8" w:rsidRDefault="000E1CD0" w:rsidP="00A621AB">
      <w:r w:rsidRPr="009B6AA8">
        <w:t>Several types of external radiation therapy are currently used to treat cancers, including:</w:t>
      </w:r>
    </w:p>
    <w:p w14:paraId="4B684D4E" w14:textId="77777777" w:rsidR="000E1CD0" w:rsidRPr="009B6AA8" w:rsidRDefault="000E1CD0" w:rsidP="00A621AB">
      <w:pPr>
        <w:pStyle w:val="ListBullet"/>
      </w:pPr>
      <w:r w:rsidRPr="00A621AB">
        <w:t>conventional</w:t>
      </w:r>
      <w:r w:rsidRPr="009B6AA8">
        <w:t xml:space="preserve"> external beam radiation therapy (EBRT)</w:t>
      </w:r>
    </w:p>
    <w:p w14:paraId="7B6A91B5" w14:textId="18284188" w:rsidR="000E1CD0" w:rsidRPr="009B6AA8" w:rsidRDefault="009C1105" w:rsidP="00736EB6">
      <w:pPr>
        <w:pStyle w:val="ListBullet"/>
      </w:pPr>
      <w:r w:rsidRPr="009B6AA8">
        <w:t xml:space="preserve">intensity-modulated radiation therapy </w:t>
      </w:r>
      <w:r w:rsidR="000E1CD0" w:rsidRPr="009B6AA8">
        <w:t>(IMRT)</w:t>
      </w:r>
    </w:p>
    <w:p w14:paraId="4264CDEE" w14:textId="77777777" w:rsidR="000E1CD0" w:rsidRPr="009B6AA8" w:rsidRDefault="000E1CD0" w:rsidP="00736EB6">
      <w:pPr>
        <w:pStyle w:val="ListBullet"/>
      </w:pPr>
      <w:r w:rsidRPr="009B6AA8">
        <w:t>image-guided radiation therapy (IGRT)</w:t>
      </w:r>
    </w:p>
    <w:p w14:paraId="66B687EA" w14:textId="77777777" w:rsidR="00373EE3" w:rsidRDefault="000E1CD0" w:rsidP="00736EB6">
      <w:pPr>
        <w:pStyle w:val="ListBullet"/>
      </w:pPr>
      <w:r w:rsidRPr="009B6AA8">
        <w:t>stereotactic radiosurgery (SRS), and</w:t>
      </w:r>
    </w:p>
    <w:p w14:paraId="38971424" w14:textId="558226E6" w:rsidR="00373EE3" w:rsidRDefault="000E1CD0" w:rsidP="00736EB6">
      <w:pPr>
        <w:pStyle w:val="ListBullet"/>
      </w:pPr>
      <w:proofErr w:type="gramStart"/>
      <w:r w:rsidRPr="009B6AA8">
        <w:t>stereotactic</w:t>
      </w:r>
      <w:proofErr w:type="gramEnd"/>
      <w:r w:rsidRPr="009B6AA8">
        <w:t xml:space="preserve"> body radiation therapy (SBRT) </w:t>
      </w:r>
      <w:sdt>
        <w:sdtPr>
          <w:id w:val="-1026787837"/>
          <w:citation/>
        </w:sdtPr>
        <w:sdtContent>
          <w:r w:rsidRPr="00D65C79">
            <w:fldChar w:fldCharType="begin"/>
          </w:r>
          <w:r w:rsidRPr="009B6AA8">
            <w:instrText xml:space="preserve"> CITATION Roy17 \l 3081 </w:instrText>
          </w:r>
          <w:r w:rsidRPr="00D65C79">
            <w:fldChar w:fldCharType="separate"/>
          </w:r>
          <w:r w:rsidR="00264535" w:rsidRPr="00264535">
            <w:rPr>
              <w:noProof/>
            </w:rPr>
            <w:t>[3]</w:t>
          </w:r>
          <w:r w:rsidRPr="00D65C79">
            <w:fldChar w:fldCharType="end"/>
          </w:r>
        </w:sdtContent>
      </w:sdt>
      <w:r w:rsidRPr="00D65C79">
        <w:t>.</w:t>
      </w:r>
    </w:p>
    <w:p w14:paraId="0B86B61D" w14:textId="0D899C74" w:rsidR="00373EE3" w:rsidRDefault="000E1CD0" w:rsidP="00A621AB">
      <w:r w:rsidRPr="009B6AA8">
        <w:t>Each of these treatments uses X-ray radiation (photons) delivered through a medical linear accelerator (</w:t>
      </w:r>
      <w:proofErr w:type="spellStart"/>
      <w:r w:rsidRPr="009B6AA8">
        <w:t>linac</w:t>
      </w:r>
      <w:proofErr w:type="spellEnd"/>
      <w:r w:rsidRPr="009B6AA8">
        <w:t>)</w:t>
      </w:r>
      <w:r w:rsidR="00050F7B" w:rsidRPr="00D65C79">
        <w:rPr>
          <w:rStyle w:val="FootnoteReference"/>
        </w:rPr>
        <w:footnoteReference w:id="1"/>
      </w:r>
      <w:r w:rsidRPr="00D65C79">
        <w:t xml:space="preserve">. A </w:t>
      </w:r>
      <w:proofErr w:type="spellStart"/>
      <w:r w:rsidRPr="00D65C79">
        <w:t>linac</w:t>
      </w:r>
      <w:proofErr w:type="spellEnd"/>
      <w:r w:rsidRPr="00D65C79">
        <w:t xml:space="preserve"> is a large piece of equipment used to deliver the photons to the patient</w:t>
      </w:r>
      <w:r w:rsidRPr="009B6AA8">
        <w:t xml:space="preserve">’s cancer site. </w:t>
      </w:r>
      <w:proofErr w:type="spellStart"/>
      <w:r w:rsidR="00050F7B" w:rsidRPr="009B6AA8">
        <w:t>L</w:t>
      </w:r>
      <w:r w:rsidRPr="009B6AA8">
        <w:t>inacs</w:t>
      </w:r>
      <w:proofErr w:type="spellEnd"/>
      <w:r w:rsidRPr="009B6AA8">
        <w:t xml:space="preserve"> are operated by a radiation oncologist. Magnetic resonance imaging (MRI) and computed tomography (CT) scanning equipment can be mounted onto a </w:t>
      </w:r>
      <w:proofErr w:type="spellStart"/>
      <w:r w:rsidRPr="009B6AA8">
        <w:t>linac</w:t>
      </w:r>
      <w:proofErr w:type="spellEnd"/>
      <w:r w:rsidRPr="009B6AA8">
        <w:t xml:space="preserve"> to enable delivery of IGRT, SRS and SBRT, although newer models may have built-in imaging capacity </w:t>
      </w:r>
      <w:sdt>
        <w:sdtPr>
          <w:id w:val="144017009"/>
          <w:citation/>
        </w:sdtPr>
        <w:sdtContent>
          <w:r w:rsidRPr="00D65C79">
            <w:fldChar w:fldCharType="begin"/>
          </w:r>
          <w:r w:rsidRPr="009B6AA8">
            <w:instrText xml:space="preserve"> CITATION Roy17 \l 3081 </w:instrText>
          </w:r>
          <w:r w:rsidRPr="00D65C79">
            <w:fldChar w:fldCharType="separate"/>
          </w:r>
          <w:r w:rsidR="00264535" w:rsidRPr="00264535">
            <w:rPr>
              <w:noProof/>
            </w:rPr>
            <w:t>[3]</w:t>
          </w:r>
          <w:r w:rsidRPr="00D65C79">
            <w:fldChar w:fldCharType="end"/>
          </w:r>
        </w:sdtContent>
      </w:sdt>
      <w:r w:rsidRPr="00D65C79">
        <w:t>.</w:t>
      </w:r>
    </w:p>
    <w:p w14:paraId="4493B677" w14:textId="11651FC8" w:rsidR="00373EE3" w:rsidRDefault="000E1CD0" w:rsidP="00A621AB">
      <w:r w:rsidRPr="009B6AA8">
        <w:t>SRS and SBRT are primarily used in the treatment of primary and secondary brain cancers but are increasingly being used in the treatment of other types of tumours such as lung and breast cancers</w:t>
      </w:r>
      <w:r w:rsidR="00050F7B" w:rsidRPr="009B6AA8">
        <w:t xml:space="preserve"> </w:t>
      </w:r>
      <w:sdt>
        <w:sdtPr>
          <w:id w:val="-295533665"/>
          <w:citation/>
        </w:sdtPr>
        <w:sdtContent>
          <w:r w:rsidRPr="00D65C79">
            <w:fldChar w:fldCharType="begin"/>
          </w:r>
          <w:r w:rsidRPr="009B6AA8">
            <w:instrText xml:space="preserve"> CITATION Pet20 \l 3081  \m JEp13</w:instrText>
          </w:r>
          <w:r w:rsidRPr="00D65C79">
            <w:fldChar w:fldCharType="separate"/>
          </w:r>
          <w:r w:rsidR="00264535" w:rsidRPr="00264535">
            <w:rPr>
              <w:noProof/>
            </w:rPr>
            <w:t>[4, 5]</w:t>
          </w:r>
          <w:r w:rsidRPr="00D65C79">
            <w:fldChar w:fldCharType="end"/>
          </w:r>
        </w:sdtContent>
      </w:sdt>
      <w:r w:rsidRPr="00D65C79">
        <w:t>.</w:t>
      </w:r>
    </w:p>
    <w:p w14:paraId="3521DF35" w14:textId="61032F3E" w:rsidR="00373EE3" w:rsidRDefault="000E1CD0" w:rsidP="00736EB6">
      <w:r w:rsidRPr="009B6AA8">
        <w:t xml:space="preserve">Many Australian cancer services with </w:t>
      </w:r>
      <w:proofErr w:type="spellStart"/>
      <w:r w:rsidRPr="009B6AA8">
        <w:t>linacs</w:t>
      </w:r>
      <w:proofErr w:type="spellEnd"/>
      <w:r w:rsidRPr="009B6AA8">
        <w:t xml:space="preserve"> and imaging equipment have the capacity to provide all of these therapies, as their modes of delivery are enabled by differing software programs and procedures rather than different types of </w:t>
      </w:r>
      <w:proofErr w:type="spellStart"/>
      <w:r w:rsidRPr="009B6AA8">
        <w:t>linac</w:t>
      </w:r>
      <w:proofErr w:type="spellEnd"/>
      <w:r w:rsidRPr="009B6AA8">
        <w:t xml:space="preserve"> </w:t>
      </w:r>
      <w:sdt>
        <w:sdtPr>
          <w:id w:val="1817760134"/>
          <w:citation/>
        </w:sdtPr>
        <w:sdtContent>
          <w:r w:rsidRPr="00D65C79">
            <w:fldChar w:fldCharType="begin"/>
          </w:r>
          <w:r w:rsidRPr="009B6AA8">
            <w:instrText xml:space="preserve"> CITATION Col13 \l 3081 </w:instrText>
          </w:r>
          <w:r w:rsidRPr="00D65C79">
            <w:fldChar w:fldCharType="separate"/>
          </w:r>
          <w:r w:rsidR="00264535" w:rsidRPr="00264535">
            <w:rPr>
              <w:noProof/>
            </w:rPr>
            <w:t>[6]</w:t>
          </w:r>
          <w:r w:rsidRPr="00D65C79">
            <w:fldChar w:fldCharType="end"/>
          </w:r>
        </w:sdtContent>
      </w:sdt>
      <w:r w:rsidRPr="00D65C79">
        <w:t>.</w:t>
      </w:r>
    </w:p>
    <w:p w14:paraId="2262BBBD" w14:textId="77777777" w:rsidR="00373EE3" w:rsidRDefault="000E1CD0" w:rsidP="00736EB6">
      <w:r w:rsidRPr="009B6AA8">
        <w:t xml:space="preserve">The ROHPG focuses on the funding of </w:t>
      </w:r>
      <w:proofErr w:type="spellStart"/>
      <w:r w:rsidRPr="009B6AA8">
        <w:t>linacs</w:t>
      </w:r>
      <w:proofErr w:type="spellEnd"/>
      <w:r w:rsidRPr="009B6AA8">
        <w:t xml:space="preserve"> to deliver external beam radiotherapy. Therefore, reference to RT throughout this report will refer to external beam radiotherapy, unless otherwise specified.</w:t>
      </w:r>
    </w:p>
    <w:p w14:paraId="7929091B" w14:textId="5C736791" w:rsidR="00373EE3" w:rsidRDefault="000E1CD0" w:rsidP="00736EB6">
      <w:r w:rsidRPr="009B6AA8">
        <w:t xml:space="preserve">To deliver RT, facilities must also have a bunker. A bunker is constructed with concrete and lead to protect clinicians and others within the building from radiation exposure </w:t>
      </w:r>
      <w:sdt>
        <w:sdtPr>
          <w:id w:val="781765033"/>
          <w:citation/>
        </w:sdtPr>
        <w:sdtContent>
          <w:r w:rsidRPr="00D65C79">
            <w:fldChar w:fldCharType="begin"/>
          </w:r>
          <w:r w:rsidRPr="009B6AA8">
            <w:instrText xml:space="preserve"> CITATION Cor18 \l 3081 </w:instrText>
          </w:r>
          <w:r w:rsidRPr="00D65C79">
            <w:fldChar w:fldCharType="separate"/>
          </w:r>
          <w:r w:rsidR="00264535" w:rsidRPr="00264535">
            <w:rPr>
              <w:noProof/>
            </w:rPr>
            <w:t>[7]</w:t>
          </w:r>
          <w:r w:rsidRPr="00D65C79">
            <w:fldChar w:fldCharType="end"/>
          </w:r>
        </w:sdtContent>
      </w:sdt>
      <w:r w:rsidRPr="00D65C79">
        <w:t>. Bunkers and other aspects of physical infrastructure needed to deliver RT require significant time and financial inves</w:t>
      </w:r>
      <w:r w:rsidRPr="009B6AA8">
        <w:t xml:space="preserve">tment. It is likely that a newly established facility that has not previously delivered RT will need to make substantial changes to building </w:t>
      </w:r>
      <w:r w:rsidR="0089766D" w:rsidRPr="009B6AA8">
        <w:t xml:space="preserve">structures to support the construction of bunkers. There is also an extensive set-up time required to </w:t>
      </w:r>
      <w:r w:rsidRPr="009B6AA8">
        <w:t xml:space="preserve">recruit highly specialised staff to plan and deliver services. Therefore, in establishing a new RT service, the facility must not only consider the high cost of </w:t>
      </w:r>
      <w:proofErr w:type="spellStart"/>
      <w:r w:rsidRPr="009B6AA8">
        <w:t>linacs</w:t>
      </w:r>
      <w:proofErr w:type="spellEnd"/>
      <w:r w:rsidRPr="009B6AA8">
        <w:t xml:space="preserve"> but also the costs associated with </w:t>
      </w:r>
      <w:r w:rsidR="0089766D" w:rsidRPr="009B6AA8">
        <w:t xml:space="preserve">developing </w:t>
      </w:r>
      <w:r w:rsidRPr="009B6AA8">
        <w:t xml:space="preserve">bunker facilities and </w:t>
      </w:r>
      <w:r w:rsidR="0089766D" w:rsidRPr="009B6AA8">
        <w:t xml:space="preserve">recruiting the necessary </w:t>
      </w:r>
      <w:r w:rsidRPr="009B6AA8">
        <w:t>staff.</w:t>
      </w:r>
    </w:p>
    <w:p w14:paraId="1C8A6A57" w14:textId="77777777" w:rsidR="00373EE3" w:rsidRPr="00BC705E" w:rsidRDefault="00050F7B" w:rsidP="00634532">
      <w:pPr>
        <w:pStyle w:val="Heading3numbered"/>
      </w:pPr>
      <w:bookmarkStart w:id="52" w:name="_Toc59198447"/>
      <w:bookmarkStart w:id="53" w:name="_Toc66193914"/>
      <w:r w:rsidRPr="00BC705E">
        <w:t>Innovations in RT provision</w:t>
      </w:r>
      <w:bookmarkEnd w:id="52"/>
      <w:bookmarkEnd w:id="53"/>
    </w:p>
    <w:p w14:paraId="740DBE4F" w14:textId="39724103" w:rsidR="00373EE3" w:rsidRDefault="000E1CD0" w:rsidP="00736EB6">
      <w:r w:rsidRPr="009B6AA8">
        <w:t xml:space="preserve">Innovations in software and imaging technology have the capacity to support the existing RT workforce to increase service volume as well as </w:t>
      </w:r>
      <w:r w:rsidR="001D7A38" w:rsidRPr="009B6AA8">
        <w:t xml:space="preserve">improve </w:t>
      </w:r>
      <w:r w:rsidRPr="009B6AA8">
        <w:t xml:space="preserve">the safety and quality of treatment </w:t>
      </w:r>
      <w:sdt>
        <w:sdtPr>
          <w:id w:val="932474603"/>
          <w:citation/>
        </w:sdtPr>
        <w:sdtContent>
          <w:r w:rsidRPr="00D65C79">
            <w:fldChar w:fldCharType="begin"/>
          </w:r>
          <w:r w:rsidRPr="009B6AA8">
            <w:instrText xml:space="preserve"> CITATION Fea17 \l 1033 </w:instrText>
          </w:r>
          <w:r w:rsidRPr="00D65C79">
            <w:fldChar w:fldCharType="separate"/>
          </w:r>
          <w:r w:rsidR="00264535" w:rsidRPr="00264535">
            <w:rPr>
              <w:noProof/>
            </w:rPr>
            <w:t>[8]</w:t>
          </w:r>
          <w:r w:rsidRPr="00D65C79">
            <w:fldChar w:fldCharType="end"/>
          </w:r>
        </w:sdtContent>
      </w:sdt>
      <w:r w:rsidRPr="00D65C79">
        <w:t>.</w:t>
      </w:r>
    </w:p>
    <w:p w14:paraId="6EC06080" w14:textId="051E3CC3" w:rsidR="000E1CD0" w:rsidRPr="009B6AA8" w:rsidRDefault="000E1CD0" w:rsidP="00736EB6">
      <w:pPr>
        <w:keepNext/>
      </w:pPr>
      <w:r w:rsidRPr="00D65C79">
        <w:t>Increased patient throughput and more efficient use of clinician time can be aided by:</w:t>
      </w:r>
    </w:p>
    <w:p w14:paraId="251E28E0" w14:textId="77777777" w:rsidR="00373EE3" w:rsidRPr="00853EFB" w:rsidRDefault="000E1CD0" w:rsidP="00853EFB">
      <w:pPr>
        <w:pStyle w:val="ListBullet"/>
      </w:pPr>
      <w:r w:rsidRPr="009B6AA8">
        <w:t>automated treatment planning</w:t>
      </w:r>
      <w:r w:rsidR="001D7A38" w:rsidRPr="009B6AA8">
        <w:t>,</w:t>
      </w:r>
      <w:r w:rsidRPr="009B6AA8">
        <w:t xml:space="preserve"> decreas</w:t>
      </w:r>
      <w:r w:rsidR="001D7A38" w:rsidRPr="009B6AA8">
        <w:t>ing the</w:t>
      </w:r>
      <w:r w:rsidRPr="009B6AA8">
        <w:t xml:space="preserve"> time </w:t>
      </w:r>
      <w:r w:rsidRPr="00853EFB">
        <w:t xml:space="preserve">spent by radiation oncologists/therapists on planning </w:t>
      </w:r>
      <w:r w:rsidR="001D7A38" w:rsidRPr="00853EFB">
        <w:t>treatment delivery</w:t>
      </w:r>
      <w:r w:rsidRPr="00853EFB">
        <w:t>,</w:t>
      </w:r>
      <w:r w:rsidR="001D7A38" w:rsidRPr="00853EFB">
        <w:t xml:space="preserve"> and</w:t>
      </w:r>
      <w:r w:rsidRPr="00853EFB">
        <w:t xml:space="preserve"> increasing their capacity to provide service to more patients</w:t>
      </w:r>
    </w:p>
    <w:p w14:paraId="1E208121" w14:textId="77777777" w:rsidR="00373EE3" w:rsidRPr="00853EFB" w:rsidRDefault="000E1CD0" w:rsidP="00853EFB">
      <w:pPr>
        <w:pStyle w:val="ListBullet"/>
      </w:pPr>
      <w:proofErr w:type="gramStart"/>
      <w:r w:rsidRPr="00853EFB">
        <w:t>real-time</w:t>
      </w:r>
      <w:proofErr w:type="gramEnd"/>
      <w:r w:rsidRPr="00853EFB">
        <w:t xml:space="preserve"> adaptive image-guided RT</w:t>
      </w:r>
      <w:r w:rsidR="001D7A38" w:rsidRPr="00853EFB">
        <w:t>; this</w:t>
      </w:r>
      <w:r w:rsidRPr="00853EFB">
        <w:t xml:space="preserve"> decreases the need for patient readjustment and measurement during treatment sessions and therefore time required by individual treatments</w:t>
      </w:r>
      <w:r w:rsidR="001D7A38" w:rsidRPr="00853EFB">
        <w:t>,</w:t>
      </w:r>
      <w:r w:rsidRPr="00853EFB">
        <w:t xml:space="preserve"> allowing a greater number of patients to be treated within the same timeframe.</w:t>
      </w:r>
    </w:p>
    <w:p w14:paraId="78BE933F" w14:textId="3FEE3D50" w:rsidR="00373EE3" w:rsidRDefault="000E1CD0" w:rsidP="00736EB6">
      <w:r w:rsidRPr="009B6AA8">
        <w:t>Further, the ability to share treatment information through cloud-based collaboration gives clinicians access to case conferencing and second opinions from expert</w:t>
      </w:r>
      <w:r w:rsidR="001D7A38" w:rsidRPr="009B6AA8">
        <w:t xml:space="preserve"> peers</w:t>
      </w:r>
      <w:r w:rsidR="007A2ED8" w:rsidRPr="009B6AA8">
        <w:t>, even if they are in regional locations or different states</w:t>
      </w:r>
      <w:r w:rsidRPr="009B6AA8">
        <w:t>, significantly increasing the quality and safety of care. This mechanism can also support increased patient participation in clinical trials</w:t>
      </w:r>
      <w:r w:rsidR="007A2ED8" w:rsidRPr="009B6AA8">
        <w:t xml:space="preserve"> by increasing the number of sites able to participate with supervision</w:t>
      </w:r>
      <w:r w:rsidRPr="009B6AA8">
        <w:t xml:space="preserve">, known to contribute to improved survival outcomes </w:t>
      </w:r>
      <w:sdt>
        <w:sdtPr>
          <w:id w:val="-1048753383"/>
          <w:citation/>
        </w:sdtPr>
        <w:sdtContent>
          <w:r w:rsidRPr="00D65C79">
            <w:fldChar w:fldCharType="begin"/>
          </w:r>
          <w:r w:rsidRPr="009B6AA8">
            <w:instrText xml:space="preserve"> CITATION Fea17 \l 1033 </w:instrText>
          </w:r>
          <w:r w:rsidRPr="00D65C79">
            <w:fldChar w:fldCharType="separate"/>
          </w:r>
          <w:r w:rsidR="00264535" w:rsidRPr="00264535">
            <w:rPr>
              <w:noProof/>
            </w:rPr>
            <w:t>[8]</w:t>
          </w:r>
          <w:r w:rsidRPr="00D65C79">
            <w:fldChar w:fldCharType="end"/>
          </w:r>
        </w:sdtContent>
      </w:sdt>
      <w:r w:rsidRPr="00D65C79">
        <w:t>.</w:t>
      </w:r>
    </w:p>
    <w:p w14:paraId="748A57A6" w14:textId="77777777" w:rsidR="00373EE3" w:rsidRPr="00BC705E" w:rsidRDefault="000E1CD0" w:rsidP="00216866">
      <w:pPr>
        <w:pStyle w:val="heading2numbered"/>
      </w:pPr>
      <w:bookmarkStart w:id="54" w:name="_Toc54688789"/>
      <w:bookmarkStart w:id="55" w:name="_Toc59198448"/>
      <w:bookmarkStart w:id="56" w:name="_Toc66193915"/>
      <w:bookmarkStart w:id="57" w:name="_Toc73696674"/>
      <w:r w:rsidRPr="00BC705E">
        <w:lastRenderedPageBreak/>
        <w:t>Provision of radiotherapy in Australia</w:t>
      </w:r>
      <w:bookmarkEnd w:id="54"/>
      <w:bookmarkEnd w:id="55"/>
      <w:bookmarkEnd w:id="56"/>
      <w:bookmarkEnd w:id="57"/>
    </w:p>
    <w:p w14:paraId="20A33714" w14:textId="77777777" w:rsidR="00373EE3" w:rsidRDefault="000E1CD0" w:rsidP="00736EB6">
      <w:r w:rsidRPr="009B6AA8">
        <w:t xml:space="preserve">In Australia, the majority of radiotherapy is provided as an outpatient service and can be provided by a public or private </w:t>
      </w:r>
      <w:r w:rsidR="00C62BBC">
        <w:t>facility</w:t>
      </w:r>
      <w:r w:rsidRPr="009B6AA8">
        <w:t>.</w:t>
      </w:r>
    </w:p>
    <w:p w14:paraId="712FE1AC" w14:textId="7A516BD8" w:rsidR="000E1CD0" w:rsidRPr="009B6AA8" w:rsidRDefault="003A5953" w:rsidP="00736EB6">
      <w:r w:rsidRPr="009B6AA8">
        <w:t xml:space="preserve">Levels of </w:t>
      </w:r>
      <w:r w:rsidR="000E1CD0" w:rsidRPr="009B6AA8">
        <w:t>public RT service</w:t>
      </w:r>
      <w:r w:rsidRPr="009B6AA8">
        <w:t xml:space="preserve"> provision</w:t>
      </w:r>
      <w:r w:rsidR="000E1CD0" w:rsidRPr="009B6AA8">
        <w:t xml:space="preserve"> </w:t>
      </w:r>
      <w:r w:rsidR="00D2777F">
        <w:t>vary</w:t>
      </w:r>
      <w:r w:rsidR="00D2777F" w:rsidRPr="009B6AA8">
        <w:t xml:space="preserve"> </w:t>
      </w:r>
      <w:r w:rsidR="000E1CD0" w:rsidRPr="009B6AA8">
        <w:t>by jurisdiction and local health service districts. There are 4</w:t>
      </w:r>
      <w:r w:rsidR="005565B4" w:rsidRPr="009B6AA8">
        <w:t>2</w:t>
      </w:r>
      <w:r w:rsidR="000E1CD0" w:rsidRPr="009B6AA8">
        <w:t xml:space="preserve"> public radiotherapy </w:t>
      </w:r>
      <w:r w:rsidR="000818E2">
        <w:t>facilities</w:t>
      </w:r>
      <w:r w:rsidR="000E1CD0" w:rsidRPr="009B6AA8">
        <w:t xml:space="preserve"> across Australia with the majority in New South Wales (17), Victoria (10) and Queensland (7). Tasmania has t</w:t>
      </w:r>
      <w:r w:rsidR="00373D79" w:rsidRPr="009B6AA8">
        <w:t xml:space="preserve">hree </w:t>
      </w:r>
      <w:r w:rsidR="000E1CD0" w:rsidRPr="009B6AA8">
        <w:t xml:space="preserve">public </w:t>
      </w:r>
      <w:r w:rsidR="000818E2">
        <w:t>facilities</w:t>
      </w:r>
      <w:r w:rsidR="000E1CD0" w:rsidRPr="009B6AA8">
        <w:t xml:space="preserve">, </w:t>
      </w:r>
      <w:r w:rsidR="005565B4" w:rsidRPr="009B6AA8">
        <w:t xml:space="preserve">South Australia has two public </w:t>
      </w:r>
      <w:r w:rsidR="000818E2">
        <w:t>facilities</w:t>
      </w:r>
      <w:r w:rsidR="005565B4" w:rsidRPr="009B6AA8">
        <w:t xml:space="preserve">, </w:t>
      </w:r>
      <w:r w:rsidR="000E1CD0" w:rsidRPr="009B6AA8">
        <w:t>while all other jurisdictions</w:t>
      </w:r>
      <w:r w:rsidRPr="009B6AA8">
        <w:t xml:space="preserve"> (Western Australia, Australian Capital Territory and Northern Territory)</w:t>
      </w:r>
      <w:r w:rsidR="000E1CD0" w:rsidRPr="009B6AA8">
        <w:t xml:space="preserve"> have one public </w:t>
      </w:r>
      <w:r w:rsidR="00C62BBC">
        <w:t>facility</w:t>
      </w:r>
      <w:r w:rsidR="000E1CD0" w:rsidRPr="009B6AA8">
        <w:t>.</w:t>
      </w:r>
      <w:r w:rsidR="009418FE">
        <w:t xml:space="preserve"> ROHPG </w:t>
      </w:r>
      <w:r w:rsidR="001C0EF1">
        <w:t xml:space="preserve">provides funding to </w:t>
      </w:r>
      <w:r w:rsidR="009418FE">
        <w:t>all but one of these facilities (98%).</w:t>
      </w:r>
    </w:p>
    <w:p w14:paraId="54F17620" w14:textId="13F637DF" w:rsidR="000E1CD0" w:rsidRPr="009B6AA8" w:rsidRDefault="000E1CD0" w:rsidP="00736EB6">
      <w:r w:rsidRPr="009B6AA8">
        <w:t xml:space="preserve">There are </w:t>
      </w:r>
      <w:r w:rsidR="004A630C">
        <w:t>6</w:t>
      </w:r>
      <w:r w:rsidR="00D71738">
        <w:t>3</w:t>
      </w:r>
      <w:r w:rsidR="005565B4" w:rsidRPr="009B6AA8">
        <w:t xml:space="preserve"> private RT </w:t>
      </w:r>
      <w:r w:rsidR="000818E2">
        <w:t>facilities</w:t>
      </w:r>
      <w:r w:rsidR="005565B4" w:rsidRPr="009B6AA8">
        <w:t xml:space="preserve"> in Australia</w:t>
      </w:r>
      <w:r w:rsidR="004A630C">
        <w:rPr>
          <w:rStyle w:val="FootnoteReference"/>
        </w:rPr>
        <w:footnoteReference w:id="2"/>
      </w:r>
      <w:r w:rsidR="005565B4" w:rsidRPr="009B6AA8">
        <w:t>, 8</w:t>
      </w:r>
      <w:r w:rsidR="004A630C">
        <w:t>1</w:t>
      </w:r>
      <w:r w:rsidR="005565B4" w:rsidRPr="009B6AA8">
        <w:t xml:space="preserve">% of which are provided by one of two </w:t>
      </w:r>
      <w:r w:rsidRPr="009B6AA8">
        <w:t xml:space="preserve">main </w:t>
      </w:r>
      <w:r w:rsidR="005565B4" w:rsidRPr="009B6AA8">
        <w:t>organisations</w:t>
      </w:r>
      <w:r w:rsidRPr="009B6AA8">
        <w:t xml:space="preserve">, ICON and </w:t>
      </w:r>
      <w:proofErr w:type="spellStart"/>
      <w:r w:rsidRPr="009B6AA8">
        <w:t>GenesisCare</w:t>
      </w:r>
      <w:proofErr w:type="spellEnd"/>
      <w:r w:rsidRPr="009B6AA8">
        <w:t xml:space="preserve">. Together ICON and </w:t>
      </w:r>
      <w:proofErr w:type="spellStart"/>
      <w:r w:rsidRPr="009B6AA8">
        <w:t>GenesisCare</w:t>
      </w:r>
      <w:proofErr w:type="spellEnd"/>
      <w:r w:rsidRPr="009B6AA8">
        <w:t xml:space="preserve"> have facilities in all jurisdictions with the exception of the Northern Territory. There are a small number of other private RT </w:t>
      </w:r>
      <w:r w:rsidR="004A630C">
        <w:t>providers</w:t>
      </w:r>
      <w:r w:rsidRPr="009B6AA8">
        <w:t>, as follows:</w:t>
      </w:r>
    </w:p>
    <w:p w14:paraId="4E4D802B" w14:textId="77777777" w:rsidR="000E1CD0" w:rsidRPr="00853EFB" w:rsidRDefault="000E1CD0" w:rsidP="00853EFB">
      <w:pPr>
        <w:pStyle w:val="ListBullet"/>
      </w:pPr>
      <w:r w:rsidRPr="009B6AA8">
        <w:t xml:space="preserve">Cancer Care Associates, which has two </w:t>
      </w:r>
      <w:r w:rsidRPr="00853EFB">
        <w:t>centres in New South Wales – one in Wagga Wagga and one in Northern Beaches, Sydney</w:t>
      </w:r>
    </w:p>
    <w:p w14:paraId="0E3AC399" w14:textId="77777777" w:rsidR="000E1CD0" w:rsidRPr="00853EFB" w:rsidRDefault="000E1CD0" w:rsidP="00853EFB">
      <w:pPr>
        <w:pStyle w:val="ListBullet"/>
      </w:pPr>
      <w:r w:rsidRPr="00853EFB">
        <w:t xml:space="preserve">Chris O’Brien </w:t>
      </w:r>
      <w:proofErr w:type="spellStart"/>
      <w:r w:rsidRPr="00853EFB">
        <w:t>Lifehouse</w:t>
      </w:r>
      <w:proofErr w:type="spellEnd"/>
      <w:r w:rsidRPr="00853EFB">
        <w:t xml:space="preserve"> in Sydney, New South Wales</w:t>
      </w:r>
    </w:p>
    <w:p w14:paraId="71AA6E69" w14:textId="77777777" w:rsidR="00373EE3" w:rsidRPr="00853EFB" w:rsidRDefault="00EB6FB4" w:rsidP="00853EFB">
      <w:pPr>
        <w:pStyle w:val="ListBullet"/>
      </w:pPr>
      <w:r w:rsidRPr="00853EFB">
        <w:t>Northern</w:t>
      </w:r>
      <w:r w:rsidR="004A630C" w:rsidRPr="00853EFB">
        <w:t xml:space="preserve"> </w:t>
      </w:r>
      <w:r w:rsidR="000E1CD0" w:rsidRPr="00853EFB">
        <w:t>T</w:t>
      </w:r>
      <w:r w:rsidR="004A630C" w:rsidRPr="00853EFB">
        <w:t>erritory</w:t>
      </w:r>
      <w:r w:rsidR="000E1CD0" w:rsidRPr="00853EFB">
        <w:t xml:space="preserve"> Radiation Oncology which are in a public</w:t>
      </w:r>
      <w:r w:rsidR="0068358F" w:rsidRPr="00853EFB">
        <w:t>-</w:t>
      </w:r>
      <w:r w:rsidR="000E1CD0" w:rsidRPr="00853EFB">
        <w:t>private partnership at the Alan Walker Cancer Care Centre in Darwin, and</w:t>
      </w:r>
    </w:p>
    <w:p w14:paraId="4A5CFC01" w14:textId="3084CC9D" w:rsidR="000E1CD0" w:rsidRPr="009B6AA8" w:rsidRDefault="000E1CD0" w:rsidP="00853EFB">
      <w:pPr>
        <w:pStyle w:val="ListBullet"/>
      </w:pPr>
      <w:r w:rsidRPr="00853EFB">
        <w:t>5D Clinic in Perth, Western Australia (</w:t>
      </w:r>
      <w:r w:rsidR="003A5953" w:rsidRPr="00853EFB">
        <w:t>which</w:t>
      </w:r>
      <w:r w:rsidR="003A5953" w:rsidRPr="009B6AA8">
        <w:t xml:space="preserve"> </w:t>
      </w:r>
      <w:r w:rsidRPr="009B6AA8">
        <w:t>does not currently receive ROHPG funding).</w:t>
      </w:r>
    </w:p>
    <w:p w14:paraId="5AEC23ED" w14:textId="77777777" w:rsidR="00373EE3" w:rsidRDefault="009418FE" w:rsidP="00736EB6">
      <w:r>
        <w:t>Eighty-nine per</w:t>
      </w:r>
      <w:r w:rsidR="00C75CFB">
        <w:t xml:space="preserve"> </w:t>
      </w:r>
      <w:r>
        <w:t>cent of private facilities receive ROHPG funding (n=56 of 63).</w:t>
      </w:r>
    </w:p>
    <w:p w14:paraId="7FC66D3E" w14:textId="77777777" w:rsidR="00373EE3" w:rsidRDefault="001C0EF1" w:rsidP="00736EB6">
      <w:r>
        <w:t xml:space="preserve">In total there were 105 operational RT facilities at the time of this report, </w:t>
      </w:r>
      <w:r w:rsidR="009418FE">
        <w:t>9</w:t>
      </w:r>
      <w:r w:rsidR="008C027B">
        <w:t>3</w:t>
      </w:r>
      <w:r w:rsidR="009418FE">
        <w:t xml:space="preserve">% </w:t>
      </w:r>
      <w:r>
        <w:t xml:space="preserve">of which </w:t>
      </w:r>
      <w:r w:rsidR="009418FE">
        <w:t>(n= 97) receive</w:t>
      </w:r>
      <w:r>
        <w:t>d</w:t>
      </w:r>
      <w:r w:rsidR="009418FE">
        <w:t xml:space="preserve"> ROHPG funding</w:t>
      </w:r>
      <w:r>
        <w:t>. Further, over half the ROHPG funded facilities (58%) were private facilities (</w:t>
      </w:r>
      <w:r w:rsidR="009418FE">
        <w:t>n= 56</w:t>
      </w:r>
      <w:r>
        <w:t xml:space="preserve"> of 97</w:t>
      </w:r>
      <w:r w:rsidR="009418FE">
        <w:t>).</w:t>
      </w:r>
    </w:p>
    <w:p w14:paraId="674B33D4" w14:textId="77777777" w:rsidR="00373EE3" w:rsidRDefault="009418FE" w:rsidP="00736EB6">
      <w:r>
        <w:t>In addition to currently operational facilities, a further nine facilities are planned with approved ROHPG funding, eight of which are private and one is public.</w:t>
      </w:r>
    </w:p>
    <w:p w14:paraId="471B8220" w14:textId="77777777" w:rsidR="00373EE3" w:rsidRPr="00BC705E" w:rsidRDefault="00C306B9" w:rsidP="00216866">
      <w:pPr>
        <w:pStyle w:val="heading2numbered"/>
      </w:pPr>
      <w:bookmarkStart w:id="58" w:name="_Toc59198449"/>
      <w:bookmarkStart w:id="59" w:name="_Toc66193916"/>
      <w:bookmarkStart w:id="60" w:name="_Toc73696675"/>
      <w:r w:rsidRPr="00BC705E">
        <w:t xml:space="preserve">ROHPG </w:t>
      </w:r>
      <w:r w:rsidR="00375E68" w:rsidRPr="00BC705E">
        <w:t>f</w:t>
      </w:r>
      <w:r w:rsidRPr="00BC705E">
        <w:t xml:space="preserve">unding </w:t>
      </w:r>
      <w:r w:rsidRPr="00736EB6">
        <w:t>models</w:t>
      </w:r>
      <w:bookmarkEnd w:id="50"/>
      <w:bookmarkEnd w:id="58"/>
      <w:bookmarkEnd w:id="59"/>
      <w:bookmarkEnd w:id="60"/>
    </w:p>
    <w:p w14:paraId="35DBB7D3" w14:textId="4B103058" w:rsidR="00C306B9" w:rsidRPr="00736EB6" w:rsidRDefault="00C306B9" w:rsidP="00216866">
      <w:pPr>
        <w:pStyle w:val="Heading3numbered"/>
      </w:pPr>
      <w:bookmarkStart w:id="61" w:name="_Toc54688780"/>
      <w:bookmarkStart w:id="62" w:name="_Toc59198450"/>
      <w:bookmarkStart w:id="63" w:name="_Toc66193917"/>
      <w:r w:rsidRPr="00BC705E">
        <w:t>ROHPG prior to 2017</w:t>
      </w:r>
      <w:bookmarkEnd w:id="61"/>
      <w:bookmarkEnd w:id="62"/>
      <w:bookmarkEnd w:id="63"/>
    </w:p>
    <w:p w14:paraId="304DED44" w14:textId="77777777" w:rsidR="00373EE3" w:rsidRDefault="00C306B9" w:rsidP="00736EB6">
      <w:r w:rsidRPr="009B6AA8">
        <w:t xml:space="preserve">When the ROHPG commenced in 1988, approved health service </w:t>
      </w:r>
      <w:r w:rsidR="000818E2">
        <w:t>facilities</w:t>
      </w:r>
      <w:r w:rsidRPr="009B6AA8">
        <w:t xml:space="preserve"> received an ROHPG payment for every RT service recorded as an MBS service</w:t>
      </w:r>
      <w:r w:rsidRPr="00D65C79">
        <w:rPr>
          <w:rStyle w:val="FootnoteReference"/>
        </w:rPr>
        <w:footnoteReference w:id="3"/>
      </w:r>
      <w:r w:rsidRPr="00D65C79">
        <w:t>. This payment was supplementary to the MBS fee received</w:t>
      </w:r>
      <w:r w:rsidRPr="009B6AA8">
        <w:t>, which does not compensate for capital equipment costs.</w:t>
      </w:r>
    </w:p>
    <w:p w14:paraId="24E26BA8" w14:textId="77777777" w:rsidR="00373EE3" w:rsidRDefault="00C306B9" w:rsidP="00736EB6">
      <w:r w:rsidRPr="009B6AA8">
        <w:t xml:space="preserve">In 2008, payment changes were introduced to better align the funding provided to actual costs of RT equipment purchased, and to encourage replacement of old equipment. At this time, the ROHPG payments were available for all necessary equipment for RT services including </w:t>
      </w:r>
      <w:proofErr w:type="spellStart"/>
      <w:r w:rsidRPr="009B6AA8">
        <w:t>linacs</w:t>
      </w:r>
      <w:proofErr w:type="spellEnd"/>
      <w:r w:rsidRPr="009B6AA8">
        <w:t>, brachytherapy, CT scanners for simulation, and software including treatment planning software and networking software.</w:t>
      </w:r>
    </w:p>
    <w:p w14:paraId="0B046E9C" w14:textId="78F2BFD2" w:rsidR="00373EE3" w:rsidRDefault="00C306B9" w:rsidP="00736EB6">
      <w:r w:rsidRPr="009B6AA8">
        <w:t>The ROHPG payment</w:t>
      </w:r>
      <w:r w:rsidR="003A5953" w:rsidRPr="009B6AA8">
        <w:t xml:space="preserve"> levels</w:t>
      </w:r>
      <w:r w:rsidRPr="009B6AA8">
        <w:t xml:space="preserve"> were based on a derived capital balance for each piece of equipment purchased by RT </w:t>
      </w:r>
      <w:r w:rsidR="000818E2">
        <w:t>facilities</w:t>
      </w:r>
      <w:r w:rsidRPr="009B6AA8">
        <w:t xml:space="preserve">. The value of ROHPG payments were then calculated based on the estimated volume of services </w:t>
      </w:r>
      <w:r w:rsidR="003A5953" w:rsidRPr="009B6AA8">
        <w:t>for</w:t>
      </w:r>
      <w:r w:rsidRPr="009B6AA8">
        <w:t xml:space="preserve"> the life of the equipment, and paid monthly based on actual MBS services provided </w:t>
      </w:r>
      <w:sdt>
        <w:sdtPr>
          <w:id w:val="-310244687"/>
          <w:citation/>
        </w:sdtPr>
        <w:sdtContent>
          <w:r w:rsidRPr="00D65C79">
            <w:fldChar w:fldCharType="begin"/>
          </w:r>
          <w:r w:rsidRPr="009B6AA8">
            <w:instrText xml:space="preserve"> CITATION MPC16 \l 1033 </w:instrText>
          </w:r>
          <w:r w:rsidRPr="00D65C79">
            <w:fldChar w:fldCharType="separate"/>
          </w:r>
          <w:r w:rsidR="00264535" w:rsidRPr="00264535">
            <w:rPr>
              <w:noProof/>
            </w:rPr>
            <w:t>[1]</w:t>
          </w:r>
          <w:r w:rsidRPr="00D65C79">
            <w:fldChar w:fldCharType="end"/>
          </w:r>
        </w:sdtContent>
      </w:sdt>
      <w:r w:rsidRPr="00D65C79">
        <w:t>. Payments were made on each piece of equ</w:t>
      </w:r>
      <w:r w:rsidRPr="009B6AA8">
        <w:t>ipment until the capital balance reached zero or until the piece of equipment was decommissioned.</w:t>
      </w:r>
    </w:p>
    <w:p w14:paraId="4F57AB2B" w14:textId="77777777" w:rsidR="00373EE3" w:rsidRDefault="00C306B9" w:rsidP="00736EB6">
      <w:r w:rsidRPr="009B6AA8">
        <w:t xml:space="preserve">The amended funding formula </w:t>
      </w:r>
      <w:r w:rsidR="003A5953" w:rsidRPr="009B6AA8">
        <w:t xml:space="preserve">introduced in 2008 </w:t>
      </w:r>
      <w:r w:rsidRPr="009B6AA8">
        <w:t xml:space="preserve">aimed to encourage both public and private </w:t>
      </w:r>
      <w:r w:rsidR="000818E2">
        <w:t>facilities</w:t>
      </w:r>
      <w:r w:rsidRPr="009B6AA8">
        <w:t xml:space="preserve"> to replace ageing equipment, contributing to the overall safety of RT.</w:t>
      </w:r>
    </w:p>
    <w:p w14:paraId="66B3556B" w14:textId="77777777" w:rsidR="00373EE3" w:rsidRDefault="00C306B9" w:rsidP="00736EB6">
      <w:r w:rsidRPr="009B6AA8">
        <w:t xml:space="preserve">In 2016, a review of the ROHPG </w:t>
      </w:r>
      <w:r w:rsidR="00FD606B">
        <w:t>Scheme</w:t>
      </w:r>
      <w:r w:rsidRPr="009B6AA8">
        <w:t xml:space="preserve"> found that significant disparities in funding levels continued to exist between public and private </w:t>
      </w:r>
      <w:r w:rsidR="000818E2">
        <w:t>facilities</w:t>
      </w:r>
      <w:r w:rsidRPr="009B6AA8">
        <w:t xml:space="preserve">. These primarily stemmed from private </w:t>
      </w:r>
      <w:r w:rsidR="000818E2">
        <w:t>facilities</w:t>
      </w:r>
      <w:r w:rsidRPr="009B6AA8">
        <w:t xml:space="preserve"> being able to claim the cost of borrowing funds to purchase a machine. Although this was available on application to public </w:t>
      </w:r>
      <w:r w:rsidR="000818E2">
        <w:t>facilities</w:t>
      </w:r>
      <w:r w:rsidRPr="009B6AA8">
        <w:t xml:space="preserve"> which borrowed funds for capital purchases, public </w:t>
      </w:r>
      <w:r w:rsidR="000818E2">
        <w:t>facilities</w:t>
      </w:r>
      <w:r w:rsidRPr="009B6AA8">
        <w:t xml:space="preserve"> did not claim for this additional expense.</w:t>
      </w:r>
    </w:p>
    <w:p w14:paraId="2A42F7AE" w14:textId="714E5F85" w:rsidR="00C306B9" w:rsidRPr="00BC705E" w:rsidRDefault="00C306B9" w:rsidP="00216866">
      <w:pPr>
        <w:pStyle w:val="Heading3numbered"/>
      </w:pPr>
      <w:bookmarkStart w:id="64" w:name="_Toc54688781"/>
      <w:bookmarkStart w:id="65" w:name="_Toc59198451"/>
      <w:bookmarkStart w:id="66" w:name="_Toc66193918"/>
      <w:r w:rsidRPr="00BC705E">
        <w:t xml:space="preserve">Changes to the ROHPG funding model introduced 1 July </w:t>
      </w:r>
      <w:r w:rsidRPr="00736EB6">
        <w:t>2017</w:t>
      </w:r>
      <w:bookmarkEnd w:id="64"/>
      <w:bookmarkEnd w:id="65"/>
      <w:bookmarkEnd w:id="66"/>
    </w:p>
    <w:p w14:paraId="359DC24D" w14:textId="77777777" w:rsidR="00373EE3" w:rsidRDefault="00C306B9" w:rsidP="00736EB6">
      <w:r w:rsidRPr="009B6AA8">
        <w:t>Based on the 2016 review, the ROHPG funding formula was amended further in 2017, as discussed below.</w:t>
      </w:r>
    </w:p>
    <w:p w14:paraId="25A09FCC" w14:textId="08E0DD7D" w:rsidR="00C306B9" w:rsidRPr="00736EB6" w:rsidRDefault="00C306B9" w:rsidP="00977A8E">
      <w:pPr>
        <w:pStyle w:val="Heading5"/>
      </w:pPr>
      <w:r w:rsidRPr="009B6AA8">
        <w:t>Removing payments from the Medicare Benefits Schedule</w:t>
      </w:r>
    </w:p>
    <w:p w14:paraId="610503E8" w14:textId="77777777" w:rsidR="00373EE3" w:rsidRDefault="00C306B9" w:rsidP="00736EB6">
      <w:r w:rsidRPr="009B6AA8">
        <w:lastRenderedPageBreak/>
        <w:t xml:space="preserve">For the first time since the </w:t>
      </w:r>
      <w:r w:rsidR="00FD606B">
        <w:t>Scheme</w:t>
      </w:r>
      <w:r w:rsidRPr="009B6AA8">
        <w:t xml:space="preserve"> commence</w:t>
      </w:r>
      <w:r w:rsidR="003A5953" w:rsidRPr="009B6AA8">
        <w:t>ment</w:t>
      </w:r>
      <w:r w:rsidRPr="009B6AA8">
        <w:t xml:space="preserve">, the link between ROHPG funding and MBS service volume was removed. Prior to 2017 changes, ROHPG payments were calculated based on the volume of eligible MBS claims associated with RT service delivery. ROHPG payments were made in addition to the MBS claim value and paid monthly to </w:t>
      </w:r>
      <w:proofErr w:type="gramStart"/>
      <w:r w:rsidRPr="009B6AA8">
        <w:t>approved</w:t>
      </w:r>
      <w:proofErr w:type="gramEnd"/>
      <w:r w:rsidRPr="009B6AA8">
        <w:t xml:space="preserve"> </w:t>
      </w:r>
      <w:r w:rsidR="000818E2">
        <w:t>facilities</w:t>
      </w:r>
      <w:r w:rsidRPr="009B6AA8">
        <w:t>.</w:t>
      </w:r>
    </w:p>
    <w:p w14:paraId="2A48C2B3" w14:textId="1AB35D5B" w:rsidR="00373EE3" w:rsidRDefault="00C306B9" w:rsidP="00736EB6">
      <w:r w:rsidRPr="009B6AA8">
        <w:t xml:space="preserve">This system meant that larger services received higher rates of funding per month than lower throughput </w:t>
      </w:r>
      <w:r w:rsidR="00FD0FDE" w:rsidRPr="009B6AA8">
        <w:t>services</w:t>
      </w:r>
      <w:r w:rsidRPr="009B6AA8">
        <w:t xml:space="preserve">. Removing the link between ROHPG payments and MBS service claims aimed to reduce the disadvantage for facilities with lower-throughput capability </w:t>
      </w:r>
      <w:sdt>
        <w:sdtPr>
          <w:id w:val="323477902"/>
          <w:citation/>
        </w:sdtPr>
        <w:sdtContent>
          <w:r w:rsidRPr="00D65C79">
            <w:fldChar w:fldCharType="begin"/>
          </w:r>
          <w:r w:rsidRPr="009B6AA8">
            <w:instrText xml:space="preserve"> CITATION MPC16 \l 1033 </w:instrText>
          </w:r>
          <w:r w:rsidRPr="00D65C79">
            <w:fldChar w:fldCharType="separate"/>
          </w:r>
          <w:r w:rsidR="00264535" w:rsidRPr="00264535">
            <w:rPr>
              <w:noProof/>
            </w:rPr>
            <w:t>[1]</w:t>
          </w:r>
          <w:r w:rsidRPr="00D65C79">
            <w:fldChar w:fldCharType="end"/>
          </w:r>
        </w:sdtContent>
      </w:sdt>
      <w:r w:rsidRPr="00D65C79">
        <w:t xml:space="preserve">. Due to this change, </w:t>
      </w:r>
      <w:r w:rsidR="000818E2">
        <w:t>facilities</w:t>
      </w:r>
      <w:r w:rsidRPr="00D65C79">
        <w:t xml:space="preserve"> are now no longer required to submit monthly service delivery data to the Department, substantially reducing the administrative burden associ</w:t>
      </w:r>
      <w:r w:rsidRPr="009B6AA8">
        <w:t xml:space="preserve">ated with the ROHPG, especially for private </w:t>
      </w:r>
      <w:r w:rsidR="000818E2">
        <w:t>facilities</w:t>
      </w:r>
      <w:r w:rsidRPr="009B6AA8">
        <w:t xml:space="preserve"> (public </w:t>
      </w:r>
      <w:r w:rsidR="00C62BBC">
        <w:t>facility</w:t>
      </w:r>
      <w:r w:rsidRPr="009B6AA8">
        <w:t xml:space="preserve"> data was supplied directly from MBS data) </w:t>
      </w:r>
      <w:sdt>
        <w:sdtPr>
          <w:id w:val="1611090166"/>
          <w:citation/>
        </w:sdtPr>
        <w:sdtContent>
          <w:r w:rsidRPr="00D65C79">
            <w:fldChar w:fldCharType="begin"/>
          </w:r>
          <w:r w:rsidRPr="009B6AA8">
            <w:instrText xml:space="preserve"> CITATION MPC16 \l 1033 </w:instrText>
          </w:r>
          <w:r w:rsidRPr="00D65C79">
            <w:fldChar w:fldCharType="separate"/>
          </w:r>
          <w:r w:rsidR="00264535" w:rsidRPr="00264535">
            <w:rPr>
              <w:noProof/>
            </w:rPr>
            <w:t>[1]</w:t>
          </w:r>
          <w:r w:rsidRPr="00D65C79">
            <w:fldChar w:fldCharType="end"/>
          </w:r>
        </w:sdtContent>
      </w:sdt>
      <w:r w:rsidRPr="00D65C79">
        <w:t>.</w:t>
      </w:r>
    </w:p>
    <w:p w14:paraId="21C08AF7" w14:textId="1873B739" w:rsidR="00C306B9" w:rsidRPr="00216866" w:rsidRDefault="00C306B9" w:rsidP="00977A8E">
      <w:pPr>
        <w:pStyle w:val="Heading5"/>
      </w:pPr>
      <w:r w:rsidRPr="00216866">
        <w:t xml:space="preserve">A set contribution of up to $3 million for </w:t>
      </w:r>
      <w:proofErr w:type="spellStart"/>
      <w:r w:rsidRPr="00216866">
        <w:t>linacs</w:t>
      </w:r>
      <w:proofErr w:type="spellEnd"/>
    </w:p>
    <w:p w14:paraId="729FE112" w14:textId="2F621B7A" w:rsidR="00C306B9" w:rsidRPr="009B6AA8" w:rsidRDefault="00C306B9" w:rsidP="00736EB6">
      <w:r w:rsidRPr="009B6AA8">
        <w:t xml:space="preserve">Under the 2017 funding formula, approved </w:t>
      </w:r>
      <w:r w:rsidR="000818E2">
        <w:t>facilities</w:t>
      </w:r>
      <w:r w:rsidRPr="009B6AA8">
        <w:t xml:space="preserve"> receive annual payments of </w:t>
      </w:r>
      <w:r w:rsidRPr="009B6AA8">
        <w:rPr>
          <w:rFonts w:ascii="Times New Roman" w:hAnsi="Times New Roman" w:cs="Times New Roman"/>
        </w:rPr>
        <w:t>$</w:t>
      </w:r>
      <w:r w:rsidRPr="009B6AA8">
        <w:t xml:space="preserve">300,000 over 10 years for public facilities or </w:t>
      </w:r>
      <w:r w:rsidRPr="009B6AA8">
        <w:rPr>
          <w:rFonts w:ascii="Times New Roman" w:hAnsi="Times New Roman" w:cs="Times New Roman"/>
        </w:rPr>
        <w:t>$</w:t>
      </w:r>
      <w:r w:rsidRPr="009B6AA8">
        <w:t xml:space="preserve">375,000 over eight years for private facilities, to the value of </w:t>
      </w:r>
      <w:r w:rsidRPr="009B6AA8">
        <w:rPr>
          <w:rFonts w:ascii="Times New Roman" w:hAnsi="Times New Roman" w:cs="Times New Roman"/>
        </w:rPr>
        <w:t>$</w:t>
      </w:r>
      <w:r w:rsidRPr="009B6AA8">
        <w:t>3 million</w:t>
      </w:r>
      <w:r w:rsidR="00863AFD">
        <w:t xml:space="preserve"> per </w:t>
      </w:r>
      <w:proofErr w:type="spellStart"/>
      <w:r w:rsidR="00863AFD">
        <w:t>linac</w:t>
      </w:r>
      <w:proofErr w:type="spellEnd"/>
      <w:r w:rsidRPr="009B6AA8">
        <w:t xml:space="preserve">. The difference for payment timeframes (eight or 10 years) was based on estimated higher throughput of RT services by private </w:t>
      </w:r>
      <w:r w:rsidR="000818E2">
        <w:t>facilities</w:t>
      </w:r>
      <w:r w:rsidRPr="009B6AA8">
        <w:t xml:space="preserve">. The funding formula also aimed to encourage both public and private </w:t>
      </w:r>
      <w:r w:rsidR="000818E2">
        <w:t>facilities</w:t>
      </w:r>
      <w:r w:rsidRPr="009B6AA8">
        <w:t xml:space="preserve"> to replace ageing equipment, contributing to the overall safety of RT.</w:t>
      </w:r>
    </w:p>
    <w:p w14:paraId="03A52DE5" w14:textId="62B0A763" w:rsidR="00373EE3" w:rsidRDefault="00C306B9" w:rsidP="00736EB6">
      <w:r w:rsidRPr="009B6AA8">
        <w:t xml:space="preserve">A </w:t>
      </w:r>
      <w:proofErr w:type="spellStart"/>
      <w:r w:rsidRPr="009B6AA8">
        <w:t>linac</w:t>
      </w:r>
      <w:proofErr w:type="spellEnd"/>
      <w:r w:rsidRPr="009B6AA8">
        <w:t xml:space="preserve"> is estimated to be capable of delivering approximately 82,800 services across its lifespan </w:t>
      </w:r>
      <w:sdt>
        <w:sdtPr>
          <w:id w:val="-1743945386"/>
          <w:citation/>
        </w:sdtPr>
        <w:sdtContent>
          <w:r w:rsidRPr="00D65C79">
            <w:fldChar w:fldCharType="begin"/>
          </w:r>
          <w:r w:rsidRPr="009B6AA8">
            <w:instrText xml:space="preserve"> CITATION MPC16 \l 1033 </w:instrText>
          </w:r>
          <w:r w:rsidRPr="00D65C79">
            <w:fldChar w:fldCharType="separate"/>
          </w:r>
          <w:r w:rsidR="00264535" w:rsidRPr="00264535">
            <w:rPr>
              <w:noProof/>
            </w:rPr>
            <w:t>[1]</w:t>
          </w:r>
          <w:r w:rsidRPr="00D65C79">
            <w:fldChar w:fldCharType="end"/>
          </w:r>
        </w:sdtContent>
      </w:sdt>
      <w:r w:rsidRPr="00D65C79">
        <w:t xml:space="preserve">. </w:t>
      </w:r>
      <w:r w:rsidR="00FD0FDE" w:rsidRPr="00D65C79">
        <w:t>Implicit in the funding formula is the assumption that p</w:t>
      </w:r>
      <w:r w:rsidRPr="00D65C79">
        <w:t xml:space="preserve">ublic </w:t>
      </w:r>
      <w:r w:rsidR="000818E2">
        <w:t>facilities</w:t>
      </w:r>
      <w:r w:rsidRPr="00D65C79">
        <w:t xml:space="preserve"> are estimated </w:t>
      </w:r>
      <w:r w:rsidRPr="009B6AA8">
        <w:t xml:space="preserve">to reach this threshold </w:t>
      </w:r>
      <w:r w:rsidR="00FD0FDE" w:rsidRPr="009B6AA8">
        <w:t xml:space="preserve">in </w:t>
      </w:r>
      <w:r w:rsidR="00D2777F">
        <w:t>10</w:t>
      </w:r>
      <w:r w:rsidR="00D2777F" w:rsidRPr="009B6AA8">
        <w:t xml:space="preserve"> </w:t>
      </w:r>
      <w:r w:rsidRPr="009B6AA8">
        <w:t xml:space="preserve">years, while private </w:t>
      </w:r>
      <w:r w:rsidR="000818E2">
        <w:t>facilities</w:t>
      </w:r>
      <w:r w:rsidRPr="009B6AA8">
        <w:t xml:space="preserve"> are expected to reach this level of services in eight years. The effect of this is that private </w:t>
      </w:r>
      <w:r w:rsidR="000818E2">
        <w:t>facilities</w:t>
      </w:r>
      <w:r w:rsidRPr="009B6AA8">
        <w:t xml:space="preserve"> receive higher payments per annum, and private </w:t>
      </w:r>
      <w:r w:rsidR="007A75A8">
        <w:t>facilities</w:t>
      </w:r>
      <w:r w:rsidRPr="009B6AA8">
        <w:t xml:space="preserve"> are able to replace </w:t>
      </w:r>
      <w:proofErr w:type="spellStart"/>
      <w:r w:rsidRPr="009B6AA8">
        <w:t>linacs</w:t>
      </w:r>
      <w:proofErr w:type="spellEnd"/>
      <w:r w:rsidRPr="009B6AA8">
        <w:t xml:space="preserve"> every eight years and still receive full ROHPG funding.</w:t>
      </w:r>
    </w:p>
    <w:p w14:paraId="57603EEE" w14:textId="77777777" w:rsidR="00373EE3" w:rsidRPr="00216866" w:rsidRDefault="00C306B9" w:rsidP="00977A8E">
      <w:pPr>
        <w:pStyle w:val="Heading5"/>
      </w:pPr>
      <w:r w:rsidRPr="009B6AA8">
        <w:t xml:space="preserve">Funding contributions only for </w:t>
      </w:r>
      <w:proofErr w:type="spellStart"/>
      <w:r w:rsidRPr="009B6AA8">
        <w:t>linacs</w:t>
      </w:r>
      <w:proofErr w:type="spellEnd"/>
    </w:p>
    <w:p w14:paraId="51824497" w14:textId="1D03295E" w:rsidR="00FD0FDE" w:rsidRPr="009B6AA8" w:rsidRDefault="00C306B9" w:rsidP="00736EB6">
      <w:r w:rsidRPr="009B6AA8">
        <w:t xml:space="preserve">Another significant change that occurred in 2017 was that from 1 July 2017 ROHPG payments became a set contribution toward the cost of </w:t>
      </w:r>
      <w:r w:rsidR="00D2777F" w:rsidRPr="009B6AA8">
        <w:t>high</w:t>
      </w:r>
      <w:r w:rsidR="00D2777F">
        <w:t>-</w:t>
      </w:r>
      <w:r w:rsidRPr="009B6AA8">
        <w:t xml:space="preserve">value </w:t>
      </w:r>
      <w:proofErr w:type="spellStart"/>
      <w:r w:rsidRPr="009B6AA8">
        <w:t>linacs</w:t>
      </w:r>
      <w:proofErr w:type="spellEnd"/>
      <w:r w:rsidRPr="009B6AA8">
        <w:t xml:space="preserve"> only. Previously, facilities also received funding for other equipment used in the delivery of RT services, including brachytherapy, as well as software for treatment planning, simulation and dosimetry </w:t>
      </w:r>
      <w:sdt>
        <w:sdtPr>
          <w:id w:val="447740391"/>
          <w:citation/>
        </w:sdtPr>
        <w:sdtContent>
          <w:r w:rsidRPr="00D65C79">
            <w:fldChar w:fldCharType="begin"/>
          </w:r>
          <w:r w:rsidRPr="009B6AA8">
            <w:instrText xml:space="preserve"> CITATION MPC16 \l 1033 </w:instrText>
          </w:r>
          <w:r w:rsidRPr="00D65C79">
            <w:fldChar w:fldCharType="separate"/>
          </w:r>
          <w:r w:rsidR="00264535" w:rsidRPr="00264535">
            <w:rPr>
              <w:noProof/>
            </w:rPr>
            <w:t>[1]</w:t>
          </w:r>
          <w:r w:rsidRPr="00D65C79">
            <w:fldChar w:fldCharType="end"/>
          </w:r>
        </w:sdtContent>
      </w:sdt>
      <w:r w:rsidRPr="00D65C79">
        <w:t>. The move to focus ROHPG funding on high-cost capital equipment (</w:t>
      </w:r>
      <w:r w:rsidR="00FD0FDE" w:rsidRPr="009B6AA8">
        <w:t xml:space="preserve">i.e. </w:t>
      </w:r>
      <w:proofErr w:type="spellStart"/>
      <w:r w:rsidRPr="009B6AA8">
        <w:t>linacs</w:t>
      </w:r>
      <w:proofErr w:type="spellEnd"/>
      <w:r w:rsidRPr="009B6AA8">
        <w:t xml:space="preserve">) was considered by the 2016 review of the </w:t>
      </w:r>
      <w:r w:rsidR="00FD606B">
        <w:t>Scheme</w:t>
      </w:r>
      <w:r w:rsidRPr="009B6AA8">
        <w:t xml:space="preserve"> to have several benefits</w:t>
      </w:r>
      <w:r w:rsidR="00FD0FDE" w:rsidRPr="009B6AA8">
        <w:t xml:space="preserve">, </w:t>
      </w:r>
      <w:r w:rsidRPr="009B6AA8">
        <w:t>includ</w:t>
      </w:r>
      <w:r w:rsidR="00FD0FDE" w:rsidRPr="009B6AA8">
        <w:t>ing:</w:t>
      </w:r>
    </w:p>
    <w:p w14:paraId="1C1F6132" w14:textId="77777777" w:rsidR="00373EE3" w:rsidRPr="00853EFB" w:rsidRDefault="00C306B9" w:rsidP="00853EFB">
      <w:pPr>
        <w:pStyle w:val="ListBullet"/>
      </w:pPr>
      <w:r w:rsidRPr="009B6AA8">
        <w:t xml:space="preserve">increasing its efficiency </w:t>
      </w:r>
      <w:r w:rsidRPr="00853EFB">
        <w:t>and transparency, and</w:t>
      </w:r>
    </w:p>
    <w:p w14:paraId="110C83B7" w14:textId="5FC0698D" w:rsidR="00373EE3" w:rsidRDefault="00C306B9" w:rsidP="00853EFB">
      <w:pPr>
        <w:pStyle w:val="ListBullet"/>
      </w:pPr>
      <w:proofErr w:type="gramStart"/>
      <w:r w:rsidRPr="00853EFB">
        <w:t>repositioning</w:t>
      </w:r>
      <w:proofErr w:type="gramEnd"/>
      <w:r w:rsidRPr="00853EFB">
        <w:t xml:space="preserve"> the </w:t>
      </w:r>
      <w:r w:rsidR="00A62690" w:rsidRPr="00853EFB">
        <w:t>Australian Government</w:t>
      </w:r>
      <w:r w:rsidRPr="00853EFB">
        <w:t>’s role to give greater responsibility to state/territory governments, which are generally obligated</w:t>
      </w:r>
      <w:r w:rsidRPr="009B6AA8">
        <w:t xml:space="preserve"> to provide funding to public health services for capital equipment costs </w:t>
      </w:r>
      <w:sdt>
        <w:sdtPr>
          <w:id w:val="-1814172986"/>
          <w:citation/>
        </w:sdtPr>
        <w:sdtContent>
          <w:r w:rsidRPr="00D2777F">
            <w:fldChar w:fldCharType="begin"/>
          </w:r>
          <w:r w:rsidRPr="00D2777F">
            <w:instrText xml:space="preserve"> CITATION MPC16 \l 1033 </w:instrText>
          </w:r>
          <w:r w:rsidRPr="00D2777F">
            <w:fldChar w:fldCharType="separate"/>
          </w:r>
          <w:r w:rsidR="00264535" w:rsidRPr="00264535">
            <w:rPr>
              <w:noProof/>
            </w:rPr>
            <w:t>[1]</w:t>
          </w:r>
          <w:r w:rsidRPr="00D2777F">
            <w:fldChar w:fldCharType="end"/>
          </w:r>
        </w:sdtContent>
      </w:sdt>
      <w:r w:rsidRPr="00D2777F">
        <w:t>.</w:t>
      </w:r>
    </w:p>
    <w:p w14:paraId="4C6C89B5" w14:textId="77777777" w:rsidR="00373EE3" w:rsidRDefault="00C306B9" w:rsidP="00736EB6">
      <w:r w:rsidRPr="009B6AA8">
        <w:t>Non-</w:t>
      </w:r>
      <w:proofErr w:type="spellStart"/>
      <w:r w:rsidRPr="009B6AA8">
        <w:t>linac</w:t>
      </w:r>
      <w:proofErr w:type="spellEnd"/>
      <w:r w:rsidRPr="009B6AA8">
        <w:t xml:space="preserve"> RT equipment approved for funding prior to 2017 was grandfathered </w:t>
      </w:r>
      <w:r w:rsidR="00FD0FDE" w:rsidRPr="009B6AA8">
        <w:t xml:space="preserve">from the impact of </w:t>
      </w:r>
      <w:r w:rsidRPr="009B6AA8">
        <w:t>the new arrangements. Pre-approved non-</w:t>
      </w:r>
      <w:proofErr w:type="spellStart"/>
      <w:r w:rsidRPr="009B6AA8">
        <w:t>linac</w:t>
      </w:r>
      <w:proofErr w:type="spellEnd"/>
      <w:r w:rsidRPr="009B6AA8">
        <w:t xml:space="preserve"> equipment continues to be funded at 2017 </w:t>
      </w:r>
      <w:r w:rsidR="00863AFD" w:rsidRPr="003D7B0E">
        <w:t>activity levels and replacement</w:t>
      </w:r>
      <w:r w:rsidR="00863AFD">
        <w:t xml:space="preserve"> equipment </w:t>
      </w:r>
      <w:r w:rsidR="00863AFD" w:rsidRPr="003D7B0E">
        <w:t>is not eligible for</w:t>
      </w:r>
      <w:r w:rsidR="00863AFD">
        <w:t xml:space="preserve"> ROHPG funding</w:t>
      </w:r>
      <w:r w:rsidRPr="009B6AA8">
        <w:t>.</w:t>
      </w:r>
    </w:p>
    <w:p w14:paraId="19652258" w14:textId="2825C7BE" w:rsidR="00C306B9" w:rsidRPr="00216866" w:rsidRDefault="00C306B9" w:rsidP="00216866">
      <w:pPr>
        <w:pStyle w:val="Heading3numbered"/>
      </w:pPr>
      <w:bookmarkStart w:id="67" w:name="_Toc54688782"/>
      <w:bookmarkStart w:id="68" w:name="_Ref57653567"/>
      <w:bookmarkStart w:id="69" w:name="_Toc59198452"/>
      <w:bookmarkStart w:id="70" w:name="_Toc66193919"/>
      <w:r w:rsidRPr="00BC705E">
        <w:t>Transition period</w:t>
      </w:r>
      <w:bookmarkEnd w:id="67"/>
      <w:bookmarkEnd w:id="68"/>
      <w:bookmarkEnd w:id="69"/>
      <w:bookmarkEnd w:id="70"/>
    </w:p>
    <w:p w14:paraId="408E63CE" w14:textId="77777777" w:rsidR="00373EE3" w:rsidRDefault="00C306B9" w:rsidP="00736EB6">
      <w:r w:rsidRPr="009B6AA8">
        <w:t>The introduction of ROHPG changes in 2017 created a transition period, whereby equipment approved prior to 1 July 2017 may still be receiving ROHPG payments. Transition period arrangements are:</w:t>
      </w:r>
    </w:p>
    <w:p w14:paraId="450960F4" w14:textId="7AEBBBBE" w:rsidR="00C306B9" w:rsidRPr="00853EFB" w:rsidRDefault="00C306B9" w:rsidP="00853EFB">
      <w:pPr>
        <w:pStyle w:val="ListBullet"/>
      </w:pPr>
      <w:r w:rsidRPr="009B6AA8">
        <w:t xml:space="preserve">at 30 June 2017, all approved equipment with a capital </w:t>
      </w:r>
      <w:r w:rsidRPr="00853EFB">
        <w:t>balance greater than zero will continue to be funded</w:t>
      </w:r>
    </w:p>
    <w:p w14:paraId="23A2CCDE" w14:textId="77777777" w:rsidR="00373EE3" w:rsidRPr="00853EFB" w:rsidRDefault="00C306B9" w:rsidP="00853EFB">
      <w:pPr>
        <w:pStyle w:val="ListBullet"/>
      </w:pPr>
      <w:r w:rsidRPr="00853EFB">
        <w:t>payments will be annual (in line with introduced changes)</w:t>
      </w:r>
    </w:p>
    <w:p w14:paraId="2DB51948" w14:textId="77777777" w:rsidR="00373EE3" w:rsidRPr="00853EFB" w:rsidRDefault="00C306B9" w:rsidP="00853EFB">
      <w:pPr>
        <w:pStyle w:val="ListBullet"/>
      </w:pPr>
      <w:r w:rsidRPr="00853EFB">
        <w:t>the value of each ‘service’ will continue as under previous arrangements</w:t>
      </w:r>
    </w:p>
    <w:p w14:paraId="2EC40CCC" w14:textId="77777777" w:rsidR="00373EE3" w:rsidRPr="00853EFB" w:rsidRDefault="00C306B9" w:rsidP="00853EFB">
      <w:pPr>
        <w:pStyle w:val="ListBullet"/>
      </w:pPr>
      <w:r w:rsidRPr="00853EFB">
        <w:t>value of annual ROHPG payments will be set at the estimated annual ‘service’ volume (based on the previous year’s usage) multiplied by the set ‘service’ value, and</w:t>
      </w:r>
    </w:p>
    <w:p w14:paraId="544C4AD4" w14:textId="77777777" w:rsidR="00373EE3" w:rsidRDefault="00C306B9" w:rsidP="00853EFB">
      <w:pPr>
        <w:pStyle w:val="ListBullet"/>
      </w:pPr>
      <w:proofErr w:type="gramStart"/>
      <w:r w:rsidRPr="00853EFB">
        <w:t>payments</w:t>
      </w:r>
      <w:proofErr w:type="gramEnd"/>
      <w:r w:rsidRPr="00853EFB">
        <w:t xml:space="preserve"> will continue until the capital balance reaches zero or</w:t>
      </w:r>
      <w:r w:rsidRPr="009B6AA8">
        <w:t xml:space="preserve"> until the equipment is decommissioned.</w:t>
      </w:r>
    </w:p>
    <w:p w14:paraId="53959543" w14:textId="77777777" w:rsidR="00373EE3" w:rsidRDefault="00C306B9" w:rsidP="00736EB6">
      <w:r w:rsidRPr="009B6AA8">
        <w:t xml:space="preserve">As equipment up to and including 30 June 2017 will be funded using the previous ROHPG formula under transition arrangements, the transition period will last </w:t>
      </w:r>
      <w:r w:rsidR="004A630C">
        <w:t xml:space="preserve">for 10 years </w:t>
      </w:r>
      <w:r w:rsidR="00907AF3">
        <w:t xml:space="preserve">and beyond </w:t>
      </w:r>
      <w:r w:rsidRPr="009B6AA8">
        <w:t>for some pieces of equipment.</w:t>
      </w:r>
    </w:p>
    <w:p w14:paraId="14E8ADC7" w14:textId="77777777" w:rsidR="00373EE3" w:rsidRDefault="0026643D" w:rsidP="00853EFB">
      <w:pPr>
        <w:pStyle w:val="Heading5"/>
      </w:pPr>
      <w:r>
        <w:t xml:space="preserve">Grandfathered </w:t>
      </w:r>
      <w:r w:rsidRPr="00853EFB">
        <w:t xml:space="preserve">funding arrangements – </w:t>
      </w:r>
      <w:proofErr w:type="spellStart"/>
      <w:r w:rsidRPr="00853EFB">
        <w:t>linacs</w:t>
      </w:r>
      <w:proofErr w:type="spellEnd"/>
    </w:p>
    <w:p w14:paraId="12E54DA6" w14:textId="77777777" w:rsidR="00373EE3" w:rsidRDefault="0050606D" w:rsidP="00736EB6">
      <w:r>
        <w:t xml:space="preserve">There are 140 </w:t>
      </w:r>
      <w:proofErr w:type="spellStart"/>
      <w:r>
        <w:t>linacs</w:t>
      </w:r>
      <w:proofErr w:type="spellEnd"/>
      <w:r>
        <w:t xml:space="preserve"> with grandfathered funding arrangement, 34% of which (n=48) will have a capital balance of $0 before or at 10 years of age, and a further 21% (n=30) by 12 years of age. </w:t>
      </w:r>
      <w:r w:rsidR="00B64570">
        <w:t xml:space="preserve">By the </w:t>
      </w:r>
      <w:r>
        <w:t xml:space="preserve">current annual </w:t>
      </w:r>
      <w:r w:rsidR="00B64570">
        <w:t>payments</w:t>
      </w:r>
      <w:r>
        <w:t xml:space="preserve">, the remaining 62 </w:t>
      </w:r>
      <w:proofErr w:type="spellStart"/>
      <w:r>
        <w:t>linacs</w:t>
      </w:r>
      <w:proofErr w:type="spellEnd"/>
      <w:r>
        <w:t xml:space="preserve"> (45%) would range from 13 years to 126 years of age by the time the capital balance reached $0, with a median age of 16 years.</w:t>
      </w:r>
    </w:p>
    <w:p w14:paraId="21264811" w14:textId="77777777" w:rsidR="00373EE3" w:rsidRDefault="0050606D" w:rsidP="00736EB6">
      <w:r>
        <w:t xml:space="preserve">It is anticipated that </w:t>
      </w:r>
      <w:r w:rsidR="00574082">
        <w:t xml:space="preserve">many if not all of the 62 </w:t>
      </w:r>
      <w:proofErr w:type="spellStart"/>
      <w:r w:rsidR="00574082">
        <w:t>linacs</w:t>
      </w:r>
      <w:proofErr w:type="spellEnd"/>
      <w:r w:rsidR="00574082">
        <w:t xml:space="preserve"> that will not reach a capital balance of $0 by the age of 10–12 years would be replaced by the facility before the capital balance reached $0, to maintain currency with technology. This would afford facilities the ability to replace </w:t>
      </w:r>
      <w:proofErr w:type="spellStart"/>
      <w:r w:rsidR="00574082">
        <w:t>linacs</w:t>
      </w:r>
      <w:proofErr w:type="spellEnd"/>
      <w:r w:rsidR="00574082">
        <w:t xml:space="preserve"> under the new funding arrangements</w:t>
      </w:r>
      <w:r w:rsidR="00A071FD">
        <w:t>,</w:t>
      </w:r>
      <w:r w:rsidR="00574082">
        <w:t xml:space="preserve"> which would be more financially beneficial for the majority (only two of the 62 </w:t>
      </w:r>
      <w:proofErr w:type="spellStart"/>
      <w:r w:rsidR="00574082">
        <w:t>linacs</w:t>
      </w:r>
      <w:proofErr w:type="spellEnd"/>
      <w:r w:rsidR="00574082">
        <w:t xml:space="preserve"> (both private) receive an annual payment of more than $375,000 per annum).</w:t>
      </w:r>
    </w:p>
    <w:p w14:paraId="20942C8E" w14:textId="01E09E51" w:rsidR="00B07EF0" w:rsidRDefault="00B07EF0" w:rsidP="00736EB6">
      <w:r>
        <w:t xml:space="preserve">Further detail on </w:t>
      </w:r>
      <w:proofErr w:type="spellStart"/>
      <w:r>
        <w:t>linac</w:t>
      </w:r>
      <w:proofErr w:type="spellEnd"/>
      <w:r>
        <w:t xml:space="preserve"> age is provided in section </w:t>
      </w:r>
      <w:r>
        <w:fldChar w:fldCharType="begin"/>
      </w:r>
      <w:r>
        <w:instrText xml:space="preserve"> REF _Ref57654833 \r \h </w:instrText>
      </w:r>
      <w:r>
        <w:fldChar w:fldCharType="separate"/>
      </w:r>
      <w:r w:rsidR="007C0448">
        <w:rPr>
          <w:rFonts w:hint="cs"/>
          <w:cs/>
        </w:rPr>
        <w:t>‎</w:t>
      </w:r>
      <w:r w:rsidR="007C0448">
        <w:t>5.2.2</w:t>
      </w:r>
      <w:r>
        <w:fldChar w:fldCharType="end"/>
      </w:r>
      <w:r>
        <w:t>.</w:t>
      </w:r>
    </w:p>
    <w:p w14:paraId="3A25A1F5" w14:textId="77777777" w:rsidR="00373EE3" w:rsidRDefault="0026643D" w:rsidP="00853EFB">
      <w:pPr>
        <w:pStyle w:val="Heading5"/>
      </w:pPr>
      <w:r>
        <w:lastRenderedPageBreak/>
        <w:t>Grandfathered funding arrangements – other equipment</w:t>
      </w:r>
    </w:p>
    <w:p w14:paraId="657B4EB3" w14:textId="77777777" w:rsidR="00373EE3" w:rsidRDefault="0026643D" w:rsidP="00736EB6">
      <w:r>
        <w:t>Other equipment no longer funded by the ROHPG Scheme has also been grandfathered under the transition period. This includes brachytherapy equipment, planning equipment and simulators</w:t>
      </w:r>
      <w:r w:rsidR="005A6291">
        <w:t>, as follows:</w:t>
      </w:r>
    </w:p>
    <w:p w14:paraId="4803C81A" w14:textId="77777777" w:rsidR="00373EE3" w:rsidRDefault="005A6291" w:rsidP="00736EB6">
      <w:pPr>
        <w:pStyle w:val="ListBullet"/>
        <w:contextualSpacing w:val="0"/>
      </w:pPr>
      <w:r w:rsidRPr="005A6291">
        <w:rPr>
          <w:b/>
          <w:bCs/>
        </w:rPr>
        <w:t>Brachytherapy</w:t>
      </w:r>
      <w:r w:rsidR="000E17B7">
        <w:rPr>
          <w:b/>
          <w:bCs/>
        </w:rPr>
        <w:t>:</w:t>
      </w:r>
      <w:r w:rsidRPr="005A6291">
        <w:rPr>
          <w:b/>
          <w:bCs/>
        </w:rPr>
        <w:t xml:space="preserve"> </w:t>
      </w:r>
      <w:r>
        <w:t xml:space="preserve">There are </w:t>
      </w:r>
      <w:r w:rsidR="00454B25">
        <w:t>25</w:t>
      </w:r>
      <w:r>
        <w:t xml:space="preserve"> brachytherapy units with grandfathered funding arrangements, 52% of which (n=</w:t>
      </w:r>
      <w:r w:rsidR="00454B25">
        <w:t>13</w:t>
      </w:r>
      <w:r>
        <w:t>) will reach a balance of $0 within 10 years’ time at the current payment value. The median timeframe to reach a capital balance of $0 for grandfathered brachytherapy equipment is nine year</w:t>
      </w:r>
      <w:r w:rsidR="008C027B">
        <w:t>s</w:t>
      </w:r>
      <w:r>
        <w:t>.</w:t>
      </w:r>
    </w:p>
    <w:p w14:paraId="77BD28FE" w14:textId="77777777" w:rsidR="00373EE3" w:rsidRDefault="005A6291" w:rsidP="00736EB6">
      <w:pPr>
        <w:pStyle w:val="ListBullet"/>
        <w:contextualSpacing w:val="0"/>
      </w:pPr>
      <w:r w:rsidRPr="005A6291">
        <w:rPr>
          <w:b/>
          <w:bCs/>
        </w:rPr>
        <w:t>Planning equipment</w:t>
      </w:r>
      <w:r w:rsidR="000E17B7">
        <w:rPr>
          <w:b/>
          <w:bCs/>
        </w:rPr>
        <w:t>:</w:t>
      </w:r>
      <w:r>
        <w:t xml:space="preserve"> There are </w:t>
      </w:r>
      <w:r w:rsidR="00454B25">
        <w:t>70</w:t>
      </w:r>
      <w:r>
        <w:t xml:space="preserve"> planning units with grandfathered funding arrangements, 80% of which (n=</w:t>
      </w:r>
      <w:r w:rsidR="00454B25">
        <w:t>56</w:t>
      </w:r>
      <w:r>
        <w:t>) will reach a balance of $0 within 10 years’ time at the current payment value. The median timeframe to reach a capital balance of $0 for grandfathered planning equipment is three years.</w:t>
      </w:r>
    </w:p>
    <w:p w14:paraId="1393EC96" w14:textId="77777777" w:rsidR="00373EE3" w:rsidRDefault="005A6291" w:rsidP="00736EB6">
      <w:pPr>
        <w:pStyle w:val="ListBullet"/>
        <w:contextualSpacing w:val="0"/>
      </w:pPr>
      <w:r>
        <w:rPr>
          <w:b/>
          <w:bCs/>
        </w:rPr>
        <w:t>Simulators</w:t>
      </w:r>
      <w:r w:rsidR="000E17B7">
        <w:rPr>
          <w:b/>
          <w:bCs/>
        </w:rPr>
        <w:t>:</w:t>
      </w:r>
      <w:r>
        <w:t xml:space="preserve"> There are </w:t>
      </w:r>
      <w:r w:rsidR="00454B25">
        <w:t>87</w:t>
      </w:r>
      <w:r>
        <w:t xml:space="preserve"> simulators with grandfathered funding arrangements, 64% of which (n=</w:t>
      </w:r>
      <w:r w:rsidR="00454B25">
        <w:t>55</w:t>
      </w:r>
      <w:r>
        <w:t>) will reach a balance of $0 within 10 years’ time at the current payment value. The median timeframe to reach a capital balance of $0 for grandfathered simulators is eight years.</w:t>
      </w:r>
    </w:p>
    <w:p w14:paraId="73E1F6AE" w14:textId="2EDA9BB3" w:rsidR="005A6291" w:rsidRDefault="00454B25" w:rsidP="00736EB6">
      <w:r>
        <w:t>Of the 181</w:t>
      </w:r>
      <w:r w:rsidR="00017E3A">
        <w:t xml:space="preserve"> non-</w:t>
      </w:r>
      <w:proofErr w:type="spellStart"/>
      <w:r w:rsidR="00017E3A">
        <w:t>linac</w:t>
      </w:r>
      <w:proofErr w:type="spellEnd"/>
      <w:r>
        <w:t xml:space="preserve"> pieces of equipment funded under grandfathered arrangements, 68.5% (n=124) will be paid off within 10 years’ time. </w:t>
      </w:r>
      <w:r w:rsidR="005A6291">
        <w:t xml:space="preserve">It is anticipated that many if not all of the grandfathered equipment that will not reach a capital balance of $0 </w:t>
      </w:r>
      <w:r w:rsidR="008C027B">
        <w:t xml:space="preserve">in </w:t>
      </w:r>
      <w:r w:rsidR="005A6291">
        <w:t xml:space="preserve">10 years’ time would be replaced by the facility </w:t>
      </w:r>
      <w:r w:rsidR="008C027B">
        <w:t>within this timeframe</w:t>
      </w:r>
      <w:r w:rsidR="005A6291">
        <w:t xml:space="preserve"> to maintain currency with technology.</w:t>
      </w:r>
    </w:p>
    <w:p w14:paraId="567DD27B" w14:textId="77777777" w:rsidR="00373EE3" w:rsidRPr="00736EB6" w:rsidRDefault="00386D2F" w:rsidP="00216866">
      <w:pPr>
        <w:pStyle w:val="Heading3numbered"/>
      </w:pPr>
      <w:bookmarkStart w:id="71" w:name="_Toc59198453"/>
      <w:bookmarkStart w:id="72" w:name="_Toc66193920"/>
      <w:r w:rsidRPr="00BC705E">
        <w:t>ROHPG expenditure</w:t>
      </w:r>
      <w:bookmarkEnd w:id="71"/>
      <w:bookmarkEnd w:id="72"/>
    </w:p>
    <w:p w14:paraId="190FA1AB" w14:textId="77777777" w:rsidR="00373EE3" w:rsidRDefault="00386D2F" w:rsidP="00736EB6">
      <w:r w:rsidRPr="009B6AA8">
        <w:t>In 2019</w:t>
      </w:r>
      <w:r w:rsidR="00E61AD5" w:rsidRPr="009B6AA8">
        <w:t>–</w:t>
      </w:r>
      <w:r w:rsidRPr="009B6AA8">
        <w:t>20 the ROHPG provided $76.6</w:t>
      </w:r>
      <w:r w:rsidR="00E61AD5" w:rsidRPr="009B6AA8">
        <w:t xml:space="preserve"> </w:t>
      </w:r>
      <w:r w:rsidRPr="009B6AA8">
        <w:t>m</w:t>
      </w:r>
      <w:r w:rsidR="007018D1">
        <w:t>illion</w:t>
      </w:r>
      <w:r w:rsidRPr="009B6AA8">
        <w:t xml:space="preserve"> to 9</w:t>
      </w:r>
      <w:r w:rsidR="008F3E1A">
        <w:t>5</w:t>
      </w:r>
      <w:r w:rsidRPr="009B6AA8">
        <w:t xml:space="preserve"> facilities for capital RT equipment.</w:t>
      </w:r>
      <w:r w:rsidR="008F3E1A">
        <w:rPr>
          <w:rStyle w:val="FootnoteReference"/>
        </w:rPr>
        <w:footnoteReference w:id="4"/>
      </w:r>
      <w:r w:rsidRPr="009B6AA8">
        <w:t xml:space="preserve"> Within this funding, a</w:t>
      </w:r>
      <w:r w:rsidR="007018D1">
        <w:t xml:space="preserve">lmost 80% </w:t>
      </w:r>
      <w:r w:rsidRPr="009B6AA8">
        <w:t>was dedicated to external beam RT equipment (</w:t>
      </w:r>
      <w:proofErr w:type="spellStart"/>
      <w:r w:rsidRPr="009B6AA8">
        <w:t>linacs</w:t>
      </w:r>
      <w:proofErr w:type="spellEnd"/>
      <w:r w:rsidRPr="009B6AA8">
        <w:t>) at 9</w:t>
      </w:r>
      <w:r w:rsidR="008F3E1A">
        <w:t>5</w:t>
      </w:r>
      <w:r w:rsidRPr="009B6AA8">
        <w:t xml:space="preserve"> facilities ($60.3</w:t>
      </w:r>
      <w:r w:rsidR="00E61AD5" w:rsidRPr="009B6AA8">
        <w:t xml:space="preserve"> </w:t>
      </w:r>
      <w:r w:rsidRPr="009B6AA8">
        <w:t>m</w:t>
      </w:r>
      <w:r w:rsidR="007018D1">
        <w:t>illion</w:t>
      </w:r>
      <w:r w:rsidRPr="009B6AA8">
        <w:t xml:space="preserve">), while </w:t>
      </w:r>
      <w:r w:rsidR="007018D1">
        <w:t>2</w:t>
      </w:r>
      <w:r w:rsidRPr="009B6AA8">
        <w:t>% was provided for brachytherapy equipment at 23 facilities ($1.5</w:t>
      </w:r>
      <w:r w:rsidR="00E61AD5" w:rsidRPr="009B6AA8">
        <w:t xml:space="preserve"> </w:t>
      </w:r>
      <w:r w:rsidRPr="009B6AA8">
        <w:t>m</w:t>
      </w:r>
      <w:r w:rsidR="007018D1">
        <w:t>illion</w:t>
      </w:r>
      <w:r w:rsidRPr="009B6AA8">
        <w:t>).</w:t>
      </w:r>
    </w:p>
    <w:p w14:paraId="0FA4DC71" w14:textId="662FEBB6" w:rsidR="00386D2F" w:rsidRPr="009B6AA8" w:rsidRDefault="00386D2F" w:rsidP="00736EB6">
      <w:r w:rsidRPr="00D65C79">
        <w:fldChar w:fldCharType="begin"/>
      </w:r>
      <w:r w:rsidRPr="009B6AA8">
        <w:instrText xml:space="preserve"> REF _Ref51664721 \h </w:instrText>
      </w:r>
      <w:r w:rsidRPr="00D65C79">
        <w:fldChar w:fldCharType="separate"/>
      </w:r>
      <w:r w:rsidR="007C0448" w:rsidRPr="009B6AA8">
        <w:t xml:space="preserve">Table </w:t>
      </w:r>
      <w:r w:rsidR="007C0448">
        <w:rPr>
          <w:rFonts w:hint="cs"/>
          <w:noProof/>
          <w:cs/>
        </w:rPr>
        <w:t>‎</w:t>
      </w:r>
      <w:r w:rsidR="007C0448">
        <w:rPr>
          <w:noProof/>
        </w:rPr>
        <w:t>2</w:t>
      </w:r>
      <w:r w:rsidR="007C0448">
        <w:t>.</w:t>
      </w:r>
      <w:r w:rsidR="007C0448">
        <w:rPr>
          <w:noProof/>
        </w:rPr>
        <w:t>1</w:t>
      </w:r>
      <w:r w:rsidRPr="00D65C79">
        <w:fldChar w:fldCharType="end"/>
      </w:r>
      <w:r w:rsidRPr="00D65C79">
        <w:t xml:space="preserve"> displays the annual expenditure of the ROHPG </w:t>
      </w:r>
      <w:r w:rsidR="00FD606B">
        <w:t>Scheme</w:t>
      </w:r>
      <w:r w:rsidRPr="00D65C79">
        <w:t xml:space="preserve"> from 2014</w:t>
      </w:r>
      <w:r w:rsidR="00E61AD5" w:rsidRPr="009B6AA8">
        <w:t>–</w:t>
      </w:r>
      <w:r w:rsidRPr="009B6AA8">
        <w:t>15 to 2019</w:t>
      </w:r>
      <w:r w:rsidR="00E61AD5" w:rsidRPr="009B6AA8">
        <w:t>–</w:t>
      </w:r>
      <w:r w:rsidRPr="009B6AA8">
        <w:t xml:space="preserve">20 (for all equipment). ROHPG expenditure </w:t>
      </w:r>
      <w:r w:rsidR="00EC663E" w:rsidRPr="009B6AA8">
        <w:t>has increased from $6</w:t>
      </w:r>
      <w:r w:rsidR="00BE0142">
        <w:t>8.5</w:t>
      </w:r>
      <w:r w:rsidR="00E61AD5" w:rsidRPr="009B6AA8">
        <w:t xml:space="preserve"> </w:t>
      </w:r>
      <w:r w:rsidR="00EC663E" w:rsidRPr="009B6AA8">
        <w:t>m</w:t>
      </w:r>
      <w:r w:rsidR="00BE0142">
        <w:t>illion</w:t>
      </w:r>
      <w:r w:rsidR="00EC663E" w:rsidRPr="009B6AA8">
        <w:t xml:space="preserve"> across 78 facilities in 2014</w:t>
      </w:r>
      <w:r w:rsidR="00E61AD5" w:rsidRPr="009B6AA8">
        <w:t>–</w:t>
      </w:r>
      <w:r w:rsidR="00EC663E" w:rsidRPr="009B6AA8">
        <w:t xml:space="preserve">15 to </w:t>
      </w:r>
      <w:r w:rsidRPr="009B6AA8">
        <w:t>$7</w:t>
      </w:r>
      <w:r w:rsidR="00EC663E" w:rsidRPr="009B6AA8">
        <w:t>6.6</w:t>
      </w:r>
      <w:r w:rsidR="00E61AD5" w:rsidRPr="009B6AA8">
        <w:t xml:space="preserve"> </w:t>
      </w:r>
      <w:r w:rsidRPr="009B6AA8">
        <w:t>m</w:t>
      </w:r>
      <w:r w:rsidR="00BE0142">
        <w:t>illion</w:t>
      </w:r>
      <w:r w:rsidR="00EC663E" w:rsidRPr="009B6AA8">
        <w:t xml:space="preserve"> across 9</w:t>
      </w:r>
      <w:r w:rsidR="008F3E1A">
        <w:t>5</w:t>
      </w:r>
      <w:r w:rsidR="00EC663E" w:rsidRPr="009B6AA8">
        <w:t xml:space="preserve"> facilities in 2019</w:t>
      </w:r>
      <w:r w:rsidR="00E61AD5" w:rsidRPr="009B6AA8">
        <w:t>–</w:t>
      </w:r>
      <w:r w:rsidR="00EC663E" w:rsidRPr="009B6AA8">
        <w:t>20</w:t>
      </w:r>
      <w:r w:rsidRPr="009B6AA8">
        <w:t xml:space="preserve">. </w:t>
      </w:r>
      <w:r w:rsidR="00EC663E" w:rsidRPr="009B6AA8">
        <w:t xml:space="preserve">Although the total costs for the </w:t>
      </w:r>
      <w:r w:rsidR="00FD606B">
        <w:t>Scheme</w:t>
      </w:r>
      <w:r w:rsidR="00EC663E" w:rsidRPr="009B6AA8">
        <w:t xml:space="preserve"> have increased, the average cost per facility has decreased from approximately $878,000 in 2014</w:t>
      </w:r>
      <w:r w:rsidR="00E61AD5" w:rsidRPr="009B6AA8">
        <w:t>–</w:t>
      </w:r>
      <w:r w:rsidR="00EC663E" w:rsidRPr="009B6AA8">
        <w:t>15 down to $</w:t>
      </w:r>
      <w:r w:rsidR="008F3E1A">
        <w:t>807</w:t>
      </w:r>
      <w:r w:rsidR="00EC663E" w:rsidRPr="009B6AA8">
        <w:t>,000 in 2019</w:t>
      </w:r>
      <w:r w:rsidR="00E61AD5" w:rsidRPr="009B6AA8">
        <w:t>–</w:t>
      </w:r>
      <w:r w:rsidR="00EC663E" w:rsidRPr="009B6AA8">
        <w:t>20.</w:t>
      </w:r>
    </w:p>
    <w:p w14:paraId="42A99545" w14:textId="6968D4D2" w:rsidR="00386D2F" w:rsidRPr="00E06173" w:rsidRDefault="00386D2F" w:rsidP="00736EB6">
      <w:pPr>
        <w:pStyle w:val="Caption"/>
      </w:pPr>
      <w:bookmarkStart w:id="73" w:name="_Ref51664721"/>
      <w:r w:rsidRPr="009B6AA8">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2</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1</w:t>
      </w:r>
      <w:r w:rsidR="004B24F3">
        <w:rPr>
          <w:noProof/>
        </w:rPr>
        <w:fldChar w:fldCharType="end"/>
      </w:r>
      <w:bookmarkEnd w:id="73"/>
      <w:r w:rsidRPr="00D65C79">
        <w:t xml:space="preserve"> </w:t>
      </w:r>
      <w:r w:rsidRPr="00E06173">
        <w:t>ROHPG expenditure ($m), 2014–2020</w:t>
      </w:r>
    </w:p>
    <w:tbl>
      <w:tblPr>
        <w:tblStyle w:val="HMATableA"/>
        <w:tblW w:w="5000" w:type="pct"/>
        <w:tblInd w:w="-5" w:type="dxa"/>
        <w:tblLook w:val="04A0" w:firstRow="1" w:lastRow="0" w:firstColumn="1" w:lastColumn="0" w:noHBand="0" w:noVBand="1"/>
        <w:tblDescription w:val="Table 2.1 is a list of ROHPG expenditure (Australian dollars in millions) for 2014-2020. This table show the ROHPG expenditure on all equipment, external beam RT and brachytherapy, over six financial years from 2014 to 2020."/>
      </w:tblPr>
      <w:tblGrid>
        <w:gridCol w:w="3562"/>
        <w:gridCol w:w="2554"/>
        <w:gridCol w:w="1619"/>
        <w:gridCol w:w="2300"/>
      </w:tblGrid>
      <w:tr w:rsidR="00386D2F" w:rsidRPr="009B6AA8" w14:paraId="3F5FF793" w14:textId="77777777" w:rsidTr="006023DD">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00" w:type="pct"/>
            <w:noWrap/>
            <w:vAlign w:val="center"/>
            <w:hideMark/>
          </w:tcPr>
          <w:p w14:paraId="095F1BF2" w14:textId="77777777" w:rsidR="00386D2F" w:rsidRPr="009B6AA8" w:rsidRDefault="00386D2F" w:rsidP="00431316">
            <w:pPr>
              <w:keepNext/>
              <w:rPr>
                <w:lang w:eastAsia="zh-CN"/>
              </w:rPr>
            </w:pPr>
          </w:p>
        </w:tc>
        <w:tc>
          <w:tcPr>
            <w:tcW w:w="1298" w:type="pct"/>
            <w:noWrap/>
            <w:vAlign w:val="center"/>
            <w:hideMark/>
          </w:tcPr>
          <w:p w14:paraId="20BFC4E5" w14:textId="77777777" w:rsidR="00386D2F" w:rsidRPr="009B6AA8" w:rsidRDefault="00386D2F" w:rsidP="00431316">
            <w:pPr>
              <w:keepNext/>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 xml:space="preserve">All equipment </w:t>
            </w:r>
          </w:p>
        </w:tc>
        <w:tc>
          <w:tcPr>
            <w:tcW w:w="731" w:type="pct"/>
            <w:noWrap/>
            <w:vAlign w:val="center"/>
            <w:hideMark/>
          </w:tcPr>
          <w:p w14:paraId="77F13E95" w14:textId="77777777" w:rsidR="00386D2F" w:rsidRPr="009B6AA8" w:rsidRDefault="00386D2F" w:rsidP="00431316">
            <w:pPr>
              <w:keepNext/>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External beam RT</w:t>
            </w:r>
          </w:p>
        </w:tc>
        <w:tc>
          <w:tcPr>
            <w:tcW w:w="1171" w:type="pct"/>
            <w:noWrap/>
            <w:vAlign w:val="center"/>
            <w:hideMark/>
          </w:tcPr>
          <w:p w14:paraId="7CFADF93" w14:textId="77777777" w:rsidR="00386D2F" w:rsidRPr="009B6AA8" w:rsidRDefault="00386D2F" w:rsidP="00431316">
            <w:pPr>
              <w:keepNext/>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 xml:space="preserve">Brachytherapy </w:t>
            </w:r>
          </w:p>
        </w:tc>
      </w:tr>
      <w:tr w:rsidR="00386D2F" w:rsidRPr="009B6AA8" w14:paraId="52940FA2" w14:textId="77777777" w:rsidTr="00431316">
        <w:trPr>
          <w:trHeight w:val="293"/>
        </w:trPr>
        <w:tc>
          <w:tcPr>
            <w:cnfStyle w:val="001000000000" w:firstRow="0" w:lastRow="0" w:firstColumn="1" w:lastColumn="0" w:oddVBand="0" w:evenVBand="0" w:oddHBand="0" w:evenHBand="0" w:firstRowFirstColumn="0" w:firstRowLastColumn="0" w:lastRowFirstColumn="0" w:lastRowLastColumn="0"/>
            <w:tcW w:w="1800" w:type="pct"/>
            <w:noWrap/>
            <w:hideMark/>
          </w:tcPr>
          <w:p w14:paraId="5FA98EE7" w14:textId="33F703E6" w:rsidR="00386D2F" w:rsidRPr="009B6AA8" w:rsidRDefault="00386D2F" w:rsidP="00736EB6">
            <w:pPr>
              <w:keepNext/>
              <w:rPr>
                <w:rFonts w:ascii="Calibri" w:hAnsi="Calibri" w:cs="Calibri"/>
                <w:lang w:eastAsia="zh-CN"/>
              </w:rPr>
            </w:pPr>
            <w:r w:rsidRPr="009B6AA8">
              <w:rPr>
                <w:rFonts w:ascii="Calibri" w:hAnsi="Calibri" w:cs="Calibri"/>
                <w:lang w:eastAsia="zh-CN"/>
              </w:rPr>
              <w:t>2014</w:t>
            </w:r>
            <w:r w:rsidR="00E61AD5" w:rsidRPr="009B6AA8">
              <w:rPr>
                <w:rFonts w:ascii="Calibri" w:hAnsi="Calibri" w:cs="Calibri"/>
                <w:lang w:eastAsia="zh-CN"/>
              </w:rPr>
              <w:t>–</w:t>
            </w:r>
            <w:r w:rsidRPr="009B6AA8">
              <w:rPr>
                <w:rFonts w:ascii="Calibri" w:hAnsi="Calibri" w:cs="Calibri"/>
                <w:lang w:eastAsia="zh-CN"/>
              </w:rPr>
              <w:t>15</w:t>
            </w:r>
          </w:p>
        </w:tc>
        <w:tc>
          <w:tcPr>
            <w:tcW w:w="1298" w:type="pct"/>
            <w:noWrap/>
            <w:hideMark/>
          </w:tcPr>
          <w:p w14:paraId="06DC1F38" w14:textId="70EA441B" w:rsidR="00386D2F" w:rsidRPr="009B6AA8" w:rsidRDefault="00386D2F" w:rsidP="00736EB6">
            <w:pPr>
              <w:keepNext/>
              <w:jc w:val="center"/>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6</w:t>
            </w:r>
            <w:r w:rsidR="00EC663E" w:rsidRPr="009B6AA8">
              <w:rPr>
                <w:lang w:eastAsia="zh-CN"/>
              </w:rPr>
              <w:t>8.5</w:t>
            </w:r>
          </w:p>
        </w:tc>
        <w:tc>
          <w:tcPr>
            <w:tcW w:w="731" w:type="pct"/>
            <w:noWrap/>
            <w:hideMark/>
          </w:tcPr>
          <w:p w14:paraId="45A65F04" w14:textId="77777777" w:rsidR="00386D2F" w:rsidRPr="009B6AA8" w:rsidRDefault="00386D2F" w:rsidP="00736EB6">
            <w:pPr>
              <w:keepNext/>
              <w:jc w:val="center"/>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w:t>
            </w:r>
          </w:p>
        </w:tc>
        <w:tc>
          <w:tcPr>
            <w:tcW w:w="1171" w:type="pct"/>
            <w:noWrap/>
            <w:hideMark/>
          </w:tcPr>
          <w:p w14:paraId="1A97F4B9" w14:textId="77777777" w:rsidR="00386D2F" w:rsidRPr="009B6AA8" w:rsidRDefault="00386D2F" w:rsidP="00736EB6">
            <w:pPr>
              <w:keepNext/>
              <w:jc w:val="center"/>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w:t>
            </w:r>
          </w:p>
        </w:tc>
      </w:tr>
      <w:tr w:rsidR="00386D2F" w:rsidRPr="009B6AA8" w14:paraId="5D0A4253" w14:textId="77777777" w:rsidTr="0043131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00" w:type="pct"/>
            <w:noWrap/>
            <w:hideMark/>
          </w:tcPr>
          <w:p w14:paraId="15289D0F" w14:textId="7C627590" w:rsidR="00386D2F" w:rsidRPr="009B6AA8" w:rsidRDefault="00386D2F" w:rsidP="00736EB6">
            <w:pPr>
              <w:keepNext/>
              <w:rPr>
                <w:rFonts w:ascii="Calibri" w:hAnsi="Calibri" w:cs="Calibri"/>
                <w:lang w:eastAsia="zh-CN"/>
              </w:rPr>
            </w:pPr>
            <w:r w:rsidRPr="009B6AA8">
              <w:rPr>
                <w:rFonts w:ascii="Calibri" w:hAnsi="Calibri" w:cs="Calibri"/>
                <w:lang w:eastAsia="zh-CN"/>
              </w:rPr>
              <w:t>2015</w:t>
            </w:r>
            <w:r w:rsidR="00E61AD5" w:rsidRPr="009B6AA8">
              <w:rPr>
                <w:rFonts w:ascii="Calibri" w:hAnsi="Calibri" w:cs="Calibri"/>
                <w:lang w:eastAsia="zh-CN"/>
              </w:rPr>
              <w:t>–</w:t>
            </w:r>
            <w:r w:rsidRPr="009B6AA8">
              <w:rPr>
                <w:rFonts w:ascii="Calibri" w:hAnsi="Calibri" w:cs="Calibri"/>
                <w:lang w:eastAsia="zh-CN"/>
              </w:rPr>
              <w:t>16</w:t>
            </w:r>
          </w:p>
        </w:tc>
        <w:tc>
          <w:tcPr>
            <w:tcW w:w="1298" w:type="pct"/>
            <w:noWrap/>
            <w:hideMark/>
          </w:tcPr>
          <w:p w14:paraId="521E0ECE" w14:textId="7F602A53" w:rsidR="00386D2F" w:rsidRPr="009B6AA8" w:rsidRDefault="00386D2F" w:rsidP="00736EB6">
            <w:pPr>
              <w:keepNext/>
              <w:jc w:val="center"/>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66</w:t>
            </w:r>
            <w:r w:rsidR="00EC663E" w:rsidRPr="009B6AA8">
              <w:rPr>
                <w:lang w:eastAsia="zh-CN"/>
              </w:rPr>
              <w:t>.0</w:t>
            </w:r>
          </w:p>
        </w:tc>
        <w:tc>
          <w:tcPr>
            <w:tcW w:w="731" w:type="pct"/>
            <w:noWrap/>
            <w:hideMark/>
          </w:tcPr>
          <w:p w14:paraId="662AE42D" w14:textId="77777777" w:rsidR="00386D2F" w:rsidRPr="009B6AA8" w:rsidRDefault="00386D2F" w:rsidP="00736EB6">
            <w:pPr>
              <w:keepNext/>
              <w:jc w:val="center"/>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w:t>
            </w:r>
          </w:p>
        </w:tc>
        <w:tc>
          <w:tcPr>
            <w:tcW w:w="1171" w:type="pct"/>
            <w:noWrap/>
            <w:hideMark/>
          </w:tcPr>
          <w:p w14:paraId="16808F68" w14:textId="77777777" w:rsidR="00386D2F" w:rsidRPr="009B6AA8" w:rsidRDefault="00386D2F" w:rsidP="00736EB6">
            <w:pPr>
              <w:keepNext/>
              <w:jc w:val="center"/>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w:t>
            </w:r>
          </w:p>
        </w:tc>
      </w:tr>
      <w:tr w:rsidR="00386D2F" w:rsidRPr="009B6AA8" w14:paraId="7FDA3575" w14:textId="77777777" w:rsidTr="00431316">
        <w:trPr>
          <w:trHeight w:val="293"/>
        </w:trPr>
        <w:tc>
          <w:tcPr>
            <w:cnfStyle w:val="001000000000" w:firstRow="0" w:lastRow="0" w:firstColumn="1" w:lastColumn="0" w:oddVBand="0" w:evenVBand="0" w:oddHBand="0" w:evenHBand="0" w:firstRowFirstColumn="0" w:firstRowLastColumn="0" w:lastRowFirstColumn="0" w:lastRowLastColumn="0"/>
            <w:tcW w:w="1800" w:type="pct"/>
            <w:noWrap/>
            <w:hideMark/>
          </w:tcPr>
          <w:p w14:paraId="6D9F572C" w14:textId="74F44938" w:rsidR="00386D2F" w:rsidRPr="009B6AA8" w:rsidRDefault="00386D2F" w:rsidP="00736EB6">
            <w:pPr>
              <w:keepNext/>
              <w:rPr>
                <w:rFonts w:ascii="Calibri" w:hAnsi="Calibri" w:cs="Calibri"/>
                <w:lang w:eastAsia="zh-CN"/>
              </w:rPr>
            </w:pPr>
            <w:r w:rsidRPr="009B6AA8">
              <w:rPr>
                <w:rFonts w:ascii="Calibri" w:hAnsi="Calibri" w:cs="Calibri"/>
                <w:lang w:eastAsia="zh-CN"/>
              </w:rPr>
              <w:t>2016</w:t>
            </w:r>
            <w:r w:rsidR="00E61AD5" w:rsidRPr="009B6AA8">
              <w:rPr>
                <w:rFonts w:ascii="Calibri" w:hAnsi="Calibri" w:cs="Calibri"/>
                <w:lang w:eastAsia="zh-CN"/>
              </w:rPr>
              <w:t>–</w:t>
            </w:r>
            <w:r w:rsidRPr="009B6AA8">
              <w:rPr>
                <w:rFonts w:ascii="Calibri" w:hAnsi="Calibri" w:cs="Calibri"/>
                <w:lang w:eastAsia="zh-CN"/>
              </w:rPr>
              <w:t>17</w:t>
            </w:r>
          </w:p>
        </w:tc>
        <w:tc>
          <w:tcPr>
            <w:tcW w:w="1298" w:type="pct"/>
            <w:noWrap/>
            <w:hideMark/>
          </w:tcPr>
          <w:p w14:paraId="14E017D7" w14:textId="77777777" w:rsidR="00386D2F" w:rsidRPr="009B6AA8" w:rsidRDefault="00386D2F" w:rsidP="00736EB6">
            <w:pPr>
              <w:keepNext/>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Cs w:val="20"/>
                <w:lang w:eastAsia="zh-CN"/>
              </w:rPr>
            </w:pPr>
            <w:r w:rsidRPr="009B6AA8">
              <w:rPr>
                <w:rFonts w:ascii="Garamond" w:hAnsi="Garamond"/>
                <w:color w:val="000000"/>
                <w:szCs w:val="20"/>
                <w:lang w:eastAsia="zh-CN"/>
              </w:rPr>
              <w:t>71.3</w:t>
            </w:r>
          </w:p>
        </w:tc>
        <w:tc>
          <w:tcPr>
            <w:tcW w:w="731" w:type="pct"/>
            <w:noWrap/>
            <w:hideMark/>
          </w:tcPr>
          <w:p w14:paraId="73FF5976" w14:textId="77777777" w:rsidR="00386D2F" w:rsidRPr="009B6AA8" w:rsidRDefault="00386D2F" w:rsidP="00736EB6">
            <w:pPr>
              <w:keepNext/>
              <w:jc w:val="center"/>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w:t>
            </w:r>
          </w:p>
        </w:tc>
        <w:tc>
          <w:tcPr>
            <w:tcW w:w="1171" w:type="pct"/>
            <w:noWrap/>
            <w:hideMark/>
          </w:tcPr>
          <w:p w14:paraId="2617F336" w14:textId="77777777" w:rsidR="00386D2F" w:rsidRPr="009B6AA8" w:rsidRDefault="00386D2F" w:rsidP="00736EB6">
            <w:pPr>
              <w:keepNext/>
              <w:jc w:val="center"/>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w:t>
            </w:r>
          </w:p>
        </w:tc>
      </w:tr>
      <w:tr w:rsidR="00386D2F" w:rsidRPr="009B6AA8" w14:paraId="3542C6D3" w14:textId="77777777" w:rsidTr="0043131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00" w:type="pct"/>
            <w:noWrap/>
            <w:hideMark/>
          </w:tcPr>
          <w:p w14:paraId="7141B759" w14:textId="41AC90DE" w:rsidR="00386D2F" w:rsidRPr="009B6AA8" w:rsidRDefault="00386D2F" w:rsidP="00736EB6">
            <w:pPr>
              <w:keepNext/>
              <w:rPr>
                <w:rFonts w:ascii="Calibri" w:hAnsi="Calibri" w:cs="Calibri"/>
                <w:lang w:eastAsia="zh-CN"/>
              </w:rPr>
            </w:pPr>
            <w:r w:rsidRPr="009B6AA8">
              <w:rPr>
                <w:rFonts w:ascii="Calibri" w:hAnsi="Calibri" w:cs="Calibri"/>
                <w:lang w:eastAsia="zh-CN"/>
              </w:rPr>
              <w:t>2017</w:t>
            </w:r>
            <w:r w:rsidR="00E61AD5" w:rsidRPr="009B6AA8">
              <w:rPr>
                <w:rFonts w:ascii="Calibri" w:hAnsi="Calibri" w:cs="Calibri"/>
                <w:lang w:eastAsia="zh-CN"/>
              </w:rPr>
              <w:t>–</w:t>
            </w:r>
            <w:r w:rsidRPr="009B6AA8">
              <w:rPr>
                <w:rFonts w:ascii="Calibri" w:hAnsi="Calibri" w:cs="Calibri"/>
                <w:lang w:eastAsia="zh-CN"/>
              </w:rPr>
              <w:t>18</w:t>
            </w:r>
          </w:p>
        </w:tc>
        <w:tc>
          <w:tcPr>
            <w:tcW w:w="1298" w:type="pct"/>
            <w:noWrap/>
            <w:hideMark/>
          </w:tcPr>
          <w:p w14:paraId="0123B644" w14:textId="77777777" w:rsidR="00386D2F" w:rsidRPr="009B6AA8" w:rsidRDefault="00386D2F" w:rsidP="00736EB6">
            <w:pPr>
              <w:keepNext/>
              <w:jc w:val="center"/>
              <w:cnfStyle w:val="000000010000" w:firstRow="0" w:lastRow="0" w:firstColumn="0" w:lastColumn="0" w:oddVBand="0" w:evenVBand="0" w:oddHBand="0" w:evenHBand="1" w:firstRowFirstColumn="0" w:firstRowLastColumn="0" w:lastRowFirstColumn="0" w:lastRowLastColumn="0"/>
              <w:rPr>
                <w:rFonts w:ascii="Garamond" w:hAnsi="Garamond" w:cs="Calibri"/>
                <w:color w:val="000000"/>
                <w:szCs w:val="20"/>
                <w:lang w:eastAsia="zh-CN"/>
              </w:rPr>
            </w:pPr>
            <w:r w:rsidRPr="009B6AA8">
              <w:rPr>
                <w:rFonts w:ascii="Garamond" w:hAnsi="Garamond" w:cs="Calibri"/>
                <w:color w:val="000000"/>
                <w:szCs w:val="20"/>
                <w:lang w:eastAsia="zh-CN"/>
              </w:rPr>
              <w:t>66.5</w:t>
            </w:r>
          </w:p>
        </w:tc>
        <w:tc>
          <w:tcPr>
            <w:tcW w:w="731" w:type="pct"/>
            <w:noWrap/>
            <w:hideMark/>
          </w:tcPr>
          <w:p w14:paraId="5213F597" w14:textId="77777777" w:rsidR="00386D2F" w:rsidRPr="009B6AA8" w:rsidRDefault="00386D2F" w:rsidP="00736EB6">
            <w:pPr>
              <w:keepNext/>
              <w:jc w:val="center"/>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52.1</w:t>
            </w:r>
          </w:p>
        </w:tc>
        <w:tc>
          <w:tcPr>
            <w:tcW w:w="1171" w:type="pct"/>
            <w:noWrap/>
            <w:hideMark/>
          </w:tcPr>
          <w:p w14:paraId="62C1861C" w14:textId="77777777" w:rsidR="00386D2F" w:rsidRPr="009B6AA8" w:rsidRDefault="00386D2F" w:rsidP="00736EB6">
            <w:pPr>
              <w:keepNext/>
              <w:jc w:val="center"/>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1.6</w:t>
            </w:r>
          </w:p>
        </w:tc>
      </w:tr>
      <w:tr w:rsidR="00386D2F" w:rsidRPr="009B6AA8" w14:paraId="3A17EEA8" w14:textId="77777777" w:rsidTr="00431316">
        <w:trPr>
          <w:trHeight w:val="293"/>
        </w:trPr>
        <w:tc>
          <w:tcPr>
            <w:cnfStyle w:val="001000000000" w:firstRow="0" w:lastRow="0" w:firstColumn="1" w:lastColumn="0" w:oddVBand="0" w:evenVBand="0" w:oddHBand="0" w:evenHBand="0" w:firstRowFirstColumn="0" w:firstRowLastColumn="0" w:lastRowFirstColumn="0" w:lastRowLastColumn="0"/>
            <w:tcW w:w="1800" w:type="pct"/>
            <w:noWrap/>
            <w:hideMark/>
          </w:tcPr>
          <w:p w14:paraId="5DD260A5" w14:textId="6624E522" w:rsidR="00386D2F" w:rsidRPr="009B6AA8" w:rsidRDefault="00386D2F" w:rsidP="00736EB6">
            <w:pPr>
              <w:keepNext/>
              <w:rPr>
                <w:rFonts w:ascii="Calibri" w:hAnsi="Calibri" w:cs="Calibri"/>
                <w:lang w:eastAsia="zh-CN"/>
              </w:rPr>
            </w:pPr>
            <w:r w:rsidRPr="009B6AA8">
              <w:rPr>
                <w:rFonts w:ascii="Calibri" w:hAnsi="Calibri" w:cs="Calibri"/>
                <w:lang w:eastAsia="zh-CN"/>
              </w:rPr>
              <w:t>2018</w:t>
            </w:r>
            <w:r w:rsidR="00E61AD5" w:rsidRPr="009B6AA8">
              <w:rPr>
                <w:rFonts w:ascii="Calibri" w:hAnsi="Calibri" w:cs="Calibri"/>
                <w:lang w:eastAsia="zh-CN"/>
              </w:rPr>
              <w:t>–</w:t>
            </w:r>
            <w:r w:rsidRPr="009B6AA8">
              <w:rPr>
                <w:rFonts w:ascii="Calibri" w:hAnsi="Calibri" w:cs="Calibri"/>
                <w:lang w:eastAsia="zh-CN"/>
              </w:rPr>
              <w:t>19</w:t>
            </w:r>
          </w:p>
        </w:tc>
        <w:tc>
          <w:tcPr>
            <w:tcW w:w="1298" w:type="pct"/>
            <w:noWrap/>
            <w:hideMark/>
          </w:tcPr>
          <w:p w14:paraId="6AD28B88" w14:textId="77777777" w:rsidR="00386D2F" w:rsidRPr="009B6AA8" w:rsidRDefault="00386D2F" w:rsidP="00736EB6">
            <w:pPr>
              <w:keepNext/>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Cs w:val="20"/>
                <w:lang w:eastAsia="zh-CN"/>
              </w:rPr>
            </w:pPr>
            <w:r w:rsidRPr="009B6AA8">
              <w:rPr>
                <w:rFonts w:ascii="Garamond" w:hAnsi="Garamond" w:cs="Calibri"/>
                <w:color w:val="000000"/>
                <w:szCs w:val="20"/>
                <w:lang w:eastAsia="zh-CN"/>
              </w:rPr>
              <w:t>70.9</w:t>
            </w:r>
          </w:p>
        </w:tc>
        <w:tc>
          <w:tcPr>
            <w:tcW w:w="731" w:type="pct"/>
            <w:noWrap/>
            <w:hideMark/>
          </w:tcPr>
          <w:p w14:paraId="2A3FC855" w14:textId="77777777" w:rsidR="00386D2F" w:rsidRPr="009B6AA8" w:rsidRDefault="00386D2F" w:rsidP="00736EB6">
            <w:pPr>
              <w:keepNext/>
              <w:jc w:val="center"/>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54.2</w:t>
            </w:r>
          </w:p>
        </w:tc>
        <w:tc>
          <w:tcPr>
            <w:tcW w:w="1171" w:type="pct"/>
            <w:noWrap/>
            <w:hideMark/>
          </w:tcPr>
          <w:p w14:paraId="6BF53C51" w14:textId="77777777" w:rsidR="00386D2F" w:rsidRPr="009B6AA8" w:rsidRDefault="00386D2F" w:rsidP="00736EB6">
            <w:pPr>
              <w:keepNext/>
              <w:jc w:val="center"/>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1.7</w:t>
            </w:r>
          </w:p>
        </w:tc>
      </w:tr>
      <w:tr w:rsidR="00386D2F" w:rsidRPr="009B6AA8" w14:paraId="5A0031F4" w14:textId="77777777" w:rsidTr="0043131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00" w:type="pct"/>
            <w:noWrap/>
            <w:hideMark/>
          </w:tcPr>
          <w:p w14:paraId="432B66FE" w14:textId="01FB1D2D" w:rsidR="00386D2F" w:rsidRPr="009B6AA8" w:rsidRDefault="00386D2F" w:rsidP="00736EB6">
            <w:pPr>
              <w:keepNext/>
              <w:rPr>
                <w:rFonts w:ascii="Calibri" w:hAnsi="Calibri" w:cs="Calibri"/>
                <w:lang w:eastAsia="zh-CN"/>
              </w:rPr>
            </w:pPr>
            <w:r w:rsidRPr="009B6AA8">
              <w:rPr>
                <w:rFonts w:ascii="Calibri" w:hAnsi="Calibri" w:cs="Calibri"/>
                <w:lang w:eastAsia="zh-CN"/>
              </w:rPr>
              <w:t>2019</w:t>
            </w:r>
            <w:r w:rsidR="00E61AD5" w:rsidRPr="009B6AA8">
              <w:rPr>
                <w:rFonts w:ascii="Calibri" w:hAnsi="Calibri" w:cs="Calibri"/>
                <w:lang w:eastAsia="zh-CN"/>
              </w:rPr>
              <w:t>–</w:t>
            </w:r>
            <w:r w:rsidRPr="009B6AA8">
              <w:rPr>
                <w:rFonts w:ascii="Calibri" w:hAnsi="Calibri" w:cs="Calibri"/>
                <w:lang w:eastAsia="zh-CN"/>
              </w:rPr>
              <w:t>20</w:t>
            </w:r>
          </w:p>
        </w:tc>
        <w:tc>
          <w:tcPr>
            <w:tcW w:w="1298" w:type="pct"/>
            <w:noWrap/>
            <w:hideMark/>
          </w:tcPr>
          <w:p w14:paraId="731AEE72" w14:textId="77777777" w:rsidR="00386D2F" w:rsidRPr="009B6AA8" w:rsidRDefault="00386D2F" w:rsidP="00736EB6">
            <w:pPr>
              <w:keepNext/>
              <w:jc w:val="center"/>
              <w:cnfStyle w:val="000000010000" w:firstRow="0" w:lastRow="0" w:firstColumn="0" w:lastColumn="0" w:oddVBand="0" w:evenVBand="0" w:oddHBand="0" w:evenHBand="1" w:firstRowFirstColumn="0" w:firstRowLastColumn="0" w:lastRowFirstColumn="0" w:lastRowLastColumn="0"/>
              <w:rPr>
                <w:rFonts w:ascii="Garamond" w:hAnsi="Garamond" w:cs="Calibri"/>
                <w:color w:val="000000"/>
                <w:szCs w:val="20"/>
                <w:lang w:eastAsia="zh-CN"/>
              </w:rPr>
            </w:pPr>
            <w:r w:rsidRPr="009B6AA8">
              <w:rPr>
                <w:rFonts w:ascii="Garamond" w:hAnsi="Garamond" w:cs="Calibri"/>
                <w:color w:val="000000"/>
                <w:szCs w:val="20"/>
                <w:lang w:eastAsia="zh-CN"/>
              </w:rPr>
              <w:t>76.6</w:t>
            </w:r>
          </w:p>
        </w:tc>
        <w:tc>
          <w:tcPr>
            <w:tcW w:w="731" w:type="pct"/>
            <w:noWrap/>
            <w:hideMark/>
          </w:tcPr>
          <w:p w14:paraId="6B3A72E3" w14:textId="77777777" w:rsidR="00386D2F" w:rsidRPr="009B6AA8" w:rsidRDefault="00386D2F" w:rsidP="00736EB6">
            <w:pPr>
              <w:keepNext/>
              <w:jc w:val="center"/>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60.3</w:t>
            </w:r>
          </w:p>
        </w:tc>
        <w:tc>
          <w:tcPr>
            <w:tcW w:w="1171" w:type="pct"/>
            <w:noWrap/>
            <w:hideMark/>
          </w:tcPr>
          <w:p w14:paraId="3C5668D3" w14:textId="77777777" w:rsidR="00386D2F" w:rsidRPr="009B6AA8" w:rsidRDefault="00386D2F" w:rsidP="00736EB6">
            <w:pPr>
              <w:keepNext/>
              <w:jc w:val="center"/>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1.5</w:t>
            </w:r>
          </w:p>
        </w:tc>
      </w:tr>
    </w:tbl>
    <w:p w14:paraId="7FB7E16A" w14:textId="77777777" w:rsidR="00373EE3" w:rsidRPr="00A342BD" w:rsidRDefault="00386D2F" w:rsidP="0079376F">
      <w:pPr>
        <w:pStyle w:val="TableNotes"/>
      </w:pPr>
      <w:r w:rsidRPr="00A342BD">
        <w:t xml:space="preserve">Source: Departmental ROHPG </w:t>
      </w:r>
      <w:r w:rsidR="00EC663E" w:rsidRPr="00A342BD">
        <w:t xml:space="preserve">payment </w:t>
      </w:r>
      <w:r w:rsidRPr="00A342BD">
        <w:t xml:space="preserve">data </w:t>
      </w:r>
      <w:r w:rsidR="00EC663E" w:rsidRPr="00A342BD">
        <w:t>and ROHPG Review 2016 (MP Consulting)</w:t>
      </w:r>
    </w:p>
    <w:p w14:paraId="6748D186" w14:textId="07B9D89E" w:rsidR="0057518D" w:rsidRPr="00BC705E" w:rsidRDefault="0057518D" w:rsidP="00853EFB">
      <w:pPr>
        <w:pStyle w:val="heading2numbered"/>
      </w:pPr>
      <w:bookmarkStart w:id="74" w:name="_Toc52825023"/>
      <w:bookmarkStart w:id="75" w:name="_Toc52825024"/>
      <w:bookmarkStart w:id="76" w:name="_Toc52825025"/>
      <w:bookmarkStart w:id="77" w:name="_Toc54688791"/>
      <w:bookmarkStart w:id="78" w:name="_Toc59198454"/>
      <w:bookmarkStart w:id="79" w:name="_Toc66193921"/>
      <w:bookmarkStart w:id="80" w:name="_Toc73696676"/>
      <w:bookmarkStart w:id="81" w:name="_Toc50722040"/>
      <w:bookmarkEnd w:id="51"/>
      <w:bookmarkEnd w:id="74"/>
      <w:bookmarkEnd w:id="75"/>
      <w:bookmarkEnd w:id="76"/>
      <w:r w:rsidRPr="00BC705E">
        <w:t>Radiotherapy planning</w:t>
      </w:r>
      <w:bookmarkEnd w:id="77"/>
      <w:bookmarkEnd w:id="78"/>
      <w:bookmarkEnd w:id="79"/>
      <w:bookmarkEnd w:id="80"/>
    </w:p>
    <w:p w14:paraId="4E450B35" w14:textId="3F82014B" w:rsidR="0057518D" w:rsidRPr="009B6AA8" w:rsidRDefault="0057518D" w:rsidP="00431316">
      <w:r w:rsidRPr="009B6AA8">
        <w:t xml:space="preserve">Planning for cancer services including RT services occurs at the jurisdiction level and varies depending on the jurisdiction. For example, planning in New South Wales occurs largely at the local health district (LHD) level (of which there are 17), while in Victoria a </w:t>
      </w:r>
      <w:proofErr w:type="spellStart"/>
      <w:r w:rsidRPr="009B6AA8">
        <w:t>statewide</w:t>
      </w:r>
      <w:proofErr w:type="spellEnd"/>
      <w:r w:rsidRPr="009B6AA8">
        <w:t xml:space="preserve"> approach is typically applied across the eight integrated cancer service regions.</w:t>
      </w:r>
    </w:p>
    <w:p w14:paraId="22C65C49" w14:textId="77777777" w:rsidR="00373EE3" w:rsidRDefault="0057518D" w:rsidP="00431316">
      <w:r w:rsidRPr="009B6AA8">
        <w:t xml:space="preserve">In planning for radiotherapy services, it is important to consider the integration </w:t>
      </w:r>
      <w:r w:rsidR="00FD0FDE" w:rsidRPr="009B6AA8">
        <w:t>of</w:t>
      </w:r>
      <w:r w:rsidRPr="009B6AA8">
        <w:t xml:space="preserve"> the service with other cancer services (including medical oncology and surgical oncology) and allied health support teams. However, the main consideration used for estimating the number of </w:t>
      </w:r>
      <w:proofErr w:type="spellStart"/>
      <w:r w:rsidR="00C306B9" w:rsidRPr="009B6AA8">
        <w:t>linac</w:t>
      </w:r>
      <w:r w:rsidRPr="009B6AA8">
        <w:t>s</w:t>
      </w:r>
      <w:proofErr w:type="spellEnd"/>
      <w:r w:rsidRPr="009B6AA8">
        <w:t xml:space="preserve"> required in Australia for RT is based on population cancer incidence and optimal utilisation rates of RT.</w:t>
      </w:r>
    </w:p>
    <w:p w14:paraId="2AF7E22D" w14:textId="14C478FD" w:rsidR="0057518D" w:rsidRPr="00431316" w:rsidRDefault="0057518D" w:rsidP="00216866">
      <w:pPr>
        <w:pStyle w:val="Heading3numbered"/>
      </w:pPr>
      <w:bookmarkStart w:id="82" w:name="_Toc54688793"/>
      <w:bookmarkStart w:id="83" w:name="_Toc59198455"/>
      <w:bookmarkStart w:id="84" w:name="_Toc66193922"/>
      <w:r w:rsidRPr="00BC705E">
        <w:t>Optimal utilisation rates</w:t>
      </w:r>
      <w:bookmarkEnd w:id="81"/>
      <w:bookmarkEnd w:id="82"/>
      <w:bookmarkEnd w:id="83"/>
      <w:bookmarkEnd w:id="84"/>
    </w:p>
    <w:p w14:paraId="02AC9F16" w14:textId="6CB6F2BA" w:rsidR="0057518D" w:rsidRPr="009B6AA8" w:rsidRDefault="0057518D" w:rsidP="00431316">
      <w:pPr>
        <w:spacing w:after="0" w:line="259" w:lineRule="auto"/>
      </w:pPr>
      <w:r w:rsidRPr="009B6AA8">
        <w:t xml:space="preserve">The optimal radiotherapy utilisation rate (OUR) is defined as the proportion of patients who should receive a radiotherapy treatment at least once during their illness </w:t>
      </w:r>
      <w:sdt>
        <w:sdtPr>
          <w:id w:val="545957609"/>
          <w:citation/>
        </w:sdtPr>
        <w:sdtContent>
          <w:r w:rsidRPr="00D65C79">
            <w:fldChar w:fldCharType="begin"/>
          </w:r>
          <w:r w:rsidRPr="009B6AA8">
            <w:instrText xml:space="preserve"> CITATION Fon12 \l 3081 </w:instrText>
          </w:r>
          <w:r w:rsidRPr="00D65C79">
            <w:fldChar w:fldCharType="separate"/>
          </w:r>
          <w:r w:rsidR="00264535" w:rsidRPr="00264535">
            <w:rPr>
              <w:noProof/>
            </w:rPr>
            <w:t>[9]</w:t>
          </w:r>
          <w:r w:rsidRPr="00D65C79">
            <w:fldChar w:fldCharType="end"/>
          </w:r>
        </w:sdtContent>
      </w:sdt>
      <w:r w:rsidR="00FD0FDE" w:rsidRPr="00D65C79">
        <w:t>. This indicator</w:t>
      </w:r>
      <w:r w:rsidRPr="00D65C79">
        <w:t xml:space="preserve"> is used for planning and monitoring of radiotherapy services. The national OUR in Australia is calculated using data collected on:</w:t>
      </w:r>
    </w:p>
    <w:p w14:paraId="1298AAD8" w14:textId="77777777" w:rsidR="00373EE3" w:rsidRDefault="0057518D" w:rsidP="00431316">
      <w:pPr>
        <w:pStyle w:val="ListBullet"/>
      </w:pPr>
      <w:r w:rsidRPr="009B6AA8">
        <w:t>cancer incidence rates, and</w:t>
      </w:r>
    </w:p>
    <w:p w14:paraId="78A66A71" w14:textId="1D9C544A" w:rsidR="0057518D" w:rsidRPr="00D65C79" w:rsidRDefault="0057518D" w:rsidP="00431316">
      <w:pPr>
        <w:pStyle w:val="ListBullet"/>
        <w:spacing w:after="0"/>
      </w:pPr>
      <w:proofErr w:type="gramStart"/>
      <w:r w:rsidRPr="009B6AA8">
        <w:lastRenderedPageBreak/>
        <w:t>the</w:t>
      </w:r>
      <w:proofErr w:type="gramEnd"/>
      <w:r w:rsidRPr="009B6AA8">
        <w:t xml:space="preserve"> proportion of these new cases where radiotherapy is clinically indicated including cancer type, and staging distribution </w:t>
      </w:r>
      <w:sdt>
        <w:sdtPr>
          <w:id w:val="-1533493979"/>
          <w:citation/>
        </w:sdtPr>
        <w:sdtContent>
          <w:r w:rsidRPr="00D65C79">
            <w:fldChar w:fldCharType="begin"/>
          </w:r>
          <w:r w:rsidRPr="009B6AA8">
            <w:instrText xml:space="preserve"> CITATION Bar14 \l 3081 </w:instrText>
          </w:r>
          <w:r w:rsidRPr="00D65C79">
            <w:fldChar w:fldCharType="separate"/>
          </w:r>
          <w:r w:rsidR="00264535" w:rsidRPr="00264535">
            <w:rPr>
              <w:noProof/>
            </w:rPr>
            <w:t>[10]</w:t>
          </w:r>
          <w:r w:rsidRPr="00D65C79">
            <w:fldChar w:fldCharType="end"/>
          </w:r>
        </w:sdtContent>
      </w:sdt>
      <w:r w:rsidRPr="00D65C79">
        <w:t>.</w:t>
      </w:r>
    </w:p>
    <w:p w14:paraId="15222292" w14:textId="6A266560" w:rsidR="00373EE3" w:rsidRDefault="0057518D" w:rsidP="00431316">
      <w:r w:rsidRPr="009B6AA8">
        <w:t xml:space="preserve">The </w:t>
      </w:r>
      <w:proofErr w:type="gramStart"/>
      <w:r w:rsidRPr="009B6AA8">
        <w:t>OUR for</w:t>
      </w:r>
      <w:proofErr w:type="gramEnd"/>
      <w:r w:rsidRPr="009B6AA8">
        <w:t xml:space="preserve"> all cancers was last updated in 2016, which set the rate at 48.4% (a decrease of </w:t>
      </w:r>
      <w:r w:rsidR="007A2ED8" w:rsidRPr="009B6AA8">
        <w:t xml:space="preserve">four percentage points </w:t>
      </w:r>
      <w:r w:rsidRPr="009B6AA8">
        <w:t xml:space="preserve">from 2003 calculations) </w:t>
      </w:r>
      <w:sdt>
        <w:sdtPr>
          <w:id w:val="-2002422135"/>
          <w:citation/>
        </w:sdtPr>
        <w:sdtContent>
          <w:r w:rsidRPr="00D65C79">
            <w:fldChar w:fldCharType="begin"/>
          </w:r>
          <w:r w:rsidRPr="009B6AA8">
            <w:instrText xml:space="preserve"> CITATION Won16 \l 1033 </w:instrText>
          </w:r>
          <w:r w:rsidRPr="00D65C79">
            <w:fldChar w:fldCharType="separate"/>
          </w:r>
          <w:r w:rsidR="00264535" w:rsidRPr="00264535">
            <w:rPr>
              <w:noProof/>
            </w:rPr>
            <w:t>[11]</w:t>
          </w:r>
          <w:r w:rsidRPr="00D65C79">
            <w:fldChar w:fldCharType="end"/>
          </w:r>
        </w:sdtContent>
      </w:sdt>
      <w:r w:rsidRPr="00D65C79">
        <w:t xml:space="preserve">. </w:t>
      </w:r>
      <w:r w:rsidR="00373D79" w:rsidRPr="00D65C79">
        <w:t>The OUR for individual cancer types varies significantly</w:t>
      </w:r>
      <w:r w:rsidR="00266440" w:rsidRPr="009B6AA8">
        <w:t>. C</w:t>
      </w:r>
      <w:r w:rsidR="00373D79" w:rsidRPr="009B6AA8">
        <w:t>ancers such as vagina, brain, and breast hav</w:t>
      </w:r>
      <w:r w:rsidR="00266440" w:rsidRPr="009B6AA8">
        <w:t xml:space="preserve">e an </w:t>
      </w:r>
      <w:proofErr w:type="gramStart"/>
      <w:r w:rsidR="00373D79" w:rsidRPr="009B6AA8">
        <w:t>OUR</w:t>
      </w:r>
      <w:r w:rsidR="00266440" w:rsidRPr="009B6AA8">
        <w:t xml:space="preserve"> </w:t>
      </w:r>
      <w:r w:rsidR="00373D79" w:rsidRPr="009B6AA8">
        <w:t>at</w:t>
      </w:r>
      <w:proofErr w:type="gramEnd"/>
      <w:r w:rsidR="00373D79" w:rsidRPr="009B6AA8">
        <w:t xml:space="preserve"> 80% or more</w:t>
      </w:r>
      <w:r w:rsidR="00266440" w:rsidRPr="009B6AA8">
        <w:t xml:space="preserve">, while leukaemia, ovary, colon, thyroid and liver have an OUR of 4% or less </w:t>
      </w:r>
      <w:sdt>
        <w:sdtPr>
          <w:id w:val="-316720708"/>
          <w:citation/>
        </w:sdtPr>
        <w:sdtContent>
          <w:r w:rsidR="00266440" w:rsidRPr="00D65C79">
            <w:fldChar w:fldCharType="begin"/>
          </w:r>
          <w:r w:rsidR="00266440" w:rsidRPr="009B6AA8">
            <w:instrText xml:space="preserve"> CITATION Del15 \l 3081 </w:instrText>
          </w:r>
          <w:r w:rsidR="00266440" w:rsidRPr="00D65C79">
            <w:fldChar w:fldCharType="separate"/>
          </w:r>
          <w:r w:rsidR="00264535" w:rsidRPr="00264535">
            <w:rPr>
              <w:noProof/>
            </w:rPr>
            <w:t>[12]</w:t>
          </w:r>
          <w:r w:rsidR="00266440" w:rsidRPr="00D65C79">
            <w:fldChar w:fldCharType="end"/>
          </w:r>
        </w:sdtContent>
      </w:sdt>
      <w:r w:rsidR="00266440" w:rsidRPr="00D65C79">
        <w:t>.</w:t>
      </w:r>
    </w:p>
    <w:p w14:paraId="60B76114" w14:textId="40D8C03F" w:rsidR="00373EE3" w:rsidRDefault="00266440" w:rsidP="00431316">
      <w:r w:rsidRPr="009B6AA8">
        <w:t>In addition to the OUR</w:t>
      </w:r>
      <w:r w:rsidR="00050F7B" w:rsidRPr="009B6AA8">
        <w:t xml:space="preserve">, </w:t>
      </w:r>
      <w:r w:rsidRPr="009B6AA8">
        <w:t>planning for RT must consider the c</w:t>
      </w:r>
      <w:r w:rsidR="00050F7B" w:rsidRPr="009B6AA8">
        <w:t xml:space="preserve">ancer </w:t>
      </w:r>
      <w:r w:rsidRPr="009B6AA8">
        <w:t xml:space="preserve">incidence rate. </w:t>
      </w:r>
      <w:r w:rsidR="00334205" w:rsidRPr="009B6AA8">
        <w:t xml:space="preserve">For example, prostate cancer has an </w:t>
      </w:r>
      <w:proofErr w:type="gramStart"/>
      <w:r w:rsidR="00334205" w:rsidRPr="009B6AA8">
        <w:t>OUR of</w:t>
      </w:r>
      <w:proofErr w:type="gramEnd"/>
      <w:r w:rsidR="00334205" w:rsidRPr="009B6AA8">
        <w:t xml:space="preserve"> 58%, but with an incidence rate of approximately 19,000 in 2016, the expected cases requiring RT was approximately 11,000</w:t>
      </w:r>
      <w:sdt>
        <w:sdtPr>
          <w:id w:val="-1815084489"/>
          <w:citation/>
        </w:sdtPr>
        <w:sdtContent>
          <w:r w:rsidR="00334205" w:rsidRPr="00D65C79">
            <w:fldChar w:fldCharType="begin"/>
          </w:r>
          <w:r w:rsidR="00334205" w:rsidRPr="009B6AA8">
            <w:instrText xml:space="preserve"> CITATION Won16 \l 2057 </w:instrText>
          </w:r>
          <w:r w:rsidR="00334205" w:rsidRPr="00D65C79">
            <w:fldChar w:fldCharType="separate"/>
          </w:r>
          <w:r w:rsidR="00264535">
            <w:rPr>
              <w:noProof/>
            </w:rPr>
            <w:t xml:space="preserve"> </w:t>
          </w:r>
          <w:r w:rsidR="00264535" w:rsidRPr="00264535">
            <w:rPr>
              <w:noProof/>
            </w:rPr>
            <w:t>[11]</w:t>
          </w:r>
          <w:r w:rsidR="00334205" w:rsidRPr="00D65C79">
            <w:fldChar w:fldCharType="end"/>
          </w:r>
        </w:sdtContent>
      </w:sdt>
      <w:sdt>
        <w:sdtPr>
          <w:id w:val="1370878513"/>
          <w:citation/>
        </w:sdtPr>
        <w:sdtContent>
          <w:r w:rsidR="00334205" w:rsidRPr="00D65C79">
            <w:fldChar w:fldCharType="begin"/>
          </w:r>
          <w:r w:rsidR="00334205" w:rsidRPr="009B6AA8">
            <w:instrText xml:space="preserve"> CITATION Aus161 \l 2057 </w:instrText>
          </w:r>
          <w:r w:rsidR="00334205" w:rsidRPr="00D65C79">
            <w:fldChar w:fldCharType="separate"/>
          </w:r>
          <w:r w:rsidR="00264535">
            <w:rPr>
              <w:noProof/>
            </w:rPr>
            <w:t xml:space="preserve"> </w:t>
          </w:r>
          <w:r w:rsidR="00264535" w:rsidRPr="00264535">
            <w:rPr>
              <w:noProof/>
            </w:rPr>
            <w:t>[13]</w:t>
          </w:r>
          <w:r w:rsidR="00334205" w:rsidRPr="00D65C79">
            <w:fldChar w:fldCharType="end"/>
          </w:r>
        </w:sdtContent>
      </w:sdt>
      <w:r w:rsidR="00712228" w:rsidRPr="00D65C79">
        <w:t>.</w:t>
      </w:r>
      <w:r w:rsidR="00334205" w:rsidRPr="00D65C79">
        <w:t xml:space="preserve"> This represents a significant percentage of radiotherapy demand. Breast and lung cancer (with an approximate 15,000 and 9,500 cases</w:t>
      </w:r>
      <w:r w:rsidR="00FD0FDE" w:rsidRPr="009B6AA8">
        <w:t xml:space="preserve"> respectively</w:t>
      </w:r>
      <w:r w:rsidR="00334205" w:rsidRPr="009B6AA8">
        <w:t xml:space="preserve"> requiring RT in 2016) are also cancers that place large demands on RT service provision. Combined, prostate, breast and lung cancer represent approximately 55% of the estimated number of cancer cases requiring RT</w:t>
      </w:r>
      <w:sdt>
        <w:sdtPr>
          <w:id w:val="1447897602"/>
          <w:citation/>
        </w:sdtPr>
        <w:sdtContent>
          <w:r w:rsidR="00334205" w:rsidRPr="00D65C79">
            <w:fldChar w:fldCharType="begin"/>
          </w:r>
          <w:r w:rsidR="00334205" w:rsidRPr="009B6AA8">
            <w:instrText xml:space="preserve"> CITATION Won16 \l 2057 </w:instrText>
          </w:r>
          <w:r w:rsidR="00334205" w:rsidRPr="00D65C79">
            <w:fldChar w:fldCharType="separate"/>
          </w:r>
          <w:r w:rsidR="00264535">
            <w:rPr>
              <w:noProof/>
            </w:rPr>
            <w:t xml:space="preserve"> </w:t>
          </w:r>
          <w:r w:rsidR="00264535" w:rsidRPr="00264535">
            <w:rPr>
              <w:noProof/>
            </w:rPr>
            <w:t>[11]</w:t>
          </w:r>
          <w:r w:rsidR="00334205" w:rsidRPr="00D65C79">
            <w:fldChar w:fldCharType="end"/>
          </w:r>
        </w:sdtContent>
      </w:sdt>
      <w:r w:rsidR="00334205" w:rsidRPr="00D65C79">
        <w:t xml:space="preserve"> </w:t>
      </w:r>
      <w:sdt>
        <w:sdtPr>
          <w:id w:val="1033075884"/>
          <w:citation/>
        </w:sdtPr>
        <w:sdtContent>
          <w:r w:rsidR="00334205" w:rsidRPr="00D65C79">
            <w:fldChar w:fldCharType="begin"/>
          </w:r>
          <w:r w:rsidR="00334205" w:rsidRPr="009B6AA8">
            <w:instrText xml:space="preserve"> CITATION Aus161 \l 2057 </w:instrText>
          </w:r>
          <w:r w:rsidR="00334205" w:rsidRPr="00D65C79">
            <w:fldChar w:fldCharType="separate"/>
          </w:r>
          <w:r w:rsidR="00264535" w:rsidRPr="00264535">
            <w:rPr>
              <w:noProof/>
            </w:rPr>
            <w:t>[13]</w:t>
          </w:r>
          <w:r w:rsidR="00334205" w:rsidRPr="00D65C79">
            <w:fldChar w:fldCharType="end"/>
          </w:r>
        </w:sdtContent>
      </w:sdt>
      <w:r w:rsidR="00334205" w:rsidRPr="00D65C79">
        <w:t>.</w:t>
      </w:r>
    </w:p>
    <w:p w14:paraId="5FC0E221" w14:textId="6E18C7A1" w:rsidR="00373EE3" w:rsidRDefault="00712228" w:rsidP="00431316">
      <w:r w:rsidRPr="009B6AA8">
        <w:t xml:space="preserve">AIHW data </w:t>
      </w:r>
      <w:r w:rsidR="0057518D" w:rsidRPr="009B6AA8">
        <w:t>indicates that, although incidence of all cancers (number of new cases) increased from 2008 to 2016, the age standardised incidence rate (ASR) per 100,000 decreased. Additionally, both the incidence and incidence rate of prostate cancer fell significantly over this period</w:t>
      </w:r>
      <w:r w:rsidRPr="009B6AA8">
        <w:t xml:space="preserve"> </w:t>
      </w:r>
      <w:sdt>
        <w:sdtPr>
          <w:id w:val="55598549"/>
          <w:citation/>
        </w:sdtPr>
        <w:sdtContent>
          <w:r w:rsidRPr="00D65C79">
            <w:fldChar w:fldCharType="begin"/>
          </w:r>
          <w:r w:rsidRPr="009B6AA8">
            <w:instrText xml:space="preserve"> CITATION Aus161 \l 2057 </w:instrText>
          </w:r>
          <w:r w:rsidRPr="00D65C79">
            <w:fldChar w:fldCharType="separate"/>
          </w:r>
          <w:r w:rsidR="00264535" w:rsidRPr="00264535">
            <w:rPr>
              <w:noProof/>
            </w:rPr>
            <w:t>[13]</w:t>
          </w:r>
          <w:r w:rsidRPr="00D65C79">
            <w:fldChar w:fldCharType="end"/>
          </w:r>
        </w:sdtContent>
      </w:sdt>
      <w:r w:rsidR="0057518D" w:rsidRPr="00D65C79">
        <w:t>. These trends will have a significant impact on future cancer care needs and radiotherapy service provision.</w:t>
      </w:r>
    </w:p>
    <w:p w14:paraId="51CB248A" w14:textId="7C40DF3B" w:rsidR="0057518D" w:rsidRPr="00431316" w:rsidRDefault="0057518D" w:rsidP="00216866">
      <w:pPr>
        <w:pStyle w:val="Heading3numbered"/>
      </w:pPr>
      <w:bookmarkStart w:id="85" w:name="_Toc50722041"/>
      <w:bookmarkStart w:id="86" w:name="_Toc54688794"/>
      <w:bookmarkStart w:id="87" w:name="_Ref56161082"/>
      <w:bookmarkStart w:id="88" w:name="_Toc59198456"/>
      <w:bookmarkStart w:id="89" w:name="_Toc66193923"/>
      <w:r w:rsidRPr="00BC705E">
        <w:t>Actual radiotherapy utilisation rates</w:t>
      </w:r>
      <w:bookmarkEnd w:id="85"/>
      <w:bookmarkEnd w:id="86"/>
      <w:bookmarkEnd w:id="87"/>
      <w:bookmarkEnd w:id="88"/>
      <w:bookmarkEnd w:id="89"/>
    </w:p>
    <w:p w14:paraId="528DE5CA" w14:textId="16A274FB" w:rsidR="00373EE3" w:rsidRDefault="0057518D" w:rsidP="00736EB6">
      <w:r w:rsidRPr="009B6AA8">
        <w:t xml:space="preserve">Despite the proven benefits of RT and evidence supporting an </w:t>
      </w:r>
      <w:proofErr w:type="gramStart"/>
      <w:r w:rsidRPr="009B6AA8">
        <w:t>OUR of</w:t>
      </w:r>
      <w:proofErr w:type="gramEnd"/>
      <w:r w:rsidRPr="009B6AA8">
        <w:t xml:space="preserve"> 48.4%, actual utilisation rates (URs)</w:t>
      </w:r>
      <w:r w:rsidR="00CC7C19" w:rsidRPr="009B6AA8">
        <w:t xml:space="preserve"> are inconsisten</w:t>
      </w:r>
      <w:r w:rsidR="00FD0FDE" w:rsidRPr="009B6AA8">
        <w:t>tly</w:t>
      </w:r>
      <w:r w:rsidR="00CC7C19" w:rsidRPr="009B6AA8">
        <w:t xml:space="preserve"> monitored across Australia. Several published studies from </w:t>
      </w:r>
      <w:r w:rsidR="007B4ED4" w:rsidRPr="009B6AA8">
        <w:t>New South Wales</w:t>
      </w:r>
      <w:r w:rsidR="00CC7C19" w:rsidRPr="009B6AA8">
        <w:t xml:space="preserve"> indicate that the actual UR is still </w:t>
      </w:r>
      <w:r w:rsidRPr="009B6AA8">
        <w:t xml:space="preserve">well below </w:t>
      </w:r>
      <w:r w:rsidR="00CC7C19" w:rsidRPr="009B6AA8">
        <w:t>the optimal</w:t>
      </w:r>
      <w:r w:rsidR="00A727F7">
        <w:t>,</w:t>
      </w:r>
      <w:r w:rsidR="00CC7C19" w:rsidRPr="009B6AA8">
        <w:t xml:space="preserve"> </w:t>
      </w:r>
      <w:r w:rsidRPr="009B6AA8">
        <w:t>ranging from 26%</w:t>
      </w:r>
      <w:r w:rsidR="00CC7C19" w:rsidRPr="009B6AA8">
        <w:t xml:space="preserve"> in Western New South Wales </w:t>
      </w:r>
      <w:r w:rsidRPr="009B6AA8">
        <w:t>to 33%</w:t>
      </w:r>
      <w:r w:rsidR="00CC7C19" w:rsidRPr="009B6AA8">
        <w:t xml:space="preserve"> for all of New South Wales </w:t>
      </w:r>
      <w:sdt>
        <w:sdtPr>
          <w:id w:val="829648018"/>
          <w:citation/>
        </w:sdtPr>
        <w:sdtContent>
          <w:r w:rsidRPr="00D65C79">
            <w:fldChar w:fldCharType="begin"/>
          </w:r>
          <w:r w:rsidRPr="009B6AA8">
            <w:instrText xml:space="preserve"> CITATION But17 \l 3081  \m Bat18 \m Hen14</w:instrText>
          </w:r>
          <w:r w:rsidRPr="00D65C79">
            <w:fldChar w:fldCharType="separate"/>
          </w:r>
          <w:r w:rsidR="00264535" w:rsidRPr="00264535">
            <w:rPr>
              <w:noProof/>
            </w:rPr>
            <w:t>[14, 15, 16]</w:t>
          </w:r>
          <w:r w:rsidRPr="00D65C79">
            <w:fldChar w:fldCharType="end"/>
          </w:r>
        </w:sdtContent>
      </w:sdt>
      <w:r w:rsidRPr="00D65C79">
        <w:t>.</w:t>
      </w:r>
    </w:p>
    <w:p w14:paraId="50DBB4F8" w14:textId="77777777" w:rsidR="00373EE3" w:rsidRDefault="0057518D" w:rsidP="00736EB6">
      <w:r w:rsidRPr="009B6AA8">
        <w:t xml:space="preserve">Actual URs are calculated from the number of radiotherapy courses delivered as a percentage of </w:t>
      </w:r>
      <w:r w:rsidR="00442877" w:rsidRPr="009B6AA8">
        <w:t xml:space="preserve">the </w:t>
      </w:r>
      <w:r w:rsidRPr="009B6AA8">
        <w:t>cancer incidence rate. A course of radiotherapy is the series of treatments (referred to as fractions) delivered to a patient for a specified treatment regime</w:t>
      </w:r>
      <w:r w:rsidR="00442877" w:rsidRPr="009B6AA8">
        <w:t>n</w:t>
      </w:r>
      <w:r w:rsidRPr="009B6AA8">
        <w:t>. A patient may undergo more than one course of radiotherapy if, for example</w:t>
      </w:r>
      <w:r w:rsidR="007A2ED8" w:rsidRPr="009B6AA8">
        <w:t>,</w:t>
      </w:r>
      <w:r w:rsidRPr="009B6AA8">
        <w:t xml:space="preserve"> their cancer recurs and further treatment is required.</w:t>
      </w:r>
    </w:p>
    <w:p w14:paraId="68540969" w14:textId="77777777" w:rsidR="00373EE3" w:rsidRPr="00431316" w:rsidRDefault="00CC7C19" w:rsidP="00977A8E">
      <w:pPr>
        <w:pStyle w:val="Heading5"/>
      </w:pPr>
      <w:r w:rsidRPr="009B6AA8">
        <w:t>Australian RT u</w:t>
      </w:r>
      <w:r w:rsidR="0057518D" w:rsidRPr="009B6AA8">
        <w:t>tilisation rate</w:t>
      </w:r>
      <w:r w:rsidRPr="009B6AA8">
        <w:t>s</w:t>
      </w:r>
    </w:p>
    <w:p w14:paraId="5E9961AE" w14:textId="38353ED8" w:rsidR="00373EE3" w:rsidRDefault="00CC7C19" w:rsidP="00736EB6">
      <w:r w:rsidRPr="009B6AA8">
        <w:t>RT course data from AIHW was used to calculate crude estimate URs for Australia based on cancer incidence rates published on the AIHW website</w:t>
      </w:r>
      <w:r w:rsidR="00415FB3" w:rsidRPr="009B6AA8">
        <w:t xml:space="preserve"> </w:t>
      </w:r>
      <w:sdt>
        <w:sdtPr>
          <w:id w:val="222098832"/>
          <w:citation/>
        </w:sdtPr>
        <w:sdtContent>
          <w:r w:rsidR="00415FB3" w:rsidRPr="00D65C79">
            <w:fldChar w:fldCharType="begin"/>
          </w:r>
          <w:r w:rsidR="00415FB3" w:rsidRPr="009B6AA8">
            <w:instrText xml:space="preserve"> CITATION Aus19 \l 2057 </w:instrText>
          </w:r>
          <w:r w:rsidR="00415FB3" w:rsidRPr="00D65C79">
            <w:fldChar w:fldCharType="separate"/>
          </w:r>
          <w:r w:rsidR="00264535" w:rsidRPr="00264535">
            <w:rPr>
              <w:noProof/>
            </w:rPr>
            <w:t>[17]</w:t>
          </w:r>
          <w:r w:rsidR="00415FB3" w:rsidRPr="00D65C79">
            <w:fldChar w:fldCharType="end"/>
          </w:r>
        </w:sdtContent>
      </w:sdt>
      <w:sdt>
        <w:sdtPr>
          <w:id w:val="-1795361227"/>
          <w:citation/>
        </w:sdtPr>
        <w:sdtContent>
          <w:r w:rsidR="00415FB3" w:rsidRPr="00D65C79">
            <w:fldChar w:fldCharType="begin"/>
          </w:r>
          <w:r w:rsidR="00415FB3" w:rsidRPr="009B6AA8">
            <w:instrText xml:space="preserve"> CITATION AIH20 \l 2057 </w:instrText>
          </w:r>
          <w:r w:rsidR="00415FB3" w:rsidRPr="00D65C79">
            <w:fldChar w:fldCharType="separate"/>
          </w:r>
          <w:r w:rsidR="00264535">
            <w:rPr>
              <w:noProof/>
            </w:rPr>
            <w:t xml:space="preserve"> </w:t>
          </w:r>
          <w:r w:rsidR="00264535" w:rsidRPr="00264535">
            <w:rPr>
              <w:noProof/>
            </w:rPr>
            <w:t>[18]</w:t>
          </w:r>
          <w:r w:rsidR="00415FB3" w:rsidRPr="00D65C79">
            <w:fldChar w:fldCharType="end"/>
          </w:r>
        </w:sdtContent>
      </w:sdt>
      <w:r w:rsidRPr="00D65C79">
        <w:t xml:space="preserve">. </w:t>
      </w:r>
      <w:r w:rsidR="00A727F7" w:rsidRPr="00D65C79">
        <w:fldChar w:fldCharType="begin"/>
      </w:r>
      <w:r w:rsidR="00A727F7" w:rsidRPr="009B6AA8">
        <w:instrText xml:space="preserve"> REF _Ref52818086 \h  \* MERGEFORMAT </w:instrText>
      </w:r>
      <w:r w:rsidR="00A727F7" w:rsidRPr="00D65C79">
        <w:fldChar w:fldCharType="separate"/>
      </w:r>
      <w:r w:rsidR="007C0448" w:rsidRPr="009B6AA8">
        <w:t>Figure</w:t>
      </w:r>
      <w:r w:rsidR="007C0448" w:rsidRPr="009B6AA8">
        <w:rPr>
          <w:noProof/>
        </w:rPr>
        <w:t xml:space="preserve"> </w:t>
      </w:r>
      <w:r w:rsidR="007C0448">
        <w:rPr>
          <w:rFonts w:hint="cs"/>
          <w:noProof/>
          <w:cs/>
        </w:rPr>
        <w:t>‎</w:t>
      </w:r>
      <w:r w:rsidR="007C0448">
        <w:rPr>
          <w:noProof/>
        </w:rPr>
        <w:t>2</w:t>
      </w:r>
      <w:r w:rsidR="007C0448" w:rsidRPr="00D65C79">
        <w:rPr>
          <w:noProof/>
        </w:rPr>
        <w:t>.</w:t>
      </w:r>
      <w:r w:rsidR="007C0448">
        <w:rPr>
          <w:noProof/>
        </w:rPr>
        <w:t>1</w:t>
      </w:r>
      <w:r w:rsidR="00A727F7" w:rsidRPr="00D65C79">
        <w:fldChar w:fldCharType="end"/>
      </w:r>
      <w:r w:rsidRPr="00D65C79">
        <w:t xml:space="preserve"> </w:t>
      </w:r>
      <w:r w:rsidR="0057518D" w:rsidRPr="00D65C79">
        <w:t>shows the</w:t>
      </w:r>
      <w:r w:rsidR="00415FB3" w:rsidRPr="00D65C79">
        <w:t xml:space="preserve"> calculated </w:t>
      </w:r>
      <w:r w:rsidRPr="00D65C79">
        <w:t>UR for all cancers including all RT treatment course</w:t>
      </w:r>
      <w:r w:rsidR="00A727F7">
        <w:t>s</w:t>
      </w:r>
      <w:r w:rsidRPr="00D65C79">
        <w:t xml:space="preserve"> across Australia. The calculations include an adjustment </w:t>
      </w:r>
      <w:r w:rsidR="00B1366D" w:rsidRPr="009B6AA8">
        <w:t xml:space="preserve">of </w:t>
      </w:r>
      <w:r w:rsidRPr="009B6AA8">
        <w:t>25% for re</w:t>
      </w:r>
      <w:r w:rsidR="00A727F7">
        <w:noBreakHyphen/>
      </w:r>
      <w:r w:rsidRPr="009B6AA8">
        <w:t>treatment and 10% for non-cancer related RT</w:t>
      </w:r>
      <w:r w:rsidR="007A2ED8" w:rsidRPr="00D65C79">
        <w:rPr>
          <w:rStyle w:val="FootnoteReference"/>
        </w:rPr>
        <w:footnoteReference w:id="5"/>
      </w:r>
      <w:r w:rsidRPr="00D65C79">
        <w:t>. The data show that URs have been increasing over the five</w:t>
      </w:r>
      <w:r w:rsidR="00415FB3" w:rsidRPr="009B6AA8">
        <w:t>-</w:t>
      </w:r>
      <w:r w:rsidRPr="009B6AA8">
        <w:t xml:space="preserve">year timeframe </w:t>
      </w:r>
      <w:r w:rsidR="00415FB3" w:rsidRPr="009B6AA8">
        <w:t>from 32% in 2014 to 39% in 2018. Despite these improv</w:t>
      </w:r>
      <w:r w:rsidR="00B1366D" w:rsidRPr="009B6AA8">
        <w:t xml:space="preserve">ements, the latest calculated UR is still below the most recent </w:t>
      </w:r>
      <w:r w:rsidR="00415FB3" w:rsidRPr="009B6AA8">
        <w:t xml:space="preserve">OUR </w:t>
      </w:r>
      <w:r w:rsidR="00B1366D" w:rsidRPr="009B6AA8">
        <w:t xml:space="preserve">recommendation of </w:t>
      </w:r>
      <w:r w:rsidR="00415FB3" w:rsidRPr="009B6AA8">
        <w:t>48.4%</w:t>
      </w:r>
      <w:r w:rsidR="00B1366D" w:rsidRPr="009B6AA8">
        <w:t xml:space="preserve"> </w:t>
      </w:r>
      <w:sdt>
        <w:sdtPr>
          <w:id w:val="-16083948"/>
          <w:citation/>
        </w:sdtPr>
        <w:sdtContent>
          <w:r w:rsidR="00B1366D" w:rsidRPr="00D65C79">
            <w:fldChar w:fldCharType="begin"/>
          </w:r>
          <w:r w:rsidR="00B1366D" w:rsidRPr="009B6AA8">
            <w:instrText xml:space="preserve"> CITATION Won16 \l 1033 </w:instrText>
          </w:r>
          <w:r w:rsidR="00B1366D" w:rsidRPr="00D65C79">
            <w:fldChar w:fldCharType="separate"/>
          </w:r>
          <w:r w:rsidR="00264535" w:rsidRPr="00264535">
            <w:rPr>
              <w:noProof/>
            </w:rPr>
            <w:t>[11]</w:t>
          </w:r>
          <w:r w:rsidR="00B1366D" w:rsidRPr="00D65C79">
            <w:fldChar w:fldCharType="end"/>
          </w:r>
        </w:sdtContent>
      </w:sdt>
      <w:r w:rsidR="00B1366D" w:rsidRPr="00D65C79">
        <w:t>.</w:t>
      </w:r>
    </w:p>
    <w:p w14:paraId="590EECF8" w14:textId="48F0F2A4" w:rsidR="00442877" w:rsidRPr="009B6AA8" w:rsidRDefault="00442877" w:rsidP="00736EB6">
      <w:r w:rsidRPr="009B6AA8">
        <w:t>T</w:t>
      </w:r>
      <w:r w:rsidR="00415FB3" w:rsidRPr="009B6AA8">
        <w:t xml:space="preserve">he limitations of the data </w:t>
      </w:r>
      <w:r w:rsidRPr="009B6AA8">
        <w:t xml:space="preserve">associated with these estimates </w:t>
      </w:r>
      <w:r w:rsidR="00415FB3" w:rsidRPr="009B6AA8">
        <w:t>must be noted. The data does not allow for the case mix of cancer types or stages, nor does it show a breakdown by geographic area such as remoteness.</w:t>
      </w:r>
      <w:r w:rsidR="00B1366D" w:rsidRPr="009B6AA8">
        <w:t xml:space="preserve"> In addition, the RT course number data is known to be less robust in 2014</w:t>
      </w:r>
      <w:r w:rsidR="00E61AD5" w:rsidRPr="009B6AA8">
        <w:t>–</w:t>
      </w:r>
      <w:r w:rsidR="00B1366D" w:rsidRPr="009B6AA8">
        <w:t>15 (underrepresentation from privates and some states), which was only the second y</w:t>
      </w:r>
      <w:r w:rsidRPr="009B6AA8">
        <w:t>e</w:t>
      </w:r>
      <w:r w:rsidR="00B1366D" w:rsidRPr="009B6AA8">
        <w:t xml:space="preserve">ar of its collection. </w:t>
      </w:r>
      <w:r w:rsidRPr="009B6AA8">
        <w:t>It is noteworthy that these limitations equally apply to the OUR used in ROHPG planning.</w:t>
      </w:r>
    </w:p>
    <w:p w14:paraId="717593E4" w14:textId="12324AB4" w:rsidR="0057518D" w:rsidRPr="00D65C79" w:rsidRDefault="0057518D" w:rsidP="00736EB6">
      <w:pPr>
        <w:pStyle w:val="Caption"/>
      </w:pPr>
      <w:bookmarkStart w:id="90" w:name="_Ref52818086"/>
      <w:r w:rsidRPr="009B6AA8">
        <w:t xml:space="preserve">Figure </w:t>
      </w:r>
      <w:r w:rsidR="007B4ED4" w:rsidRPr="00D65C79">
        <w:fldChar w:fldCharType="begin"/>
      </w:r>
      <w:r w:rsidR="007B4ED4" w:rsidRPr="009B6AA8">
        <w:instrText xml:space="preserve"> STYLEREF 1 \s </w:instrText>
      </w:r>
      <w:r w:rsidR="007B4ED4" w:rsidRPr="00D65C79">
        <w:fldChar w:fldCharType="separate"/>
      </w:r>
      <w:r w:rsidR="007C0448">
        <w:rPr>
          <w:rFonts w:hint="cs"/>
          <w:noProof/>
          <w:cs/>
        </w:rPr>
        <w:t>‎</w:t>
      </w:r>
      <w:r w:rsidR="007C0448">
        <w:rPr>
          <w:noProof/>
        </w:rPr>
        <w:t>2</w:t>
      </w:r>
      <w:r w:rsidR="007B4ED4" w:rsidRPr="00D65C79">
        <w:rPr>
          <w:noProof/>
        </w:rPr>
        <w:fldChar w:fldCharType="end"/>
      </w:r>
      <w:r w:rsidR="006A4D42" w:rsidRPr="00D65C79">
        <w:t>.</w:t>
      </w:r>
      <w:r w:rsidR="007B4ED4" w:rsidRPr="00D65C79">
        <w:fldChar w:fldCharType="begin"/>
      </w:r>
      <w:r w:rsidR="007B4ED4" w:rsidRPr="009B6AA8">
        <w:instrText xml:space="preserve"> SEQ Figure \* ARABIC \s 1 </w:instrText>
      </w:r>
      <w:r w:rsidR="007B4ED4" w:rsidRPr="00D65C79">
        <w:fldChar w:fldCharType="separate"/>
      </w:r>
      <w:r w:rsidR="007C0448">
        <w:rPr>
          <w:noProof/>
        </w:rPr>
        <w:t>1</w:t>
      </w:r>
      <w:r w:rsidR="007B4ED4" w:rsidRPr="00D65C79">
        <w:rPr>
          <w:noProof/>
        </w:rPr>
        <w:fldChar w:fldCharType="end"/>
      </w:r>
      <w:bookmarkEnd w:id="90"/>
      <w:r w:rsidRPr="00D65C79">
        <w:t xml:space="preserve"> </w:t>
      </w:r>
      <w:r w:rsidRPr="00E06173">
        <w:t>Number of RT courses provided as a proportion of incident cases, 2014</w:t>
      </w:r>
      <w:r w:rsidR="004B0756" w:rsidRPr="00E06173">
        <w:t>–</w:t>
      </w:r>
      <w:r w:rsidRPr="00E06173">
        <w:t>2018</w:t>
      </w:r>
    </w:p>
    <w:p w14:paraId="46B7963A" w14:textId="38C92959" w:rsidR="0057518D" w:rsidRPr="00D65C79" w:rsidRDefault="00B1366D" w:rsidP="00736EB6">
      <w:pPr>
        <w:pStyle w:val="ListBullet"/>
        <w:numPr>
          <w:ilvl w:val="0"/>
          <w:numId w:val="0"/>
        </w:numPr>
      </w:pPr>
      <w:r w:rsidRPr="00D65C79">
        <w:rPr>
          <w:noProof/>
          <w:lang w:eastAsia="en-AU"/>
        </w:rPr>
        <w:drawing>
          <wp:inline distT="0" distB="0" distL="0" distR="0" wp14:anchorId="34A26809" wp14:editId="44BA0FF5">
            <wp:extent cx="4329917" cy="2056475"/>
            <wp:effectExtent l="0" t="0" r="0" b="1270"/>
            <wp:docPr id="82" name="Picture 82" descr="Figure 2.1 is a line graph image showing th number of RT courses provided as a proportion of incident cases, 2014-2018; image shows a line graph depicting Calculated UR and OUR utilisation rates from 2014 to 2018, with OUR remaining steady at 50%, and Calculated UR rising from 32% to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2.1 Number of RT courses provided as a proportion of incident cases, 2014-2018; image shows a line graph depicting Calculated UR and OUR utilisation rates from 2014 to 2018, with OUR remaining steady at 50%, and Calculated UR rising from 32% to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4069" cy="2067946"/>
                    </a:xfrm>
                    <a:prstGeom prst="rect">
                      <a:avLst/>
                    </a:prstGeom>
                    <a:noFill/>
                    <a:ln>
                      <a:noFill/>
                    </a:ln>
                  </pic:spPr>
                </pic:pic>
              </a:graphicData>
            </a:graphic>
          </wp:inline>
        </w:drawing>
      </w:r>
    </w:p>
    <w:p w14:paraId="2547D9E9" w14:textId="0AFFE712" w:rsidR="00373EE3" w:rsidRDefault="0057518D" w:rsidP="0079376F">
      <w:pPr>
        <w:pStyle w:val="TableNotes"/>
      </w:pPr>
      <w:r w:rsidRPr="009B6AA8">
        <w:t xml:space="preserve">Sources: AIHW (2019) ‘Radiotherapy in Australia 2017–18’ and </w:t>
      </w:r>
      <w:hyperlink r:id="rId12" w:history="1">
        <w:r w:rsidRPr="00E7621C">
          <w:rPr>
            <w:rStyle w:val="Hyperlink"/>
          </w:rPr>
          <w:t>AIHW</w:t>
        </w:r>
        <w:r w:rsidR="00CC7C19" w:rsidRPr="00E7621C">
          <w:rPr>
            <w:rStyle w:val="Hyperlink"/>
          </w:rPr>
          <w:t xml:space="preserve"> Cancer Data in Australia</w:t>
        </w:r>
      </w:hyperlink>
      <w:r w:rsidR="00E7621C">
        <w:t xml:space="preserve"> </w:t>
      </w:r>
    </w:p>
    <w:p w14:paraId="4649FF90" w14:textId="36F991D2" w:rsidR="00373EE3" w:rsidRPr="00BC705E" w:rsidRDefault="0057518D" w:rsidP="00216866">
      <w:pPr>
        <w:pStyle w:val="heading2numbered"/>
      </w:pPr>
      <w:bookmarkStart w:id="91" w:name="_Toc52825038"/>
      <w:bookmarkStart w:id="92" w:name="_Toc52825039"/>
      <w:bookmarkStart w:id="93" w:name="_Toc52825040"/>
      <w:bookmarkStart w:id="94" w:name="_Toc52825041"/>
      <w:bookmarkStart w:id="95" w:name="_Toc52825042"/>
      <w:bookmarkStart w:id="96" w:name="_Toc50722418"/>
      <w:bookmarkStart w:id="97" w:name="_Toc54688797"/>
      <w:bookmarkStart w:id="98" w:name="_Toc59198457"/>
      <w:bookmarkStart w:id="99" w:name="_Toc66193924"/>
      <w:bookmarkStart w:id="100" w:name="_Toc73696677"/>
      <w:bookmarkEnd w:id="91"/>
      <w:bookmarkEnd w:id="92"/>
      <w:bookmarkEnd w:id="93"/>
      <w:bookmarkEnd w:id="94"/>
      <w:bookmarkEnd w:id="95"/>
      <w:r w:rsidRPr="00BC705E">
        <w:lastRenderedPageBreak/>
        <w:t>Access to services</w:t>
      </w:r>
      <w:bookmarkEnd w:id="96"/>
      <w:bookmarkEnd w:id="97"/>
      <w:bookmarkEnd w:id="98"/>
      <w:bookmarkEnd w:id="99"/>
      <w:bookmarkEnd w:id="100"/>
    </w:p>
    <w:bookmarkStart w:id="101" w:name="_Toc50721646"/>
    <w:bookmarkStart w:id="102" w:name="_Toc50721647"/>
    <w:bookmarkStart w:id="103" w:name="_Toc50721648"/>
    <w:bookmarkEnd w:id="101"/>
    <w:bookmarkEnd w:id="102"/>
    <w:bookmarkEnd w:id="103"/>
    <w:p w14:paraId="0EA9239A" w14:textId="77777777" w:rsidR="00373EE3" w:rsidRDefault="004B24F3" w:rsidP="00431316">
      <w:sdt>
        <w:sdtPr>
          <w:id w:val="-2059309076"/>
          <w:citation/>
        </w:sdtPr>
        <w:sdtContent/>
      </w:sdt>
      <w:sdt>
        <w:sdtPr>
          <w:id w:val="-509673063"/>
          <w:citation/>
        </w:sdtPr>
        <w:sdtContent/>
      </w:sdt>
      <w:sdt>
        <w:sdtPr>
          <w:id w:val="-503508799"/>
          <w:citation/>
        </w:sdtPr>
        <w:sdtContent/>
      </w:sdt>
      <w:bookmarkStart w:id="104" w:name="_Toc50721649"/>
      <w:bookmarkStart w:id="105" w:name="_Toc50721650"/>
      <w:bookmarkEnd w:id="104"/>
      <w:bookmarkEnd w:id="105"/>
      <w:r w:rsidR="0057518D" w:rsidRPr="00D65C79">
        <w:t xml:space="preserve">Access to ROHPG </w:t>
      </w:r>
      <w:proofErr w:type="spellStart"/>
      <w:r w:rsidR="00C306B9" w:rsidRPr="00D65C79">
        <w:t>linac</w:t>
      </w:r>
      <w:r w:rsidR="0057518D" w:rsidRPr="00D65C79">
        <w:t>s</w:t>
      </w:r>
      <w:proofErr w:type="spellEnd"/>
      <w:r w:rsidR="0057518D" w:rsidRPr="00D65C79">
        <w:t xml:space="preserve"> differs between jurisdictions and considerably between metropoli</w:t>
      </w:r>
      <w:r w:rsidR="0057518D" w:rsidRPr="009B6AA8">
        <w:t>tan and regional or remote areas</w:t>
      </w:r>
      <w:r w:rsidR="00442877" w:rsidRPr="009B6AA8">
        <w:t xml:space="preserve"> across and within jurisdictions</w:t>
      </w:r>
      <w:r w:rsidR="0057518D" w:rsidRPr="009B6AA8">
        <w:t xml:space="preserve">. However, aside from the availability and placement of </w:t>
      </w:r>
      <w:proofErr w:type="spellStart"/>
      <w:r w:rsidR="00C306B9" w:rsidRPr="009B6AA8">
        <w:t>linac</w:t>
      </w:r>
      <w:r w:rsidR="0057518D" w:rsidRPr="009B6AA8">
        <w:t>s</w:t>
      </w:r>
      <w:proofErr w:type="spellEnd"/>
      <w:r w:rsidR="0057518D" w:rsidRPr="009B6AA8">
        <w:t>, issues such as specialist workforce shortages, consumer preference and clinician referral behaviours are all identified issues contributing to below optimal national utilisation rates.</w:t>
      </w:r>
    </w:p>
    <w:p w14:paraId="098CB7E3" w14:textId="77777777" w:rsidR="00373EE3" w:rsidRPr="00431316" w:rsidRDefault="00863ACF" w:rsidP="00216866">
      <w:pPr>
        <w:pStyle w:val="Heading3numbered"/>
      </w:pPr>
      <w:bookmarkStart w:id="106" w:name="_Toc50722419"/>
      <w:bookmarkStart w:id="107" w:name="_Toc54688799"/>
      <w:bookmarkStart w:id="108" w:name="_Toc59198458"/>
      <w:bookmarkStart w:id="109" w:name="_Toc66193925"/>
      <w:r w:rsidRPr="00BC705E">
        <w:t>Rurality and distance to nearest facility</w:t>
      </w:r>
      <w:bookmarkEnd w:id="106"/>
      <w:bookmarkEnd w:id="107"/>
      <w:bookmarkEnd w:id="108"/>
      <w:bookmarkEnd w:id="109"/>
    </w:p>
    <w:p w14:paraId="66BF67D6" w14:textId="40B9754B" w:rsidR="00373EE3" w:rsidRDefault="00863ACF" w:rsidP="00431316">
      <w:r w:rsidRPr="009B6AA8">
        <w:t xml:space="preserve">Geographic barriers have a significant impact on patient access to RT services. Data from New South Wales and the Australian Capital Territory shows that the distance patients must travel to the nearest RT service is inversely related to UR (displayed in </w:t>
      </w:r>
      <w:r w:rsidRPr="00D65C79">
        <w:rPr>
          <w:highlight w:val="yellow"/>
        </w:rPr>
        <w:fldChar w:fldCharType="begin"/>
      </w:r>
      <w:r w:rsidRPr="009B6AA8">
        <w:instrText xml:space="preserve"> REF _Ref49862679 \h </w:instrText>
      </w:r>
      <w:r w:rsidRPr="00D65C79">
        <w:rPr>
          <w:highlight w:val="yellow"/>
        </w:rPr>
      </w:r>
      <w:r w:rsidRPr="00D65C79">
        <w:rPr>
          <w:highlight w:val="yellow"/>
        </w:rPr>
        <w:fldChar w:fldCharType="separate"/>
      </w:r>
      <w:r w:rsidR="007C0448" w:rsidRPr="00D65C79">
        <w:t xml:space="preserve">Figure </w:t>
      </w:r>
      <w:r w:rsidR="007C0448">
        <w:rPr>
          <w:rFonts w:hint="cs"/>
          <w:noProof/>
          <w:cs/>
        </w:rPr>
        <w:t>‎</w:t>
      </w:r>
      <w:r w:rsidR="007C0448">
        <w:rPr>
          <w:noProof/>
        </w:rPr>
        <w:t>2</w:t>
      </w:r>
      <w:r w:rsidR="007C0448" w:rsidRPr="00D65C79">
        <w:t>.</w:t>
      </w:r>
      <w:r w:rsidR="007C0448">
        <w:rPr>
          <w:noProof/>
        </w:rPr>
        <w:t>2</w:t>
      </w:r>
      <w:r w:rsidRPr="00D65C79">
        <w:rPr>
          <w:highlight w:val="yellow"/>
        </w:rPr>
        <w:fldChar w:fldCharType="end"/>
      </w:r>
      <w:r w:rsidRPr="00D65C79">
        <w:t xml:space="preserve">). That is, patients required to travel longer distances to the nearest RT </w:t>
      </w:r>
      <w:r w:rsidR="00C62BBC">
        <w:t>facility</w:t>
      </w:r>
      <w:r w:rsidRPr="00D65C79">
        <w:t xml:space="preserve"> are less likely to receive services </w:t>
      </w:r>
      <w:sdt>
        <w:sdtPr>
          <w:id w:val="296958639"/>
          <w:citation/>
        </w:sdtPr>
        <w:sdtContent>
          <w:r w:rsidRPr="00D65C79">
            <w:fldChar w:fldCharType="begin"/>
          </w:r>
          <w:r w:rsidRPr="009B6AA8">
            <w:instrText xml:space="preserve"> CITATION Gab15 \l 3081 </w:instrText>
          </w:r>
          <w:r w:rsidRPr="00D65C79">
            <w:fldChar w:fldCharType="separate"/>
          </w:r>
          <w:r w:rsidR="00264535" w:rsidRPr="00264535">
            <w:rPr>
              <w:noProof/>
            </w:rPr>
            <w:t>[19]</w:t>
          </w:r>
          <w:r w:rsidRPr="00D65C79">
            <w:fldChar w:fldCharType="end"/>
          </w:r>
        </w:sdtContent>
      </w:sdt>
      <w:r w:rsidRPr="00D65C79">
        <w:t>.</w:t>
      </w:r>
    </w:p>
    <w:p w14:paraId="0F94ABE2" w14:textId="18CF60C0" w:rsidR="00863ACF" w:rsidRPr="00D65C79" w:rsidRDefault="00863ACF" w:rsidP="00431316">
      <w:pPr>
        <w:pStyle w:val="Caption"/>
      </w:pPr>
      <w:bookmarkStart w:id="110" w:name="_Ref49862679"/>
      <w:r w:rsidRPr="00D65C79">
        <w:t xml:space="preserve">Figure </w:t>
      </w:r>
      <w:r w:rsidR="007B4ED4" w:rsidRPr="00D65C79">
        <w:fldChar w:fldCharType="begin"/>
      </w:r>
      <w:r w:rsidR="007B4ED4" w:rsidRPr="009B6AA8">
        <w:instrText xml:space="preserve"> STYLEREF 1 \s </w:instrText>
      </w:r>
      <w:r w:rsidR="007B4ED4" w:rsidRPr="00D65C79">
        <w:fldChar w:fldCharType="separate"/>
      </w:r>
      <w:r w:rsidR="007C0448">
        <w:rPr>
          <w:rFonts w:hint="cs"/>
          <w:noProof/>
          <w:cs/>
        </w:rPr>
        <w:t>‎</w:t>
      </w:r>
      <w:r w:rsidR="007C0448">
        <w:rPr>
          <w:noProof/>
        </w:rPr>
        <w:t>2</w:t>
      </w:r>
      <w:r w:rsidR="007B4ED4" w:rsidRPr="00D65C79">
        <w:rPr>
          <w:noProof/>
        </w:rPr>
        <w:fldChar w:fldCharType="end"/>
      </w:r>
      <w:r w:rsidR="006A4D42" w:rsidRPr="00D65C79">
        <w:t>.</w:t>
      </w:r>
      <w:r w:rsidR="007B4ED4" w:rsidRPr="00D65C79">
        <w:fldChar w:fldCharType="begin"/>
      </w:r>
      <w:r w:rsidR="007B4ED4" w:rsidRPr="009B6AA8">
        <w:instrText xml:space="preserve"> SEQ Figure \* ARABIC \s 1 </w:instrText>
      </w:r>
      <w:r w:rsidR="007B4ED4" w:rsidRPr="00D65C79">
        <w:fldChar w:fldCharType="separate"/>
      </w:r>
      <w:r w:rsidR="007C0448">
        <w:rPr>
          <w:noProof/>
        </w:rPr>
        <w:t>2</w:t>
      </w:r>
      <w:r w:rsidR="007B4ED4" w:rsidRPr="00D65C79">
        <w:rPr>
          <w:noProof/>
        </w:rPr>
        <w:fldChar w:fldCharType="end"/>
      </w:r>
      <w:bookmarkEnd w:id="110"/>
      <w:r w:rsidRPr="00D65C79">
        <w:t xml:space="preserve"> </w:t>
      </w:r>
      <w:r w:rsidRPr="00E06173">
        <w:t xml:space="preserve">Proportion of patients receiving RT by distance from nearest </w:t>
      </w:r>
      <w:r w:rsidR="00C62BBC" w:rsidRPr="00E06173">
        <w:t>facility</w:t>
      </w:r>
      <w:r w:rsidRPr="00E06173">
        <w:t xml:space="preserve"> in NSW</w:t>
      </w:r>
    </w:p>
    <w:p w14:paraId="5592BF90" w14:textId="77777777" w:rsidR="00863ACF" w:rsidRPr="00D65C79" w:rsidRDefault="00863ACF" w:rsidP="00853EFB">
      <w:r w:rsidRPr="00D65C79">
        <w:rPr>
          <w:noProof/>
          <w:lang w:eastAsia="en-AU"/>
        </w:rPr>
        <w:drawing>
          <wp:inline distT="0" distB="0" distL="0" distR="0" wp14:anchorId="211544C6" wp14:editId="7E839C4B">
            <wp:extent cx="3519219" cy="2857500"/>
            <wp:effectExtent l="0" t="0" r="5080" b="0"/>
            <wp:docPr id="1" name="Picture 1" descr="Figure 2.2 is a bar graph showing the proportion of patients receiving RT by distance from nearest facility in NSW - bar graph depicting more than 25% receiving radiotherapy if less than 100 km to nearest RTD, and fewer than 20% receiving radiotherapy if greater than 400 km to nearest 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2 Proportion of patients receiving RT by distance from nearest facility in NSW - bar graph depicting more than 25% receiving radiotherapy if less than 100 km to nearest RTD, and fewer than 20% receiving radiotherapy if greater than 400 km to nearest RTD."/>
                    <pic:cNvPicPr/>
                  </pic:nvPicPr>
                  <pic:blipFill rotWithShape="1">
                    <a:blip r:embed="rId13"/>
                    <a:srcRect l="13830" t="6021" r="11688" b="8470"/>
                    <a:stretch/>
                  </pic:blipFill>
                  <pic:spPr bwMode="auto">
                    <a:xfrm>
                      <a:off x="0" y="0"/>
                      <a:ext cx="3538388" cy="2873065"/>
                    </a:xfrm>
                    <a:prstGeom prst="rect">
                      <a:avLst/>
                    </a:prstGeom>
                    <a:ln>
                      <a:noFill/>
                    </a:ln>
                    <a:extLst>
                      <a:ext uri="{53640926-AAD7-44D8-BBD7-CCE9431645EC}">
                        <a14:shadowObscured xmlns:a14="http://schemas.microsoft.com/office/drawing/2010/main"/>
                      </a:ext>
                    </a:extLst>
                  </pic:spPr>
                </pic:pic>
              </a:graphicData>
            </a:graphic>
          </wp:inline>
        </w:drawing>
      </w:r>
    </w:p>
    <w:p w14:paraId="79CBD592" w14:textId="77777777" w:rsidR="00863ACF" w:rsidRPr="009B6AA8" w:rsidRDefault="00863ACF" w:rsidP="0079376F">
      <w:pPr>
        <w:pStyle w:val="TableNotes"/>
      </w:pPr>
      <w:r w:rsidRPr="009B6AA8">
        <w:t>Source: Gabriel et al. (2015) ‘The effect of travel distance on radiotherapy utilization in NSW and ACT’</w:t>
      </w:r>
    </w:p>
    <w:p w14:paraId="1BCD2F36" w14:textId="2BC0A535" w:rsidR="00863ACF" w:rsidRPr="009B6AA8" w:rsidRDefault="00863ACF" w:rsidP="00431316">
      <w:r w:rsidRPr="009B6AA8">
        <w:t>These findings were supported by Henry et al. (2014) who also found that URs decreased with increased distance from the nearest cancer centre in the Barwon South-West region of Victoria</w:t>
      </w:r>
      <w:r w:rsidR="00442877" w:rsidRPr="009B6AA8">
        <w:t>, where p</w:t>
      </w:r>
      <w:r w:rsidRPr="009B6AA8">
        <w:t xml:space="preserve">articipants in outer regional areas lived up to 137 minutes’ drive from their nearest treatment centre. Differences in UR between study participants living in the regional city of Geelong (n=997) and participants in the outer regional areas (n=781) were most pronounced in individuals with bladder, rectal, and prostate cancers, and lymphoma </w:t>
      </w:r>
      <w:sdt>
        <w:sdtPr>
          <w:id w:val="410520416"/>
          <w:citation/>
        </w:sdtPr>
        <w:sdtContent>
          <w:r w:rsidRPr="00D65C79">
            <w:fldChar w:fldCharType="begin"/>
          </w:r>
          <w:r w:rsidRPr="009B6AA8">
            <w:instrText xml:space="preserve"> CITATION Hen14 \l 3081 </w:instrText>
          </w:r>
          <w:r w:rsidRPr="00D65C79">
            <w:fldChar w:fldCharType="separate"/>
          </w:r>
          <w:r w:rsidR="00264535" w:rsidRPr="00264535">
            <w:rPr>
              <w:noProof/>
            </w:rPr>
            <w:t>[16]</w:t>
          </w:r>
          <w:r w:rsidRPr="00D65C79">
            <w:fldChar w:fldCharType="end"/>
          </w:r>
        </w:sdtContent>
      </w:sdt>
      <w:r w:rsidRPr="00D65C79">
        <w:t xml:space="preserve">. This data is particularly concerning when compared against OUR by cancer type. Utilisation rates for the rural population were </w:t>
      </w:r>
      <w:r w:rsidRPr="009B6AA8">
        <w:t>compared</w:t>
      </w:r>
      <w:r w:rsidR="00442877" w:rsidRPr="009B6AA8">
        <w:t xml:space="preserve"> in the study, and the results were as follows</w:t>
      </w:r>
      <w:r w:rsidRPr="009B6AA8">
        <w:t>:</w:t>
      </w:r>
    </w:p>
    <w:p w14:paraId="2998F71F" w14:textId="77777777" w:rsidR="00863ACF" w:rsidRPr="009B6AA8" w:rsidRDefault="00863ACF" w:rsidP="00431316">
      <w:pPr>
        <w:pStyle w:val="ListBullet"/>
      </w:pPr>
      <w:r w:rsidRPr="009B6AA8">
        <w:t>5% for bladder cancer, compared to 21.2% in Geelong and a 47% OUR</w:t>
      </w:r>
    </w:p>
    <w:p w14:paraId="6C4D2532" w14:textId="77777777" w:rsidR="00863ACF" w:rsidRPr="009B6AA8" w:rsidRDefault="00863ACF" w:rsidP="00431316">
      <w:pPr>
        <w:pStyle w:val="ListBullet"/>
      </w:pPr>
      <w:r w:rsidRPr="009B6AA8">
        <w:t>32.8% for rectal cancer, compared to 44.7% in Geelong and a 60% OUR</w:t>
      </w:r>
    </w:p>
    <w:p w14:paraId="2AD5D9AE" w14:textId="77777777" w:rsidR="00373EE3" w:rsidRDefault="00863ACF" w:rsidP="00431316">
      <w:pPr>
        <w:pStyle w:val="ListBullet"/>
      </w:pPr>
      <w:r w:rsidRPr="009B6AA8">
        <w:t>15.7% for prostate cancer, compared to 25.8% in Geelong and a 58% OUR, and</w:t>
      </w:r>
    </w:p>
    <w:p w14:paraId="71B53E4A" w14:textId="4CD5EB59" w:rsidR="00373EE3" w:rsidRDefault="00863ACF" w:rsidP="00431316">
      <w:pPr>
        <w:pStyle w:val="ListBullet"/>
      </w:pPr>
      <w:r w:rsidRPr="009B6AA8">
        <w:t xml:space="preserve">9.4% for lymphoma, compared to 26.2% in Geelong and a 73% OUR </w:t>
      </w:r>
      <w:sdt>
        <w:sdtPr>
          <w:id w:val="-300459412"/>
          <w:citation/>
        </w:sdtPr>
        <w:sdtContent>
          <w:r w:rsidRPr="00D65C79">
            <w:fldChar w:fldCharType="begin"/>
          </w:r>
          <w:r w:rsidRPr="009B6AA8">
            <w:instrText xml:space="preserve"> CITATION Hen14 \l 3081 </w:instrText>
          </w:r>
          <w:r w:rsidRPr="00D65C79">
            <w:fldChar w:fldCharType="separate"/>
          </w:r>
          <w:r w:rsidR="00264535" w:rsidRPr="00264535">
            <w:rPr>
              <w:noProof/>
            </w:rPr>
            <w:t>[16]</w:t>
          </w:r>
          <w:r w:rsidRPr="00D65C79">
            <w:fldChar w:fldCharType="end"/>
          </w:r>
        </w:sdtContent>
      </w:sdt>
      <w:sdt>
        <w:sdtPr>
          <w:id w:val="651870644"/>
          <w:citation/>
        </w:sdtPr>
        <w:sdtContent>
          <w:r w:rsidRPr="00D65C79">
            <w:fldChar w:fldCharType="begin"/>
          </w:r>
          <w:r w:rsidRPr="009B6AA8">
            <w:instrText xml:space="preserve"> CITATION Won16 \l 3081 </w:instrText>
          </w:r>
          <w:r w:rsidRPr="00D65C79">
            <w:fldChar w:fldCharType="separate"/>
          </w:r>
          <w:r w:rsidR="00264535">
            <w:rPr>
              <w:noProof/>
            </w:rPr>
            <w:t xml:space="preserve"> </w:t>
          </w:r>
          <w:r w:rsidR="00264535" w:rsidRPr="00264535">
            <w:rPr>
              <w:noProof/>
            </w:rPr>
            <w:t>[11]</w:t>
          </w:r>
          <w:r w:rsidRPr="00D65C79">
            <w:fldChar w:fldCharType="end"/>
          </w:r>
        </w:sdtContent>
      </w:sdt>
      <w:r w:rsidRPr="00D65C79">
        <w:t>.</w:t>
      </w:r>
    </w:p>
    <w:p w14:paraId="65425F13" w14:textId="4B367590" w:rsidR="00373EE3" w:rsidRDefault="00863ACF" w:rsidP="00431316">
      <w:r w:rsidRPr="009B6AA8">
        <w:t xml:space="preserve">A finding of the study was that men were significantly less likely than women to undergo RT. This is an important issue given that prostate cancer continues to be the highest incidence cancer nationally and has a high OUR </w:t>
      </w:r>
      <w:sdt>
        <w:sdtPr>
          <w:id w:val="-1641808418"/>
          <w:citation/>
        </w:sdtPr>
        <w:sdtContent>
          <w:r w:rsidRPr="00D65C79">
            <w:fldChar w:fldCharType="begin"/>
          </w:r>
          <w:r w:rsidRPr="009B6AA8">
            <w:instrText xml:space="preserve"> CITATION Aus161 \l 3081  \m Hen14</w:instrText>
          </w:r>
          <w:r w:rsidRPr="00D65C79">
            <w:fldChar w:fldCharType="separate"/>
          </w:r>
          <w:r w:rsidR="00264535" w:rsidRPr="00264535">
            <w:rPr>
              <w:noProof/>
            </w:rPr>
            <w:t>[13, 16]</w:t>
          </w:r>
          <w:r w:rsidRPr="00D65C79">
            <w:fldChar w:fldCharType="end"/>
          </w:r>
        </w:sdtContent>
      </w:sdt>
      <w:r w:rsidRPr="00D65C79">
        <w:t>.</w:t>
      </w:r>
    </w:p>
    <w:p w14:paraId="28C8F85E" w14:textId="08B466CC" w:rsidR="00373EE3" w:rsidRDefault="00442877" w:rsidP="00431316">
      <w:r w:rsidRPr="009B6AA8">
        <w:t>Similar geographic usage patterns were found i</w:t>
      </w:r>
      <w:r w:rsidR="00863ACF" w:rsidRPr="009B6AA8">
        <w:t>n patients with rectal cancer in rural and regional Queensland</w:t>
      </w:r>
      <w:r w:rsidRPr="009B6AA8">
        <w:t xml:space="preserve">. </w:t>
      </w:r>
      <w:r w:rsidR="00863ACF" w:rsidRPr="009B6AA8">
        <w:t>Baade et al. (2011)</w:t>
      </w:r>
      <w:r w:rsidRPr="009B6AA8">
        <w:t xml:space="preserve"> in a study</w:t>
      </w:r>
      <w:r w:rsidR="007A2ED8" w:rsidRPr="009B6AA8">
        <w:t xml:space="preserve"> of</w:t>
      </w:r>
      <w:r w:rsidRPr="009B6AA8">
        <w:t xml:space="preserve"> 6,848 patients </w:t>
      </w:r>
      <w:r w:rsidR="00863ACF" w:rsidRPr="009B6AA8">
        <w:t xml:space="preserve">found geographical barriers to have a direct impact on patient cancer outcomes, with the relationship between survival rates and distance to nearest RT facility being more linear (see </w:t>
      </w:r>
      <w:r w:rsidR="00863ACF" w:rsidRPr="00D65C79">
        <w:fldChar w:fldCharType="begin"/>
      </w:r>
      <w:r w:rsidR="00863ACF" w:rsidRPr="009B6AA8">
        <w:instrText xml:space="preserve"> REF _Ref50382189 \h  \* MERGEFORMAT </w:instrText>
      </w:r>
      <w:r w:rsidR="00863ACF" w:rsidRPr="00D65C79">
        <w:fldChar w:fldCharType="separate"/>
      </w:r>
      <w:r w:rsidR="007C0448" w:rsidRPr="00D65C79">
        <w:t xml:space="preserve">Figure </w:t>
      </w:r>
      <w:r w:rsidR="007C0448">
        <w:rPr>
          <w:rFonts w:hint="cs"/>
          <w:cs/>
        </w:rPr>
        <w:t>‎</w:t>
      </w:r>
      <w:r w:rsidR="007C0448">
        <w:rPr>
          <w:noProof/>
        </w:rPr>
        <w:t>2</w:t>
      </w:r>
      <w:r w:rsidR="007C0448" w:rsidRPr="00D65C79">
        <w:rPr>
          <w:noProof/>
        </w:rPr>
        <w:t>.</w:t>
      </w:r>
      <w:r w:rsidR="007C0448">
        <w:rPr>
          <w:noProof/>
        </w:rPr>
        <w:t>3</w:t>
      </w:r>
      <w:r w:rsidR="00863ACF" w:rsidRPr="00D65C79">
        <w:fldChar w:fldCharType="end"/>
      </w:r>
      <w:r w:rsidR="00863ACF" w:rsidRPr="00D65C79">
        <w:t xml:space="preserve">) than the relationship between distance and utilisation rate reported in the NSW and ACT study (see </w:t>
      </w:r>
      <w:r w:rsidR="00863ACF" w:rsidRPr="00D65C79">
        <w:fldChar w:fldCharType="begin"/>
      </w:r>
      <w:r w:rsidR="00863ACF" w:rsidRPr="009B6AA8">
        <w:instrText xml:space="preserve"> REF _Ref49862679 \h  \* MERGEFORMAT </w:instrText>
      </w:r>
      <w:r w:rsidR="00863ACF" w:rsidRPr="00D65C79">
        <w:fldChar w:fldCharType="separate"/>
      </w:r>
      <w:r w:rsidR="007C0448" w:rsidRPr="00D65C79">
        <w:t xml:space="preserve">Figure </w:t>
      </w:r>
      <w:r w:rsidR="007C0448">
        <w:rPr>
          <w:rFonts w:hint="cs"/>
          <w:cs/>
        </w:rPr>
        <w:t>‎</w:t>
      </w:r>
      <w:r w:rsidR="007C0448">
        <w:t>2</w:t>
      </w:r>
      <w:r w:rsidR="007C0448" w:rsidRPr="00D65C79">
        <w:t>.</w:t>
      </w:r>
      <w:r w:rsidR="007C0448">
        <w:t>2</w:t>
      </w:r>
      <w:r w:rsidR="00863ACF" w:rsidRPr="00D65C79">
        <w:fldChar w:fldCharType="end"/>
      </w:r>
      <w:r w:rsidR="00863ACF" w:rsidRPr="00D65C79">
        <w:t xml:space="preserve">) </w:t>
      </w:r>
      <w:sdt>
        <w:sdtPr>
          <w:id w:val="2085792796"/>
          <w:citation/>
        </w:sdtPr>
        <w:sdtContent>
          <w:r w:rsidR="00863ACF" w:rsidRPr="00D65C79">
            <w:fldChar w:fldCharType="begin"/>
          </w:r>
          <w:r w:rsidR="00863ACF" w:rsidRPr="009B6AA8">
            <w:instrText xml:space="preserve"> CITATION Baa11 \l 1033 </w:instrText>
          </w:r>
          <w:r w:rsidR="00863ACF" w:rsidRPr="00D65C79">
            <w:fldChar w:fldCharType="separate"/>
          </w:r>
          <w:r w:rsidR="00264535" w:rsidRPr="00264535">
            <w:rPr>
              <w:noProof/>
            </w:rPr>
            <w:t>[20]</w:t>
          </w:r>
          <w:r w:rsidR="00863ACF" w:rsidRPr="00D65C79">
            <w:fldChar w:fldCharType="end"/>
          </w:r>
        </w:sdtContent>
      </w:sdt>
      <w:r w:rsidR="00863ACF" w:rsidRPr="00D65C79">
        <w:t>.</w:t>
      </w:r>
    </w:p>
    <w:p w14:paraId="0B0B3C62" w14:textId="76940D23" w:rsidR="00863ACF" w:rsidRPr="00D65C79" w:rsidRDefault="00863ACF" w:rsidP="00431316">
      <w:pPr>
        <w:pStyle w:val="Caption"/>
      </w:pPr>
      <w:bookmarkStart w:id="111" w:name="_Ref50382189"/>
      <w:r w:rsidRPr="00D65C79">
        <w:lastRenderedPageBreak/>
        <w:t xml:space="preserve">Figure </w:t>
      </w:r>
      <w:r w:rsidR="007B4ED4" w:rsidRPr="00D65C79">
        <w:fldChar w:fldCharType="begin"/>
      </w:r>
      <w:r w:rsidR="007B4ED4" w:rsidRPr="009B6AA8">
        <w:instrText xml:space="preserve"> STYLEREF 1 \s </w:instrText>
      </w:r>
      <w:r w:rsidR="007B4ED4" w:rsidRPr="00D65C79">
        <w:fldChar w:fldCharType="separate"/>
      </w:r>
      <w:r w:rsidR="007C0448">
        <w:rPr>
          <w:rFonts w:hint="cs"/>
          <w:noProof/>
          <w:cs/>
        </w:rPr>
        <w:t>‎</w:t>
      </w:r>
      <w:r w:rsidR="007C0448">
        <w:rPr>
          <w:noProof/>
        </w:rPr>
        <w:t>2</w:t>
      </w:r>
      <w:r w:rsidR="007B4ED4" w:rsidRPr="00D65C79">
        <w:rPr>
          <w:noProof/>
        </w:rPr>
        <w:fldChar w:fldCharType="end"/>
      </w:r>
      <w:r w:rsidR="006A4D42" w:rsidRPr="00D65C79">
        <w:t>.</w:t>
      </w:r>
      <w:r w:rsidR="007B4ED4" w:rsidRPr="00D65C79">
        <w:fldChar w:fldCharType="begin"/>
      </w:r>
      <w:r w:rsidR="007B4ED4" w:rsidRPr="009B6AA8">
        <w:instrText xml:space="preserve"> SEQ Figure \* ARABIC \s 1 </w:instrText>
      </w:r>
      <w:r w:rsidR="007B4ED4" w:rsidRPr="00D65C79">
        <w:fldChar w:fldCharType="separate"/>
      </w:r>
      <w:r w:rsidR="007C0448">
        <w:rPr>
          <w:noProof/>
        </w:rPr>
        <w:t>3</w:t>
      </w:r>
      <w:r w:rsidR="007B4ED4" w:rsidRPr="00D65C79">
        <w:rPr>
          <w:noProof/>
        </w:rPr>
        <w:fldChar w:fldCharType="end"/>
      </w:r>
      <w:bookmarkEnd w:id="111"/>
      <w:r w:rsidRPr="00D65C79">
        <w:t xml:space="preserve"> </w:t>
      </w:r>
      <w:r w:rsidRPr="00E06173">
        <w:t>Rectal cancer five-year survival rate by distance from nearest RT treatment facility (QLD)</w:t>
      </w:r>
    </w:p>
    <w:p w14:paraId="4918410F" w14:textId="77777777" w:rsidR="00863ACF" w:rsidRPr="00D65C79" w:rsidRDefault="00863ACF" w:rsidP="00853EFB">
      <w:r w:rsidRPr="00D65C79">
        <w:rPr>
          <w:noProof/>
          <w:lang w:eastAsia="en-AU"/>
        </w:rPr>
        <w:drawing>
          <wp:inline distT="0" distB="0" distL="0" distR="0" wp14:anchorId="2EA375E2" wp14:editId="10773CB1">
            <wp:extent cx="4006734" cy="2943123"/>
            <wp:effectExtent l="0" t="0" r="0" b="0"/>
            <wp:docPr id="6" name="Picture 6" descr="Figure 2.3 is a bar graph showing the rectal cancer 5year survival rate by distance from nearest RT treatment facility (QLD) - bar graph depicting greater than 64% five-year survival rate if less than 50 km from nearest RT treatment facility, to less than 58% five-year survival rate if greater than 400 km from nearest 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3 Rectal cancer five-year survival rate by distance from nearest RT treatment facility (QLD) - bar graph depicting greater than 64% five-year survival rate if less than 50 km from nearest RT treatment facility, to less than 58% five-year survival rate if greater than 400 km from nearest 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336" cy="2955318"/>
                    </a:xfrm>
                    <a:prstGeom prst="rect">
                      <a:avLst/>
                    </a:prstGeom>
                    <a:noFill/>
                  </pic:spPr>
                </pic:pic>
              </a:graphicData>
            </a:graphic>
          </wp:inline>
        </w:drawing>
      </w:r>
    </w:p>
    <w:p w14:paraId="33BDC6D6" w14:textId="77777777" w:rsidR="00373EE3" w:rsidRDefault="00863ACF" w:rsidP="0079376F">
      <w:pPr>
        <w:pStyle w:val="TableNotes"/>
      </w:pPr>
      <w:r w:rsidRPr="009B6AA8">
        <w:t>Data source: Baade et al. (2011) ‘Distance to the closest radiotherapy facility and survival after a diagnosis of rectal cancer in Queensland’</w:t>
      </w:r>
    </w:p>
    <w:p w14:paraId="7A828D55" w14:textId="71CBD52B" w:rsidR="00863ACF" w:rsidRPr="00431316" w:rsidRDefault="00863ACF" w:rsidP="00216866">
      <w:pPr>
        <w:pStyle w:val="Heading3numbered"/>
      </w:pPr>
      <w:bookmarkStart w:id="112" w:name="_Toc50722420"/>
      <w:bookmarkStart w:id="113" w:name="_Toc54688800"/>
      <w:bookmarkStart w:id="114" w:name="_Toc59198459"/>
      <w:bookmarkStart w:id="115" w:name="_Toc66193926"/>
      <w:r w:rsidRPr="00BC705E">
        <w:t>Health professional perspectives of RT and referral practices</w:t>
      </w:r>
      <w:bookmarkEnd w:id="112"/>
      <w:bookmarkEnd w:id="113"/>
      <w:bookmarkEnd w:id="114"/>
      <w:bookmarkEnd w:id="115"/>
    </w:p>
    <w:p w14:paraId="7F928DA0" w14:textId="4BDC7CEF" w:rsidR="00373EE3" w:rsidRDefault="00863ACF" w:rsidP="00736EB6">
      <w:r w:rsidRPr="009B6AA8">
        <w:t xml:space="preserve">Shortages in the medical oncology workforce in rural areas </w:t>
      </w:r>
      <w:r w:rsidR="00E1270C" w:rsidRPr="009B6AA8">
        <w:t>has been</w:t>
      </w:r>
      <w:r w:rsidRPr="009B6AA8">
        <w:t xml:space="preserve"> identified as a barrier to achieving </w:t>
      </w:r>
      <w:proofErr w:type="gramStart"/>
      <w:r w:rsidRPr="009B6AA8">
        <w:t>OURs</w:t>
      </w:r>
      <w:proofErr w:type="gramEnd"/>
      <w:r w:rsidRPr="009B6AA8">
        <w:t xml:space="preserve"> in regional populations </w:t>
      </w:r>
      <w:sdt>
        <w:sdtPr>
          <w:id w:val="1728259156"/>
          <w:citation/>
        </w:sdtPr>
        <w:sdtContent>
          <w:r w:rsidRPr="00D65C79">
            <w:fldChar w:fldCharType="begin"/>
          </w:r>
          <w:r w:rsidRPr="009B6AA8">
            <w:instrText xml:space="preserve"> CITATION Hen14 \l 3081  \m Fea17</w:instrText>
          </w:r>
          <w:r w:rsidRPr="00D65C79">
            <w:fldChar w:fldCharType="separate"/>
          </w:r>
          <w:r w:rsidR="00264535" w:rsidRPr="00264535">
            <w:rPr>
              <w:noProof/>
            </w:rPr>
            <w:t>[16, 8]</w:t>
          </w:r>
          <w:r w:rsidRPr="00D65C79">
            <w:fldChar w:fldCharType="end"/>
          </w:r>
        </w:sdtContent>
      </w:sdt>
      <w:r w:rsidRPr="00D65C79">
        <w:t>.</w:t>
      </w:r>
    </w:p>
    <w:p w14:paraId="0B4DB297" w14:textId="7DD21592" w:rsidR="00863ACF" w:rsidRPr="009B6AA8" w:rsidRDefault="00863ACF" w:rsidP="00736EB6">
      <w:r w:rsidRPr="009B6AA8">
        <w:t xml:space="preserve">Another significant barrier to utilisation identified in the literature was health professionals’ perceptions of RT. Among a group of referring doctors surveyed in New South Wales (n=253), several issues were highlighted as having a ‘moderate’ or </w:t>
      </w:r>
      <w:r w:rsidR="007B4ED4" w:rsidRPr="009B6AA8">
        <w:t>‘</w:t>
      </w:r>
      <w:r w:rsidRPr="009B6AA8">
        <w:t>significant’ impact on their clinical decisions</w:t>
      </w:r>
      <w:r w:rsidR="00A107C4" w:rsidRPr="009B6AA8">
        <w:t xml:space="preserve"> about recommending RT usage</w:t>
      </w:r>
      <w:r w:rsidRPr="009B6AA8">
        <w:t>, with the highest proportion of impacting factors attributed to:</w:t>
      </w:r>
    </w:p>
    <w:p w14:paraId="3EC8F424" w14:textId="77777777" w:rsidR="00863ACF" w:rsidRPr="009B6AA8" w:rsidRDefault="00863ACF" w:rsidP="00736EB6">
      <w:pPr>
        <w:pStyle w:val="ListBullet"/>
      </w:pPr>
      <w:r w:rsidRPr="009B6AA8">
        <w:t>concern of acute side-effects and ability of patients to continue daily commitments</w:t>
      </w:r>
    </w:p>
    <w:p w14:paraId="3E4AE624" w14:textId="77777777" w:rsidR="00863ACF" w:rsidRPr="00853EFB" w:rsidRDefault="00863ACF" w:rsidP="00853EFB">
      <w:pPr>
        <w:pStyle w:val="ListBullet"/>
      </w:pPr>
      <w:r w:rsidRPr="009B6AA8">
        <w:t xml:space="preserve">travel to attend treatment </w:t>
      </w:r>
      <w:r w:rsidRPr="00853EFB">
        <w:t>appointments</w:t>
      </w:r>
    </w:p>
    <w:p w14:paraId="5A6BBD7B" w14:textId="77777777" w:rsidR="00863ACF" w:rsidRPr="00853EFB" w:rsidRDefault="00863ACF" w:rsidP="00853EFB">
      <w:pPr>
        <w:pStyle w:val="ListBullet"/>
      </w:pPr>
      <w:r w:rsidRPr="00853EFB">
        <w:t>patient fear/anxiety about having RT</w:t>
      </w:r>
    </w:p>
    <w:p w14:paraId="061854E2" w14:textId="77777777" w:rsidR="00373EE3" w:rsidRPr="00853EFB" w:rsidRDefault="00863ACF" w:rsidP="00853EFB">
      <w:pPr>
        <w:pStyle w:val="ListBullet"/>
      </w:pPr>
      <w:r w:rsidRPr="00853EFB">
        <w:t>cost and inconvenience of managing treatment toxicity</w:t>
      </w:r>
    </w:p>
    <w:p w14:paraId="512A2F7F" w14:textId="77777777" w:rsidR="00373EE3" w:rsidRPr="00853EFB" w:rsidRDefault="00863ACF" w:rsidP="00853EFB">
      <w:pPr>
        <w:pStyle w:val="ListBullet"/>
      </w:pPr>
      <w:r w:rsidRPr="00853EFB">
        <w:t>requirement to be away from home for treatment, and</w:t>
      </w:r>
    </w:p>
    <w:p w14:paraId="513A2BF7" w14:textId="3AA1C4A6" w:rsidR="00373EE3" w:rsidRDefault="00863ACF" w:rsidP="00853EFB">
      <w:pPr>
        <w:pStyle w:val="ListBullet"/>
      </w:pPr>
      <w:proofErr w:type="gramStart"/>
      <w:r w:rsidRPr="00853EFB">
        <w:t>concern</w:t>
      </w:r>
      <w:proofErr w:type="gramEnd"/>
      <w:r w:rsidRPr="00853EFB">
        <w:t xml:space="preserve"> about long-term side effects</w:t>
      </w:r>
      <w:r w:rsidRPr="009B6AA8">
        <w:t xml:space="preserve"> of RT </w:t>
      </w:r>
      <w:sdt>
        <w:sdtPr>
          <w:id w:val="307744527"/>
          <w:citation/>
        </w:sdtPr>
        <w:sdtContent>
          <w:r w:rsidRPr="00D65C79">
            <w:fldChar w:fldCharType="begin"/>
          </w:r>
          <w:r w:rsidRPr="009B6AA8">
            <w:instrText xml:space="preserve"> CITATION Sun15 \l 3081 </w:instrText>
          </w:r>
          <w:r w:rsidRPr="00D65C79">
            <w:fldChar w:fldCharType="separate"/>
          </w:r>
          <w:r w:rsidR="00264535" w:rsidRPr="00264535">
            <w:rPr>
              <w:noProof/>
            </w:rPr>
            <w:t>[21]</w:t>
          </w:r>
          <w:r w:rsidRPr="00D65C79">
            <w:fldChar w:fldCharType="end"/>
          </w:r>
        </w:sdtContent>
      </w:sdt>
      <w:r w:rsidRPr="00D65C79">
        <w:t>.</w:t>
      </w:r>
    </w:p>
    <w:p w14:paraId="1AE70D25" w14:textId="01A01FA2" w:rsidR="00373EE3" w:rsidRDefault="00863ACF" w:rsidP="00736EB6">
      <w:r w:rsidRPr="009B6AA8">
        <w:t xml:space="preserve">These findings highlight the potential biases of referring clinicians who act as ‘gatekeepers’ to services and potentially contribute to lower than optimal URs </w:t>
      </w:r>
      <w:sdt>
        <w:sdtPr>
          <w:id w:val="-440138770"/>
          <w:citation/>
        </w:sdtPr>
        <w:sdtContent>
          <w:r w:rsidRPr="00D65C79">
            <w:fldChar w:fldCharType="begin"/>
          </w:r>
          <w:r w:rsidRPr="009B6AA8">
            <w:instrText xml:space="preserve"> CITATION Sun15 \l 3081 </w:instrText>
          </w:r>
          <w:r w:rsidRPr="00D65C79">
            <w:fldChar w:fldCharType="separate"/>
          </w:r>
          <w:r w:rsidR="00264535" w:rsidRPr="00264535">
            <w:rPr>
              <w:noProof/>
            </w:rPr>
            <w:t>[21]</w:t>
          </w:r>
          <w:r w:rsidRPr="00D65C79">
            <w:fldChar w:fldCharType="end"/>
          </w:r>
        </w:sdtContent>
      </w:sdt>
      <w:r w:rsidRPr="00D65C79">
        <w:t>.</w:t>
      </w:r>
    </w:p>
    <w:p w14:paraId="0D935229" w14:textId="7447C4F1" w:rsidR="00373EE3" w:rsidRDefault="00863ACF" w:rsidP="00736EB6">
      <w:r w:rsidRPr="009B6AA8">
        <w:t xml:space="preserve">Efforts undertaken to increase URs in Belgium have pointed to the importance of clinician perceptions of need, as it was found that lack of discussion around RT during multidisciplinary team (MDT) meetings corresponded to lower utilisation rates </w:t>
      </w:r>
      <w:sdt>
        <w:sdtPr>
          <w:id w:val="444747039"/>
          <w:citation/>
        </w:sdtPr>
        <w:sdtContent>
          <w:r w:rsidRPr="00D65C79">
            <w:fldChar w:fldCharType="begin"/>
          </w:r>
          <w:r w:rsidRPr="009B6AA8">
            <w:instrText xml:space="preserve">CITATION Lie17 \l 3081 </w:instrText>
          </w:r>
          <w:r w:rsidRPr="00D65C79">
            <w:fldChar w:fldCharType="separate"/>
          </w:r>
          <w:r w:rsidR="00264535" w:rsidRPr="00264535">
            <w:rPr>
              <w:noProof/>
            </w:rPr>
            <w:t>[22]</w:t>
          </w:r>
          <w:r w:rsidRPr="00D65C79">
            <w:fldChar w:fldCharType="end"/>
          </w:r>
        </w:sdtContent>
      </w:sdt>
      <w:r w:rsidRPr="00D65C79">
        <w:t>.</w:t>
      </w:r>
    </w:p>
    <w:p w14:paraId="5A1E86D1" w14:textId="77777777" w:rsidR="00373EE3" w:rsidRDefault="00863ACF" w:rsidP="00736EB6">
      <w:r w:rsidRPr="009B6AA8">
        <w:t>Waiting times for initial consultations and referring clinicians’ perspectives on RT have been identified as potential barriers to increasing URs in Australia.</w:t>
      </w:r>
    </w:p>
    <w:p w14:paraId="7356BB22" w14:textId="552FAE59" w:rsidR="00DA2095" w:rsidRDefault="00863ACF" w:rsidP="00736EB6">
      <w:r w:rsidRPr="009B6AA8">
        <w:t xml:space="preserve">Researchers from the NSW study also indicated that there is a need for an intervention to reduce waiting times for the first RT consultation. This was of particular relevance in regional and rural areas where it continues to deter patients and result in sub-optimal utilisation rates </w:t>
      </w:r>
      <w:sdt>
        <w:sdtPr>
          <w:id w:val="-1822647114"/>
          <w:citation/>
        </w:sdtPr>
        <w:sdtContent>
          <w:r w:rsidRPr="00D65C79">
            <w:fldChar w:fldCharType="begin"/>
          </w:r>
          <w:r w:rsidRPr="009B6AA8">
            <w:instrText xml:space="preserve"> CITATION Sun15 \l 3081 </w:instrText>
          </w:r>
          <w:r w:rsidRPr="00D65C79">
            <w:fldChar w:fldCharType="separate"/>
          </w:r>
          <w:r w:rsidR="00264535" w:rsidRPr="00264535">
            <w:rPr>
              <w:noProof/>
            </w:rPr>
            <w:t>[21]</w:t>
          </w:r>
          <w:r w:rsidRPr="00D65C79">
            <w:fldChar w:fldCharType="end"/>
          </w:r>
        </w:sdtContent>
      </w:sdt>
      <w:r w:rsidRPr="00D65C79">
        <w:t>. Recent data from the AIHW (2017–18) suggests that the average waiti</w:t>
      </w:r>
      <w:r w:rsidRPr="009B6AA8">
        <w:t>ng time to access RT nationally is 17.3 days, which has increased from 16.4 days in 2015–16 and 2016–17 but decreased from an average of 21 days reported in 2013–14. Data on waiting times was not available based on metropolitan or re</w:t>
      </w:r>
      <w:r w:rsidR="00393FD3">
        <w:t>gional/rural service location.</w:t>
      </w:r>
    </w:p>
    <w:p w14:paraId="0B5878D2" w14:textId="58055C56" w:rsidR="00373EE3" w:rsidRPr="00785F73" w:rsidRDefault="00DA2095" w:rsidP="00853EFB">
      <w:pPr>
        <w:pStyle w:val="Heading1numbered"/>
        <w:pageBreakBefore/>
      </w:pPr>
      <w:bookmarkStart w:id="116" w:name="_Toc59198460"/>
      <w:bookmarkStart w:id="117" w:name="_Toc66193927"/>
      <w:bookmarkStart w:id="118" w:name="_Toc73696678"/>
      <w:r w:rsidRPr="00785F73">
        <w:lastRenderedPageBreak/>
        <w:t xml:space="preserve">Review </w:t>
      </w:r>
      <w:r w:rsidR="00375E68" w:rsidRPr="00785F73">
        <w:t>f</w:t>
      </w:r>
      <w:r w:rsidRPr="00785F73">
        <w:t>ramework</w:t>
      </w:r>
      <w:bookmarkEnd w:id="116"/>
      <w:bookmarkEnd w:id="117"/>
      <w:bookmarkEnd w:id="118"/>
    </w:p>
    <w:p w14:paraId="4864165C" w14:textId="062CDCD6" w:rsidR="00373EE3" w:rsidRDefault="00DA2095" w:rsidP="00356842">
      <w:r w:rsidRPr="009B6AA8">
        <w:t xml:space="preserve">The key objective of the 2020 ROHPG review is to assess the </w:t>
      </w:r>
      <w:r w:rsidRPr="009B6AA8">
        <w:rPr>
          <w:b/>
          <w:bCs/>
        </w:rPr>
        <w:t>impact of the changes made to the Scheme in 2017</w:t>
      </w:r>
      <w:r w:rsidRPr="009B6AA8">
        <w:t xml:space="preserve">, including unintended consequences and the differing levels of funding between public and private </w:t>
      </w:r>
      <w:r w:rsidR="007A75A8">
        <w:t>facilities</w:t>
      </w:r>
      <w:r w:rsidRPr="009B6AA8">
        <w:t>.</w:t>
      </w:r>
    </w:p>
    <w:p w14:paraId="22671B11" w14:textId="5C1FBB5F" w:rsidR="00DA2095" w:rsidRPr="009B6AA8" w:rsidRDefault="00DA2095" w:rsidP="00DA2095">
      <w:r w:rsidRPr="009B6AA8">
        <w:t xml:space="preserve">The four key review areas (KRAs) for the 2020 ROHPG review, as specified in the </w:t>
      </w:r>
      <w:r w:rsidR="003A5953" w:rsidRPr="009B6AA8">
        <w:t xml:space="preserve">project </w:t>
      </w:r>
      <w:r w:rsidRPr="009B6AA8">
        <w:t>Terms of Reference, are</w:t>
      </w:r>
      <w:r w:rsidR="003A5953" w:rsidRPr="009B6AA8">
        <w:t xml:space="preserve"> to assess</w:t>
      </w:r>
      <w:r w:rsidRPr="009B6AA8">
        <w:t>:</w:t>
      </w:r>
    </w:p>
    <w:p w14:paraId="68861DA3" w14:textId="77777777" w:rsidR="00DA2095" w:rsidRPr="00853EFB" w:rsidRDefault="00DA2095" w:rsidP="00853EFB">
      <w:pPr>
        <w:pStyle w:val="ListBullet"/>
      </w:pPr>
      <w:r w:rsidRPr="00853EFB">
        <w:t>KRA-A: the ongoing appropriateness of the ROHPG</w:t>
      </w:r>
    </w:p>
    <w:p w14:paraId="0CE617B9" w14:textId="77777777" w:rsidR="00373EE3" w:rsidRPr="00853EFB" w:rsidRDefault="00DA2095" w:rsidP="00853EFB">
      <w:pPr>
        <w:pStyle w:val="ListBullet"/>
      </w:pPr>
      <w:r w:rsidRPr="00853EFB">
        <w:t>KRA-B: the effectiveness of the Scheme in meeting the program’s objectives</w:t>
      </w:r>
    </w:p>
    <w:p w14:paraId="2102DBF0" w14:textId="77777777" w:rsidR="00373EE3" w:rsidRPr="00853EFB" w:rsidRDefault="00DA2095" w:rsidP="00853EFB">
      <w:pPr>
        <w:pStyle w:val="ListBullet"/>
      </w:pPr>
      <w:r w:rsidRPr="00853EFB">
        <w:t>KRA-C: the efficient and effective administration of the ROHPG Scheme</w:t>
      </w:r>
      <w:r w:rsidR="00A50883" w:rsidRPr="00853EFB">
        <w:t>, and</w:t>
      </w:r>
    </w:p>
    <w:p w14:paraId="1781A57E" w14:textId="7228C462" w:rsidR="00DA2095" w:rsidRPr="00853EFB" w:rsidRDefault="00DA2095" w:rsidP="00853EFB">
      <w:pPr>
        <w:pStyle w:val="ListBullet"/>
      </w:pPr>
      <w:r w:rsidRPr="00853EFB">
        <w:t>KRA-D: appropriate accountability for ROHPG Scheme funds.</w:t>
      </w:r>
    </w:p>
    <w:p w14:paraId="63B697B5" w14:textId="4EB43F12" w:rsidR="00DA2095" w:rsidRPr="009B6AA8" w:rsidRDefault="00DA2095" w:rsidP="00DA2095">
      <w:r w:rsidRPr="009B6AA8">
        <w:t xml:space="preserve">A program logic for the ROHPG Scheme is shown in </w:t>
      </w:r>
      <w:r w:rsidRPr="00D65C79">
        <w:fldChar w:fldCharType="begin"/>
      </w:r>
      <w:r w:rsidRPr="009B6AA8">
        <w:instrText xml:space="preserve"> REF _Ref45885656 \h  \* MERGEFORMAT </w:instrText>
      </w:r>
      <w:r w:rsidRPr="00D65C79">
        <w:fldChar w:fldCharType="separate"/>
      </w:r>
      <w:r w:rsidR="007C0448" w:rsidRPr="00D65C79">
        <w:t xml:space="preserve">Figure </w:t>
      </w:r>
      <w:r w:rsidR="007C0448">
        <w:rPr>
          <w:rFonts w:hint="cs"/>
          <w:noProof/>
          <w:cs/>
        </w:rPr>
        <w:t>‎</w:t>
      </w:r>
      <w:r w:rsidR="007C0448">
        <w:rPr>
          <w:noProof/>
        </w:rPr>
        <w:t>3</w:t>
      </w:r>
      <w:r w:rsidR="007C0448" w:rsidRPr="00D65C79">
        <w:rPr>
          <w:noProof/>
        </w:rPr>
        <w:t>.</w:t>
      </w:r>
      <w:r w:rsidR="007C0448">
        <w:rPr>
          <w:noProof/>
        </w:rPr>
        <w:t>1</w:t>
      </w:r>
      <w:r w:rsidRPr="00D65C79">
        <w:fldChar w:fldCharType="end"/>
      </w:r>
      <w:r w:rsidRPr="00D65C79">
        <w:t xml:space="preserve"> on the following page. The program logic displays the relationship between ROHPG key review</w:t>
      </w:r>
      <w:r w:rsidRPr="009B6AA8">
        <w:t xml:space="preserve"> areas, objectives, inputs, expected outputs and outcomes.</w:t>
      </w:r>
    </w:p>
    <w:p w14:paraId="251ED0D7" w14:textId="0762DDBF" w:rsidR="00373EE3" w:rsidRDefault="007A2ED8" w:rsidP="00DA2095">
      <w:r w:rsidRPr="009B6AA8">
        <w:t>The analysis of each KRA is presented in the following part of the report (</w:t>
      </w:r>
      <w:hyperlink w:anchor="_Key_Review_Area" w:history="1">
        <w:r w:rsidRPr="003A3EEC">
          <w:rPr>
            <w:rStyle w:val="Hyperlink"/>
            <w:color w:val="0070C0"/>
          </w:rPr>
          <w:t>Part B: Review Findings</w:t>
        </w:r>
      </w:hyperlink>
      <w:r w:rsidRPr="009B6AA8">
        <w:t>). The findings for each KRA are presented in a separate chapter, and each chapter commences with a summary of the key review questions addressed.</w:t>
      </w:r>
    </w:p>
    <w:p w14:paraId="291795A6" w14:textId="05BC553E" w:rsidR="00DA2095" w:rsidRPr="009B6AA8" w:rsidRDefault="00DA2095" w:rsidP="00DA2095">
      <w:pPr>
        <w:pStyle w:val="ListBullet"/>
        <w:numPr>
          <w:ilvl w:val="0"/>
          <w:numId w:val="0"/>
        </w:numPr>
      </w:pPr>
    </w:p>
    <w:p w14:paraId="08D4DA40" w14:textId="77777777" w:rsidR="00DA2095" w:rsidRPr="009B6AA8" w:rsidRDefault="00DA2095" w:rsidP="00DA2095">
      <w:pPr>
        <w:pStyle w:val="ListBullet"/>
        <w:numPr>
          <w:ilvl w:val="0"/>
          <w:numId w:val="0"/>
        </w:numPr>
        <w:ind w:left="284" w:hanging="284"/>
        <w:sectPr w:rsidR="00DA2095" w:rsidRPr="009B6AA8" w:rsidSect="000E490D">
          <w:headerReference w:type="default" r:id="rId15"/>
          <w:type w:val="continuous"/>
          <w:pgSz w:w="11906" w:h="16838" w:code="9"/>
          <w:pgMar w:top="851" w:right="1134" w:bottom="737" w:left="737" w:header="567" w:footer="284" w:gutter="0"/>
          <w:cols w:space="708"/>
          <w:docGrid w:linePitch="360"/>
        </w:sectPr>
      </w:pPr>
    </w:p>
    <w:p w14:paraId="68C56DAA" w14:textId="183125FB" w:rsidR="00DA2095" w:rsidRPr="00E06173" w:rsidRDefault="00DA2095" w:rsidP="00DA2095">
      <w:pPr>
        <w:pStyle w:val="Caption"/>
      </w:pPr>
      <w:bookmarkStart w:id="119" w:name="_Ref45885656"/>
      <w:r w:rsidRPr="00D65C79">
        <w:lastRenderedPageBreak/>
        <w:t xml:space="preserve">Figure </w:t>
      </w:r>
      <w:r w:rsidR="007B4ED4" w:rsidRPr="00D65C79">
        <w:fldChar w:fldCharType="begin"/>
      </w:r>
      <w:r w:rsidR="007B4ED4" w:rsidRPr="009B6AA8">
        <w:instrText xml:space="preserve"> STYLEREF 1 \s </w:instrText>
      </w:r>
      <w:r w:rsidR="007B4ED4" w:rsidRPr="00D65C79">
        <w:fldChar w:fldCharType="separate"/>
      </w:r>
      <w:r w:rsidR="007C0448">
        <w:rPr>
          <w:rFonts w:hint="cs"/>
          <w:noProof/>
          <w:cs/>
        </w:rPr>
        <w:t>‎</w:t>
      </w:r>
      <w:r w:rsidR="007C0448">
        <w:rPr>
          <w:noProof/>
        </w:rPr>
        <w:t>3</w:t>
      </w:r>
      <w:r w:rsidR="007B4ED4" w:rsidRPr="00D65C79">
        <w:rPr>
          <w:noProof/>
        </w:rPr>
        <w:fldChar w:fldCharType="end"/>
      </w:r>
      <w:r w:rsidR="006A4D42" w:rsidRPr="00D65C79">
        <w:t>.</w:t>
      </w:r>
      <w:r w:rsidR="007B4ED4" w:rsidRPr="00D65C79">
        <w:fldChar w:fldCharType="begin"/>
      </w:r>
      <w:r w:rsidR="007B4ED4" w:rsidRPr="009B6AA8">
        <w:instrText xml:space="preserve"> SEQ Figure \* ARABIC \s 1 </w:instrText>
      </w:r>
      <w:r w:rsidR="007B4ED4" w:rsidRPr="00D65C79">
        <w:fldChar w:fldCharType="separate"/>
      </w:r>
      <w:r w:rsidR="007C0448">
        <w:rPr>
          <w:noProof/>
        </w:rPr>
        <w:t>1</w:t>
      </w:r>
      <w:r w:rsidR="007B4ED4" w:rsidRPr="00D65C79">
        <w:rPr>
          <w:noProof/>
        </w:rPr>
        <w:fldChar w:fldCharType="end"/>
      </w:r>
      <w:bookmarkEnd w:id="119"/>
      <w:r w:rsidRPr="00D65C79">
        <w:t xml:space="preserve">: </w:t>
      </w:r>
      <w:r w:rsidRPr="00E06173">
        <w:t>Program logic for the review of the ROHPG Scheme 2020, showing relationship to broad review areas (grey boxes A–D), as specified in the review Terms of Reference</w:t>
      </w:r>
    </w:p>
    <w:p w14:paraId="2377D87B" w14:textId="77777777" w:rsidR="00F920EF" w:rsidRPr="00F920EF" w:rsidRDefault="00BE0142" w:rsidP="00E06173">
      <w:r w:rsidRPr="00BE0142">
        <w:rPr>
          <w:noProof/>
          <w:lang w:eastAsia="en-AU"/>
        </w:rPr>
        <w:drawing>
          <wp:inline distT="0" distB="0" distL="0" distR="0" wp14:anchorId="4B69A1D4" wp14:editId="5EF9AA9B">
            <wp:extent cx="7529445" cy="5495925"/>
            <wp:effectExtent l="0" t="0" r="0" b="0"/>
            <wp:docPr id="7" name="Picture 7" descr="Figure 3.1 is a flow chart showing the Program logic for the review of the ROHPG Scheme 2020, diagram showing relationship to broad review areas, as specified in the review Term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1  Program logic for the review of the ROHPG Scheme 2020, diagram showing relationship to broad review areas, as specified in the review Terms of Refer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39065" cy="5502947"/>
                    </a:xfrm>
                    <a:prstGeom prst="rect">
                      <a:avLst/>
                    </a:prstGeom>
                    <a:noFill/>
                    <a:ln>
                      <a:noFill/>
                    </a:ln>
                  </pic:spPr>
                </pic:pic>
              </a:graphicData>
            </a:graphic>
          </wp:inline>
        </w:drawing>
      </w:r>
    </w:p>
    <w:p w14:paraId="108BA886" w14:textId="77777777" w:rsidR="00171487" w:rsidRDefault="00171487" w:rsidP="00F920EF">
      <w:pPr>
        <w:sectPr w:rsidR="00171487" w:rsidSect="00C8436C">
          <w:headerReference w:type="default" r:id="rId17"/>
          <w:pgSz w:w="16838" w:h="11906" w:orient="landscape" w:code="9"/>
          <w:pgMar w:top="737" w:right="1304" w:bottom="1134" w:left="737" w:header="567" w:footer="284" w:gutter="0"/>
          <w:cols w:space="708"/>
          <w:docGrid w:linePitch="360"/>
        </w:sectPr>
      </w:pPr>
    </w:p>
    <w:p w14:paraId="6A308C96" w14:textId="40372A0E" w:rsidR="00171487" w:rsidRPr="004E1635" w:rsidRDefault="00171487" w:rsidP="00FF00FC">
      <w:pPr>
        <w:pStyle w:val="Header"/>
        <w:rPr>
          <w:u w:val="none"/>
        </w:rPr>
      </w:pPr>
      <w:bookmarkStart w:id="120" w:name="_Toc73696679"/>
      <w:r w:rsidRPr="004E1635">
        <w:rPr>
          <w:u w:val="none"/>
        </w:rPr>
        <w:lastRenderedPageBreak/>
        <w:t>Review Findings</w:t>
      </w:r>
      <w:bookmarkEnd w:id="120"/>
    </w:p>
    <w:p w14:paraId="7826C157" w14:textId="308910F0" w:rsidR="00171487" w:rsidRDefault="00171487" w:rsidP="00F920EF"/>
    <w:p w14:paraId="155B8681" w14:textId="77777777" w:rsidR="00171487" w:rsidRDefault="00171487" w:rsidP="00F920EF">
      <w:pPr>
        <w:sectPr w:rsidR="00171487" w:rsidSect="00E06173">
          <w:pgSz w:w="11906" w:h="16838" w:code="9"/>
          <w:pgMar w:top="1304" w:right="1134" w:bottom="737" w:left="737" w:header="567" w:footer="284" w:gutter="0"/>
          <w:cols w:space="708"/>
          <w:docGrid w:linePitch="360"/>
        </w:sectPr>
      </w:pPr>
    </w:p>
    <w:p w14:paraId="36BACF21" w14:textId="5433FF11" w:rsidR="002B51BB" w:rsidRPr="00785F73" w:rsidRDefault="00AA5B17" w:rsidP="009F3514">
      <w:pPr>
        <w:pStyle w:val="Heading1numbered"/>
      </w:pPr>
      <w:bookmarkStart w:id="121" w:name="_Key_Review_Area"/>
      <w:bookmarkStart w:id="122" w:name="_Toc59198462"/>
      <w:bookmarkStart w:id="123" w:name="_Toc66193929"/>
      <w:bookmarkStart w:id="124" w:name="_Toc73696680"/>
      <w:bookmarkEnd w:id="121"/>
      <w:r w:rsidRPr="00785F73">
        <w:t xml:space="preserve">Key </w:t>
      </w:r>
      <w:r w:rsidR="00375E68" w:rsidRPr="00785F73">
        <w:t>R</w:t>
      </w:r>
      <w:r w:rsidRPr="00785F73">
        <w:t xml:space="preserve">eview </w:t>
      </w:r>
      <w:r w:rsidR="00375E68" w:rsidRPr="00785F73">
        <w:t>A</w:t>
      </w:r>
      <w:r w:rsidRPr="00785F73">
        <w:t xml:space="preserve">rea </w:t>
      </w:r>
      <w:r w:rsidR="00375E68" w:rsidRPr="00785F73">
        <w:t>A</w:t>
      </w:r>
      <w:r w:rsidRPr="00785F73">
        <w:t>:</w:t>
      </w:r>
      <w:r w:rsidR="000D08F6" w:rsidRPr="00785F73">
        <w:t xml:space="preserve"> </w:t>
      </w:r>
      <w:r w:rsidR="00375E68" w:rsidRPr="00785F73">
        <w:t>O</w:t>
      </w:r>
      <w:r w:rsidR="000D08F6" w:rsidRPr="00785F73">
        <w:t>ngoing appropriateness</w:t>
      </w:r>
      <w:bookmarkEnd w:id="122"/>
      <w:bookmarkEnd w:id="123"/>
      <w:bookmarkEnd w:id="124"/>
    </w:p>
    <w:p w14:paraId="2DF7A634" w14:textId="4998A627" w:rsidR="00373EE3" w:rsidRPr="00F756A7" w:rsidRDefault="006432D2" w:rsidP="009F3514">
      <w:pPr>
        <w:pStyle w:val="Heading2"/>
        <w:pageBreakBefore w:val="0"/>
        <w:ind w:left="578" w:hanging="578"/>
      </w:pPr>
      <w:bookmarkStart w:id="125" w:name="_Toc59198463"/>
      <w:bookmarkStart w:id="126" w:name="_Toc66193930"/>
      <w:bookmarkStart w:id="127" w:name="_Toc73696681"/>
      <w:r w:rsidRPr="00F756A7">
        <w:t>Summary of recommendations</w:t>
      </w:r>
      <w:bookmarkEnd w:id="125"/>
      <w:bookmarkEnd w:id="126"/>
      <w:bookmarkEnd w:id="127"/>
    </w:p>
    <w:p w14:paraId="29044733" w14:textId="7A190C3E" w:rsidR="00DA2095" w:rsidRPr="009B6AA8" w:rsidRDefault="008122F2" w:rsidP="003A3EEC">
      <w:pPr>
        <w:pStyle w:val="ProjectImplication"/>
      </w:pPr>
      <w:r w:rsidRPr="009B6AA8">
        <w:rPr>
          <w:b/>
          <w:bCs/>
        </w:rPr>
        <w:t>Recommendation 1.</w:t>
      </w:r>
      <w:r w:rsidRPr="009B6AA8">
        <w:t xml:space="preserve"> </w:t>
      </w:r>
      <w:r w:rsidR="00F40F72" w:rsidRPr="009B6AA8">
        <w:t>The Department should continue to support the capital costs of high</w:t>
      </w:r>
      <w:r w:rsidR="00F40F72">
        <w:t>-</w:t>
      </w:r>
      <w:r w:rsidR="00F40F72" w:rsidRPr="009B6AA8">
        <w:t xml:space="preserve">cost RT equipment. However, steps should be taken to further integrate the </w:t>
      </w:r>
      <w:r w:rsidR="00FD606B">
        <w:t>Scheme</w:t>
      </w:r>
      <w:r w:rsidR="00F40F72" w:rsidRPr="009B6AA8">
        <w:t xml:space="preserve"> with jurisdiction RT planning.</w:t>
      </w:r>
    </w:p>
    <w:p w14:paraId="3C8CA766" w14:textId="3E31A51E" w:rsidR="008122F2" w:rsidRPr="009B6AA8" w:rsidRDefault="008122F2" w:rsidP="003A3EEC">
      <w:pPr>
        <w:pStyle w:val="ProjectImplication"/>
      </w:pPr>
      <w:r w:rsidRPr="009B6AA8">
        <w:rPr>
          <w:b/>
          <w:bCs/>
        </w:rPr>
        <w:t xml:space="preserve">Recommendation </w:t>
      </w:r>
      <w:r w:rsidR="00942057">
        <w:rPr>
          <w:b/>
          <w:bCs/>
        </w:rPr>
        <w:t>2</w:t>
      </w:r>
      <w:r w:rsidRPr="009B6AA8">
        <w:rPr>
          <w:b/>
          <w:bCs/>
        </w:rPr>
        <w:t>.</w:t>
      </w:r>
      <w:r w:rsidRPr="009B6AA8">
        <w:t xml:space="preserve"> </w:t>
      </w:r>
      <w:r w:rsidR="00F40F72" w:rsidRPr="009B6AA8">
        <w:t xml:space="preserve">Steps to better integrate the ROHPG with national and state/territory RT planning are required to prevent ongoing </w:t>
      </w:r>
      <w:r w:rsidR="00F40F72">
        <w:t>misalign</w:t>
      </w:r>
      <w:r w:rsidR="00F40F72" w:rsidRPr="009B6AA8">
        <w:t>ment of cancer planning agendas.</w:t>
      </w:r>
    </w:p>
    <w:p w14:paraId="4636E1AE" w14:textId="632444CD" w:rsidR="00373EE3" w:rsidRDefault="009D09DE" w:rsidP="009F3514">
      <w:pPr>
        <w:pStyle w:val="Heading2"/>
        <w:pageBreakBefore w:val="0"/>
      </w:pPr>
      <w:bookmarkStart w:id="128" w:name="_Toc59198464"/>
      <w:bookmarkStart w:id="129" w:name="_Toc66193931"/>
      <w:bookmarkStart w:id="130" w:name="_Toc73696682"/>
      <w:r w:rsidRPr="009B6AA8">
        <w:t>Review questions</w:t>
      </w:r>
      <w:bookmarkEnd w:id="128"/>
      <w:bookmarkEnd w:id="129"/>
      <w:bookmarkEnd w:id="130"/>
    </w:p>
    <w:p w14:paraId="41725EF7" w14:textId="77777777" w:rsidR="00373EE3" w:rsidRDefault="00DA2095" w:rsidP="004E1635">
      <w:r w:rsidRPr="009B6AA8">
        <w:t xml:space="preserve">The ROHPG Review sought to assess the </w:t>
      </w:r>
      <w:r w:rsidR="000D08F6" w:rsidRPr="009B6AA8">
        <w:t xml:space="preserve">ongoing appropriateness of the </w:t>
      </w:r>
      <w:r w:rsidR="00FD606B">
        <w:t>Scheme</w:t>
      </w:r>
      <w:r w:rsidR="000D08F6" w:rsidRPr="009B6AA8">
        <w:t>,</w:t>
      </w:r>
      <w:r w:rsidRPr="009B6AA8">
        <w:t xml:space="preserve"> </w:t>
      </w:r>
      <w:r w:rsidR="000D08F6" w:rsidRPr="009B6AA8">
        <w:t xml:space="preserve">given the current context in which it sits, and if the underlying assumptions of the </w:t>
      </w:r>
      <w:r w:rsidR="00FD606B">
        <w:t>Scheme</w:t>
      </w:r>
      <w:r w:rsidR="000D08F6" w:rsidRPr="009B6AA8">
        <w:t xml:space="preserve"> are still relevant. </w:t>
      </w:r>
      <w:r w:rsidRPr="009B6AA8">
        <w:t xml:space="preserve">The key review questions for </w:t>
      </w:r>
      <w:r w:rsidR="000D08F6" w:rsidRPr="009B6AA8">
        <w:t xml:space="preserve">ongoing </w:t>
      </w:r>
      <w:r w:rsidRPr="009B6AA8">
        <w:t>appropriateness w</w:t>
      </w:r>
      <w:r w:rsidR="000D08F6" w:rsidRPr="009B6AA8">
        <w:t>ere</w:t>
      </w:r>
      <w:r w:rsidRPr="009B6AA8">
        <w:t>:</w:t>
      </w:r>
    </w:p>
    <w:p w14:paraId="5257B296" w14:textId="427C9BD0" w:rsidR="00DA2095" w:rsidRPr="009B6AA8" w:rsidRDefault="000D08F6" w:rsidP="00DA2095">
      <w:pPr>
        <w:pStyle w:val="Quote"/>
      </w:pPr>
      <w:r w:rsidRPr="009B6AA8">
        <w:t>1: Are the objectives of the Scheme still relevant?</w:t>
      </w:r>
    </w:p>
    <w:p w14:paraId="6FA548C2" w14:textId="5DFFA453" w:rsidR="000D08F6" w:rsidRPr="009B6AA8" w:rsidRDefault="000D08F6" w:rsidP="000D08F6">
      <w:pPr>
        <w:pStyle w:val="Quote"/>
      </w:pPr>
      <w:r w:rsidRPr="009B6AA8">
        <w:t xml:space="preserve">2: Is a capital grants scheme the most appropriate way to facilitate access, </w:t>
      </w:r>
      <w:r w:rsidR="00245372">
        <w:t xml:space="preserve">and </w:t>
      </w:r>
      <w:r w:rsidRPr="009B6AA8">
        <w:t>quality and safety of radiation oncology services in Australia?</w:t>
      </w:r>
    </w:p>
    <w:p w14:paraId="7EB24D45" w14:textId="41417F78" w:rsidR="000D08F6" w:rsidRPr="009B6AA8" w:rsidRDefault="000D08F6" w:rsidP="000D08F6">
      <w:pPr>
        <w:pStyle w:val="Quote"/>
      </w:pPr>
      <w:r w:rsidRPr="009B6AA8">
        <w:t>3: How does the program intersect with other Commonwealth/State funding arrangements?</w:t>
      </w:r>
    </w:p>
    <w:p w14:paraId="46CCC204" w14:textId="4E207E33" w:rsidR="00DA2095" w:rsidRPr="009B6AA8" w:rsidRDefault="000D08F6" w:rsidP="004E1635">
      <w:r w:rsidRPr="009B6AA8">
        <w:t>The following more detailed review questions were considered:</w:t>
      </w:r>
    </w:p>
    <w:p w14:paraId="4A756DE4" w14:textId="196ACF2B" w:rsidR="000D08F6" w:rsidRPr="009B6AA8" w:rsidRDefault="000D08F6" w:rsidP="00A14E22">
      <w:pPr>
        <w:pStyle w:val="ListBullet"/>
      </w:pPr>
      <w:r w:rsidRPr="009B6AA8">
        <w:t>To what extent does radiotherapy remain a key treatment option for cancer treatment?</w:t>
      </w:r>
    </w:p>
    <w:p w14:paraId="598A2F54" w14:textId="77777777" w:rsidR="00373EE3" w:rsidRDefault="000D08F6" w:rsidP="00A14E22">
      <w:pPr>
        <w:pStyle w:val="ListBullet"/>
      </w:pPr>
      <w:r w:rsidRPr="009B6AA8">
        <w:t>What improvements have been made towards the optimal utilisation rate of radiotherapy?</w:t>
      </w:r>
    </w:p>
    <w:p w14:paraId="6FBABBA7" w14:textId="5BB212DA" w:rsidR="000D08F6" w:rsidRPr="009B6AA8" w:rsidRDefault="000D08F6" w:rsidP="00A14E22">
      <w:pPr>
        <w:pStyle w:val="ListBullet"/>
      </w:pPr>
      <w:r w:rsidRPr="009B6AA8">
        <w:t xml:space="preserve">What factors other than availability of </w:t>
      </w:r>
      <w:proofErr w:type="spellStart"/>
      <w:r w:rsidRPr="009B6AA8">
        <w:t>linacs</w:t>
      </w:r>
      <w:proofErr w:type="spellEnd"/>
      <w:r w:rsidRPr="009B6AA8">
        <w:t xml:space="preserve"> influence patient access to radiotherapy in Australia?</w:t>
      </w:r>
    </w:p>
    <w:p w14:paraId="1D9746D2" w14:textId="77777777" w:rsidR="00373EE3" w:rsidRDefault="000D08F6" w:rsidP="00A14E22">
      <w:pPr>
        <w:pStyle w:val="ListBullet"/>
      </w:pPr>
      <w:r w:rsidRPr="009B6AA8">
        <w:t>Are there alternative options for ensuring access to safe, high-quality radiotherapy services, including, for example, the National Healthcare Agreements or rolling funding into MBS?</w:t>
      </w:r>
    </w:p>
    <w:p w14:paraId="095D5618" w14:textId="25468634" w:rsidR="000D08F6" w:rsidRPr="009B6AA8" w:rsidRDefault="000D08F6" w:rsidP="00A14E22">
      <w:pPr>
        <w:pStyle w:val="ListBullet"/>
      </w:pPr>
      <w:r w:rsidRPr="009B6AA8">
        <w:t>Does a $3 million set contribution incentivise service providers to establish or expand radiotherapy service delivery? Does this occur in areas where there is a high unmet need?</w:t>
      </w:r>
    </w:p>
    <w:p w14:paraId="50A26553" w14:textId="78041447" w:rsidR="000D08F6" w:rsidRPr="009B6AA8" w:rsidRDefault="000D08F6" w:rsidP="00A14E22">
      <w:pPr>
        <w:pStyle w:val="ListBullet"/>
      </w:pPr>
      <w:r w:rsidRPr="009B6AA8">
        <w:t>To what extent does the ROHPG Scheme promote alignment with state/territory or national service planning for delivery of cancer services?</w:t>
      </w:r>
    </w:p>
    <w:p w14:paraId="5A5BA4DF" w14:textId="166AD5D4" w:rsidR="000D08F6" w:rsidRPr="009B6AA8" w:rsidRDefault="000D08F6" w:rsidP="00A14E22">
      <w:pPr>
        <w:pStyle w:val="ListBullet"/>
      </w:pPr>
      <w:r w:rsidRPr="009B6AA8">
        <w:t>To what extent are other Australian Government and jurisdiction funding sources available for radiotherapy equipment?</w:t>
      </w:r>
    </w:p>
    <w:p w14:paraId="2C81CC16" w14:textId="3EFA65E1" w:rsidR="00373EE3" w:rsidRDefault="00A14E22" w:rsidP="004E1635">
      <w:pPr>
        <w:pStyle w:val="Heading2"/>
        <w:pageBreakBefore w:val="0"/>
      </w:pPr>
      <w:bookmarkStart w:id="131" w:name="_Toc59198465"/>
      <w:bookmarkStart w:id="132" w:name="_Toc66193932"/>
      <w:bookmarkStart w:id="133" w:name="_Toc73696683"/>
      <w:r w:rsidRPr="009B6AA8">
        <w:t>Analysis and findings</w:t>
      </w:r>
      <w:bookmarkEnd w:id="131"/>
      <w:bookmarkEnd w:id="132"/>
      <w:bookmarkEnd w:id="133"/>
    </w:p>
    <w:p w14:paraId="47503119" w14:textId="7CD0D7F7" w:rsidR="00A14E22" w:rsidRPr="00BC705E" w:rsidRDefault="00A14E22" w:rsidP="009F3514">
      <w:pPr>
        <w:pStyle w:val="heading2numbered"/>
      </w:pPr>
      <w:bookmarkStart w:id="134" w:name="_Toc59198466"/>
      <w:bookmarkStart w:id="135" w:name="_Toc66193933"/>
      <w:bookmarkStart w:id="136" w:name="_Toc73696684"/>
      <w:r w:rsidRPr="00BC705E">
        <w:t>Ongoing relevance of the ROHPG scheme objectives</w:t>
      </w:r>
      <w:bookmarkEnd w:id="134"/>
      <w:bookmarkEnd w:id="135"/>
      <w:bookmarkEnd w:id="136"/>
    </w:p>
    <w:p w14:paraId="1EFE8C35" w14:textId="77777777" w:rsidR="00373EE3" w:rsidRDefault="00C23ABC" w:rsidP="00597F7C">
      <w:r w:rsidRPr="009B6AA8">
        <w:t>The review analysis identified that the objectives of the ROHPG remain relevant</w:t>
      </w:r>
      <w:r w:rsidR="00664A4C" w:rsidRPr="009B6AA8">
        <w:t>.</w:t>
      </w:r>
    </w:p>
    <w:p w14:paraId="55BA860D" w14:textId="3309265E" w:rsidR="00373EE3" w:rsidRDefault="00597F7C" w:rsidP="00C23ABC">
      <w:pPr>
        <w:spacing w:after="160" w:line="259" w:lineRule="auto"/>
      </w:pPr>
      <w:r w:rsidRPr="009B6AA8">
        <w:t xml:space="preserve">RT continues to be a major component of cancer treatment, contributing to favourable outcomes in a range of high prevalence cancers including prostate, </w:t>
      </w:r>
      <w:proofErr w:type="gramStart"/>
      <w:r w:rsidRPr="009B6AA8">
        <w:t xml:space="preserve">breast and lung cancers </w:t>
      </w:r>
      <w:sdt>
        <w:sdtPr>
          <w:id w:val="1205591677"/>
          <w:citation/>
        </w:sdtPr>
        <w:sdtContent>
          <w:r w:rsidRPr="00D65C79">
            <w:fldChar w:fldCharType="begin"/>
          </w:r>
          <w:r w:rsidRPr="009B6AA8">
            <w:instrText xml:space="preserve">CITATION Fre11 \m Bas12 \l 3081 </w:instrText>
          </w:r>
          <w:r w:rsidRPr="00D65C79">
            <w:fldChar w:fldCharType="separate"/>
          </w:r>
          <w:r w:rsidR="00264535" w:rsidRPr="00264535">
            <w:rPr>
              <w:noProof/>
            </w:rPr>
            <w:t>[23</w:t>
          </w:r>
          <w:proofErr w:type="gramEnd"/>
          <w:r w:rsidR="00264535" w:rsidRPr="00264535">
            <w:rPr>
              <w:noProof/>
            </w:rPr>
            <w:t>, 24]</w:t>
          </w:r>
          <w:r w:rsidRPr="00D65C79">
            <w:fldChar w:fldCharType="end"/>
          </w:r>
        </w:sdtContent>
      </w:sdt>
      <w:r w:rsidRPr="00D65C79">
        <w:t xml:space="preserve">. RT is commonly used in combination with other treatment options including surgery and chemotherapy </w:t>
      </w:r>
      <w:sdt>
        <w:sdtPr>
          <w:id w:val="-1115355876"/>
          <w:citation/>
        </w:sdtPr>
        <w:sdtContent>
          <w:r w:rsidRPr="00D65C79">
            <w:fldChar w:fldCharType="begin"/>
          </w:r>
          <w:r w:rsidRPr="009B6AA8">
            <w:instrText xml:space="preserve"> CITATION Fon12 \l 3081 </w:instrText>
          </w:r>
          <w:r w:rsidRPr="00D65C79">
            <w:fldChar w:fldCharType="separate"/>
          </w:r>
          <w:r w:rsidR="00264535" w:rsidRPr="00264535">
            <w:rPr>
              <w:noProof/>
            </w:rPr>
            <w:t>[9]</w:t>
          </w:r>
          <w:r w:rsidRPr="00D65C79">
            <w:fldChar w:fldCharType="end"/>
          </w:r>
        </w:sdtContent>
      </w:sdt>
      <w:r w:rsidR="00C23ABC" w:rsidRPr="00D65C79">
        <w:t xml:space="preserve"> and there </w:t>
      </w:r>
      <w:r w:rsidRPr="00D65C79">
        <w:t xml:space="preserve">is evidence to suggest that some early stage cancers can be cured by RT alone </w:t>
      </w:r>
      <w:sdt>
        <w:sdtPr>
          <w:id w:val="1145160498"/>
          <w:citation/>
        </w:sdtPr>
        <w:sdtContent>
          <w:r w:rsidRPr="00D65C79">
            <w:fldChar w:fldCharType="begin"/>
          </w:r>
          <w:r w:rsidRPr="009B6AA8">
            <w:instrText xml:space="preserve">CITATION Bas12 \l 3081 </w:instrText>
          </w:r>
          <w:r w:rsidRPr="00D65C79">
            <w:fldChar w:fldCharType="separate"/>
          </w:r>
          <w:r w:rsidR="00264535" w:rsidRPr="00264535">
            <w:rPr>
              <w:noProof/>
            </w:rPr>
            <w:t>[24]</w:t>
          </w:r>
          <w:r w:rsidRPr="00D65C79">
            <w:fldChar w:fldCharType="end"/>
          </w:r>
        </w:sdtContent>
      </w:sdt>
      <w:r w:rsidRPr="00D65C79">
        <w:t>.</w:t>
      </w:r>
    </w:p>
    <w:p w14:paraId="56A42EC0" w14:textId="716D3CE4" w:rsidR="00373EE3" w:rsidRDefault="00597F7C" w:rsidP="00C23ABC">
      <w:pPr>
        <w:spacing w:after="160" w:line="259" w:lineRule="auto"/>
      </w:pPr>
      <w:r w:rsidRPr="009B6AA8">
        <w:t xml:space="preserve">Compared to other cancer treatments such as surgery and chemotherapy, RT is considered highly cost-effective as a single modality treatment, accounting for approximately 5% of the cost of cancer care </w:t>
      </w:r>
      <w:sdt>
        <w:sdtPr>
          <w:id w:val="-1635019399"/>
          <w:citation/>
        </w:sdtPr>
        <w:sdtContent>
          <w:r w:rsidRPr="00D65C79">
            <w:fldChar w:fldCharType="begin"/>
          </w:r>
          <w:r w:rsidRPr="009B6AA8">
            <w:instrText xml:space="preserve">CITATION Bas12 \l 1033 </w:instrText>
          </w:r>
          <w:r w:rsidRPr="00D65C79">
            <w:fldChar w:fldCharType="separate"/>
          </w:r>
          <w:r w:rsidR="00264535" w:rsidRPr="00264535">
            <w:rPr>
              <w:noProof/>
            </w:rPr>
            <w:t>[24]</w:t>
          </w:r>
          <w:r w:rsidRPr="00D65C79">
            <w:fldChar w:fldCharType="end"/>
          </w:r>
        </w:sdtContent>
      </w:sdt>
      <w:r w:rsidRPr="00D65C79">
        <w:t xml:space="preserve">. </w:t>
      </w:r>
      <w:r w:rsidR="00C23ABC" w:rsidRPr="00D65C79">
        <w:t xml:space="preserve">RT is also used in palliative care to reduce </w:t>
      </w:r>
      <w:r w:rsidR="00664A4C" w:rsidRPr="009B6AA8">
        <w:t xml:space="preserve">the impact of cancer patient’s </w:t>
      </w:r>
      <w:r w:rsidRPr="009B6AA8">
        <w:t>symptoms</w:t>
      </w:r>
      <w:r w:rsidR="00664A4C" w:rsidRPr="009B6AA8">
        <w:t xml:space="preserve"> </w:t>
      </w:r>
      <w:r w:rsidRPr="009B6AA8">
        <w:t>and increas</w:t>
      </w:r>
      <w:r w:rsidR="00664A4C" w:rsidRPr="009B6AA8">
        <w:t>e</w:t>
      </w:r>
      <w:r w:rsidRPr="009B6AA8">
        <w:t xml:space="preserve"> </w:t>
      </w:r>
      <w:r w:rsidR="00664A4C" w:rsidRPr="009B6AA8">
        <w:t xml:space="preserve">their </w:t>
      </w:r>
      <w:r w:rsidRPr="009B6AA8">
        <w:t>quality of life (</w:t>
      </w:r>
      <w:proofErr w:type="spellStart"/>
      <w:r w:rsidRPr="009B6AA8">
        <w:t>QoL</w:t>
      </w:r>
      <w:proofErr w:type="spellEnd"/>
      <w:r w:rsidRPr="009B6AA8">
        <w:t xml:space="preserve">) </w:t>
      </w:r>
      <w:sdt>
        <w:sdtPr>
          <w:id w:val="-1336525432"/>
          <w:citation/>
        </w:sdtPr>
        <w:sdtContent>
          <w:r w:rsidRPr="00D65C79">
            <w:fldChar w:fldCharType="begin"/>
          </w:r>
          <w:r w:rsidRPr="009B6AA8">
            <w:instrText xml:space="preserve">CITATION Bas12 \m Spe18 \l 3081 </w:instrText>
          </w:r>
          <w:r w:rsidRPr="00D65C79">
            <w:fldChar w:fldCharType="separate"/>
          </w:r>
          <w:r w:rsidR="00264535" w:rsidRPr="00264535">
            <w:rPr>
              <w:noProof/>
            </w:rPr>
            <w:t>[24, 25]</w:t>
          </w:r>
          <w:r w:rsidRPr="00D65C79">
            <w:fldChar w:fldCharType="end"/>
          </w:r>
        </w:sdtContent>
      </w:sdt>
      <w:r w:rsidRPr="00D65C79">
        <w:t xml:space="preserve">. Additionally, advances in software, imaging and </w:t>
      </w:r>
      <w:proofErr w:type="spellStart"/>
      <w:r w:rsidRPr="00D65C79">
        <w:t>linacs</w:t>
      </w:r>
      <w:proofErr w:type="spellEnd"/>
      <w:r w:rsidRPr="00D65C79">
        <w:t xml:space="preserve"> have allowed RT to become increasingly targeted, sparing healthy tissue surrounding the tumour </w:t>
      </w:r>
      <w:sdt>
        <w:sdtPr>
          <w:id w:val="-626235350"/>
          <w:citation/>
        </w:sdtPr>
        <w:sdtContent>
          <w:r w:rsidRPr="00D65C79">
            <w:fldChar w:fldCharType="begin"/>
          </w:r>
          <w:r w:rsidRPr="009B6AA8">
            <w:instrText xml:space="preserve">CITATION Bas12 \m Spe18 \l 3081 </w:instrText>
          </w:r>
          <w:r w:rsidRPr="00D65C79">
            <w:fldChar w:fldCharType="separate"/>
          </w:r>
          <w:r w:rsidR="00264535" w:rsidRPr="00264535">
            <w:rPr>
              <w:noProof/>
            </w:rPr>
            <w:t>[24, 25]</w:t>
          </w:r>
          <w:r w:rsidRPr="00D65C79">
            <w:fldChar w:fldCharType="end"/>
          </w:r>
        </w:sdtContent>
      </w:sdt>
      <w:r w:rsidRPr="00D65C79">
        <w:t xml:space="preserve"> thus reducing side effects.</w:t>
      </w:r>
    </w:p>
    <w:p w14:paraId="17F591B4" w14:textId="647AD0AB" w:rsidR="00597F7C" w:rsidRPr="009B6AA8" w:rsidRDefault="00C23ABC" w:rsidP="00597F7C">
      <w:r w:rsidRPr="009B6AA8">
        <w:t>All stakeholders considered external beam RT to be an essential option in the ongoing delivery of quality cancer care in Australia with continuing significance as a curative or adjunct treatment, as well as part of palliative care for most cancer types.</w:t>
      </w:r>
    </w:p>
    <w:p w14:paraId="152A06E2" w14:textId="217E7F1B" w:rsidR="00C23ABC" w:rsidRPr="009B6AA8" w:rsidRDefault="00C23ABC" w:rsidP="003A3EEC">
      <w:pPr>
        <w:pStyle w:val="Finding"/>
      </w:pPr>
      <w:r w:rsidRPr="009B6AA8">
        <w:lastRenderedPageBreak/>
        <w:t>The use of RT to improve health outcomes for cancer patients remains a relevant objective of the ROHPG.</w:t>
      </w:r>
    </w:p>
    <w:p w14:paraId="35921557" w14:textId="77777777" w:rsidR="00373EE3" w:rsidRDefault="00863ACF" w:rsidP="0038602E">
      <w:pPr>
        <w:spacing w:before="240"/>
      </w:pPr>
      <w:r w:rsidRPr="009B6AA8">
        <w:t>Given the ongoing relevance of RT in the provision of cancer care</w:t>
      </w:r>
      <w:r w:rsidR="00E319AE">
        <w:t>,</w:t>
      </w:r>
      <w:r w:rsidR="00902D8F" w:rsidRPr="009B6AA8">
        <w:t xml:space="preserve"> it is important to e</w:t>
      </w:r>
      <w:r w:rsidRPr="009B6AA8">
        <w:t>nsur</w:t>
      </w:r>
      <w:r w:rsidR="00863AFD">
        <w:t>e</w:t>
      </w:r>
      <w:r w:rsidRPr="009B6AA8">
        <w:t xml:space="preserve"> adequate and equitable access</w:t>
      </w:r>
      <w:r w:rsidR="00664A4C" w:rsidRPr="009B6AA8">
        <w:t xml:space="preserve"> to the modality.</w:t>
      </w:r>
    </w:p>
    <w:p w14:paraId="3AEF03B4" w14:textId="0B46C226" w:rsidR="00902D8F" w:rsidRPr="00D65C79" w:rsidRDefault="00863ACF" w:rsidP="00902D8F">
      <w:r w:rsidRPr="009B6AA8">
        <w:t xml:space="preserve">In particular, ensuring access for </w:t>
      </w:r>
      <w:r w:rsidR="00902D8F" w:rsidRPr="009B6AA8">
        <w:t xml:space="preserve">people in regional and rural communities </w:t>
      </w:r>
      <w:r w:rsidR="00664A4C" w:rsidRPr="009B6AA8">
        <w:t xml:space="preserve">is important </w:t>
      </w:r>
      <w:r w:rsidR="00902D8F" w:rsidRPr="009B6AA8">
        <w:t xml:space="preserve">as studies have shown that patients required to travel longer distances to the nearest RT </w:t>
      </w:r>
      <w:r w:rsidR="00C62BBC">
        <w:t>facility</w:t>
      </w:r>
      <w:r w:rsidR="00902D8F" w:rsidRPr="009B6AA8">
        <w:t xml:space="preserve"> are less likely to receive services </w:t>
      </w:r>
      <w:sdt>
        <w:sdtPr>
          <w:id w:val="-571271605"/>
          <w:citation/>
        </w:sdtPr>
        <w:sdtContent>
          <w:r w:rsidR="00902D8F" w:rsidRPr="00D65C79">
            <w:fldChar w:fldCharType="begin"/>
          </w:r>
          <w:r w:rsidR="00902D8F" w:rsidRPr="009B6AA8">
            <w:instrText xml:space="preserve"> CITATION Gab15 \l 3081 </w:instrText>
          </w:r>
          <w:r w:rsidR="00902D8F" w:rsidRPr="00D65C79">
            <w:fldChar w:fldCharType="separate"/>
          </w:r>
          <w:r w:rsidR="00264535" w:rsidRPr="00264535">
            <w:rPr>
              <w:noProof/>
            </w:rPr>
            <w:t>[19]</w:t>
          </w:r>
          <w:r w:rsidR="00902D8F" w:rsidRPr="00D65C79">
            <w:fldChar w:fldCharType="end"/>
          </w:r>
        </w:sdtContent>
      </w:sdt>
      <w:r w:rsidR="00902D8F" w:rsidRPr="00D65C79">
        <w:t xml:space="preserve"> </w:t>
      </w:r>
      <w:sdt>
        <w:sdtPr>
          <w:id w:val="1338111611"/>
          <w:citation/>
        </w:sdtPr>
        <w:sdtContent>
          <w:r w:rsidR="00902D8F" w:rsidRPr="00D65C79">
            <w:fldChar w:fldCharType="begin"/>
          </w:r>
          <w:r w:rsidR="00902D8F" w:rsidRPr="009B6AA8">
            <w:instrText xml:space="preserve"> CITATION Hen14 \l 3081 </w:instrText>
          </w:r>
          <w:r w:rsidR="00902D8F" w:rsidRPr="00D65C79">
            <w:fldChar w:fldCharType="separate"/>
          </w:r>
          <w:r w:rsidR="00264535" w:rsidRPr="00264535">
            <w:rPr>
              <w:noProof/>
            </w:rPr>
            <w:t>[16]</w:t>
          </w:r>
          <w:r w:rsidR="00902D8F" w:rsidRPr="00D65C79">
            <w:fldChar w:fldCharType="end"/>
          </w:r>
        </w:sdtContent>
      </w:sdt>
      <w:r w:rsidR="00B45512" w:rsidRPr="00D65C79">
        <w:t xml:space="preserve">, and have poorer survival rates </w:t>
      </w:r>
      <w:sdt>
        <w:sdtPr>
          <w:id w:val="-721516260"/>
          <w:citation/>
        </w:sdtPr>
        <w:sdtContent>
          <w:r w:rsidR="00B45512" w:rsidRPr="00D65C79">
            <w:fldChar w:fldCharType="begin"/>
          </w:r>
          <w:r w:rsidR="00B45512" w:rsidRPr="009B6AA8">
            <w:instrText xml:space="preserve"> CITATION Baa11 \l 1033 </w:instrText>
          </w:r>
          <w:r w:rsidR="00B45512" w:rsidRPr="00D65C79">
            <w:fldChar w:fldCharType="separate"/>
          </w:r>
          <w:r w:rsidR="00264535" w:rsidRPr="00264535">
            <w:rPr>
              <w:noProof/>
            </w:rPr>
            <w:t>[20]</w:t>
          </w:r>
          <w:r w:rsidR="00B45512" w:rsidRPr="00D65C79">
            <w:fldChar w:fldCharType="end"/>
          </w:r>
        </w:sdtContent>
      </w:sdt>
      <w:r w:rsidR="00B45512" w:rsidRPr="00D65C79">
        <w:t>.</w:t>
      </w:r>
    </w:p>
    <w:p w14:paraId="3C6AA524" w14:textId="24EA956B" w:rsidR="00373EE3" w:rsidRDefault="0038602E" w:rsidP="00902D8F">
      <w:r w:rsidRPr="009B6AA8">
        <w:t>In addition, AIHW data on RT waiting times indicate</w:t>
      </w:r>
      <w:r w:rsidR="007A252F" w:rsidRPr="009B6AA8">
        <w:t>d</w:t>
      </w:r>
      <w:r w:rsidRPr="009B6AA8">
        <w:t xml:space="preserve"> that people from the lowest socio-economic areas have to wait an average of four days longer than those in the highest socio-economic areas (50% of patients in the lowest quintile commenced treatment in 12 days, compared to 8 days for patients in the highest quintile)</w:t>
      </w:r>
      <w:r w:rsidR="00144975" w:rsidRPr="00D65C79">
        <w:rPr>
          <w:rStyle w:val="FootnoteReference"/>
        </w:rPr>
        <w:footnoteReference w:id="6"/>
      </w:r>
      <w:sdt>
        <w:sdtPr>
          <w:id w:val="1187708002"/>
          <w:citation/>
        </w:sdtPr>
        <w:sdtContent>
          <w:r w:rsidRPr="00D65C79">
            <w:fldChar w:fldCharType="begin"/>
          </w:r>
          <w:r w:rsidRPr="009B6AA8">
            <w:instrText xml:space="preserve"> CITATION Aus19 \l 2057 </w:instrText>
          </w:r>
          <w:r w:rsidRPr="00D65C79">
            <w:fldChar w:fldCharType="separate"/>
          </w:r>
          <w:r w:rsidR="00264535">
            <w:rPr>
              <w:noProof/>
            </w:rPr>
            <w:t xml:space="preserve"> </w:t>
          </w:r>
          <w:r w:rsidR="00264535" w:rsidRPr="00264535">
            <w:rPr>
              <w:noProof/>
            </w:rPr>
            <w:t>[17]</w:t>
          </w:r>
          <w:r w:rsidRPr="00D65C79">
            <w:fldChar w:fldCharType="end"/>
          </w:r>
        </w:sdtContent>
      </w:sdt>
      <w:r w:rsidRPr="00D65C79">
        <w:t>.</w:t>
      </w:r>
    </w:p>
    <w:p w14:paraId="69B13D26" w14:textId="77777777" w:rsidR="00373EE3" w:rsidRDefault="00B45512" w:rsidP="00902D8F">
      <w:r w:rsidRPr="009B6AA8">
        <w:t xml:space="preserve">During consultation, jurisdictional departments and public RT </w:t>
      </w:r>
      <w:r w:rsidR="007A75A8">
        <w:t>facilities</w:t>
      </w:r>
      <w:r w:rsidRPr="009B6AA8">
        <w:t xml:space="preserve"> </w:t>
      </w:r>
      <w:r w:rsidR="00664A4C" w:rsidRPr="009B6AA8">
        <w:t xml:space="preserve">identified several other </w:t>
      </w:r>
      <w:r w:rsidRPr="009B6AA8">
        <w:t>factors influencing RT access includ</w:t>
      </w:r>
      <w:r w:rsidR="00664A4C" w:rsidRPr="009B6AA8">
        <w:t>ing</w:t>
      </w:r>
      <w:r w:rsidRPr="009B6AA8">
        <w:t>:</w:t>
      </w:r>
    </w:p>
    <w:p w14:paraId="0D848F49" w14:textId="77777777" w:rsidR="00373EE3" w:rsidRPr="004E1635" w:rsidRDefault="00B45512" w:rsidP="004E1635">
      <w:pPr>
        <w:pStyle w:val="ListBullet"/>
      </w:pPr>
      <w:r w:rsidRPr="009B6AA8">
        <w:t xml:space="preserve">knowledge of RT </w:t>
      </w:r>
      <w:r w:rsidRPr="004E1635">
        <w:t>applicability and availability by general practitioners and other referrers</w:t>
      </w:r>
    </w:p>
    <w:p w14:paraId="09FB0746" w14:textId="4F83C760" w:rsidR="00B45512" w:rsidRPr="004E1635" w:rsidRDefault="00B45512" w:rsidP="004E1635">
      <w:pPr>
        <w:pStyle w:val="ListBullet"/>
      </w:pPr>
      <w:r w:rsidRPr="004E1635">
        <w:t>inability or unwillingness to travel for treatment (e.g. if the patient has work or carer responsibilities)</w:t>
      </w:r>
    </w:p>
    <w:p w14:paraId="2165FD84" w14:textId="77777777" w:rsidR="00373EE3" w:rsidRPr="004E1635" w:rsidRDefault="00B45512" w:rsidP="004E1635">
      <w:pPr>
        <w:pStyle w:val="ListBullet"/>
      </w:pPr>
      <w:r w:rsidRPr="004E1635">
        <w:t>travel and accommodation costs during treatment, and</w:t>
      </w:r>
    </w:p>
    <w:p w14:paraId="4C432F82" w14:textId="31799C17" w:rsidR="00B45512" w:rsidRPr="004E1635" w:rsidRDefault="00E319AE" w:rsidP="004E1635">
      <w:pPr>
        <w:pStyle w:val="ListBullet"/>
      </w:pPr>
      <w:proofErr w:type="gramStart"/>
      <w:r w:rsidRPr="004E1635">
        <w:t>out-of-</w:t>
      </w:r>
      <w:r w:rsidR="00B45512" w:rsidRPr="004E1635">
        <w:t>pocket</w:t>
      </w:r>
      <w:proofErr w:type="gramEnd"/>
      <w:r w:rsidR="00B45512" w:rsidRPr="004E1635">
        <w:t xml:space="preserve"> costs for patients</w:t>
      </w:r>
      <w:r w:rsidR="0038602E" w:rsidRPr="004E1635">
        <w:t>.</w:t>
      </w:r>
    </w:p>
    <w:p w14:paraId="7CB23A3A" w14:textId="0C9EADCF" w:rsidR="00B45512" w:rsidRPr="009B6AA8" w:rsidRDefault="00B45512" w:rsidP="00144975">
      <w:pPr>
        <w:keepNext/>
      </w:pPr>
      <w:r w:rsidRPr="009B6AA8">
        <w:t>In the Northern Territory, access by Aboriginal and Torres Strait Islander</w:t>
      </w:r>
      <w:r w:rsidR="00664A4C" w:rsidRPr="009B6AA8">
        <w:t xml:space="preserve"> people</w:t>
      </w:r>
      <w:r w:rsidRPr="009B6AA8">
        <w:t xml:space="preserve"> was noted as an important consideration. The RT </w:t>
      </w:r>
      <w:r w:rsidR="00C62BBC">
        <w:t>facility</w:t>
      </w:r>
      <w:r w:rsidRPr="009B6AA8">
        <w:t xml:space="preserve"> in the </w:t>
      </w:r>
      <w:r w:rsidR="0038602E" w:rsidRPr="009B6AA8">
        <w:t>Northern</w:t>
      </w:r>
      <w:r w:rsidRPr="009B6AA8">
        <w:t xml:space="preserve"> Territory (a private provider working in a </w:t>
      </w:r>
      <w:r w:rsidR="0068358F">
        <w:t>public-private</w:t>
      </w:r>
      <w:r w:rsidRPr="009B6AA8">
        <w:t xml:space="preserve"> partnership) said:</w:t>
      </w:r>
    </w:p>
    <w:p w14:paraId="636ABD70" w14:textId="4039B009" w:rsidR="00902D8F" w:rsidRPr="009B6AA8" w:rsidRDefault="00B45512" w:rsidP="0038602E">
      <w:pPr>
        <w:pStyle w:val="Quote"/>
      </w:pPr>
      <w:r w:rsidRPr="009B6AA8">
        <w:t>‘We work hard with Aboriginal Medical Services and Aboriginal Controlled Community Health Organisations to incentivise Aboriginal and Torres Strait Islander people to attend RT and to complete treatment. We provide an education program to Aboriginal Health Worker</w:t>
      </w:r>
      <w:r w:rsidR="00664A4C" w:rsidRPr="009B6AA8">
        <w:t>s</w:t>
      </w:r>
      <w:r w:rsidRPr="009B6AA8">
        <w:t xml:space="preserve"> (Certificate IV) </w:t>
      </w:r>
      <w:r w:rsidR="0038602E" w:rsidRPr="009B6AA8">
        <w:t xml:space="preserve">who can then </w:t>
      </w:r>
      <w:r w:rsidRPr="009B6AA8">
        <w:t>educate their patients. Compliance rate</w:t>
      </w:r>
      <w:r w:rsidR="0038602E" w:rsidRPr="009B6AA8">
        <w:t>s</w:t>
      </w:r>
      <w:r w:rsidRPr="009B6AA8">
        <w:t xml:space="preserve"> </w:t>
      </w:r>
      <w:r w:rsidR="0038602E" w:rsidRPr="009B6AA8">
        <w:t xml:space="preserve">have </w:t>
      </w:r>
      <w:r w:rsidRPr="009B6AA8">
        <w:t>increased from 83% to 95% for completion of treatment.</w:t>
      </w:r>
      <w:r w:rsidR="0038602E" w:rsidRPr="009B6AA8">
        <w:t>’</w:t>
      </w:r>
    </w:p>
    <w:p w14:paraId="13F6B45F" w14:textId="77777777" w:rsidR="00373EE3" w:rsidRPr="003A3EEC" w:rsidRDefault="00664A4C" w:rsidP="003A3EEC">
      <w:pPr>
        <w:pStyle w:val="Finding"/>
      </w:pPr>
      <w:r w:rsidRPr="003A3EEC">
        <w:t>Promoting</w:t>
      </w:r>
      <w:r w:rsidR="0038602E" w:rsidRPr="003A3EEC">
        <w:t xml:space="preserve"> adequate and equitable access to radiation oncology services is an important objective for the ROHPG.</w:t>
      </w:r>
    </w:p>
    <w:p w14:paraId="114BC8B8" w14:textId="77777777" w:rsidR="00373EE3" w:rsidRDefault="00CF197C" w:rsidP="00E1147B">
      <w:pPr>
        <w:spacing w:before="240"/>
      </w:pPr>
      <w:r w:rsidRPr="009B6AA8">
        <w:t xml:space="preserve">In 2002, an inquiry into radiotherapy (the Baume Inquiry) identified a number of </w:t>
      </w:r>
      <w:r w:rsidR="00664A4C" w:rsidRPr="009B6AA8">
        <w:t xml:space="preserve">concerns with </w:t>
      </w:r>
      <w:r w:rsidRPr="009B6AA8">
        <w:t xml:space="preserve">radiation oncology </w:t>
      </w:r>
      <w:r w:rsidR="00664A4C" w:rsidRPr="009B6AA8">
        <w:t>at a national level</w:t>
      </w:r>
      <w:r w:rsidRPr="009B6AA8">
        <w:t xml:space="preserve">, including quality and safety issues. In response to this </w:t>
      </w:r>
      <w:r w:rsidR="00664A4C" w:rsidRPr="009B6AA8">
        <w:t xml:space="preserve">finding </w:t>
      </w:r>
      <w:r w:rsidRPr="009B6AA8">
        <w:t>it was recommended that a ‘quality program’ be developed and implemented as a priority, encompassing:</w:t>
      </w:r>
    </w:p>
    <w:p w14:paraId="1AF2A784" w14:textId="7A7262F8" w:rsidR="00CF197C" w:rsidRPr="009B6AA8" w:rsidRDefault="00CF197C" w:rsidP="004E1635">
      <w:pPr>
        <w:pStyle w:val="ListBullet"/>
      </w:pPr>
      <w:r w:rsidRPr="009B6AA8">
        <w:t>facility accreditation</w:t>
      </w:r>
    </w:p>
    <w:p w14:paraId="6A113B68" w14:textId="649FE39F" w:rsidR="00CF197C" w:rsidRPr="009B6AA8" w:rsidRDefault="00CF197C" w:rsidP="00CF197C">
      <w:pPr>
        <w:pStyle w:val="ListBullet"/>
      </w:pPr>
      <w:r w:rsidRPr="009B6AA8">
        <w:t>participation in a dosimetry program,</w:t>
      </w:r>
      <w:r w:rsidR="00664A4C" w:rsidRPr="009B6AA8">
        <w:t xml:space="preserve"> and</w:t>
      </w:r>
    </w:p>
    <w:p w14:paraId="3220F76C" w14:textId="06C3494C" w:rsidR="00CF197C" w:rsidRPr="009B6AA8" w:rsidRDefault="00CF197C" w:rsidP="00CF197C">
      <w:pPr>
        <w:pStyle w:val="ListBullet"/>
      </w:pPr>
      <w:proofErr w:type="gramStart"/>
      <w:r w:rsidRPr="009B6AA8">
        <w:t>participation</w:t>
      </w:r>
      <w:proofErr w:type="gramEnd"/>
      <w:r w:rsidRPr="009B6AA8">
        <w:t xml:space="preserve"> in an incident monitoring system for radiation oncology.</w:t>
      </w:r>
    </w:p>
    <w:p w14:paraId="35C0C0A1" w14:textId="5F891427" w:rsidR="00CF197C" w:rsidRPr="00D65C79" w:rsidRDefault="00664A4C" w:rsidP="00CF197C">
      <w:r w:rsidRPr="009B6AA8">
        <w:t xml:space="preserve">The </w:t>
      </w:r>
      <w:r w:rsidR="00CF197C" w:rsidRPr="009B6AA8">
        <w:t>Radiation Oncology Tripartite Committee</w:t>
      </w:r>
      <w:r w:rsidR="00CF197C" w:rsidRPr="00D65C79">
        <w:rPr>
          <w:rStyle w:val="FootnoteReference"/>
        </w:rPr>
        <w:footnoteReference w:id="7"/>
      </w:r>
      <w:r w:rsidR="00CF197C" w:rsidRPr="00D65C79">
        <w:t xml:space="preserve"> </w:t>
      </w:r>
      <w:r w:rsidRPr="00D65C79">
        <w:t xml:space="preserve">has </w:t>
      </w:r>
      <w:r w:rsidR="00CF197C" w:rsidRPr="00D65C79">
        <w:t>developed Radiation Oncology Practice Standards</w:t>
      </w:r>
      <w:r w:rsidR="00CF197C" w:rsidRPr="009B6AA8">
        <w:t xml:space="preserve"> (last updated in 2018) that address the above issues and seek to incorporate </w:t>
      </w:r>
      <w:r w:rsidRPr="009B6AA8">
        <w:t xml:space="preserve">a more comprehensive assessment of RT </w:t>
      </w:r>
      <w:r w:rsidR="00CF197C" w:rsidRPr="009B6AA8">
        <w:t xml:space="preserve">risk management </w:t>
      </w:r>
      <w:r w:rsidRPr="009B6AA8">
        <w:t>issues</w:t>
      </w:r>
      <w:r w:rsidR="007A2ED8" w:rsidRPr="009B6AA8">
        <w:t xml:space="preserve"> </w:t>
      </w:r>
      <w:sdt>
        <w:sdtPr>
          <w:id w:val="1107545685"/>
          <w:citation/>
        </w:sdtPr>
        <w:sdtContent>
          <w:r w:rsidR="005C5BDD" w:rsidRPr="00D65C79">
            <w:fldChar w:fldCharType="begin"/>
          </w:r>
          <w:r w:rsidR="005C5BDD" w:rsidRPr="009B6AA8">
            <w:instrText xml:space="preserve"> CITATION Rad18 \l 2057 </w:instrText>
          </w:r>
          <w:r w:rsidR="005C5BDD" w:rsidRPr="00D65C79">
            <w:fldChar w:fldCharType="separate"/>
          </w:r>
          <w:r w:rsidR="00264535" w:rsidRPr="00264535">
            <w:rPr>
              <w:noProof/>
            </w:rPr>
            <w:t>[26]</w:t>
          </w:r>
          <w:r w:rsidR="005C5BDD" w:rsidRPr="00D65C79">
            <w:fldChar w:fldCharType="end"/>
          </w:r>
        </w:sdtContent>
      </w:sdt>
      <w:sdt>
        <w:sdtPr>
          <w:id w:val="1188180471"/>
          <w:citation/>
        </w:sdtPr>
        <w:sdtContent>
          <w:r w:rsidR="005C5BDD" w:rsidRPr="00D65C79">
            <w:fldChar w:fldCharType="begin"/>
          </w:r>
          <w:r w:rsidR="005C5BDD" w:rsidRPr="009B6AA8">
            <w:instrText xml:space="preserve"> CITATION Rad02 \l 2057 </w:instrText>
          </w:r>
          <w:r w:rsidR="005C5BDD" w:rsidRPr="00D65C79">
            <w:fldChar w:fldCharType="separate"/>
          </w:r>
          <w:r w:rsidR="00264535">
            <w:rPr>
              <w:noProof/>
            </w:rPr>
            <w:t xml:space="preserve"> </w:t>
          </w:r>
          <w:r w:rsidR="00264535" w:rsidRPr="00264535">
            <w:rPr>
              <w:noProof/>
            </w:rPr>
            <w:t>[27]</w:t>
          </w:r>
          <w:r w:rsidR="005C5BDD" w:rsidRPr="00D65C79">
            <w:fldChar w:fldCharType="end"/>
          </w:r>
        </w:sdtContent>
      </w:sdt>
      <w:r w:rsidR="00CF197C" w:rsidRPr="00D65C79">
        <w:t>.</w:t>
      </w:r>
    </w:p>
    <w:p w14:paraId="65C7C297" w14:textId="77777777" w:rsidR="00373EE3" w:rsidRDefault="00C521F5" w:rsidP="00CF197C">
      <w:r w:rsidRPr="009B6AA8">
        <w:t>Regarding</w:t>
      </w:r>
      <w:r w:rsidR="00EB43F1" w:rsidRPr="009B6AA8">
        <w:t xml:space="preserve"> the maintenance of </w:t>
      </w:r>
      <w:proofErr w:type="spellStart"/>
      <w:r w:rsidR="00EB43F1" w:rsidRPr="009B6AA8">
        <w:t>linacs</w:t>
      </w:r>
      <w:proofErr w:type="spellEnd"/>
      <w:r w:rsidR="00EB43F1" w:rsidRPr="009B6AA8">
        <w:t xml:space="preserve"> specifically, dosimetry monitoring is a key safety consideration to ensure </w:t>
      </w:r>
      <w:proofErr w:type="spellStart"/>
      <w:r w:rsidR="00EB43F1" w:rsidRPr="009B6AA8">
        <w:t>linacs</w:t>
      </w:r>
      <w:proofErr w:type="spellEnd"/>
      <w:r w:rsidR="00EB43F1" w:rsidRPr="009B6AA8">
        <w:t xml:space="preserve"> deliver and patients receive the required dose of radiotherapy.</w:t>
      </w:r>
    </w:p>
    <w:p w14:paraId="624B67E1" w14:textId="77777777" w:rsidR="00373EE3" w:rsidRDefault="00EB43F1" w:rsidP="005C5BDD">
      <w:r w:rsidRPr="009B6AA8">
        <w:t xml:space="preserve">In response to two RT incidents, </w:t>
      </w:r>
      <w:r w:rsidR="005C5BDD" w:rsidRPr="009B6AA8">
        <w:t xml:space="preserve">the Australian Clinical Dosimetry Service (ACDS) was established as a national independent dosimetry auditing program </w:t>
      </w:r>
      <w:r w:rsidRPr="009B6AA8">
        <w:t xml:space="preserve">in 2010 </w:t>
      </w:r>
      <w:r w:rsidR="005C5BDD" w:rsidRPr="009B6AA8">
        <w:t xml:space="preserve">(managed under the </w:t>
      </w:r>
      <w:r w:rsidR="00664A4C" w:rsidRPr="009B6AA8">
        <w:t xml:space="preserve">auspices of the </w:t>
      </w:r>
      <w:r w:rsidR="005C5BDD" w:rsidRPr="009B6AA8">
        <w:t xml:space="preserve">Australian Radiation Protection and Nuclear Safety Agency (ARPANSA)). The ACDS received </w:t>
      </w:r>
      <w:r w:rsidR="00935249" w:rsidRPr="009B6AA8">
        <w:t xml:space="preserve">federal government </w:t>
      </w:r>
      <w:r w:rsidR="005C5BDD" w:rsidRPr="009B6AA8">
        <w:t xml:space="preserve">funding for four </w:t>
      </w:r>
      <w:r w:rsidRPr="009B6AA8">
        <w:t>years</w:t>
      </w:r>
      <w:r w:rsidR="005C5BDD" w:rsidRPr="009B6AA8">
        <w:t xml:space="preserve"> to </w:t>
      </w:r>
      <w:r w:rsidRPr="009B6AA8">
        <w:t>pilot</w:t>
      </w:r>
      <w:r w:rsidR="005C5BDD" w:rsidRPr="009B6AA8">
        <w:t xml:space="preserve"> the program, then an additional two years of funding to </w:t>
      </w:r>
      <w:r w:rsidRPr="009B6AA8">
        <w:t>transition</w:t>
      </w:r>
      <w:r w:rsidR="005C5BDD" w:rsidRPr="009B6AA8">
        <w:t xml:space="preserve"> to a sustainable program. Since 2017</w:t>
      </w:r>
      <w:r w:rsidRPr="009B6AA8">
        <w:t>,</w:t>
      </w:r>
      <w:r w:rsidR="005C5BDD" w:rsidRPr="009B6AA8">
        <w:t xml:space="preserve"> ACDS has been running </w:t>
      </w:r>
      <w:r w:rsidRPr="009B6AA8">
        <w:t xml:space="preserve">as a </w:t>
      </w:r>
      <w:r w:rsidR="00E319AE" w:rsidRPr="009B6AA8">
        <w:t>fee</w:t>
      </w:r>
      <w:r w:rsidR="00E319AE">
        <w:t>-</w:t>
      </w:r>
      <w:r w:rsidR="00E319AE" w:rsidRPr="009B6AA8">
        <w:t>for</w:t>
      </w:r>
      <w:r w:rsidR="00E319AE">
        <w:t>-</w:t>
      </w:r>
      <w:r w:rsidRPr="009B6AA8">
        <w:t xml:space="preserve">service model paid for by </w:t>
      </w:r>
      <w:r w:rsidR="007A75A8">
        <w:t>facilities</w:t>
      </w:r>
      <w:r w:rsidRPr="009B6AA8">
        <w:t xml:space="preserve"> (</w:t>
      </w:r>
      <w:r w:rsidR="007A75A8">
        <w:t>facilities</w:t>
      </w:r>
      <w:r w:rsidRPr="009B6AA8">
        <w:t xml:space="preserve"> subscribe to ADCS for a four-year cycle of audits).</w:t>
      </w:r>
    </w:p>
    <w:p w14:paraId="468527B6" w14:textId="3B811690" w:rsidR="005C5BDD" w:rsidRPr="009B6AA8" w:rsidRDefault="00664A4C" w:rsidP="00EB43F1">
      <w:r w:rsidRPr="009B6AA8">
        <w:t>Application of</w:t>
      </w:r>
      <w:r w:rsidR="00EB43F1" w:rsidRPr="009B6AA8">
        <w:t xml:space="preserve"> the </w:t>
      </w:r>
      <w:proofErr w:type="gramStart"/>
      <w:r w:rsidR="00EB43F1" w:rsidRPr="009B6AA8">
        <w:t>Tripartite</w:t>
      </w:r>
      <w:proofErr w:type="gramEnd"/>
      <w:r w:rsidR="00EB43F1" w:rsidRPr="009B6AA8">
        <w:t xml:space="preserve"> standards and ACDS is at the discretion of the individual jurisdictions and varies across Australia. Despite this, most jurisdictions recommend their use, and </w:t>
      </w:r>
      <w:r w:rsidR="007D762E" w:rsidRPr="009B6AA8">
        <w:t>their application is mandatory</w:t>
      </w:r>
      <w:r w:rsidR="00EB43F1" w:rsidRPr="009B6AA8">
        <w:t xml:space="preserve"> in Queensland. Despite the different regulatory rules across the country, stakeholder consultation with </w:t>
      </w:r>
      <w:r w:rsidR="007A75A8">
        <w:t>facilities</w:t>
      </w:r>
      <w:r w:rsidR="00EB43F1" w:rsidRPr="009B6AA8">
        <w:t xml:space="preserve"> and the ACDS indicated that most </w:t>
      </w:r>
      <w:r w:rsidR="007A75A8">
        <w:t>facilities</w:t>
      </w:r>
      <w:r w:rsidR="00EB43F1" w:rsidRPr="009B6AA8">
        <w:t xml:space="preserve"> are guided by the standards and use the ACDS program.</w:t>
      </w:r>
      <w:r w:rsidR="00942057">
        <w:t xml:space="preserve"> </w:t>
      </w:r>
      <w:r w:rsidR="00942057" w:rsidRPr="00942057">
        <w:t xml:space="preserve">Undergoing annual independent dosimetry audits </w:t>
      </w:r>
      <w:r w:rsidR="00C75CFB">
        <w:t xml:space="preserve">is </w:t>
      </w:r>
      <w:r w:rsidR="00942057" w:rsidRPr="00942057">
        <w:t>a condition of funding under the ROHPG Scheme.</w:t>
      </w:r>
    </w:p>
    <w:p w14:paraId="5292C68A" w14:textId="4A2D7B38" w:rsidR="007D762E" w:rsidRPr="009B6AA8" w:rsidRDefault="007D762E" w:rsidP="00EB43F1">
      <w:r w:rsidRPr="009B6AA8">
        <w:lastRenderedPageBreak/>
        <w:t>One stakeholder made comments observing the importance of the ACDS standards:</w:t>
      </w:r>
    </w:p>
    <w:p w14:paraId="1850AEBB" w14:textId="77777777" w:rsidR="00373EE3" w:rsidRDefault="007D762E" w:rsidP="007D762E">
      <w:pPr>
        <w:pStyle w:val="Quote"/>
      </w:pPr>
      <w:r w:rsidRPr="009B6AA8">
        <w:t xml:space="preserve">‘Linking [ACDS] to the ROHPG is a good thing. It provides a huge incentive to sign up to [the program]. We are aware of only two non-ROHPG funded </w:t>
      </w:r>
      <w:proofErr w:type="spellStart"/>
      <w:r w:rsidRPr="009B6AA8">
        <w:t>linacs</w:t>
      </w:r>
      <w:proofErr w:type="spellEnd"/>
      <w:r w:rsidRPr="009B6AA8">
        <w:t xml:space="preserve"> that are not signed up to it.’ – ACDS representative</w:t>
      </w:r>
    </w:p>
    <w:p w14:paraId="7EFB6E81" w14:textId="77777777" w:rsidR="00373EE3" w:rsidRDefault="00E1147B" w:rsidP="003A3EEC">
      <w:pPr>
        <w:pStyle w:val="Finding"/>
      </w:pPr>
      <w:r w:rsidRPr="009B6AA8">
        <w:t xml:space="preserve">In the absence of a national regulatory program for RT, it is appropriate for the ROHPG to consider </w:t>
      </w:r>
      <w:r w:rsidRPr="003A3EEC">
        <w:t>the</w:t>
      </w:r>
      <w:r w:rsidRPr="009B6AA8">
        <w:t xml:space="preserve"> quality and safety of funded </w:t>
      </w:r>
      <w:proofErr w:type="spellStart"/>
      <w:r w:rsidRPr="009B6AA8">
        <w:t>linacs</w:t>
      </w:r>
      <w:proofErr w:type="spellEnd"/>
      <w:r w:rsidRPr="009B6AA8">
        <w:t xml:space="preserve"> via dosimetry monitoring services.</w:t>
      </w:r>
    </w:p>
    <w:p w14:paraId="370A158B" w14:textId="25F558E3" w:rsidR="00A14E22" w:rsidRPr="00BC705E" w:rsidRDefault="00055575" w:rsidP="009F3514">
      <w:pPr>
        <w:pStyle w:val="heading2numbered"/>
      </w:pPr>
      <w:bookmarkStart w:id="137" w:name="_Toc59198467"/>
      <w:bookmarkStart w:id="138" w:name="_Toc66193934"/>
      <w:bookmarkStart w:id="139" w:name="_Toc73696685"/>
      <w:r w:rsidRPr="00BC705E">
        <w:t>A</w:t>
      </w:r>
      <w:r w:rsidR="003F4872" w:rsidRPr="00BC705E">
        <w:t xml:space="preserve">nalysis of </w:t>
      </w:r>
      <w:r w:rsidR="00375E68" w:rsidRPr="00BC705E">
        <w:t>r</w:t>
      </w:r>
      <w:r w:rsidRPr="00BC705E">
        <w:t xml:space="preserve">adiotherapy </w:t>
      </w:r>
      <w:r w:rsidR="00A14E22" w:rsidRPr="00BC705E">
        <w:t>funding</w:t>
      </w:r>
      <w:bookmarkEnd w:id="137"/>
      <w:bookmarkEnd w:id="138"/>
      <w:bookmarkEnd w:id="139"/>
    </w:p>
    <w:p w14:paraId="6B8AB052" w14:textId="36454AC3" w:rsidR="0006424A" w:rsidRPr="009B6AA8" w:rsidRDefault="0006424A" w:rsidP="007A2ED8">
      <w:r w:rsidRPr="009B6AA8">
        <w:t xml:space="preserve">Although </w:t>
      </w:r>
      <w:r w:rsidR="007F20F9" w:rsidRPr="009B6AA8">
        <w:t>stakeholder</w:t>
      </w:r>
      <w:r w:rsidR="00EC4502" w:rsidRPr="009B6AA8">
        <w:t>s</w:t>
      </w:r>
      <w:r w:rsidR="007F20F9" w:rsidRPr="009B6AA8">
        <w:t xml:space="preserve"> expressed disappointment that the 2017 changes to the ROHPG removed </w:t>
      </w:r>
      <w:r w:rsidRPr="009B6AA8">
        <w:t>fund</w:t>
      </w:r>
      <w:r w:rsidR="007F20F9" w:rsidRPr="009B6AA8">
        <w:t xml:space="preserve">ing for </w:t>
      </w:r>
      <w:r w:rsidRPr="009B6AA8">
        <w:t>non-</w:t>
      </w:r>
      <w:proofErr w:type="spellStart"/>
      <w:r w:rsidRPr="009B6AA8">
        <w:t>linac</w:t>
      </w:r>
      <w:proofErr w:type="spellEnd"/>
      <w:r w:rsidRPr="009B6AA8">
        <w:t xml:space="preserve"> </w:t>
      </w:r>
      <w:r w:rsidR="007F20F9" w:rsidRPr="009B6AA8">
        <w:t xml:space="preserve">RT </w:t>
      </w:r>
      <w:r w:rsidRPr="009B6AA8">
        <w:t>equipment</w:t>
      </w:r>
      <w:r w:rsidR="007F20F9" w:rsidRPr="009B6AA8">
        <w:t xml:space="preserve"> </w:t>
      </w:r>
      <w:r w:rsidRPr="009B6AA8">
        <w:t xml:space="preserve">and </w:t>
      </w:r>
      <w:r w:rsidR="007F20F9" w:rsidRPr="009B6AA8">
        <w:t xml:space="preserve">reduced the funding available for </w:t>
      </w:r>
      <w:proofErr w:type="spellStart"/>
      <w:r w:rsidR="007F20F9" w:rsidRPr="009B6AA8">
        <w:t>linacs</w:t>
      </w:r>
      <w:proofErr w:type="spellEnd"/>
      <w:r w:rsidR="00E319AE">
        <w:t>,</w:t>
      </w:r>
      <w:r w:rsidR="00E319AE" w:rsidRPr="009B6AA8">
        <w:t xml:space="preserve"> </w:t>
      </w:r>
      <w:r w:rsidR="007F20F9" w:rsidRPr="009B6AA8">
        <w:t xml:space="preserve">the </w:t>
      </w:r>
      <w:r w:rsidRPr="009B6AA8">
        <w:t>$3</w:t>
      </w:r>
      <w:r w:rsidR="00D65C79">
        <w:t xml:space="preserve"> </w:t>
      </w:r>
      <w:r w:rsidRPr="00D65C79">
        <w:t>m</w:t>
      </w:r>
      <w:r w:rsidR="0066465D">
        <w:t>illion</w:t>
      </w:r>
      <w:r w:rsidRPr="00D65C79">
        <w:t xml:space="preserve"> contribution to </w:t>
      </w:r>
      <w:proofErr w:type="spellStart"/>
      <w:r w:rsidRPr="00D65C79">
        <w:t>linac</w:t>
      </w:r>
      <w:proofErr w:type="spellEnd"/>
      <w:r w:rsidRPr="00D65C79">
        <w:t xml:space="preserve"> costs is appreciated by </w:t>
      </w:r>
      <w:r w:rsidR="007A2ED8" w:rsidRPr="00D65C79">
        <w:t xml:space="preserve">consulted </w:t>
      </w:r>
      <w:r w:rsidR="007A75A8">
        <w:t>facilities</w:t>
      </w:r>
      <w:r w:rsidR="007A2ED8" w:rsidRPr="00D65C79">
        <w:t>.</w:t>
      </w:r>
    </w:p>
    <w:p w14:paraId="2F2ED987" w14:textId="77777777" w:rsidR="00373EE3" w:rsidRDefault="0006424A" w:rsidP="0006424A">
      <w:r w:rsidRPr="009B6AA8">
        <w:t xml:space="preserve">Public </w:t>
      </w:r>
      <w:r w:rsidR="007A75A8">
        <w:t>facilities</w:t>
      </w:r>
      <w:r w:rsidRPr="009B6AA8">
        <w:t xml:space="preserve"> </w:t>
      </w:r>
      <w:r w:rsidR="007D762E" w:rsidRPr="009B6AA8">
        <w:t xml:space="preserve">said </w:t>
      </w:r>
      <w:r w:rsidRPr="009B6AA8">
        <w:t xml:space="preserve">there is little to no other funding source for capital equipment for RT. Most jurisdictions have a medical equipment replacement fund or similar. However, these funds consider the </w:t>
      </w:r>
      <w:proofErr w:type="spellStart"/>
      <w:r w:rsidRPr="009B6AA8">
        <w:t>statewide</w:t>
      </w:r>
      <w:proofErr w:type="spellEnd"/>
      <w:r w:rsidRPr="009B6AA8">
        <w:t xml:space="preserve"> needs for equipment; and in some jurisdictions</w:t>
      </w:r>
      <w:r w:rsidR="005B4254" w:rsidRPr="009B6AA8">
        <w:t>,</w:t>
      </w:r>
      <w:r w:rsidRPr="009B6AA8">
        <w:t xml:space="preserve"> </w:t>
      </w:r>
      <w:r w:rsidR="00A945C8" w:rsidRPr="009B6AA8">
        <w:t xml:space="preserve">radiotherapy </w:t>
      </w:r>
      <w:r w:rsidRPr="009B6AA8">
        <w:t>equipment is specifically excluded (e.g. Victoria).</w:t>
      </w:r>
    </w:p>
    <w:p w14:paraId="2B5BDC8A" w14:textId="29F91A23" w:rsidR="00373EE3" w:rsidRDefault="00345322" w:rsidP="00345322">
      <w:r w:rsidRPr="009B6AA8">
        <w:t xml:space="preserve">Most capital expenditure for public </w:t>
      </w:r>
      <w:r w:rsidR="00EC4502" w:rsidRPr="009B6AA8">
        <w:t>hospitals</w:t>
      </w:r>
      <w:r w:rsidRPr="009B6AA8">
        <w:t xml:space="preserve"> and health services is provided through state and territory arrangements with the Australian Government through the National Healthcare Agreements (NHA) </w:t>
      </w:r>
      <w:sdt>
        <w:sdtPr>
          <w:id w:val="730820091"/>
          <w:citation/>
        </w:sdtPr>
        <w:sdtContent>
          <w:r w:rsidRPr="00D65C79">
            <w:fldChar w:fldCharType="begin"/>
          </w:r>
          <w:r w:rsidRPr="009B6AA8">
            <w:instrText xml:space="preserve"> CITATION Aus18 \l 1033 </w:instrText>
          </w:r>
          <w:r w:rsidRPr="00D65C79">
            <w:fldChar w:fldCharType="separate"/>
          </w:r>
          <w:r w:rsidR="00264535" w:rsidRPr="00264535">
            <w:rPr>
              <w:noProof/>
            </w:rPr>
            <w:t>[28]</w:t>
          </w:r>
          <w:r w:rsidRPr="00D65C79">
            <w:fldChar w:fldCharType="end"/>
          </w:r>
        </w:sdtContent>
      </w:sdt>
      <w:r w:rsidRPr="00D65C79">
        <w:t>. Under the NHA, the Australian Government</w:t>
      </w:r>
      <w:r w:rsidRPr="009B6AA8">
        <w:t xml:space="preserve"> is a major funder of public hospitals. However, responsibility for</w:t>
      </w:r>
      <w:r w:rsidR="007D762E" w:rsidRPr="009B6AA8">
        <w:t xml:space="preserve"> management of service delivery in public hospitals </w:t>
      </w:r>
      <w:r w:rsidRPr="009B6AA8">
        <w:t xml:space="preserve">rests with state and territory governments </w:t>
      </w:r>
      <w:sdt>
        <w:sdtPr>
          <w:id w:val="-2133625380"/>
          <w:citation/>
        </w:sdtPr>
        <w:sdtContent>
          <w:r w:rsidRPr="00D65C79">
            <w:fldChar w:fldCharType="begin"/>
          </w:r>
          <w:r w:rsidRPr="009B6AA8">
            <w:instrText xml:space="preserve"> CITATION Aus18 \l 1033 </w:instrText>
          </w:r>
          <w:r w:rsidRPr="00D65C79">
            <w:fldChar w:fldCharType="separate"/>
          </w:r>
          <w:r w:rsidR="00264535" w:rsidRPr="00264535">
            <w:rPr>
              <w:noProof/>
            </w:rPr>
            <w:t>[28]</w:t>
          </w:r>
          <w:r w:rsidRPr="00D65C79">
            <w:fldChar w:fldCharType="end"/>
          </w:r>
        </w:sdtContent>
      </w:sdt>
      <w:r w:rsidRPr="00D65C79">
        <w:t>. On average, public hospital spending on capital</w:t>
      </w:r>
      <w:r w:rsidR="0079221C" w:rsidRPr="00D65C79">
        <w:t xml:space="preserve"> (approximately $9 billion) </w:t>
      </w:r>
      <w:r w:rsidRPr="009B6AA8">
        <w:t>represented 5% of NHA funding in 2017</w:t>
      </w:r>
      <w:r w:rsidR="00E61AD5" w:rsidRPr="009B6AA8">
        <w:t>–</w:t>
      </w:r>
      <w:r w:rsidRPr="009B6AA8">
        <w:t>18.</w:t>
      </w:r>
    </w:p>
    <w:p w14:paraId="6E97646A" w14:textId="77777777" w:rsidR="00373EE3" w:rsidRDefault="00345322" w:rsidP="00345322">
      <w:r w:rsidRPr="009B6AA8">
        <w:t xml:space="preserve">However, </w:t>
      </w:r>
      <w:r w:rsidR="00EC4502" w:rsidRPr="009B6AA8">
        <w:t xml:space="preserve">the </w:t>
      </w:r>
      <w:r w:rsidRPr="009B6AA8">
        <w:t xml:space="preserve">NHA </w:t>
      </w:r>
      <w:r w:rsidR="00EC4502" w:rsidRPr="009B6AA8">
        <w:t>as an instrument for funding is becoming increasingly flexible and less specifi</w:t>
      </w:r>
      <w:r w:rsidR="007D762E" w:rsidRPr="009B6AA8">
        <w:t>c to individual program inputs,</w:t>
      </w:r>
      <w:r w:rsidR="00EC4502" w:rsidRPr="009B6AA8">
        <w:t xml:space="preserve"> to allow jurisdictions to allocate funding as best meets their </w:t>
      </w:r>
      <w:r w:rsidR="007D762E" w:rsidRPr="009B6AA8">
        <w:t>jurisdiction needs</w:t>
      </w:r>
      <w:r w:rsidR="00EC4502" w:rsidRPr="009B6AA8">
        <w:t>. Funding through the NHA does not allow for RT funds to be quarantined</w:t>
      </w:r>
      <w:r w:rsidR="009F0E64" w:rsidRPr="009B6AA8">
        <w:t xml:space="preserve"> (i.e. set aside for a specific purpose as ROHPG funding is currently)</w:t>
      </w:r>
      <w:r w:rsidR="00EC4502" w:rsidRPr="009B6AA8">
        <w:t>, unless individual jurisdictions choose to do so.</w:t>
      </w:r>
    </w:p>
    <w:p w14:paraId="71E9CC9F" w14:textId="77777777" w:rsidR="00373EE3" w:rsidRDefault="0006424A" w:rsidP="0006424A">
      <w:r w:rsidRPr="009B6AA8">
        <w:t xml:space="preserve">Public RT </w:t>
      </w:r>
      <w:r w:rsidR="007A75A8">
        <w:t>facilities</w:t>
      </w:r>
      <w:r w:rsidRPr="009B6AA8">
        <w:t xml:space="preserve"> raised concerns that the competing priorities of the other</w:t>
      </w:r>
      <w:r w:rsidR="007D762E" w:rsidRPr="009B6AA8">
        <w:t xml:space="preserve"> health services program areas</w:t>
      </w:r>
      <w:r w:rsidRPr="009B6AA8">
        <w:t xml:space="preserve"> </w:t>
      </w:r>
      <w:r w:rsidR="007D762E" w:rsidRPr="009B6AA8">
        <w:t xml:space="preserve">could </w:t>
      </w:r>
      <w:r w:rsidRPr="009B6AA8">
        <w:t>result in delays to replacement of RT equipment in future, especially equipment no longer covered by the ROHPG.</w:t>
      </w:r>
    </w:p>
    <w:p w14:paraId="2F81C383" w14:textId="77777777" w:rsidR="00373EE3" w:rsidRDefault="0006424A" w:rsidP="002400CB">
      <w:pPr>
        <w:pStyle w:val="Quote"/>
        <w:keepNext/>
        <w:keepLines/>
      </w:pPr>
      <w:r w:rsidRPr="009B6AA8">
        <w:t xml:space="preserve">‘As we need to pay for all Radiation Oncology equipment from the ROHPG funding, we won’t be able to make up the short fall in future. This will mean we have to keep machines longer. We will be penalised for it. More patients will go to private.’ – </w:t>
      </w:r>
      <w:r w:rsidR="007D762E" w:rsidRPr="009B6AA8">
        <w:t xml:space="preserve">Comment by </w:t>
      </w:r>
      <w:r w:rsidRPr="009B6AA8">
        <w:t xml:space="preserve">public </w:t>
      </w:r>
      <w:r w:rsidR="00C62BBC">
        <w:t>facility</w:t>
      </w:r>
    </w:p>
    <w:p w14:paraId="20C4E94F" w14:textId="315BF2E3" w:rsidR="0046414D" w:rsidRPr="009B6AA8" w:rsidRDefault="00942057" w:rsidP="003A3EEC">
      <w:pPr>
        <w:pStyle w:val="Finding"/>
      </w:pPr>
      <w:r>
        <w:t>The ROHPG Scheme only provides a contribution to high-cost RT equipment (</w:t>
      </w:r>
      <w:proofErr w:type="spellStart"/>
      <w:r>
        <w:t>linacs</w:t>
      </w:r>
      <w:proofErr w:type="spellEnd"/>
      <w:r>
        <w:t xml:space="preserve">). </w:t>
      </w:r>
      <w:r w:rsidR="0046414D" w:rsidRPr="009B6AA8">
        <w:t xml:space="preserve">At present, public </w:t>
      </w:r>
      <w:r w:rsidR="007A75A8">
        <w:t>facilities</w:t>
      </w:r>
      <w:r w:rsidR="0046414D" w:rsidRPr="009B6AA8">
        <w:t xml:space="preserve"> have limited alternative funding options for RT equipment.</w:t>
      </w:r>
      <w:r>
        <w:t xml:space="preserve"> The transition time (when grandfathered funding arrangements are available) provides time for alternative funding sources to be identified.</w:t>
      </w:r>
    </w:p>
    <w:p w14:paraId="5A33EF1D" w14:textId="77777777" w:rsidR="00373EE3" w:rsidRDefault="0006424A" w:rsidP="00C521F5">
      <w:pPr>
        <w:spacing w:before="240"/>
      </w:pPr>
      <w:r w:rsidRPr="009B6AA8">
        <w:t xml:space="preserve">Private </w:t>
      </w:r>
      <w:r w:rsidR="007A75A8">
        <w:t>facilities</w:t>
      </w:r>
      <w:r w:rsidRPr="009B6AA8">
        <w:t xml:space="preserve"> indicated that reduced ROHPG contributions could result in increased </w:t>
      </w:r>
      <w:r w:rsidR="00E319AE" w:rsidRPr="009B6AA8">
        <w:t>out</w:t>
      </w:r>
      <w:r w:rsidR="00E319AE">
        <w:t>-</w:t>
      </w:r>
      <w:r w:rsidR="00E319AE" w:rsidRPr="009B6AA8">
        <w:t>of</w:t>
      </w:r>
      <w:r w:rsidR="00E319AE">
        <w:t>-</w:t>
      </w:r>
      <w:r w:rsidRPr="009B6AA8">
        <w:t xml:space="preserve">pocket costs for consumers. </w:t>
      </w:r>
      <w:r w:rsidR="0046414D" w:rsidRPr="009B6AA8">
        <w:t xml:space="preserve">However, a </w:t>
      </w:r>
      <w:r w:rsidRPr="009B6AA8">
        <w:t xml:space="preserve">handful of private </w:t>
      </w:r>
      <w:r w:rsidR="007A75A8">
        <w:t>facilities</w:t>
      </w:r>
      <w:r w:rsidRPr="009B6AA8">
        <w:t xml:space="preserve"> have established services without ROHPG funding, (estimated to be approximately </w:t>
      </w:r>
      <w:r w:rsidR="001C0EF1">
        <w:t xml:space="preserve">seven </w:t>
      </w:r>
      <w:r w:rsidR="007A75A8">
        <w:t>facilities</w:t>
      </w:r>
      <w:r w:rsidRPr="009B6AA8">
        <w:t xml:space="preserve"> </w:t>
      </w:r>
      <w:r w:rsidR="00B2439A" w:rsidRPr="009B6AA8">
        <w:t>(</w:t>
      </w:r>
      <w:r w:rsidR="004B0756">
        <w:t>1</w:t>
      </w:r>
      <w:r w:rsidR="007A65A6">
        <w:t>3</w:t>
      </w:r>
      <w:r w:rsidR="00B2439A" w:rsidRPr="009B6AA8">
        <w:t xml:space="preserve"> </w:t>
      </w:r>
      <w:proofErr w:type="spellStart"/>
      <w:r w:rsidR="00B2439A" w:rsidRPr="009B6AA8">
        <w:t>linacs</w:t>
      </w:r>
      <w:proofErr w:type="spellEnd"/>
      <w:r w:rsidR="00B2439A" w:rsidRPr="009B6AA8">
        <w:t>)</w:t>
      </w:r>
      <w:r w:rsidR="00A15473" w:rsidRPr="009B6AA8">
        <w:t xml:space="preserve">, </w:t>
      </w:r>
      <w:proofErr w:type="gramStart"/>
      <w:r w:rsidR="00A15473" w:rsidRPr="009B6AA8">
        <w:t>based</w:t>
      </w:r>
      <w:proofErr w:type="gramEnd"/>
      <w:r w:rsidR="00A15473" w:rsidRPr="009B6AA8">
        <w:t xml:space="preserve"> on </w:t>
      </w:r>
      <w:r w:rsidRPr="009B6AA8">
        <w:t xml:space="preserve">analysis of MBS and ROHPG data). </w:t>
      </w:r>
      <w:r w:rsidR="00B2439A" w:rsidRPr="009B6AA8">
        <w:t xml:space="preserve">The majority of non-ROHPG funded </w:t>
      </w:r>
      <w:proofErr w:type="spellStart"/>
      <w:r w:rsidR="00B2439A" w:rsidRPr="009B6AA8">
        <w:t>linacs</w:t>
      </w:r>
      <w:proofErr w:type="spellEnd"/>
      <w:r w:rsidR="00B2439A" w:rsidRPr="009B6AA8">
        <w:t xml:space="preserve"> (</w:t>
      </w:r>
      <w:r w:rsidR="004B0756">
        <w:t>94</w:t>
      </w:r>
      <w:r w:rsidR="00B2439A" w:rsidRPr="009B6AA8">
        <w:t>%) are in major cities (</w:t>
      </w:r>
      <w:r w:rsidR="00A15473" w:rsidRPr="009B6AA8">
        <w:t xml:space="preserve">as defined by </w:t>
      </w:r>
      <w:r w:rsidR="009F0E64" w:rsidRPr="009B6AA8">
        <w:t xml:space="preserve">the Modified Monash Model classification </w:t>
      </w:r>
      <w:r w:rsidR="00B2439A" w:rsidRPr="009B6AA8">
        <w:t>MM1).</w:t>
      </w:r>
    </w:p>
    <w:p w14:paraId="796A60C2" w14:textId="77777777" w:rsidR="00373EE3" w:rsidRDefault="00A15473" w:rsidP="00A14E22">
      <w:r w:rsidRPr="009B6AA8">
        <w:t>Funding e</w:t>
      </w:r>
      <w:r w:rsidR="00496A83" w:rsidRPr="009B6AA8">
        <w:t xml:space="preserve">lements that contribute to private </w:t>
      </w:r>
      <w:r w:rsidR="00C62BBC">
        <w:t>facility</w:t>
      </w:r>
      <w:r w:rsidR="00496A83" w:rsidRPr="009B6AA8">
        <w:t xml:space="preserve"> revenue for RT services are MBS rebates for each service provided (including Medicare Safety Net and Extended Safety Net contributions), patient contribution (gap fee) and any public hospital payments for </w:t>
      </w:r>
      <w:r w:rsidR="0068358F">
        <w:t xml:space="preserve">public-private partnership </w:t>
      </w:r>
      <w:r w:rsidR="00496A83" w:rsidRPr="009B6AA8">
        <w:t xml:space="preserve">arrangements. As </w:t>
      </w:r>
      <w:r w:rsidRPr="009B6AA8">
        <w:t>a consequence of this funding mix</w:t>
      </w:r>
      <w:r w:rsidR="00496A83" w:rsidRPr="009B6AA8">
        <w:t xml:space="preserve">, patient throughput is a key factor in determining RT revenue. </w:t>
      </w:r>
      <w:r w:rsidR="000A7D89" w:rsidRPr="009B6AA8">
        <w:t xml:space="preserve">It is </w:t>
      </w:r>
      <w:r w:rsidR="00912A7E" w:rsidRPr="009B6AA8">
        <w:t>impossible</w:t>
      </w:r>
      <w:r w:rsidR="000A7D89" w:rsidRPr="009B6AA8">
        <w:t xml:space="preserve"> to know the</w:t>
      </w:r>
      <w:r w:rsidR="00912A7E" w:rsidRPr="009B6AA8">
        <w:t xml:space="preserve"> self-sustainability potential of individual private facilities without </w:t>
      </w:r>
      <w:r w:rsidR="000A7D89" w:rsidRPr="009B6AA8">
        <w:t xml:space="preserve">undertaking a financial </w:t>
      </w:r>
      <w:r w:rsidRPr="009B6AA8">
        <w:t>analysis of the funding mix a</w:t>
      </w:r>
      <w:r w:rsidR="000A7D89" w:rsidRPr="009B6AA8">
        <w:t>t</w:t>
      </w:r>
      <w:r w:rsidRPr="009B6AA8">
        <w:t xml:space="preserve"> an individual </w:t>
      </w:r>
      <w:r w:rsidR="00C62BBC">
        <w:t>facility</w:t>
      </w:r>
      <w:r w:rsidRPr="009B6AA8">
        <w:t xml:space="preserve"> level</w:t>
      </w:r>
      <w:r w:rsidR="000A7D89" w:rsidRPr="009B6AA8">
        <w:t xml:space="preserve">. However, </w:t>
      </w:r>
      <w:r w:rsidR="00912A7E" w:rsidRPr="009B6AA8">
        <w:t>analysis of MBS data indicated that in 2019</w:t>
      </w:r>
      <w:r w:rsidR="00E61AD5" w:rsidRPr="009B6AA8">
        <w:t>–</w:t>
      </w:r>
      <w:r w:rsidR="00912A7E" w:rsidRPr="009B6AA8">
        <w:t>20, MBS revenue (including safety net and extended safety net revenue)</w:t>
      </w:r>
      <w:r w:rsidR="009F0E64" w:rsidRPr="009B6AA8">
        <w:t xml:space="preserve"> </w:t>
      </w:r>
      <w:r w:rsidRPr="009B6AA8">
        <w:t>within that financial year</w:t>
      </w:r>
      <w:r w:rsidR="00912A7E" w:rsidRPr="009B6AA8">
        <w:t xml:space="preserve"> ranged from less than $300,000 per </w:t>
      </w:r>
      <w:proofErr w:type="spellStart"/>
      <w:r w:rsidR="00912A7E" w:rsidRPr="009B6AA8">
        <w:t>lina</w:t>
      </w:r>
      <w:r w:rsidR="0046414D" w:rsidRPr="009B6AA8">
        <w:t>c</w:t>
      </w:r>
      <w:proofErr w:type="spellEnd"/>
      <w:r w:rsidR="0046414D" w:rsidRPr="009B6AA8">
        <w:t xml:space="preserve"> in one facility</w:t>
      </w:r>
      <w:r w:rsidR="00912A7E" w:rsidRPr="009B6AA8">
        <w:t>, to over $5</w:t>
      </w:r>
      <w:r w:rsidR="00D65C79">
        <w:t xml:space="preserve"> </w:t>
      </w:r>
      <w:r w:rsidR="00912A7E" w:rsidRPr="00D65C79">
        <w:t>m</w:t>
      </w:r>
      <w:r w:rsidR="0066465D">
        <w:t>illion</w:t>
      </w:r>
      <w:r w:rsidR="00912A7E" w:rsidRPr="00D65C79">
        <w:t xml:space="preserve"> per </w:t>
      </w:r>
      <w:proofErr w:type="spellStart"/>
      <w:r w:rsidR="00912A7E" w:rsidRPr="00D65C79">
        <w:t>linac</w:t>
      </w:r>
      <w:proofErr w:type="spellEnd"/>
      <w:r w:rsidR="0046414D" w:rsidRPr="00D65C79">
        <w:t xml:space="preserve"> in another</w:t>
      </w:r>
      <w:r w:rsidR="00912A7E" w:rsidRPr="009B6AA8">
        <w:t xml:space="preserve">, with an average of close to $800,000 per </w:t>
      </w:r>
      <w:proofErr w:type="spellStart"/>
      <w:r w:rsidR="00912A7E" w:rsidRPr="009B6AA8">
        <w:t>linac</w:t>
      </w:r>
      <w:proofErr w:type="spellEnd"/>
      <w:r w:rsidR="00912A7E" w:rsidRPr="009B6AA8">
        <w:t xml:space="preserve"> per facility.</w:t>
      </w:r>
    </w:p>
    <w:p w14:paraId="3594EE21" w14:textId="77777777" w:rsidR="00373EE3" w:rsidRDefault="00912A7E" w:rsidP="0046414D">
      <w:pPr>
        <w:pStyle w:val="Finding"/>
      </w:pPr>
      <w:r w:rsidRPr="009B6AA8">
        <w:t>The breadth of MBS revenue p</w:t>
      </w:r>
      <w:r w:rsidR="0046414D" w:rsidRPr="009B6AA8">
        <w:t>er</w:t>
      </w:r>
      <w:r w:rsidRPr="009B6AA8">
        <w:t xml:space="preserve"> facility </w:t>
      </w:r>
      <w:r w:rsidR="0046414D" w:rsidRPr="009B6AA8">
        <w:t>(</w:t>
      </w:r>
      <w:r w:rsidRPr="009B6AA8">
        <w:t xml:space="preserve">per </w:t>
      </w:r>
      <w:proofErr w:type="spellStart"/>
      <w:r w:rsidRPr="009B6AA8">
        <w:t>linac</w:t>
      </w:r>
      <w:proofErr w:type="spellEnd"/>
      <w:r w:rsidR="0046414D" w:rsidRPr="009B6AA8">
        <w:t>)</w:t>
      </w:r>
      <w:r w:rsidRPr="009B6AA8">
        <w:t xml:space="preserve"> demonstrates the considerable variation of RT </w:t>
      </w:r>
      <w:r w:rsidR="00A15473" w:rsidRPr="009B6AA8">
        <w:t>throughput at a program level.</w:t>
      </w:r>
      <w:r w:rsidRPr="009B6AA8">
        <w:t xml:space="preserve"> </w:t>
      </w:r>
      <w:r w:rsidR="00820701" w:rsidRPr="009B6AA8">
        <w:t>Reliance</w:t>
      </w:r>
      <w:r w:rsidR="00A15473" w:rsidRPr="009B6AA8">
        <w:t xml:space="preserve"> of individual </w:t>
      </w:r>
      <w:r w:rsidR="009F0E64" w:rsidRPr="009B6AA8">
        <w:t xml:space="preserve">facilities </w:t>
      </w:r>
      <w:r w:rsidR="00A15473" w:rsidRPr="009B6AA8">
        <w:t>on</w:t>
      </w:r>
      <w:r w:rsidRPr="009B6AA8">
        <w:t xml:space="preserve"> ROHPG funding </w:t>
      </w:r>
      <w:r w:rsidR="00251226" w:rsidRPr="009B6AA8">
        <w:t xml:space="preserve">for sustainability needs to be examined </w:t>
      </w:r>
      <w:r w:rsidR="00DA179C">
        <w:t xml:space="preserve">at </w:t>
      </w:r>
      <w:r w:rsidRPr="009B6AA8">
        <w:t xml:space="preserve">a facility </w:t>
      </w:r>
      <w:r w:rsidR="00A15473" w:rsidRPr="009B6AA8">
        <w:t>level.</w:t>
      </w:r>
    </w:p>
    <w:p w14:paraId="2A1CF9AA" w14:textId="77777777" w:rsidR="00373EE3" w:rsidRDefault="00E1147B" w:rsidP="00FF44CF">
      <w:pPr>
        <w:spacing w:before="240"/>
      </w:pPr>
      <w:r w:rsidRPr="009B6AA8">
        <w:t xml:space="preserve">It is important not to look at the ROHPG in isolation. </w:t>
      </w:r>
      <w:r w:rsidR="00830EF8" w:rsidRPr="009B6AA8">
        <w:t>T</w:t>
      </w:r>
      <w:r w:rsidRPr="009B6AA8">
        <w:t xml:space="preserve">here are other factors that influence </w:t>
      </w:r>
      <w:r w:rsidR="00830EF8" w:rsidRPr="009B6AA8">
        <w:t xml:space="preserve">the ability to provide a RT service and/or the </w:t>
      </w:r>
      <w:r w:rsidRPr="009B6AA8">
        <w:t xml:space="preserve">uptake of RT and hence the objectives of the </w:t>
      </w:r>
      <w:r w:rsidR="00FD606B">
        <w:t>Scheme</w:t>
      </w:r>
      <w:r w:rsidRPr="009B6AA8">
        <w:t>.</w:t>
      </w:r>
    </w:p>
    <w:p w14:paraId="3BC5B9E8" w14:textId="00E3D309" w:rsidR="00373EE3" w:rsidRDefault="00830EF8" w:rsidP="00B3455D">
      <w:r w:rsidRPr="009B6AA8">
        <w:t xml:space="preserve">Delivering RT requires not only a </w:t>
      </w:r>
      <w:proofErr w:type="spellStart"/>
      <w:r w:rsidRPr="009B6AA8">
        <w:t>linac</w:t>
      </w:r>
      <w:proofErr w:type="spellEnd"/>
      <w:r w:rsidRPr="009B6AA8">
        <w:t xml:space="preserve"> but a significant amount of supporting infrastructure. </w:t>
      </w:r>
      <w:proofErr w:type="spellStart"/>
      <w:r w:rsidRPr="009B6AA8">
        <w:t>Feain</w:t>
      </w:r>
      <w:proofErr w:type="spellEnd"/>
      <w:r w:rsidRPr="009B6AA8">
        <w:t xml:space="preserve"> et al. consider the basic facility infrastructure to comprise of at least</w:t>
      </w:r>
      <w:r w:rsidR="00B3455D" w:rsidRPr="009B6AA8">
        <w:t xml:space="preserve"> </w:t>
      </w:r>
      <w:r w:rsidRPr="009B6AA8">
        <w:t>an external beam RT unit</w:t>
      </w:r>
      <w:r w:rsidR="00B3455D" w:rsidRPr="009B6AA8">
        <w:t xml:space="preserve">, </w:t>
      </w:r>
      <w:r w:rsidRPr="009B6AA8">
        <w:t>a brachytherapy unit</w:t>
      </w:r>
      <w:r w:rsidR="00B3455D" w:rsidRPr="009B6AA8">
        <w:t xml:space="preserve">, </w:t>
      </w:r>
      <w:r w:rsidRPr="009B6AA8">
        <w:t>a simulator</w:t>
      </w:r>
      <w:r w:rsidR="00B3455D" w:rsidRPr="009B6AA8">
        <w:t xml:space="preserve">, </w:t>
      </w:r>
      <w:proofErr w:type="gramStart"/>
      <w:r w:rsidRPr="009B6AA8">
        <w:t>a mould room</w:t>
      </w:r>
      <w:r w:rsidRPr="00D65C79">
        <w:rPr>
          <w:rStyle w:val="FootnoteReference"/>
        </w:rPr>
        <w:footnoteReference w:id="8"/>
      </w:r>
      <w:r w:rsidRPr="00D65C79">
        <w:t xml:space="preserve"> </w:t>
      </w:r>
      <w:r w:rsidR="00B3455D" w:rsidRPr="00D65C79">
        <w:t xml:space="preserve">and </w:t>
      </w:r>
      <w:r w:rsidRPr="00D65C79">
        <w:t xml:space="preserve">dosimetry quality assurance equipment </w:t>
      </w:r>
      <w:sdt>
        <w:sdtPr>
          <w:id w:val="-1663615536"/>
          <w:citation/>
        </w:sdtPr>
        <w:sdtContent>
          <w:r w:rsidRPr="00D65C79">
            <w:fldChar w:fldCharType="begin"/>
          </w:r>
          <w:r w:rsidRPr="009B6AA8">
            <w:instrText xml:space="preserve"> CITATION Fea17 \l 1033 </w:instrText>
          </w:r>
          <w:r w:rsidRPr="00D65C79">
            <w:fldChar w:fldCharType="separate"/>
          </w:r>
          <w:r w:rsidR="00264535" w:rsidRPr="00264535">
            <w:rPr>
              <w:noProof/>
            </w:rPr>
            <w:t>[8</w:t>
          </w:r>
          <w:proofErr w:type="gramEnd"/>
          <w:r w:rsidR="00264535" w:rsidRPr="00264535">
            <w:rPr>
              <w:noProof/>
            </w:rPr>
            <w:t>]</w:t>
          </w:r>
          <w:r w:rsidRPr="00D65C79">
            <w:fldChar w:fldCharType="end"/>
          </w:r>
        </w:sdtContent>
      </w:sdt>
      <w:r w:rsidRPr="00D65C79">
        <w:t>.</w:t>
      </w:r>
    </w:p>
    <w:p w14:paraId="7B9F5E30" w14:textId="77777777" w:rsidR="00373EE3" w:rsidRDefault="00B3455D" w:rsidP="00B3455D">
      <w:r w:rsidRPr="009B6AA8">
        <w:lastRenderedPageBreak/>
        <w:t xml:space="preserve">All stakeholders commented on the importance of equipment other than </w:t>
      </w:r>
      <w:proofErr w:type="spellStart"/>
      <w:r w:rsidRPr="009B6AA8">
        <w:t>linacs</w:t>
      </w:r>
      <w:proofErr w:type="spellEnd"/>
      <w:r w:rsidRPr="009B6AA8">
        <w:t xml:space="preserve"> for RT provision</w:t>
      </w:r>
      <w:r w:rsidR="00A15473" w:rsidRPr="009B6AA8">
        <w:t>, including</w:t>
      </w:r>
      <w:r w:rsidRPr="009B6AA8">
        <w:t>:</w:t>
      </w:r>
    </w:p>
    <w:p w14:paraId="006EE59E" w14:textId="2B79D2F9" w:rsidR="00B3455D" w:rsidRPr="004E1635" w:rsidRDefault="00DA179C" w:rsidP="004E1635">
      <w:pPr>
        <w:pStyle w:val="ListBullet"/>
      </w:pPr>
      <w:r>
        <w:t>p</w:t>
      </w:r>
      <w:r w:rsidRPr="009B6AA8">
        <w:t xml:space="preserve">atient </w:t>
      </w:r>
      <w:r w:rsidR="00B3455D" w:rsidRPr="004E1635">
        <w:t>planning software and associated IT infrastructure</w:t>
      </w:r>
    </w:p>
    <w:p w14:paraId="396B87D6" w14:textId="6C1CBD58" w:rsidR="00B3455D" w:rsidRPr="004E1635" w:rsidRDefault="00DA179C" w:rsidP="004E1635">
      <w:pPr>
        <w:pStyle w:val="ListBullet"/>
      </w:pPr>
      <w:r w:rsidRPr="004E1635">
        <w:t xml:space="preserve">networking </w:t>
      </w:r>
      <w:r w:rsidR="00B3455D" w:rsidRPr="004E1635">
        <w:t>software</w:t>
      </w:r>
    </w:p>
    <w:p w14:paraId="4C72F2E0" w14:textId="77777777" w:rsidR="00373EE3" w:rsidRPr="004E1635" w:rsidRDefault="00B3455D" w:rsidP="004E1635">
      <w:pPr>
        <w:pStyle w:val="ListBullet"/>
      </w:pPr>
      <w:r w:rsidRPr="004E1635">
        <w:t>CT or MRI scanners for simulation</w:t>
      </w:r>
    </w:p>
    <w:p w14:paraId="4FBB10C8" w14:textId="77777777" w:rsidR="00373EE3" w:rsidRDefault="00B3455D" w:rsidP="00B3455D">
      <w:pPr>
        <w:pStyle w:val="Quote"/>
      </w:pPr>
      <w:r w:rsidRPr="009B6AA8">
        <w:t xml:space="preserve">‘A </w:t>
      </w:r>
      <w:proofErr w:type="spellStart"/>
      <w:r w:rsidRPr="009B6AA8">
        <w:t>linac</w:t>
      </w:r>
      <w:proofErr w:type="spellEnd"/>
      <w:r w:rsidRPr="009B6AA8">
        <w:t xml:space="preserve"> does not stand alone. Without planning you’re not going to be able to deliver a quality service’ – consumer comment</w:t>
      </w:r>
    </w:p>
    <w:p w14:paraId="64BC1466" w14:textId="70DC5523" w:rsidR="00B3455D" w:rsidRPr="009B6AA8" w:rsidRDefault="00A15473" w:rsidP="00B3455D">
      <w:r w:rsidRPr="009B6AA8">
        <w:t>Both p</w:t>
      </w:r>
      <w:r w:rsidR="00B3455D" w:rsidRPr="009B6AA8">
        <w:t xml:space="preserve">ublic </w:t>
      </w:r>
      <w:r w:rsidR="007A75A8">
        <w:t>facilities</w:t>
      </w:r>
      <w:r w:rsidR="00B3455D" w:rsidRPr="009B6AA8">
        <w:t xml:space="preserve"> and jurisdictions </w:t>
      </w:r>
      <w:r w:rsidRPr="009B6AA8">
        <w:t xml:space="preserve">commented during consultations </w:t>
      </w:r>
      <w:r w:rsidR="00B3455D" w:rsidRPr="009B6AA8">
        <w:t>that setting up new RT services needed to include consideration of:</w:t>
      </w:r>
    </w:p>
    <w:p w14:paraId="1E676AF2" w14:textId="34DE4E6A" w:rsidR="00B3455D" w:rsidRPr="004E1635" w:rsidRDefault="00CE73B0" w:rsidP="004E1635">
      <w:pPr>
        <w:pStyle w:val="ListBullet"/>
      </w:pPr>
      <w:r>
        <w:t>w</w:t>
      </w:r>
      <w:r w:rsidRPr="009B6AA8">
        <w:t xml:space="preserve">orkforce </w:t>
      </w:r>
      <w:r w:rsidR="00B3455D" w:rsidRPr="004E1635">
        <w:t>availability</w:t>
      </w:r>
    </w:p>
    <w:p w14:paraId="007E80E3" w14:textId="587E59D0" w:rsidR="00B3455D" w:rsidRPr="004E1635" w:rsidRDefault="00CE73B0" w:rsidP="004E1635">
      <w:pPr>
        <w:pStyle w:val="ListBullet"/>
      </w:pPr>
      <w:r w:rsidRPr="004E1635">
        <w:t xml:space="preserve">access </w:t>
      </w:r>
      <w:r w:rsidR="00B3455D" w:rsidRPr="004E1635">
        <w:t>to multidisciplinary team cancer care</w:t>
      </w:r>
      <w:r w:rsidR="00A15473" w:rsidRPr="004E1635">
        <w:t>, and</w:t>
      </w:r>
    </w:p>
    <w:p w14:paraId="10233612" w14:textId="33604FD0" w:rsidR="00B3455D" w:rsidRPr="009B6AA8" w:rsidRDefault="00CE73B0" w:rsidP="004E1635">
      <w:pPr>
        <w:pStyle w:val="ListBullet"/>
      </w:pPr>
      <w:proofErr w:type="gramStart"/>
      <w:r>
        <w:t>a</w:t>
      </w:r>
      <w:r w:rsidRPr="009B6AA8">
        <w:t>ccess</w:t>
      </w:r>
      <w:proofErr w:type="gramEnd"/>
      <w:r w:rsidRPr="009B6AA8">
        <w:t xml:space="preserve"> </w:t>
      </w:r>
      <w:r w:rsidR="00B3455D" w:rsidRPr="009B6AA8">
        <w:t>to allied health and/or GPs capable of managing RT side effects</w:t>
      </w:r>
      <w:r w:rsidR="00A15473" w:rsidRPr="009B6AA8">
        <w:t>.</w:t>
      </w:r>
    </w:p>
    <w:p w14:paraId="357291B5" w14:textId="428D28FD" w:rsidR="00B3455D" w:rsidRPr="009B6AA8" w:rsidRDefault="00B3455D" w:rsidP="00B3455D">
      <w:r w:rsidRPr="009B6AA8">
        <w:t xml:space="preserve">Shortages in the medical and radiation oncology workforce continue to contribute to a reduced capacity to deliver RT, especially in regional areas </w:t>
      </w:r>
      <w:sdt>
        <w:sdtPr>
          <w:id w:val="730508806"/>
          <w:citation/>
        </w:sdtPr>
        <w:sdtContent>
          <w:r w:rsidRPr="00D65C79">
            <w:fldChar w:fldCharType="begin"/>
          </w:r>
          <w:r w:rsidRPr="009B6AA8">
            <w:instrText xml:space="preserve"> CITATION Fea17 \l 3081  \m Hen14</w:instrText>
          </w:r>
          <w:r w:rsidRPr="00D65C79">
            <w:fldChar w:fldCharType="separate"/>
          </w:r>
          <w:r w:rsidR="00264535" w:rsidRPr="00264535">
            <w:rPr>
              <w:noProof/>
            </w:rPr>
            <w:t>[8, 16]</w:t>
          </w:r>
          <w:r w:rsidRPr="00D65C79">
            <w:fldChar w:fldCharType="end"/>
          </w:r>
        </w:sdtContent>
      </w:sdt>
      <w:r w:rsidRPr="00D65C79">
        <w:t xml:space="preserve">. Staff must undergo extensive training and education to deliver RT </w:t>
      </w:r>
      <w:sdt>
        <w:sdtPr>
          <w:id w:val="1872652903"/>
          <w:citation/>
        </w:sdtPr>
        <w:sdtContent>
          <w:r w:rsidRPr="00D65C79">
            <w:fldChar w:fldCharType="begin"/>
          </w:r>
          <w:r w:rsidRPr="009B6AA8">
            <w:instrText xml:space="preserve"> CITATION Bro14 \l 3081 </w:instrText>
          </w:r>
          <w:r w:rsidRPr="00D65C79">
            <w:fldChar w:fldCharType="separate"/>
          </w:r>
          <w:r w:rsidR="00264535" w:rsidRPr="00264535">
            <w:rPr>
              <w:noProof/>
            </w:rPr>
            <w:t>[29]</w:t>
          </w:r>
          <w:r w:rsidRPr="00D65C79">
            <w:fldChar w:fldCharType="end"/>
          </w:r>
        </w:sdtContent>
      </w:sdt>
      <w:r w:rsidRPr="00D65C79">
        <w:t xml:space="preserve">. </w:t>
      </w:r>
      <w:proofErr w:type="spellStart"/>
      <w:r w:rsidRPr="00D65C79">
        <w:t>Feain</w:t>
      </w:r>
      <w:proofErr w:type="spellEnd"/>
      <w:r w:rsidRPr="00D65C79">
        <w:t xml:space="preserve"> et al. describe a minimum staffing required to support an RT service annually as being:</w:t>
      </w:r>
    </w:p>
    <w:p w14:paraId="706C23CA" w14:textId="77777777" w:rsidR="00373EE3" w:rsidRPr="004E1635" w:rsidRDefault="00B3455D" w:rsidP="004E1635">
      <w:pPr>
        <w:pStyle w:val="ListBullet"/>
      </w:pPr>
      <w:r w:rsidRPr="009B6AA8">
        <w:t>one treatment planner per 300 patients</w:t>
      </w:r>
      <w:r w:rsidRPr="004E1635">
        <w:t>, and</w:t>
      </w:r>
    </w:p>
    <w:p w14:paraId="1BBE505A" w14:textId="77777777" w:rsidR="00373EE3" w:rsidRPr="004E1635" w:rsidRDefault="00B3455D" w:rsidP="004E1635">
      <w:pPr>
        <w:pStyle w:val="ListBullet"/>
      </w:pPr>
      <w:proofErr w:type="gramStart"/>
      <w:r w:rsidRPr="004E1635">
        <w:t>one</w:t>
      </w:r>
      <w:proofErr w:type="gramEnd"/>
      <w:r w:rsidRPr="004E1635">
        <w:t xml:space="preserve"> radiation physicist per 400 patients.</w:t>
      </w:r>
    </w:p>
    <w:p w14:paraId="54182450" w14:textId="42C669AC" w:rsidR="00373EE3" w:rsidRDefault="00B3455D" w:rsidP="00E06173">
      <w:r w:rsidRPr="009B6AA8">
        <w:t xml:space="preserve">Access to this level of resourcing may be difficult in outer regional or rural areas where shortages are experienced with medical staff and particularly with specialist clinicians </w:t>
      </w:r>
      <w:sdt>
        <w:sdtPr>
          <w:id w:val="-469523665"/>
          <w:citation/>
        </w:sdtPr>
        <w:sdtContent>
          <w:r w:rsidRPr="00D65C79">
            <w:fldChar w:fldCharType="begin"/>
          </w:r>
          <w:r w:rsidRPr="009B6AA8">
            <w:instrText xml:space="preserve"> CITATION Hen14 \l 1033 </w:instrText>
          </w:r>
          <w:r w:rsidRPr="00D65C79">
            <w:fldChar w:fldCharType="separate"/>
          </w:r>
          <w:r w:rsidR="00264535" w:rsidRPr="00264535">
            <w:rPr>
              <w:noProof/>
            </w:rPr>
            <w:t>[16]</w:t>
          </w:r>
          <w:r w:rsidRPr="00D65C79">
            <w:fldChar w:fldCharType="end"/>
          </w:r>
        </w:sdtContent>
      </w:sdt>
      <w:r w:rsidRPr="00D65C79">
        <w:t>.</w:t>
      </w:r>
    </w:p>
    <w:p w14:paraId="570BC267" w14:textId="77777777" w:rsidR="00373EE3" w:rsidRDefault="0006424A" w:rsidP="0006424A">
      <w:r w:rsidRPr="009B6AA8">
        <w:t xml:space="preserve">Public </w:t>
      </w:r>
      <w:r w:rsidR="007A75A8">
        <w:t>facilities</w:t>
      </w:r>
      <w:r w:rsidRPr="009B6AA8">
        <w:t xml:space="preserve"> and peak bodies commented on the need to consider the above factors in planning for new RT services and support</w:t>
      </w:r>
      <w:r w:rsidR="007F20F9" w:rsidRPr="009B6AA8">
        <w:t>ed</w:t>
      </w:r>
      <w:r w:rsidRPr="009B6AA8">
        <w:t xml:space="preserve"> the inclusion of these criteria in the ROHPG assessment process.</w:t>
      </w:r>
    </w:p>
    <w:p w14:paraId="6B638FC0" w14:textId="77777777" w:rsidR="00373EE3" w:rsidRDefault="0006424A" w:rsidP="0006424A">
      <w:r w:rsidRPr="009B6AA8">
        <w:t xml:space="preserve">In planning for radiotherapy services, it is </w:t>
      </w:r>
      <w:r w:rsidR="007F20F9" w:rsidRPr="009B6AA8">
        <w:t xml:space="preserve">also </w:t>
      </w:r>
      <w:r w:rsidRPr="009B6AA8">
        <w:t>important to consider the integration for the service with other cancer services (including medical oncology and surgical oncology) and allied health support teams.</w:t>
      </w:r>
    </w:p>
    <w:p w14:paraId="2CE1D6D7" w14:textId="77777777" w:rsidR="00373EE3" w:rsidRDefault="00B3455D" w:rsidP="00B3455D">
      <w:r w:rsidRPr="009B6AA8">
        <w:t xml:space="preserve">All stakeholders noted the need for appropriate workforce groups including radiation </w:t>
      </w:r>
      <w:r w:rsidR="005F016E">
        <w:t>oncology</w:t>
      </w:r>
      <w:r w:rsidRPr="009B6AA8">
        <w:t xml:space="preserve">, radiation </w:t>
      </w:r>
      <w:r w:rsidR="005F016E">
        <w:t>therapy</w:t>
      </w:r>
      <w:r w:rsidRPr="009B6AA8">
        <w:t>, medical physics, and nursing, along with ongoing professional development and training to upskill the workforce in the emerging technologies.</w:t>
      </w:r>
    </w:p>
    <w:p w14:paraId="4C42F5A6" w14:textId="77777777" w:rsidR="00373EE3" w:rsidRDefault="0046414D" w:rsidP="0046414D">
      <w:pPr>
        <w:pStyle w:val="Finding"/>
      </w:pPr>
      <w:r w:rsidRPr="009B6AA8">
        <w:t>Many factors contribute to developing a</w:t>
      </w:r>
      <w:r w:rsidR="005F016E">
        <w:t>n</w:t>
      </w:r>
      <w:r w:rsidRPr="009B6AA8">
        <w:t xml:space="preserve"> RT service and providing </w:t>
      </w:r>
      <w:r w:rsidR="005F016E" w:rsidRPr="009B6AA8">
        <w:t>high</w:t>
      </w:r>
      <w:r w:rsidR="005F016E">
        <w:t>-</w:t>
      </w:r>
      <w:r w:rsidRPr="009B6AA8">
        <w:t>quality care for patients, including workforce, support services and integration into multidisciplinary teams. It is appropriate for these factors to be considered in assessing</w:t>
      </w:r>
      <w:r w:rsidR="00345322" w:rsidRPr="009B6AA8">
        <w:t xml:space="preserve"> </w:t>
      </w:r>
      <w:r w:rsidRPr="009B6AA8">
        <w:t>ROHPG funding applications.</w:t>
      </w:r>
    </w:p>
    <w:p w14:paraId="4E9825FD" w14:textId="42F071A7" w:rsidR="00373EE3" w:rsidRPr="00BC705E" w:rsidRDefault="003F4872" w:rsidP="009F3514">
      <w:pPr>
        <w:pStyle w:val="heading2numbered"/>
      </w:pPr>
      <w:bookmarkStart w:id="140" w:name="_Toc59198468"/>
      <w:bookmarkStart w:id="141" w:name="_Toc66193935"/>
      <w:bookmarkStart w:id="142" w:name="_Toc73696686"/>
      <w:r w:rsidRPr="00BC705E">
        <w:t>Trade-off analysis of alternative funding models</w:t>
      </w:r>
      <w:bookmarkEnd w:id="140"/>
      <w:bookmarkEnd w:id="141"/>
      <w:bookmarkEnd w:id="142"/>
    </w:p>
    <w:p w14:paraId="2A60AF44" w14:textId="77777777" w:rsidR="00373EE3" w:rsidRDefault="003F4872" w:rsidP="007A1E2C">
      <w:r w:rsidRPr="009B6AA8">
        <w:t xml:space="preserve">A trade-off analysis was conducted to determine if a Capital Grant Scheme (the current ROHPG funding mechanism) is still the most appropriate mechanism to fund the purchase of high-cost radiotherapy equipment such as </w:t>
      </w:r>
      <w:proofErr w:type="spellStart"/>
      <w:r w:rsidRPr="009B6AA8">
        <w:t>linacs</w:t>
      </w:r>
      <w:proofErr w:type="spellEnd"/>
      <w:r w:rsidRPr="009B6AA8">
        <w:t>.</w:t>
      </w:r>
    </w:p>
    <w:p w14:paraId="1577B66A" w14:textId="77777777" w:rsidR="00373EE3" w:rsidRDefault="003F4872" w:rsidP="007A1E2C">
      <w:r w:rsidRPr="009B6AA8">
        <w:t xml:space="preserve">A trade-off analysis is a comparison exercise, which looks at the </w:t>
      </w:r>
      <w:r w:rsidRPr="009B6AA8">
        <w:rPr>
          <w:i/>
          <w:iCs/>
        </w:rPr>
        <w:t>relative</w:t>
      </w:r>
      <w:r w:rsidRPr="009B6AA8">
        <w:t xml:space="preserve"> advantage (or disadvantage) of different funding mechanisms against a set of defined comparison criteria. Each alternative mechanism is compared to a specified benchmark, in this case the status quo</w:t>
      </w:r>
      <w:r w:rsidR="009C25FA" w:rsidRPr="009B6AA8">
        <w:t xml:space="preserve"> – the </w:t>
      </w:r>
      <w:r w:rsidRPr="009B6AA8">
        <w:t xml:space="preserve">ROHPG </w:t>
      </w:r>
      <w:r w:rsidR="00FD606B">
        <w:t>Scheme</w:t>
      </w:r>
      <w:r w:rsidR="009C25FA" w:rsidRPr="009B6AA8">
        <w:t xml:space="preserve"> </w:t>
      </w:r>
      <w:r w:rsidR="00E61AD5" w:rsidRPr="009B6AA8">
        <w:t>–</w:t>
      </w:r>
      <w:r w:rsidRPr="009B6AA8">
        <w:t xml:space="preserve"> for its relative advantage.</w:t>
      </w:r>
    </w:p>
    <w:p w14:paraId="39145BF6" w14:textId="77777777" w:rsidR="00373EE3" w:rsidRDefault="003F4872" w:rsidP="007A1E2C">
      <w:r w:rsidRPr="009B6AA8">
        <w:t>The trade-off analysis compared the following funding options:</w:t>
      </w:r>
    </w:p>
    <w:p w14:paraId="192B3FEE" w14:textId="77777777" w:rsidR="00373EE3" w:rsidRDefault="003F4872" w:rsidP="004E1635">
      <w:pPr>
        <w:pStyle w:val="List"/>
        <w:numPr>
          <w:ilvl w:val="0"/>
          <w:numId w:val="44"/>
        </w:numPr>
        <w:contextualSpacing w:val="0"/>
      </w:pPr>
      <w:r w:rsidRPr="009B6AA8">
        <w:rPr>
          <w:b/>
          <w:bCs/>
        </w:rPr>
        <w:t xml:space="preserve">ROHPG </w:t>
      </w:r>
      <w:r w:rsidR="004B0756" w:rsidRPr="009B6AA8">
        <w:rPr>
          <w:b/>
          <w:bCs/>
        </w:rPr>
        <w:t>Capital Grant Scheme</w:t>
      </w:r>
      <w:r w:rsidRPr="009B6AA8">
        <w:rPr>
          <w:b/>
          <w:bCs/>
        </w:rPr>
        <w:t>:</w:t>
      </w:r>
      <w:r w:rsidRPr="009B6AA8">
        <w:t xml:space="preserve"> the current funding mechanism as described in Chapter 2. This is the benchmark for the analysis.</w:t>
      </w:r>
    </w:p>
    <w:p w14:paraId="5D9D2B1D" w14:textId="77777777" w:rsidR="00373EE3" w:rsidRDefault="003F4872" w:rsidP="004E1635">
      <w:pPr>
        <w:pStyle w:val="List"/>
        <w:numPr>
          <w:ilvl w:val="0"/>
          <w:numId w:val="44"/>
        </w:numPr>
      </w:pPr>
      <w:r w:rsidRPr="009B6AA8">
        <w:rPr>
          <w:b/>
          <w:bCs/>
        </w:rPr>
        <w:t xml:space="preserve">Traditional </w:t>
      </w:r>
      <w:r w:rsidR="005F016E">
        <w:rPr>
          <w:b/>
          <w:bCs/>
        </w:rPr>
        <w:t>g</w:t>
      </w:r>
      <w:r w:rsidR="005F016E" w:rsidRPr="009B6AA8">
        <w:rPr>
          <w:b/>
          <w:bCs/>
        </w:rPr>
        <w:t xml:space="preserve">rant </w:t>
      </w:r>
      <w:r w:rsidR="005F016E">
        <w:rPr>
          <w:b/>
          <w:bCs/>
        </w:rPr>
        <w:t>p</w:t>
      </w:r>
      <w:r w:rsidR="005F016E" w:rsidRPr="009B6AA8">
        <w:rPr>
          <w:b/>
          <w:bCs/>
        </w:rPr>
        <w:t>rogram</w:t>
      </w:r>
      <w:r w:rsidRPr="009B6AA8">
        <w:rPr>
          <w:b/>
          <w:bCs/>
        </w:rPr>
        <w:t>:</w:t>
      </w:r>
      <w:r w:rsidRPr="009B6AA8">
        <w:t xml:space="preserve"> a traditional grant funding program where funding proposal submissions are sought for comparative assessment, and where funded, form part of conditional funding agreements with grant instalment payments based on </w:t>
      </w:r>
      <w:proofErr w:type="spellStart"/>
      <w:r w:rsidRPr="009B6AA8">
        <w:t>fulfillment</w:t>
      </w:r>
      <w:proofErr w:type="spellEnd"/>
      <w:r w:rsidRPr="009B6AA8">
        <w:t xml:space="preserve"> of pre-established criteria.</w:t>
      </w:r>
    </w:p>
    <w:p w14:paraId="1D8A0EED" w14:textId="77777777" w:rsidR="00373EE3" w:rsidRDefault="003F4872" w:rsidP="004E1635">
      <w:pPr>
        <w:pStyle w:val="List"/>
        <w:numPr>
          <w:ilvl w:val="0"/>
          <w:numId w:val="44"/>
        </w:numPr>
        <w:contextualSpacing w:val="0"/>
      </w:pPr>
      <w:r w:rsidRPr="009B6AA8">
        <w:rPr>
          <w:b/>
          <w:bCs/>
        </w:rPr>
        <w:t xml:space="preserve">Incorporation or </w:t>
      </w:r>
      <w:r w:rsidR="005F016E">
        <w:rPr>
          <w:b/>
          <w:bCs/>
        </w:rPr>
        <w:t>l</w:t>
      </w:r>
      <w:r w:rsidR="005F016E" w:rsidRPr="009B6AA8">
        <w:rPr>
          <w:b/>
          <w:bCs/>
        </w:rPr>
        <w:t xml:space="preserve">inkage </w:t>
      </w:r>
      <w:r w:rsidRPr="009B6AA8">
        <w:rPr>
          <w:b/>
          <w:bCs/>
        </w:rPr>
        <w:t>to the MBS:</w:t>
      </w:r>
      <w:r w:rsidRPr="009B6AA8">
        <w:t xml:space="preserve"> </w:t>
      </w:r>
      <w:r w:rsidR="005F016E">
        <w:t>a</w:t>
      </w:r>
      <w:r w:rsidR="005F016E" w:rsidRPr="009B6AA8">
        <w:t xml:space="preserve"> </w:t>
      </w:r>
      <w:r w:rsidRPr="009B6AA8">
        <w:t>contribution to capital equipment costs as a bundled element of the MBS schedule fee for associated activity items.</w:t>
      </w:r>
    </w:p>
    <w:p w14:paraId="368E2F6A" w14:textId="77777777" w:rsidR="00373EE3" w:rsidRDefault="003F4872" w:rsidP="004E1635">
      <w:pPr>
        <w:pStyle w:val="List"/>
        <w:numPr>
          <w:ilvl w:val="0"/>
          <w:numId w:val="44"/>
        </w:numPr>
        <w:contextualSpacing w:val="0"/>
      </w:pPr>
      <w:r w:rsidRPr="009B6AA8">
        <w:rPr>
          <w:b/>
          <w:bCs/>
        </w:rPr>
        <w:t>Funding via state and territory jurisdictions:</w:t>
      </w:r>
      <w:r w:rsidRPr="009B6AA8">
        <w:t xml:space="preserve"> an arrangement through existing Australian Government and jurisdiction funding agreements, whereby capital funding is provided directly to states and territories for distribution in line with service and infrastructure planning cycles. Many such agreements exist under the National Health Reform Agreement to public </w:t>
      </w:r>
      <w:r w:rsidR="007A75A8">
        <w:t>facilities</w:t>
      </w:r>
      <w:r w:rsidRPr="009B6AA8">
        <w:t>, including the NHA.</w:t>
      </w:r>
    </w:p>
    <w:p w14:paraId="18ED8DD1" w14:textId="77777777" w:rsidR="00373EE3" w:rsidRDefault="003F4872" w:rsidP="004E1635">
      <w:pPr>
        <w:pStyle w:val="List"/>
        <w:numPr>
          <w:ilvl w:val="0"/>
          <w:numId w:val="44"/>
        </w:numPr>
        <w:contextualSpacing w:val="0"/>
      </w:pPr>
      <w:r w:rsidRPr="009B6AA8">
        <w:rPr>
          <w:b/>
          <w:bCs/>
        </w:rPr>
        <w:t xml:space="preserve">Traditional </w:t>
      </w:r>
      <w:r w:rsidR="005F016E">
        <w:rPr>
          <w:b/>
          <w:bCs/>
        </w:rPr>
        <w:t>l</w:t>
      </w:r>
      <w:r w:rsidR="005F016E" w:rsidRPr="009B6AA8">
        <w:rPr>
          <w:b/>
          <w:bCs/>
        </w:rPr>
        <w:t xml:space="preserve">ending </w:t>
      </w:r>
      <w:r w:rsidR="005F016E">
        <w:rPr>
          <w:b/>
          <w:bCs/>
        </w:rPr>
        <w:t>a</w:t>
      </w:r>
      <w:r w:rsidR="005F016E" w:rsidRPr="009B6AA8">
        <w:rPr>
          <w:b/>
          <w:bCs/>
        </w:rPr>
        <w:t>rrangement</w:t>
      </w:r>
      <w:r w:rsidRPr="009B6AA8">
        <w:rPr>
          <w:b/>
          <w:bCs/>
        </w:rPr>
        <w:t>:</w:t>
      </w:r>
      <w:r w:rsidRPr="009B6AA8">
        <w:t xml:space="preserve"> a funding contribution through the provision of either interest bearing, or non-interest bearing lending instruments such as a cash loan to be paid back based on fixed terms agreed on a standardised basis. It is further conceivable that the terms of repayment be varied based on regional equity requirements, meeting of quality benchmarks, or other practical incentivising considerations based on assessment of need.</w:t>
      </w:r>
    </w:p>
    <w:p w14:paraId="29A2C506" w14:textId="77777777" w:rsidR="00373EE3" w:rsidRDefault="003F4872" w:rsidP="004E1635">
      <w:pPr>
        <w:pStyle w:val="List"/>
        <w:numPr>
          <w:ilvl w:val="0"/>
          <w:numId w:val="44"/>
        </w:numPr>
        <w:contextualSpacing w:val="0"/>
      </w:pPr>
      <w:r w:rsidRPr="009B6AA8">
        <w:rPr>
          <w:b/>
          <w:bCs/>
        </w:rPr>
        <w:lastRenderedPageBreak/>
        <w:t xml:space="preserve">Market </w:t>
      </w:r>
      <w:r w:rsidR="005F016E">
        <w:rPr>
          <w:b/>
          <w:bCs/>
        </w:rPr>
        <w:t>b</w:t>
      </w:r>
      <w:r w:rsidR="005F016E" w:rsidRPr="009B6AA8">
        <w:rPr>
          <w:b/>
          <w:bCs/>
        </w:rPr>
        <w:t xml:space="preserve">ased </w:t>
      </w:r>
      <w:r w:rsidR="005F016E">
        <w:rPr>
          <w:b/>
          <w:bCs/>
        </w:rPr>
        <w:t>s</w:t>
      </w:r>
      <w:r w:rsidR="005F016E" w:rsidRPr="009B6AA8">
        <w:rPr>
          <w:b/>
          <w:bCs/>
        </w:rPr>
        <w:t>ubsidy</w:t>
      </w:r>
      <w:r w:rsidRPr="009B6AA8">
        <w:rPr>
          <w:b/>
          <w:bCs/>
        </w:rPr>
        <w:t xml:space="preserve">: </w:t>
      </w:r>
      <w:r w:rsidRPr="009B6AA8">
        <w:t>a funding arrangement whereby the manufacturer, research institute, or adjacent entity (servicing agent, software production entity, cloud hosting environment provider</w:t>
      </w:r>
      <w:r w:rsidR="005F016E">
        <w:t>,</w:t>
      </w:r>
      <w:r w:rsidRPr="009B6AA8">
        <w:t xml:space="preserve"> etc.) partly subsidises the ROHPG contribution as part of licensing agreements or market access. Such subsidy may then attract a rebate through activity or quality-based payments.</w:t>
      </w:r>
    </w:p>
    <w:p w14:paraId="19D5B428" w14:textId="6C663F99" w:rsidR="003F4872" w:rsidRPr="009B6AA8" w:rsidRDefault="003F4872" w:rsidP="004E1635">
      <w:pPr>
        <w:pStyle w:val="List"/>
        <w:numPr>
          <w:ilvl w:val="0"/>
          <w:numId w:val="44"/>
        </w:numPr>
        <w:contextualSpacing w:val="0"/>
      </w:pPr>
      <w:r w:rsidRPr="009B6AA8">
        <w:rPr>
          <w:b/>
          <w:bCs/>
        </w:rPr>
        <w:t xml:space="preserve">Hybrid </w:t>
      </w:r>
      <w:r w:rsidR="005F016E">
        <w:rPr>
          <w:b/>
          <w:bCs/>
        </w:rPr>
        <w:t>m</w:t>
      </w:r>
      <w:r w:rsidR="005F016E" w:rsidRPr="009B6AA8">
        <w:rPr>
          <w:b/>
          <w:bCs/>
        </w:rPr>
        <w:t xml:space="preserve">odel </w:t>
      </w:r>
      <w:r w:rsidRPr="009B6AA8">
        <w:rPr>
          <w:b/>
          <w:bCs/>
        </w:rPr>
        <w:t xml:space="preserve">of </w:t>
      </w:r>
      <w:r w:rsidR="005F016E">
        <w:rPr>
          <w:b/>
          <w:bCs/>
        </w:rPr>
        <w:t>f</w:t>
      </w:r>
      <w:r w:rsidR="005F016E" w:rsidRPr="009B6AA8">
        <w:rPr>
          <w:b/>
          <w:bCs/>
        </w:rPr>
        <w:t>unding</w:t>
      </w:r>
      <w:r w:rsidRPr="009B6AA8">
        <w:rPr>
          <w:b/>
          <w:bCs/>
        </w:rPr>
        <w:t xml:space="preserve">: </w:t>
      </w:r>
      <w:r w:rsidRPr="009B6AA8">
        <w:t>several options exist for the combination of elements of the previously described funding mechanisms. In this review, the hybrid mechanism under consideration is the segmentation of grant funding into two section</w:t>
      </w:r>
      <w:r w:rsidRPr="00B20A52">
        <w:t xml:space="preserve">s, </w:t>
      </w:r>
      <w:r w:rsidR="00E80020" w:rsidRPr="00B20A52">
        <w:t>with the first being a lump sum capital contribution</w:t>
      </w:r>
      <w:r w:rsidR="00EA3583" w:rsidRPr="00B20A52">
        <w:t xml:space="preserve"> (e.g. $3</w:t>
      </w:r>
      <w:r w:rsidR="005B5952" w:rsidRPr="00B20A52">
        <w:t> </w:t>
      </w:r>
      <w:r w:rsidR="00EA3583" w:rsidRPr="00B20A52">
        <w:t>m</w:t>
      </w:r>
      <w:r w:rsidR="0066465D" w:rsidRPr="00B20A52">
        <w:t>illion</w:t>
      </w:r>
      <w:r w:rsidR="00EA3583" w:rsidRPr="00B20A52">
        <w:t xml:space="preserve"> over 10 years)</w:t>
      </w:r>
      <w:r w:rsidR="00E80020" w:rsidRPr="00B20A52">
        <w:t xml:space="preserve">, and the second attracting a contingent quality associated funding incentive, or penalty, </w:t>
      </w:r>
      <w:r w:rsidR="005F016E" w:rsidRPr="00B20A52">
        <w:t xml:space="preserve">to </w:t>
      </w:r>
      <w:r w:rsidR="00E80020" w:rsidRPr="00B20A52">
        <w:t>incentivise quality. Here, the criteria that determine a successful application at offset are used throughout the lifecycle of funding as value-based milestones to release additional payments.</w:t>
      </w:r>
    </w:p>
    <w:p w14:paraId="4C9CAE99" w14:textId="77777777" w:rsidR="00373EE3" w:rsidRDefault="00747CE0" w:rsidP="007A1E2C">
      <w:r w:rsidRPr="009B6AA8">
        <w:t>Funding options were compared against seven criteria</w:t>
      </w:r>
      <w:r w:rsidR="005F016E">
        <w:t>:</w:t>
      </w:r>
    </w:p>
    <w:p w14:paraId="26BFDDE1" w14:textId="646D3525" w:rsidR="00747CE0" w:rsidRPr="004B24F3" w:rsidRDefault="00747CE0" w:rsidP="004B24F3">
      <w:pPr>
        <w:pStyle w:val="ListBullet"/>
      </w:pPr>
      <w:r w:rsidRPr="004B24F3">
        <w:t>alignment with government priority and policy objectives</w:t>
      </w:r>
    </w:p>
    <w:p w14:paraId="29AFCFB7" w14:textId="4AA2C47D" w:rsidR="00747CE0" w:rsidRPr="004B24F3" w:rsidRDefault="00747CE0" w:rsidP="004B24F3">
      <w:pPr>
        <w:pStyle w:val="ListBullet"/>
      </w:pPr>
      <w:r w:rsidRPr="004B24F3">
        <w:t>alignment with future trends</w:t>
      </w:r>
    </w:p>
    <w:p w14:paraId="6BD62D44" w14:textId="77777777" w:rsidR="00373EE3" w:rsidRPr="004B24F3" w:rsidRDefault="00747CE0" w:rsidP="004B24F3">
      <w:pPr>
        <w:pStyle w:val="ListBullet"/>
      </w:pPr>
      <w:r w:rsidRPr="004B24F3">
        <w:t xml:space="preserve">indicative </w:t>
      </w:r>
      <w:r w:rsidR="000862CC" w:rsidRPr="004B24F3">
        <w:t>e</w:t>
      </w:r>
      <w:r w:rsidRPr="004B24F3">
        <w:t>xpenditure</w:t>
      </w:r>
    </w:p>
    <w:p w14:paraId="67D074EE" w14:textId="31E2FB79" w:rsidR="00747CE0" w:rsidRPr="004B24F3" w:rsidRDefault="00747CE0" w:rsidP="004B24F3">
      <w:pPr>
        <w:pStyle w:val="ListBullet"/>
      </w:pPr>
      <w:r w:rsidRPr="004B24F3">
        <w:t>access /equity</w:t>
      </w:r>
    </w:p>
    <w:p w14:paraId="4322B317" w14:textId="2BEF9236" w:rsidR="00747CE0" w:rsidRPr="004B24F3" w:rsidRDefault="00747CE0" w:rsidP="004B24F3">
      <w:pPr>
        <w:pStyle w:val="ListBullet"/>
      </w:pPr>
      <w:r w:rsidRPr="004B24F3">
        <w:t>quality</w:t>
      </w:r>
    </w:p>
    <w:p w14:paraId="3FDC6983" w14:textId="77777777" w:rsidR="00373EE3" w:rsidRPr="004B24F3" w:rsidRDefault="00747CE0" w:rsidP="004B24F3">
      <w:pPr>
        <w:pStyle w:val="ListBullet"/>
      </w:pPr>
      <w:r w:rsidRPr="004B24F3">
        <w:t>administrative efficiency, and</w:t>
      </w:r>
    </w:p>
    <w:p w14:paraId="7DE7804F" w14:textId="77777777" w:rsidR="00373EE3" w:rsidRPr="004B24F3" w:rsidRDefault="00747CE0" w:rsidP="004B24F3">
      <w:pPr>
        <w:pStyle w:val="ListBullet"/>
      </w:pPr>
      <w:proofErr w:type="gramStart"/>
      <w:r w:rsidRPr="004B24F3">
        <w:t>feasibility</w:t>
      </w:r>
      <w:proofErr w:type="gramEnd"/>
      <w:r w:rsidRPr="004B24F3">
        <w:t xml:space="preserve"> and sentiment.</w:t>
      </w:r>
    </w:p>
    <w:p w14:paraId="66CC92A2" w14:textId="28521128" w:rsidR="00373EE3" w:rsidRDefault="00747CE0" w:rsidP="009F3514">
      <w:pPr>
        <w:pStyle w:val="Heading4"/>
      </w:pPr>
      <w:r w:rsidRPr="009B6AA8">
        <w:t>Trade-off analysis results</w:t>
      </w:r>
    </w:p>
    <w:p w14:paraId="27D22E35" w14:textId="77777777" w:rsidR="00373EE3" w:rsidRDefault="000F7FA5" w:rsidP="005B416A">
      <w:r w:rsidRPr="009B6AA8">
        <w:t xml:space="preserve">The advantages and disadvantages of alternative funding options relative </w:t>
      </w:r>
      <w:r w:rsidR="009C25FA" w:rsidRPr="009B6AA8">
        <w:t xml:space="preserve">to </w:t>
      </w:r>
      <w:r w:rsidRPr="009B6AA8">
        <w:t xml:space="preserve">the benchmark status quo are presented in </w:t>
      </w:r>
      <w:r w:rsidRPr="00D65C79">
        <w:fldChar w:fldCharType="begin"/>
      </w:r>
      <w:r w:rsidRPr="009B6AA8">
        <w:instrText xml:space="preserve"> REF _Ref56068478 \h </w:instrText>
      </w:r>
      <w:r w:rsidRPr="00D65C79">
        <w:fldChar w:fldCharType="separate"/>
      </w:r>
      <w:r w:rsidR="007C0448" w:rsidRPr="00D65C79">
        <w:t xml:space="preserve">Table </w:t>
      </w:r>
      <w:r w:rsidR="007C0448">
        <w:rPr>
          <w:rFonts w:hint="cs"/>
          <w:noProof/>
          <w:cs/>
        </w:rPr>
        <w:t>‎</w:t>
      </w:r>
      <w:r w:rsidR="007C0448">
        <w:rPr>
          <w:noProof/>
        </w:rPr>
        <w:t>4</w:t>
      </w:r>
      <w:r w:rsidR="007C0448">
        <w:t>.</w:t>
      </w:r>
      <w:r w:rsidR="007C0448">
        <w:rPr>
          <w:noProof/>
        </w:rPr>
        <w:t>1</w:t>
      </w:r>
      <w:r w:rsidRPr="00D65C79">
        <w:fldChar w:fldCharType="end"/>
      </w:r>
      <w:r w:rsidRPr="00D65C79">
        <w:t xml:space="preserve">. </w:t>
      </w:r>
      <w:r w:rsidR="009C25FA" w:rsidRPr="00D65C79">
        <w:t>F</w:t>
      </w:r>
      <w:r w:rsidR="00FF44CF" w:rsidRPr="00D65C79">
        <w:t>urther detail on the trade</w:t>
      </w:r>
      <w:r w:rsidR="000B48C7" w:rsidRPr="00D65C79">
        <w:t>-</w:t>
      </w:r>
      <w:r w:rsidR="00FF44CF" w:rsidRPr="00D65C79">
        <w:t xml:space="preserve">off analysis is provided in </w:t>
      </w:r>
      <w:r w:rsidR="000B48C7" w:rsidRPr="00D65C79">
        <w:fldChar w:fldCharType="begin"/>
      </w:r>
      <w:r w:rsidR="000B48C7" w:rsidRPr="009B6AA8">
        <w:instrText xml:space="preserve"> REF _Ref56414461 \r \h </w:instrText>
      </w:r>
      <w:r w:rsidR="000B48C7" w:rsidRPr="00D65C79">
        <w:fldChar w:fldCharType="separate"/>
      </w:r>
      <w:r w:rsidR="007C0448">
        <w:rPr>
          <w:rFonts w:hint="cs"/>
          <w:cs/>
        </w:rPr>
        <w:t>‎</w:t>
      </w:r>
      <w:r w:rsidR="007C0448">
        <w:t>Appendix B</w:t>
      </w:r>
      <w:r w:rsidR="000B48C7" w:rsidRPr="00D65C79">
        <w:fldChar w:fldCharType="end"/>
      </w:r>
      <w:r w:rsidR="000B48C7" w:rsidRPr="00D65C79">
        <w:t>.</w:t>
      </w:r>
    </w:p>
    <w:p w14:paraId="01B2960E" w14:textId="191E0688" w:rsidR="000F7FA5" w:rsidRPr="00D65C79" w:rsidRDefault="004527AF" w:rsidP="004527AF">
      <w:pPr>
        <w:pStyle w:val="ProjectImplication"/>
      </w:pPr>
      <w:bookmarkStart w:id="143" w:name="_Ref56068203"/>
      <w:r w:rsidRPr="009B6AA8">
        <w:rPr>
          <w:b/>
          <w:bCs/>
        </w:rPr>
        <w:t>Benchmark: the existing ROHPG Capital Grant Scheme</w:t>
      </w:r>
      <w:r w:rsidRPr="009B6AA8">
        <w:t xml:space="preserve"> is an atypical funding mechanism that exists in the context of the prevalence of cancer in Australia, importance of radiotherapy for cancer treatment, the impact of access to radiotherapy equipment on utilisation rates, and the relative high cost of this associated equipment. The </w:t>
      </w:r>
      <w:r>
        <w:t>Scheme</w:t>
      </w:r>
      <w:r w:rsidRPr="009B6AA8">
        <w:t xml:space="preserve"> also recognises the combined importance of the public and private segments of the health sector in provision of radiotherapy treatments to Australian patients.</w:t>
      </w:r>
    </w:p>
    <w:p w14:paraId="425289FB" w14:textId="77777777" w:rsidR="00374DA4" w:rsidRDefault="00374DA4" w:rsidP="00374DA4">
      <w:pPr>
        <w:sectPr w:rsidR="00374DA4" w:rsidSect="00B20A52">
          <w:type w:val="continuous"/>
          <w:pgSz w:w="11906" w:h="16838" w:code="9"/>
          <w:pgMar w:top="1304" w:right="1134" w:bottom="737" w:left="737" w:header="567" w:footer="284" w:gutter="0"/>
          <w:cols w:space="708"/>
          <w:docGrid w:linePitch="360"/>
        </w:sectPr>
      </w:pPr>
      <w:bookmarkStart w:id="144" w:name="_Ref56068478"/>
    </w:p>
    <w:p w14:paraId="1846E47C" w14:textId="2731F477" w:rsidR="000F7FA5" w:rsidRPr="00E06173" w:rsidRDefault="000F7FA5" w:rsidP="00621B04">
      <w:pPr>
        <w:pStyle w:val="Caption"/>
      </w:pPr>
      <w:r w:rsidRPr="00D65C79">
        <w:lastRenderedPageBreak/>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4</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1</w:t>
      </w:r>
      <w:r w:rsidR="004B24F3">
        <w:rPr>
          <w:noProof/>
        </w:rPr>
        <w:fldChar w:fldCharType="end"/>
      </w:r>
      <w:bookmarkEnd w:id="144"/>
      <w:r w:rsidRPr="00D65C79">
        <w:t>:</w:t>
      </w:r>
      <w:r w:rsidRPr="00E06173">
        <w:t xml:space="preserve"> Trade-off analysis: advantages and disadvantages of alternative funding models, relative to status quo benchmark</w:t>
      </w:r>
    </w:p>
    <w:tbl>
      <w:tblPr>
        <w:tblStyle w:val="HMATableA"/>
        <w:tblW w:w="5000" w:type="pct"/>
        <w:tblInd w:w="-5" w:type="dxa"/>
        <w:tblLook w:val="04A0" w:firstRow="1" w:lastRow="0" w:firstColumn="1" w:lastColumn="0" w:noHBand="0" w:noVBand="1"/>
        <w:tblDescription w:val="Table 4.1 list the Trade-off analysis: advantages and disadvantages of alternative funding models, relative to status quo benchmark. This table listing 6 funding options and their advantages and disadvantages."/>
      </w:tblPr>
      <w:tblGrid>
        <w:gridCol w:w="1660"/>
        <w:gridCol w:w="4842"/>
        <w:gridCol w:w="8295"/>
      </w:tblGrid>
      <w:tr w:rsidR="000F7FA5" w:rsidRPr="009B6AA8" w14:paraId="7575688A" w14:textId="77777777" w:rsidTr="00374DA4">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61" w:type="pct"/>
            <w:vAlign w:val="center"/>
          </w:tcPr>
          <w:bookmarkEnd w:id="143"/>
          <w:p w14:paraId="74580CF3" w14:textId="2F385E08" w:rsidR="005B416A" w:rsidRPr="003A3EEC" w:rsidRDefault="005B416A" w:rsidP="00F97C6A">
            <w:pPr>
              <w:pStyle w:val="TableHeading"/>
            </w:pPr>
            <w:r w:rsidRPr="003A3EEC">
              <w:t>Funding option</w:t>
            </w:r>
          </w:p>
        </w:tc>
        <w:tc>
          <w:tcPr>
            <w:tcW w:w="1636" w:type="pct"/>
            <w:vAlign w:val="center"/>
          </w:tcPr>
          <w:p w14:paraId="70F5BA0A" w14:textId="0AA73007" w:rsidR="005B416A" w:rsidRPr="003A3EEC" w:rsidRDefault="005B416A" w:rsidP="00F97C6A">
            <w:pPr>
              <w:pStyle w:val="TableHeading"/>
              <w:cnfStyle w:val="100000000000" w:firstRow="1" w:lastRow="0" w:firstColumn="0" w:lastColumn="0" w:oddVBand="0" w:evenVBand="0" w:oddHBand="0" w:evenHBand="0" w:firstRowFirstColumn="0" w:firstRowLastColumn="0" w:lastRowFirstColumn="0" w:lastRowLastColumn="0"/>
            </w:pPr>
            <w:r w:rsidRPr="003A3EEC">
              <w:t>Advantages</w:t>
            </w:r>
          </w:p>
        </w:tc>
        <w:tc>
          <w:tcPr>
            <w:tcW w:w="2803" w:type="pct"/>
            <w:vAlign w:val="center"/>
          </w:tcPr>
          <w:p w14:paraId="1DEF03E7" w14:textId="5416BD53" w:rsidR="005B416A" w:rsidRPr="003A3EEC" w:rsidRDefault="005B416A" w:rsidP="00F97C6A">
            <w:pPr>
              <w:pStyle w:val="TableHeading"/>
              <w:cnfStyle w:val="100000000000" w:firstRow="1" w:lastRow="0" w:firstColumn="0" w:lastColumn="0" w:oddVBand="0" w:evenVBand="0" w:oddHBand="0" w:evenHBand="0" w:firstRowFirstColumn="0" w:firstRowLastColumn="0" w:lastRowFirstColumn="0" w:lastRowLastColumn="0"/>
            </w:pPr>
            <w:r w:rsidRPr="003A3EEC">
              <w:t>Disadvantages</w:t>
            </w:r>
          </w:p>
        </w:tc>
      </w:tr>
      <w:tr w:rsidR="000F7FA5" w:rsidRPr="009B6AA8" w14:paraId="0690DB0C" w14:textId="77777777" w:rsidTr="00431316">
        <w:tc>
          <w:tcPr>
            <w:cnfStyle w:val="001000000000" w:firstRow="0" w:lastRow="0" w:firstColumn="1" w:lastColumn="0" w:oddVBand="0" w:evenVBand="0" w:oddHBand="0" w:evenHBand="0" w:firstRowFirstColumn="0" w:firstRowLastColumn="0" w:lastRowFirstColumn="0" w:lastRowLastColumn="0"/>
            <w:tcW w:w="561" w:type="pct"/>
          </w:tcPr>
          <w:p w14:paraId="34387C1B" w14:textId="77777777" w:rsidR="005B416A" w:rsidRPr="009B6AA8" w:rsidRDefault="005B416A" w:rsidP="004B24F3">
            <w:pPr>
              <w:pStyle w:val="Tabletext"/>
            </w:pPr>
            <w:r w:rsidRPr="009B6AA8">
              <w:t xml:space="preserve">Traditional </w:t>
            </w:r>
            <w:r w:rsidR="004F168F">
              <w:t>g</w:t>
            </w:r>
            <w:r w:rsidR="004F168F" w:rsidRPr="009B6AA8">
              <w:t xml:space="preserve">rant </w:t>
            </w:r>
            <w:r w:rsidR="004F168F">
              <w:t>p</w:t>
            </w:r>
            <w:r w:rsidR="004F168F" w:rsidRPr="009B6AA8">
              <w:t>rogram</w:t>
            </w:r>
          </w:p>
        </w:tc>
        <w:tc>
          <w:tcPr>
            <w:tcW w:w="1636" w:type="pct"/>
          </w:tcPr>
          <w:p w14:paraId="43CB3AAB" w14:textId="036B834B" w:rsidR="005B416A" w:rsidRPr="009B6AA8" w:rsidRDefault="005B416A"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Grant </w:t>
            </w:r>
            <w:r w:rsidR="00040142" w:rsidRPr="009B6AA8">
              <w:t>administration</w:t>
            </w:r>
            <w:r w:rsidRPr="009B6AA8">
              <w:t xml:space="preserve"> would likely be more seamlessly and efficiently manageable through existing centralised grant maintenance and oversight functions</w:t>
            </w:r>
          </w:p>
          <w:p w14:paraId="4535DB82" w14:textId="77777777" w:rsidR="00373EE3" w:rsidRDefault="005B416A" w:rsidP="00592036">
            <w:pPr>
              <w:pStyle w:val="TableBullets1"/>
              <w:cnfStyle w:val="000000000000" w:firstRow="0" w:lastRow="0" w:firstColumn="0" w:lastColumn="0" w:oddVBand="0" w:evenVBand="0" w:oddHBand="0" w:evenHBand="0" w:firstRowFirstColumn="0" w:firstRowLastColumn="0" w:lastRowFirstColumn="0" w:lastRowLastColumn="0"/>
            </w:pPr>
            <w:r w:rsidRPr="009B6AA8">
              <w:t>Potential for opportunities to introduce outcome-based milestones for funding</w:t>
            </w:r>
            <w:r w:rsidR="00040142" w:rsidRPr="009B6AA8">
              <w:t xml:space="preserve"> to increase accountability</w:t>
            </w:r>
          </w:p>
          <w:p w14:paraId="75FDE8F4" w14:textId="454362E6" w:rsidR="005B416A" w:rsidRPr="009B6AA8" w:rsidRDefault="005B416A" w:rsidP="00592036">
            <w:pPr>
              <w:pStyle w:val="TableBullets1"/>
              <w:cnfStyle w:val="000000000000" w:firstRow="0" w:lastRow="0" w:firstColumn="0" w:lastColumn="0" w:oddVBand="0" w:evenVBand="0" w:oddHBand="0" w:evenHBand="0" w:firstRowFirstColumn="0" w:firstRowLastColumn="0" w:lastRowFirstColumn="0" w:lastRowLastColumn="0"/>
            </w:pPr>
            <w:r w:rsidRPr="009B6AA8">
              <w:t>Potential to provide an additional lever to ensure quality, and provide greater flexibility to government</w:t>
            </w:r>
          </w:p>
        </w:tc>
        <w:tc>
          <w:tcPr>
            <w:tcW w:w="2803" w:type="pct"/>
          </w:tcPr>
          <w:p w14:paraId="7C0A8956" w14:textId="6CBA7329" w:rsidR="005B416A" w:rsidRPr="009B6AA8" w:rsidRDefault="00EA3583" w:rsidP="00592036">
            <w:pPr>
              <w:pStyle w:val="TableBullets1"/>
              <w:cnfStyle w:val="000000000000" w:firstRow="0" w:lastRow="0" w:firstColumn="0" w:lastColumn="0" w:oddVBand="0" w:evenVBand="0" w:oddHBand="0" w:evenHBand="0" w:firstRowFirstColumn="0" w:firstRowLastColumn="0" w:lastRowFirstColumn="0" w:lastRowLastColumn="0"/>
            </w:pPr>
            <w:r w:rsidRPr="009B6AA8">
              <w:t>Greater need for p</w:t>
            </w:r>
            <w:r w:rsidR="005B416A" w:rsidRPr="009B6AA8">
              <w:t xml:space="preserve">arallel administrative process to capture the existing funding </w:t>
            </w:r>
            <w:r w:rsidR="00863AFD">
              <w:t xml:space="preserve">that </w:t>
            </w:r>
            <w:r w:rsidR="005B416A" w:rsidRPr="009B6AA8">
              <w:t>would be required, reducing administrative gains in the lead in time (up to 10 years)</w:t>
            </w:r>
          </w:p>
          <w:p w14:paraId="7C3D39B9" w14:textId="5F91317E" w:rsidR="005B416A" w:rsidRPr="009B6AA8" w:rsidRDefault="005B416A"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Unlikely to match the funding cycle predictability of the ROHPG </w:t>
            </w:r>
            <w:r w:rsidR="00FD606B">
              <w:t>Scheme</w:t>
            </w:r>
          </w:p>
          <w:p w14:paraId="28DECDFB" w14:textId="61E4F2EC" w:rsidR="005B416A" w:rsidRPr="009B6AA8" w:rsidRDefault="005B416A" w:rsidP="00592036">
            <w:pPr>
              <w:pStyle w:val="TableBullets1"/>
              <w:cnfStyle w:val="000000000000" w:firstRow="0" w:lastRow="0" w:firstColumn="0" w:lastColumn="0" w:oddVBand="0" w:evenVBand="0" w:oddHBand="0" w:evenHBand="0" w:firstRowFirstColumn="0" w:firstRowLastColumn="0" w:lastRowFirstColumn="0" w:lastRowLastColumn="0"/>
            </w:pPr>
            <w:r w:rsidRPr="009B6AA8">
              <w:t>Chance of lesser alignment with future industry trends and technological advances</w:t>
            </w:r>
          </w:p>
        </w:tc>
      </w:tr>
      <w:tr w:rsidR="000F7FA5" w:rsidRPr="009B6AA8" w14:paraId="2111FE26" w14:textId="77777777" w:rsidTr="0043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pct"/>
          </w:tcPr>
          <w:p w14:paraId="7E300C0F" w14:textId="55CF985D" w:rsidR="005B416A" w:rsidRPr="009B6AA8" w:rsidRDefault="005B416A" w:rsidP="004B24F3">
            <w:pPr>
              <w:pStyle w:val="Tabletext"/>
            </w:pPr>
            <w:r w:rsidRPr="009B6AA8">
              <w:t xml:space="preserve">Incorporation or </w:t>
            </w:r>
            <w:r w:rsidR="004F168F">
              <w:t>l</w:t>
            </w:r>
            <w:r w:rsidR="004F168F" w:rsidRPr="009B6AA8">
              <w:t xml:space="preserve">inkage </w:t>
            </w:r>
            <w:r w:rsidRPr="009B6AA8">
              <w:t>to the MBS</w:t>
            </w:r>
          </w:p>
        </w:tc>
        <w:tc>
          <w:tcPr>
            <w:tcW w:w="1636" w:type="pct"/>
          </w:tcPr>
          <w:p w14:paraId="2B014C13" w14:textId="77777777" w:rsidR="005B416A" w:rsidRPr="009B6AA8" w:rsidRDefault="005B416A" w:rsidP="00592036">
            <w:pPr>
              <w:pStyle w:val="TableBullets1"/>
              <w:cnfStyle w:val="000000010000" w:firstRow="0" w:lastRow="0" w:firstColumn="0" w:lastColumn="0" w:oddVBand="0" w:evenVBand="0" w:oddHBand="0" w:evenHBand="1" w:firstRowFirstColumn="0" w:firstRowLastColumn="0" w:lastRowFirstColumn="0" w:lastRowLastColumn="0"/>
            </w:pPr>
            <w:r w:rsidRPr="009B6AA8">
              <w:t>Administrative efficiencies</w:t>
            </w:r>
          </w:p>
          <w:p w14:paraId="144B9E34" w14:textId="07405D0D" w:rsidR="000862CC" w:rsidRPr="009B6AA8" w:rsidRDefault="00EA3583" w:rsidP="00592036">
            <w:pPr>
              <w:pStyle w:val="TableBullets1"/>
              <w:cnfStyle w:val="000000010000" w:firstRow="0" w:lastRow="0" w:firstColumn="0" w:lastColumn="0" w:oddVBand="0" w:evenVBand="0" w:oddHBand="0" w:evenHBand="1" w:firstRowFirstColumn="0" w:firstRowLastColumn="0" w:lastRowFirstColumn="0" w:lastRowLastColumn="0"/>
            </w:pPr>
            <w:r w:rsidRPr="009B6AA8">
              <w:t xml:space="preserve">Provides greater visibility of funded </w:t>
            </w:r>
            <w:r w:rsidR="000862CC" w:rsidRPr="009B6AA8">
              <w:t xml:space="preserve">equipment usage </w:t>
            </w:r>
          </w:p>
        </w:tc>
        <w:tc>
          <w:tcPr>
            <w:tcW w:w="2803" w:type="pct"/>
          </w:tcPr>
          <w:p w14:paraId="42FF3F5B" w14:textId="77777777" w:rsidR="00373EE3" w:rsidRDefault="005B416A" w:rsidP="00592036">
            <w:pPr>
              <w:pStyle w:val="TableBullets1"/>
              <w:cnfStyle w:val="000000010000" w:firstRow="0" w:lastRow="0" w:firstColumn="0" w:lastColumn="0" w:oddVBand="0" w:evenVBand="0" w:oddHBand="0" w:evenHBand="1" w:firstRowFirstColumn="0" w:firstRowLastColumn="0" w:lastRowFirstColumn="0" w:lastRowLastColumn="0"/>
            </w:pPr>
            <w:r w:rsidRPr="009B6AA8">
              <w:t>Considerable additional forecasting and administrative burden for funding recipients</w:t>
            </w:r>
          </w:p>
          <w:p w14:paraId="6CFCC4ED" w14:textId="77777777" w:rsidR="00373EE3" w:rsidRDefault="000862CC" w:rsidP="00592036">
            <w:pPr>
              <w:pStyle w:val="TableBullets1"/>
              <w:cnfStyle w:val="000000010000" w:firstRow="0" w:lastRow="0" w:firstColumn="0" w:lastColumn="0" w:oddVBand="0" w:evenVBand="0" w:oddHBand="0" w:evenHBand="1" w:firstRowFirstColumn="0" w:firstRowLastColumn="0" w:lastRowFirstColumn="0" w:lastRowLastColumn="0"/>
            </w:pPr>
            <w:r w:rsidRPr="009B6AA8">
              <w:t xml:space="preserve">Inadequate funding to </w:t>
            </w:r>
            <w:r w:rsidR="00863AFD">
              <w:t xml:space="preserve">some facilities </w:t>
            </w:r>
            <w:r w:rsidRPr="009B6AA8">
              <w:t xml:space="preserve">due to rebate proportions and unpredictable </w:t>
            </w:r>
            <w:proofErr w:type="spellStart"/>
            <w:r w:rsidRPr="009B6AA8">
              <w:t>cashflow</w:t>
            </w:r>
            <w:proofErr w:type="spellEnd"/>
          </w:p>
          <w:p w14:paraId="17A2F484" w14:textId="77777777" w:rsidR="00373EE3" w:rsidRDefault="005B416A" w:rsidP="00592036">
            <w:pPr>
              <w:pStyle w:val="TableBullets1"/>
              <w:cnfStyle w:val="000000010000" w:firstRow="0" w:lastRow="0" w:firstColumn="0" w:lastColumn="0" w:oddVBand="0" w:evenVBand="0" w:oddHBand="0" w:evenHBand="1" w:firstRowFirstColumn="0" w:firstRowLastColumn="0" w:lastRowFirstColumn="0" w:lastRowLastColumn="0"/>
            </w:pPr>
            <w:r w:rsidRPr="009B6AA8">
              <w:t xml:space="preserve">Disadvantageous impact on </w:t>
            </w:r>
            <w:r w:rsidR="0062380C" w:rsidRPr="009B6AA8">
              <w:t>low-throughput facilities</w:t>
            </w:r>
            <w:r w:rsidR="000862CC" w:rsidRPr="009B6AA8">
              <w:t xml:space="preserve"> and public </w:t>
            </w:r>
            <w:r w:rsidR="007A75A8">
              <w:t>facilities</w:t>
            </w:r>
            <w:r w:rsidR="000862CC" w:rsidRPr="009B6AA8">
              <w:t xml:space="preserve"> that have a small proportion of RT not claimed through MBS</w:t>
            </w:r>
          </w:p>
          <w:p w14:paraId="3E578A78" w14:textId="381BA558" w:rsidR="005B416A" w:rsidRPr="009B6AA8" w:rsidRDefault="0062380C" w:rsidP="00592036">
            <w:pPr>
              <w:pStyle w:val="TableBullets1"/>
              <w:cnfStyle w:val="000000010000" w:firstRow="0" w:lastRow="0" w:firstColumn="0" w:lastColumn="0" w:oddVBand="0" w:evenVBand="0" w:oddHBand="0" w:evenHBand="1" w:firstRowFirstColumn="0" w:firstRowLastColumn="0" w:lastRowFirstColumn="0" w:lastRowLastColumn="0"/>
            </w:pPr>
            <w:r w:rsidRPr="009B6AA8">
              <w:t>D</w:t>
            </w:r>
            <w:r w:rsidR="005B416A" w:rsidRPr="009B6AA8">
              <w:t xml:space="preserve">isparity of timing between </w:t>
            </w:r>
            <w:r w:rsidR="004F168F" w:rsidRPr="009B6AA8">
              <w:t>site</w:t>
            </w:r>
            <w:r w:rsidR="004F168F">
              <w:t>-</w:t>
            </w:r>
            <w:r w:rsidR="005B416A" w:rsidRPr="009B6AA8">
              <w:t>specific replacement cycles and timing of funding receip</w:t>
            </w:r>
            <w:r w:rsidRPr="009B6AA8">
              <w:t>t</w:t>
            </w:r>
          </w:p>
          <w:p w14:paraId="3400E305" w14:textId="79D89B9C" w:rsidR="005B416A" w:rsidRPr="009B6AA8" w:rsidRDefault="0062380C" w:rsidP="00592036">
            <w:pPr>
              <w:pStyle w:val="TableBullets1"/>
              <w:cnfStyle w:val="000000010000" w:firstRow="0" w:lastRow="0" w:firstColumn="0" w:lastColumn="0" w:oddVBand="0" w:evenVBand="0" w:oddHBand="0" w:evenHBand="1" w:firstRowFirstColumn="0" w:firstRowLastColumn="0" w:lastRowFirstColumn="0" w:lastRowLastColumn="0"/>
            </w:pPr>
            <w:r w:rsidRPr="009B6AA8">
              <w:t>Potential for a</w:t>
            </w:r>
            <w:r w:rsidR="005B416A" w:rsidRPr="009B6AA8">
              <w:t>dditional costs over time, given the non-capped nature of the mechanism</w:t>
            </w:r>
          </w:p>
        </w:tc>
      </w:tr>
      <w:tr w:rsidR="000F7FA5" w:rsidRPr="009B6AA8" w14:paraId="2897B3CA" w14:textId="77777777" w:rsidTr="00431316">
        <w:tc>
          <w:tcPr>
            <w:cnfStyle w:val="001000000000" w:firstRow="0" w:lastRow="0" w:firstColumn="1" w:lastColumn="0" w:oddVBand="0" w:evenVBand="0" w:oddHBand="0" w:evenHBand="0" w:firstRowFirstColumn="0" w:firstRowLastColumn="0" w:lastRowFirstColumn="0" w:lastRowLastColumn="0"/>
            <w:tcW w:w="561" w:type="pct"/>
          </w:tcPr>
          <w:p w14:paraId="4A4FCEA5" w14:textId="0606412B" w:rsidR="005B416A" w:rsidRPr="009B6AA8" w:rsidRDefault="005B416A" w:rsidP="004B24F3">
            <w:pPr>
              <w:pStyle w:val="Tabletext"/>
            </w:pPr>
            <w:r w:rsidRPr="009B6AA8">
              <w:t>Funding via state and territory jurisdictions</w:t>
            </w:r>
          </w:p>
        </w:tc>
        <w:tc>
          <w:tcPr>
            <w:tcW w:w="1636" w:type="pct"/>
          </w:tcPr>
          <w:p w14:paraId="77A8FFA0" w14:textId="07F542B9" w:rsidR="005B416A" w:rsidRPr="009B6AA8" w:rsidRDefault="005B416A" w:rsidP="00592036">
            <w:pPr>
              <w:pStyle w:val="TableBullets1"/>
              <w:cnfStyle w:val="000000000000" w:firstRow="0" w:lastRow="0" w:firstColumn="0" w:lastColumn="0" w:oddVBand="0" w:evenVBand="0" w:oddHBand="0" w:evenHBand="0" w:firstRowFirstColumn="0" w:firstRowLastColumn="0" w:lastRowFirstColumn="0" w:lastRowLastColumn="0"/>
            </w:pPr>
            <w:r w:rsidRPr="009B6AA8">
              <w:t>Administrative efficiencies</w:t>
            </w:r>
          </w:p>
          <w:p w14:paraId="72B77DC9" w14:textId="38883118" w:rsidR="005B416A" w:rsidRPr="009B6AA8" w:rsidRDefault="0062380C"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Increased </w:t>
            </w:r>
            <w:r w:rsidR="005B416A" w:rsidRPr="009B6AA8">
              <w:t xml:space="preserve">ability to align RT capital funding with jurisdictional planning </w:t>
            </w:r>
          </w:p>
        </w:tc>
        <w:tc>
          <w:tcPr>
            <w:tcW w:w="2803" w:type="pct"/>
          </w:tcPr>
          <w:p w14:paraId="283DF904" w14:textId="348F5D10" w:rsidR="005B416A" w:rsidRPr="009B6AA8" w:rsidRDefault="0062380C"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Shift of </w:t>
            </w:r>
            <w:r w:rsidR="005B416A" w:rsidRPr="009B6AA8">
              <w:t xml:space="preserve">administrative burden </w:t>
            </w:r>
            <w:r w:rsidRPr="009B6AA8">
              <w:t xml:space="preserve">to the </w:t>
            </w:r>
            <w:r w:rsidR="005B416A" w:rsidRPr="009B6AA8">
              <w:t>state</w:t>
            </w:r>
            <w:r w:rsidRPr="009B6AA8">
              <w:t>s</w:t>
            </w:r>
            <w:r w:rsidR="005B416A" w:rsidRPr="009B6AA8">
              <w:t>/territor</w:t>
            </w:r>
            <w:r w:rsidRPr="009B6AA8">
              <w:t>ies</w:t>
            </w:r>
          </w:p>
          <w:p w14:paraId="15066EDF" w14:textId="329D5A84" w:rsidR="005B416A" w:rsidRPr="009B6AA8" w:rsidRDefault="0062380C" w:rsidP="00592036">
            <w:pPr>
              <w:pStyle w:val="TableBullets1"/>
              <w:cnfStyle w:val="000000000000" w:firstRow="0" w:lastRow="0" w:firstColumn="0" w:lastColumn="0" w:oddVBand="0" w:evenVBand="0" w:oddHBand="0" w:evenHBand="0" w:firstRowFirstColumn="0" w:firstRowLastColumn="0" w:lastRowFirstColumn="0" w:lastRowLastColumn="0"/>
            </w:pPr>
            <w:r w:rsidRPr="009B6AA8">
              <w:t>S</w:t>
            </w:r>
            <w:r w:rsidR="005B416A" w:rsidRPr="009B6AA8">
              <w:t xml:space="preserve">ervice provision </w:t>
            </w:r>
            <w:r w:rsidRPr="009B6AA8">
              <w:t>in</w:t>
            </w:r>
            <w:r w:rsidR="005B416A" w:rsidRPr="009B6AA8">
              <w:t xml:space="preserve">equity given the implicit loss of funding to private </w:t>
            </w:r>
            <w:r w:rsidR="007A75A8">
              <w:t>facilities</w:t>
            </w:r>
            <w:r w:rsidR="005B416A" w:rsidRPr="009B6AA8">
              <w:t>, unless this was achieved through a separate parallel mechanism (thereby losing the administrative efficiency gained)</w:t>
            </w:r>
          </w:p>
          <w:p w14:paraId="04616CCD" w14:textId="396957E4" w:rsidR="005B416A" w:rsidRPr="009B6AA8" w:rsidRDefault="0062380C"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Potential </w:t>
            </w:r>
            <w:r w:rsidR="005B416A" w:rsidRPr="009B6AA8">
              <w:t xml:space="preserve">greater variation in service provision and baseline </w:t>
            </w:r>
            <w:proofErr w:type="spellStart"/>
            <w:r w:rsidRPr="009B6AA8">
              <w:t>linac</w:t>
            </w:r>
            <w:proofErr w:type="spellEnd"/>
            <w:r w:rsidR="005B416A" w:rsidRPr="009B6AA8">
              <w:t xml:space="preserve"> age across Australia as a result of jurisdictional variation in capital and service planning</w:t>
            </w:r>
          </w:p>
        </w:tc>
      </w:tr>
      <w:tr w:rsidR="000F7FA5" w:rsidRPr="009B6AA8" w14:paraId="1FDC1D63" w14:textId="77777777" w:rsidTr="0043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pct"/>
          </w:tcPr>
          <w:p w14:paraId="5ED91284" w14:textId="4F03E6DE" w:rsidR="005B416A" w:rsidRPr="009B6AA8" w:rsidRDefault="005B416A" w:rsidP="004B24F3">
            <w:pPr>
              <w:pStyle w:val="Tabletext"/>
            </w:pPr>
            <w:r w:rsidRPr="009B6AA8">
              <w:t xml:space="preserve">Traditional </w:t>
            </w:r>
            <w:r w:rsidR="004F168F">
              <w:t>l</w:t>
            </w:r>
            <w:r w:rsidR="004F168F" w:rsidRPr="009B6AA8">
              <w:t xml:space="preserve">ending </w:t>
            </w:r>
            <w:r w:rsidR="004F168F">
              <w:t>a</w:t>
            </w:r>
            <w:r w:rsidR="004F168F" w:rsidRPr="009B6AA8">
              <w:t>rrangement</w:t>
            </w:r>
          </w:p>
        </w:tc>
        <w:tc>
          <w:tcPr>
            <w:tcW w:w="1636" w:type="pct"/>
          </w:tcPr>
          <w:p w14:paraId="41799BEB" w14:textId="5FCB2186" w:rsidR="005B416A" w:rsidRPr="009B6AA8" w:rsidRDefault="00C154C3" w:rsidP="00592036">
            <w:pPr>
              <w:pStyle w:val="TableBullets1"/>
              <w:cnfStyle w:val="000000010000" w:firstRow="0" w:lastRow="0" w:firstColumn="0" w:lastColumn="0" w:oddVBand="0" w:evenVBand="0" w:oddHBand="0" w:evenHBand="1" w:firstRowFirstColumn="0" w:firstRowLastColumn="0" w:lastRowFirstColumn="0" w:lastRowLastColumn="0"/>
            </w:pPr>
            <w:r w:rsidRPr="009B6AA8">
              <w:t>Reduction in overall expenditure</w:t>
            </w:r>
          </w:p>
          <w:p w14:paraId="48A82C64" w14:textId="6E14E85C" w:rsidR="00C154C3" w:rsidRPr="009B6AA8" w:rsidRDefault="00C154C3" w:rsidP="00592036">
            <w:pPr>
              <w:pStyle w:val="TableBullets1"/>
              <w:cnfStyle w:val="000000010000" w:firstRow="0" w:lastRow="0" w:firstColumn="0" w:lastColumn="0" w:oddVBand="0" w:evenVBand="0" w:oddHBand="0" w:evenHBand="1" w:firstRowFirstColumn="0" w:firstRowLastColumn="0" w:lastRowFirstColumn="0" w:lastRowLastColumn="0"/>
            </w:pPr>
            <w:r w:rsidRPr="009B6AA8">
              <w:t>Ability to introduce more contingent conditions to funding or interest rate concessions based on factors such as quality, efficiency or other desired outcomes</w:t>
            </w:r>
          </w:p>
        </w:tc>
        <w:tc>
          <w:tcPr>
            <w:tcW w:w="2803" w:type="pct"/>
          </w:tcPr>
          <w:p w14:paraId="344C8D96" w14:textId="77777777" w:rsidR="00373EE3" w:rsidRDefault="00C154C3" w:rsidP="00592036">
            <w:pPr>
              <w:pStyle w:val="TableBullets1"/>
              <w:cnfStyle w:val="000000010000" w:firstRow="0" w:lastRow="0" w:firstColumn="0" w:lastColumn="0" w:oddVBand="0" w:evenVBand="0" w:oddHBand="0" w:evenHBand="1" w:firstRowFirstColumn="0" w:firstRowLastColumn="0" w:lastRowFirstColumn="0" w:lastRowLastColumn="0"/>
            </w:pPr>
            <w:r w:rsidRPr="009B6AA8">
              <w:t>Additional administrative burden</w:t>
            </w:r>
          </w:p>
          <w:p w14:paraId="2D894C23" w14:textId="618B33BC" w:rsidR="005B416A" w:rsidRPr="009B6AA8" w:rsidRDefault="00C154C3" w:rsidP="00592036">
            <w:pPr>
              <w:pStyle w:val="TableBullets1"/>
              <w:cnfStyle w:val="000000010000" w:firstRow="0" w:lastRow="0" w:firstColumn="0" w:lastColumn="0" w:oddVBand="0" w:evenVBand="0" w:oddHBand="0" w:evenHBand="1" w:firstRowFirstColumn="0" w:firstRowLastColumn="0" w:lastRowFirstColumn="0" w:lastRowLastColumn="0"/>
            </w:pPr>
            <w:r w:rsidRPr="009B6AA8">
              <w:t xml:space="preserve">Mechanism would be considerably disruptive and unlikely to be supported by </w:t>
            </w:r>
            <w:r w:rsidR="00863AFD">
              <w:t xml:space="preserve">facilities </w:t>
            </w:r>
            <w:r w:rsidRPr="009B6AA8">
              <w:t>or other industry stakeholders</w:t>
            </w:r>
          </w:p>
          <w:p w14:paraId="76BBDB61" w14:textId="3224B146" w:rsidR="00C154C3" w:rsidRPr="009B6AA8" w:rsidRDefault="00C154C3" w:rsidP="00592036">
            <w:pPr>
              <w:pStyle w:val="TableBullets1"/>
              <w:cnfStyle w:val="000000010000" w:firstRow="0" w:lastRow="0" w:firstColumn="0" w:lastColumn="0" w:oddVBand="0" w:evenVBand="0" w:oddHBand="0" w:evenHBand="1" w:firstRowFirstColumn="0" w:firstRowLastColumn="0" w:lastRowFirstColumn="0" w:lastRowLastColumn="0"/>
            </w:pPr>
            <w:r w:rsidRPr="009B6AA8">
              <w:t>Potential risk to quality, equity, and misalignment with broader government priorities</w:t>
            </w:r>
          </w:p>
        </w:tc>
      </w:tr>
      <w:tr w:rsidR="000F7FA5" w:rsidRPr="009B6AA8" w14:paraId="483D9082" w14:textId="77777777" w:rsidTr="00431316">
        <w:tc>
          <w:tcPr>
            <w:cnfStyle w:val="001000000000" w:firstRow="0" w:lastRow="0" w:firstColumn="1" w:lastColumn="0" w:oddVBand="0" w:evenVBand="0" w:oddHBand="0" w:evenHBand="0" w:firstRowFirstColumn="0" w:firstRowLastColumn="0" w:lastRowFirstColumn="0" w:lastRowLastColumn="0"/>
            <w:tcW w:w="561" w:type="pct"/>
          </w:tcPr>
          <w:p w14:paraId="5A603043" w14:textId="26133466" w:rsidR="005B416A" w:rsidRPr="009B6AA8" w:rsidRDefault="005B416A" w:rsidP="004B24F3">
            <w:pPr>
              <w:pStyle w:val="Tabletext"/>
            </w:pPr>
            <w:r w:rsidRPr="009B6AA8">
              <w:t xml:space="preserve">Market </w:t>
            </w:r>
            <w:r w:rsidR="004F168F">
              <w:t>b</w:t>
            </w:r>
            <w:r w:rsidR="004F168F" w:rsidRPr="009B6AA8">
              <w:t xml:space="preserve">ased </w:t>
            </w:r>
            <w:r w:rsidR="004F168F">
              <w:t>s</w:t>
            </w:r>
            <w:r w:rsidR="004F168F" w:rsidRPr="009B6AA8">
              <w:t>ubsidy</w:t>
            </w:r>
          </w:p>
        </w:tc>
        <w:tc>
          <w:tcPr>
            <w:tcW w:w="1636" w:type="pct"/>
          </w:tcPr>
          <w:p w14:paraId="0F2C2AF6" w14:textId="2C7905CB" w:rsidR="005B416A" w:rsidRPr="009B6AA8" w:rsidRDefault="00C154C3" w:rsidP="00592036">
            <w:pPr>
              <w:pStyle w:val="TableBullets1"/>
              <w:cnfStyle w:val="000000000000" w:firstRow="0" w:lastRow="0" w:firstColumn="0" w:lastColumn="0" w:oddVBand="0" w:evenVBand="0" w:oddHBand="0" w:evenHBand="0" w:firstRowFirstColumn="0" w:firstRowLastColumn="0" w:lastRowFirstColumn="0" w:lastRowLastColumn="0"/>
            </w:pPr>
            <w:r w:rsidRPr="009B6AA8">
              <w:t>Expenditure benefit based on the time value of money</w:t>
            </w:r>
            <w:r w:rsidR="00E5793B">
              <w:t xml:space="preserve"> (TVM)</w:t>
            </w:r>
            <w:r w:rsidRPr="009B6AA8">
              <w:t xml:space="preserve"> and greater initial private/other contribution to up-front costs</w:t>
            </w:r>
          </w:p>
          <w:p w14:paraId="37285740" w14:textId="12D18486" w:rsidR="00C154C3" w:rsidRPr="009B6AA8" w:rsidRDefault="00C154C3" w:rsidP="00592036">
            <w:pPr>
              <w:pStyle w:val="TableBullets1"/>
              <w:cnfStyle w:val="000000000000" w:firstRow="0" w:lastRow="0" w:firstColumn="0" w:lastColumn="0" w:oddVBand="0" w:evenVBand="0" w:oddHBand="0" w:evenHBand="0" w:firstRowFirstColumn="0" w:firstRowLastColumn="0" w:lastRowFirstColumn="0" w:lastRowLastColumn="0"/>
            </w:pPr>
            <w:r w:rsidRPr="009B6AA8">
              <w:t>Potential to enhance international competitiveness from the perspective of preventing market distortion</w:t>
            </w:r>
          </w:p>
        </w:tc>
        <w:tc>
          <w:tcPr>
            <w:tcW w:w="2803" w:type="pct"/>
          </w:tcPr>
          <w:p w14:paraId="7BE5AFB2" w14:textId="77777777" w:rsidR="00373EE3" w:rsidRDefault="00C154C3" w:rsidP="00592036">
            <w:pPr>
              <w:pStyle w:val="TableBullets1"/>
              <w:cnfStyle w:val="000000000000" w:firstRow="0" w:lastRow="0" w:firstColumn="0" w:lastColumn="0" w:oddVBand="0" w:evenVBand="0" w:oddHBand="0" w:evenHBand="0" w:firstRowFirstColumn="0" w:firstRowLastColumn="0" w:lastRowFirstColumn="0" w:lastRowLastColumn="0"/>
            </w:pPr>
            <w:r w:rsidRPr="009B6AA8">
              <w:t>This hypothesis has not been tested in detail in this review</w:t>
            </w:r>
          </w:p>
          <w:p w14:paraId="4544896E" w14:textId="77777777" w:rsidR="00373EE3" w:rsidRDefault="00C154C3" w:rsidP="00592036">
            <w:pPr>
              <w:pStyle w:val="TableBullets1"/>
              <w:cnfStyle w:val="000000000000" w:firstRow="0" w:lastRow="0" w:firstColumn="0" w:lastColumn="0" w:oddVBand="0" w:evenVBand="0" w:oddHBand="0" w:evenHBand="0" w:firstRowFirstColumn="0" w:firstRowLastColumn="0" w:lastRowFirstColumn="0" w:lastRowLastColumn="0"/>
            </w:pPr>
            <w:r w:rsidRPr="009B6AA8">
              <w:t>Complex administration arrangements</w:t>
            </w:r>
          </w:p>
          <w:p w14:paraId="68563E19" w14:textId="35923694" w:rsidR="00C154C3" w:rsidRPr="009B6AA8" w:rsidRDefault="00C154C3" w:rsidP="00592036">
            <w:pPr>
              <w:pStyle w:val="TableBullets1"/>
              <w:cnfStyle w:val="000000000000" w:firstRow="0" w:lastRow="0" w:firstColumn="0" w:lastColumn="0" w:oddVBand="0" w:evenVBand="0" w:oddHBand="0" w:evenHBand="0" w:firstRowFirstColumn="0" w:firstRowLastColumn="0" w:lastRowFirstColumn="0" w:lastRowLastColumn="0"/>
            </w:pPr>
            <w:r w:rsidRPr="009B6AA8">
              <w:t>Disincentives to manufacturers</w:t>
            </w:r>
            <w:r w:rsidR="004F168F">
              <w:t>,</w:t>
            </w:r>
            <w:r w:rsidRPr="009B6AA8">
              <w:t xml:space="preserve"> which may be detrimental to the ability to keep up with novel technologies and treatment paradigms.</w:t>
            </w:r>
          </w:p>
          <w:p w14:paraId="0BCB29DE" w14:textId="3EFE3CBF" w:rsidR="000F7FA5" w:rsidRPr="009B6AA8" w:rsidRDefault="000F7FA5" w:rsidP="00592036">
            <w:pPr>
              <w:pStyle w:val="TableBullets1"/>
              <w:cnfStyle w:val="000000000000" w:firstRow="0" w:lastRow="0" w:firstColumn="0" w:lastColumn="0" w:oddVBand="0" w:evenVBand="0" w:oddHBand="0" w:evenHBand="0" w:firstRowFirstColumn="0" w:firstRowLastColumn="0" w:lastRowFirstColumn="0" w:lastRowLastColumn="0"/>
            </w:pPr>
            <w:r w:rsidRPr="009B6AA8">
              <w:t>High potential for inequity given that partnerships with research institutes are not currently evenly distributed</w:t>
            </w:r>
          </w:p>
          <w:p w14:paraId="3201C58A" w14:textId="77777777" w:rsidR="000F7FA5" w:rsidRPr="009B6AA8" w:rsidRDefault="000F7FA5" w:rsidP="00592036">
            <w:pPr>
              <w:pStyle w:val="TableBullets1"/>
              <w:cnfStyle w:val="000000000000" w:firstRow="0" w:lastRow="0" w:firstColumn="0" w:lastColumn="0" w:oddVBand="0" w:evenVBand="0" w:oddHBand="0" w:evenHBand="0" w:firstRowFirstColumn="0" w:firstRowLastColumn="0" w:lastRowFirstColumn="0" w:lastRowLastColumn="0"/>
            </w:pPr>
            <w:r w:rsidRPr="009B6AA8">
              <w:t>Appetite for market stakeholders to participate will vary based on the commercial circumstances of individual treatment sites</w:t>
            </w:r>
          </w:p>
          <w:p w14:paraId="21A81515" w14:textId="7BBD724B" w:rsidR="000F7FA5" w:rsidRPr="009B6AA8" w:rsidRDefault="000F7FA5" w:rsidP="00592036">
            <w:pPr>
              <w:pStyle w:val="TableBullets1"/>
              <w:cnfStyle w:val="000000000000" w:firstRow="0" w:lastRow="0" w:firstColumn="0" w:lastColumn="0" w:oddVBand="0" w:evenVBand="0" w:oddHBand="0" w:evenHBand="0" w:firstRowFirstColumn="0" w:firstRowLastColumn="0" w:lastRowFirstColumn="0" w:lastRowLastColumn="0"/>
            </w:pPr>
            <w:r w:rsidRPr="009B6AA8">
              <w:t>Unlikely that stakeholder sentiment would be favourable towards this more complex and market driven mechanism</w:t>
            </w:r>
          </w:p>
        </w:tc>
      </w:tr>
      <w:tr w:rsidR="000F7FA5" w:rsidRPr="009B6AA8" w14:paraId="6D616711" w14:textId="77777777" w:rsidTr="0043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pct"/>
          </w:tcPr>
          <w:p w14:paraId="7CDDA8CF" w14:textId="548FCBA3" w:rsidR="005B416A" w:rsidRPr="009B6AA8" w:rsidRDefault="005B416A" w:rsidP="004B24F3">
            <w:pPr>
              <w:pStyle w:val="Tabletext"/>
            </w:pPr>
            <w:r w:rsidRPr="009B6AA8">
              <w:t xml:space="preserve">Hybrid </w:t>
            </w:r>
            <w:r w:rsidR="004F168F">
              <w:t>m</w:t>
            </w:r>
            <w:r w:rsidR="004F168F" w:rsidRPr="009B6AA8">
              <w:t xml:space="preserve">odel </w:t>
            </w:r>
            <w:r w:rsidRPr="009B6AA8">
              <w:t xml:space="preserve">of </w:t>
            </w:r>
            <w:r w:rsidR="004F168F">
              <w:t>f</w:t>
            </w:r>
            <w:r w:rsidR="004F168F" w:rsidRPr="009B6AA8">
              <w:t>unding</w:t>
            </w:r>
          </w:p>
        </w:tc>
        <w:tc>
          <w:tcPr>
            <w:tcW w:w="1636" w:type="pct"/>
          </w:tcPr>
          <w:p w14:paraId="5EA20861" w14:textId="6E93FCE2" w:rsidR="00E80020" w:rsidRPr="009B6AA8" w:rsidRDefault="00E80020" w:rsidP="00592036">
            <w:pPr>
              <w:pStyle w:val="TableBullets1"/>
              <w:cnfStyle w:val="000000010000" w:firstRow="0" w:lastRow="0" w:firstColumn="0" w:lastColumn="0" w:oddVBand="0" w:evenVBand="0" w:oddHBand="0" w:evenHBand="1" w:firstRowFirstColumn="0" w:firstRowLastColumn="0" w:lastRowFirstColumn="0" w:lastRowLastColumn="0"/>
            </w:pPr>
            <w:r w:rsidRPr="009B6AA8">
              <w:t xml:space="preserve">Increased accountability ensuring </w:t>
            </w:r>
            <w:r w:rsidR="007A75A8">
              <w:t>facilities</w:t>
            </w:r>
            <w:r w:rsidRPr="009B6AA8">
              <w:t xml:space="preserve"> comply with stipulations of funding </w:t>
            </w:r>
          </w:p>
        </w:tc>
        <w:tc>
          <w:tcPr>
            <w:tcW w:w="2803" w:type="pct"/>
          </w:tcPr>
          <w:p w14:paraId="05377BB0" w14:textId="77777777" w:rsidR="00373EE3" w:rsidRDefault="00E80020" w:rsidP="00592036">
            <w:pPr>
              <w:pStyle w:val="TableBullets1"/>
              <w:cnfStyle w:val="000000010000" w:firstRow="0" w:lastRow="0" w:firstColumn="0" w:lastColumn="0" w:oddVBand="0" w:evenVBand="0" w:oddHBand="0" w:evenHBand="1" w:firstRowFirstColumn="0" w:firstRowLastColumn="0" w:lastRowFirstColumn="0" w:lastRowLastColumn="0"/>
            </w:pPr>
            <w:r w:rsidRPr="009B6AA8">
              <w:t>Additional administrative burden</w:t>
            </w:r>
          </w:p>
          <w:p w14:paraId="21562E73" w14:textId="71592D9B" w:rsidR="005B416A" w:rsidRPr="009B6AA8" w:rsidRDefault="00E80020" w:rsidP="00592036">
            <w:pPr>
              <w:pStyle w:val="TableBullets1"/>
              <w:cnfStyle w:val="000000010000" w:firstRow="0" w:lastRow="0" w:firstColumn="0" w:lastColumn="0" w:oddVBand="0" w:evenVBand="0" w:oddHBand="0" w:evenHBand="1" w:firstRowFirstColumn="0" w:firstRowLastColumn="0" w:lastRowFirstColumn="0" w:lastRowLastColumn="0"/>
            </w:pPr>
            <w:r w:rsidRPr="009B6AA8">
              <w:t xml:space="preserve">Potential additional cost to </w:t>
            </w:r>
            <w:r w:rsidR="004F168F">
              <w:t>g</w:t>
            </w:r>
            <w:r w:rsidR="004F168F" w:rsidRPr="009B6AA8">
              <w:t>overnment</w:t>
            </w:r>
            <w:r w:rsidRPr="009B6AA8">
              <w:t>, net of any penalty cash inflow</w:t>
            </w:r>
          </w:p>
          <w:p w14:paraId="024C0830" w14:textId="15DD7E90" w:rsidR="00E80020" w:rsidRPr="009B6AA8" w:rsidRDefault="00E80020" w:rsidP="00592036">
            <w:pPr>
              <w:pStyle w:val="TableBullets1"/>
              <w:cnfStyle w:val="000000010000" w:firstRow="0" w:lastRow="0" w:firstColumn="0" w:lastColumn="0" w:oddVBand="0" w:evenVBand="0" w:oddHBand="0" w:evenHBand="1" w:firstRowFirstColumn="0" w:firstRowLastColumn="0" w:lastRowFirstColumn="0" w:lastRowLastColumn="0"/>
            </w:pPr>
            <w:r w:rsidRPr="009B6AA8">
              <w:t xml:space="preserve">Additional costs to </w:t>
            </w:r>
            <w:r w:rsidR="007A75A8">
              <w:t>facilities</w:t>
            </w:r>
            <w:r w:rsidRPr="009B6AA8">
              <w:t xml:space="preserve"> to cover shortfalls through borrowing</w:t>
            </w:r>
          </w:p>
          <w:p w14:paraId="092862C2" w14:textId="4B093928" w:rsidR="00E80020" w:rsidRPr="009B6AA8" w:rsidRDefault="00E80020" w:rsidP="00592036">
            <w:pPr>
              <w:pStyle w:val="TableBullets1"/>
              <w:cnfStyle w:val="000000010000" w:firstRow="0" w:lastRow="0" w:firstColumn="0" w:lastColumn="0" w:oddVBand="0" w:evenVBand="0" w:oddHBand="0" w:evenHBand="1" w:firstRowFirstColumn="0" w:firstRowLastColumn="0" w:lastRowFirstColumn="0" w:lastRowLastColumn="0"/>
            </w:pPr>
            <w:r w:rsidRPr="009B6AA8">
              <w:lastRenderedPageBreak/>
              <w:t xml:space="preserve">Milestone based payments may disadvantage some </w:t>
            </w:r>
            <w:r w:rsidR="007A75A8">
              <w:t>facilities</w:t>
            </w:r>
            <w:r w:rsidRPr="009B6AA8">
              <w:t xml:space="preserve"> more over others, or create perverse incentive</w:t>
            </w:r>
            <w:r w:rsidR="00374DA4">
              <w:t>s</w:t>
            </w:r>
          </w:p>
        </w:tc>
      </w:tr>
    </w:tbl>
    <w:p w14:paraId="2130FCEF" w14:textId="77777777" w:rsidR="001D01ED" w:rsidRPr="005624B2" w:rsidRDefault="001D01ED" w:rsidP="005624B2">
      <w:pPr>
        <w:sectPr w:rsidR="001D01ED" w:rsidRPr="005624B2" w:rsidSect="00374DA4">
          <w:pgSz w:w="16838" w:h="11906" w:orient="landscape" w:code="9"/>
          <w:pgMar w:top="737" w:right="1304" w:bottom="1134" w:left="737" w:header="567" w:footer="284" w:gutter="0"/>
          <w:cols w:space="708"/>
          <w:docGrid w:linePitch="360"/>
        </w:sectPr>
      </w:pPr>
      <w:r w:rsidRPr="005624B2">
        <w:lastRenderedPageBreak/>
        <w:br w:type="page"/>
      </w:r>
    </w:p>
    <w:p w14:paraId="18A76C5F" w14:textId="77777777" w:rsidR="00373EE3" w:rsidRDefault="000862CC" w:rsidP="007A252F">
      <w:pPr>
        <w:pStyle w:val="Finding"/>
      </w:pPr>
      <w:r w:rsidRPr="00D65C79">
        <w:lastRenderedPageBreak/>
        <w:t>The trade-off analysis did not find any of the alternative mechanisms to be more advantageous than the status quo, in t</w:t>
      </w:r>
      <w:r w:rsidRPr="009B6AA8">
        <w:t>heir entirety. However, additional administrative efficiency is suggested through a more traditional grant program mechanism, or funding via state/territory jurisdiction. Both of these funding mechanisms offer further potential benefit in terms of quality.</w:t>
      </w:r>
    </w:p>
    <w:p w14:paraId="26B46E60" w14:textId="3811FB62" w:rsidR="00A14E22" w:rsidRPr="00BC705E" w:rsidRDefault="00375E68" w:rsidP="009F3514">
      <w:pPr>
        <w:pStyle w:val="heading2numbered"/>
      </w:pPr>
      <w:bookmarkStart w:id="145" w:name="_Toc59198469"/>
      <w:bookmarkStart w:id="146" w:name="_Toc66193936"/>
      <w:bookmarkStart w:id="147" w:name="_Toc73696687"/>
      <w:r w:rsidRPr="00BC705E">
        <w:t>A</w:t>
      </w:r>
      <w:r w:rsidR="00A14E22" w:rsidRPr="00BC705E">
        <w:t>lig</w:t>
      </w:r>
      <w:r w:rsidR="00374DA4">
        <w:t>nment with State/territory and N</w:t>
      </w:r>
      <w:r w:rsidR="00A14E22" w:rsidRPr="00BC705E">
        <w:t xml:space="preserve">ational </w:t>
      </w:r>
      <w:r w:rsidR="00FE6D8C" w:rsidRPr="00BC705E">
        <w:t>f</w:t>
      </w:r>
      <w:r w:rsidR="00A14E22" w:rsidRPr="00BC705E">
        <w:t>unding arrangements</w:t>
      </w:r>
      <w:bookmarkEnd w:id="145"/>
      <w:bookmarkEnd w:id="146"/>
      <w:bookmarkEnd w:id="147"/>
    </w:p>
    <w:p w14:paraId="3C579C04" w14:textId="77777777" w:rsidR="00373EE3" w:rsidRPr="00BC705E" w:rsidRDefault="003D3E46" w:rsidP="009F3514">
      <w:pPr>
        <w:pStyle w:val="Heading3numbered"/>
      </w:pPr>
      <w:bookmarkStart w:id="148" w:name="_Toc59198470"/>
      <w:bookmarkStart w:id="149" w:name="_Toc66193937"/>
      <w:r w:rsidRPr="00BC705E">
        <w:t>States/</w:t>
      </w:r>
      <w:r w:rsidRPr="003A5E87">
        <w:t>territories</w:t>
      </w:r>
      <w:bookmarkEnd w:id="148"/>
      <w:bookmarkEnd w:id="149"/>
    </w:p>
    <w:p w14:paraId="603EDAB6" w14:textId="77777777" w:rsidR="00373EE3" w:rsidRDefault="009C25FA" w:rsidP="007A1E2C">
      <w:r w:rsidRPr="009B6AA8">
        <w:t>Previous</w:t>
      </w:r>
      <w:r w:rsidR="009C65D8" w:rsidRPr="009B6AA8">
        <w:t xml:space="preserve"> to changes made in 2017, priority areas for ROHPG funding were identified by the Department using regional cancer incidence projections provided by the AIHW</w:t>
      </w:r>
      <w:r w:rsidR="009C1105" w:rsidRPr="009B6AA8">
        <w:t xml:space="preserve"> </w:t>
      </w:r>
      <w:r w:rsidR="009C65D8" w:rsidRPr="009B6AA8">
        <w:t xml:space="preserve">and comparing </w:t>
      </w:r>
      <w:r w:rsidRPr="009B6AA8">
        <w:t xml:space="preserve">these rates </w:t>
      </w:r>
      <w:r w:rsidR="009C65D8" w:rsidRPr="009B6AA8">
        <w:t xml:space="preserve">with </w:t>
      </w:r>
      <w:r w:rsidRPr="009B6AA8">
        <w:t xml:space="preserve">service delivery capacity based on </w:t>
      </w:r>
      <w:r w:rsidR="009C65D8" w:rsidRPr="009B6AA8">
        <w:t xml:space="preserve">existing </w:t>
      </w:r>
      <w:proofErr w:type="spellStart"/>
      <w:r w:rsidR="009C65D8" w:rsidRPr="009B6AA8">
        <w:t>linacs</w:t>
      </w:r>
      <w:proofErr w:type="spellEnd"/>
      <w:r w:rsidR="009C65D8" w:rsidRPr="009B6AA8">
        <w:t xml:space="preserve"> in these regions. This </w:t>
      </w:r>
      <w:r w:rsidRPr="009B6AA8">
        <w:t xml:space="preserve">analysis </w:t>
      </w:r>
      <w:r w:rsidR="009C65D8" w:rsidRPr="009B6AA8">
        <w:t xml:space="preserve">was done on a </w:t>
      </w:r>
      <w:r w:rsidR="000C6AC0" w:rsidRPr="009B6AA8">
        <w:t>case</w:t>
      </w:r>
      <w:r w:rsidR="000C6AC0">
        <w:t>-</w:t>
      </w:r>
      <w:r w:rsidR="000C6AC0" w:rsidRPr="009B6AA8">
        <w:t>by</w:t>
      </w:r>
      <w:r w:rsidR="000C6AC0">
        <w:t>-</w:t>
      </w:r>
      <w:r w:rsidR="009C65D8" w:rsidRPr="009B6AA8">
        <w:t xml:space="preserve">case basis for each application made to the </w:t>
      </w:r>
      <w:r w:rsidR="00FD606B">
        <w:t>Scheme</w:t>
      </w:r>
      <w:r w:rsidR="009C65D8" w:rsidRPr="009B6AA8">
        <w:t xml:space="preserve"> and was </w:t>
      </w:r>
      <w:r w:rsidRPr="009B6AA8">
        <w:t xml:space="preserve">a </w:t>
      </w:r>
      <w:r w:rsidR="009C65D8" w:rsidRPr="009B6AA8">
        <w:t>considerable administrative burden on the Department.</w:t>
      </w:r>
    </w:p>
    <w:p w14:paraId="0D761075" w14:textId="08091A33" w:rsidR="003D3E46" w:rsidRPr="009B6AA8" w:rsidRDefault="009C65D8" w:rsidP="007A1E2C">
      <w:r w:rsidRPr="009B6AA8">
        <w:t xml:space="preserve">In 2017, the responsibility of setting of priority areas for additional </w:t>
      </w:r>
      <w:proofErr w:type="spellStart"/>
      <w:r w:rsidRPr="009B6AA8">
        <w:t>linacs</w:t>
      </w:r>
      <w:proofErr w:type="spellEnd"/>
      <w:r w:rsidRPr="009B6AA8">
        <w:t xml:space="preserve"> was shifted to the individual states/territories</w:t>
      </w:r>
      <w:r w:rsidR="000C6AC0">
        <w:t>,</w:t>
      </w:r>
      <w:r w:rsidRPr="009B6AA8">
        <w:t xml:space="preserve"> which have responsibility for </w:t>
      </w:r>
      <w:proofErr w:type="spellStart"/>
      <w:r w:rsidRPr="009B6AA8">
        <w:t>statewide</w:t>
      </w:r>
      <w:proofErr w:type="spellEnd"/>
      <w:r w:rsidRPr="009B6AA8">
        <w:t xml:space="preserve"> cancer and RT planning. </w:t>
      </w:r>
      <w:r w:rsidR="003D3E46" w:rsidRPr="009B6AA8">
        <w:t>Although the intent of this change was to promote a greater alignment to state/territory RT planning, there have been several unintended consequences resulting in a sub-optimal process.</w:t>
      </w:r>
    </w:p>
    <w:p w14:paraId="0D592248" w14:textId="77777777" w:rsidR="00373EE3" w:rsidRDefault="003D3E46" w:rsidP="007A1E2C">
      <w:r w:rsidRPr="009B6AA8">
        <w:t>Two of the main challenges with this approach are the perceived conflict of interest of states/territories in setting priority areas and providing services, and the lack of consistency among state/territory RT planning, where it occurs (not all jurisdictions routinely plan RT services).</w:t>
      </w:r>
    </w:p>
    <w:p w14:paraId="15993BCE" w14:textId="77777777" w:rsidR="00373EE3" w:rsidRDefault="003D3E46" w:rsidP="007A1E2C">
      <w:r w:rsidRPr="009B6AA8">
        <w:t xml:space="preserve">The process for setting priority areas is seen as flawed by many stakeholders, especially private </w:t>
      </w:r>
      <w:r w:rsidR="007A75A8">
        <w:t>facilities</w:t>
      </w:r>
      <w:r w:rsidRPr="009B6AA8">
        <w:t>.</w:t>
      </w:r>
    </w:p>
    <w:p w14:paraId="20E7EAAA" w14:textId="2F84D2D7" w:rsidR="003D3E46" w:rsidRPr="009B6AA8" w:rsidRDefault="003D3E46" w:rsidP="007A1E2C">
      <w:pPr>
        <w:pStyle w:val="Quote"/>
      </w:pPr>
      <w:r w:rsidRPr="009B6AA8">
        <w:t xml:space="preserve">‘The idea was probably supposed to promote private and public to talk and work together with a broader view about state planning. But it’s not working and not reciprocated. State </w:t>
      </w:r>
      <w:r w:rsidR="004B5BA0">
        <w:t>g</w:t>
      </w:r>
      <w:r w:rsidR="004B5BA0" w:rsidRPr="009B6AA8">
        <w:t xml:space="preserve">overnments </w:t>
      </w:r>
      <w:r w:rsidRPr="009B6AA8">
        <w:t>have cancer master plans that stretch out over many years…but they may never do it. Meanwhile they won’t support privates coming into the space.’ –</w:t>
      </w:r>
      <w:r w:rsidR="00251226" w:rsidRPr="009B6AA8">
        <w:t xml:space="preserve"> C</w:t>
      </w:r>
      <w:r w:rsidR="009C25FA" w:rsidRPr="009B6AA8">
        <w:t>omment by</w:t>
      </w:r>
      <w:r w:rsidRPr="009B6AA8">
        <w:t xml:space="preserve"> </w:t>
      </w:r>
      <w:r w:rsidR="00C62BBC">
        <w:t>private provider</w:t>
      </w:r>
    </w:p>
    <w:p w14:paraId="5D08674B" w14:textId="3B0008AA" w:rsidR="009C65D8" w:rsidRPr="009B6AA8" w:rsidRDefault="003D3E46" w:rsidP="007A1E2C">
      <w:r w:rsidRPr="009B6AA8">
        <w:t>The publishing of priority area</w:t>
      </w:r>
      <w:r w:rsidR="000C6AC0">
        <w:t>s</w:t>
      </w:r>
      <w:r w:rsidRPr="009B6AA8">
        <w:t xml:space="preserve"> on the Department’s website was considered beneficial by stakeholders who were aware of it. However, the process in which priority areas were determined by jurisdictions is not published nor </w:t>
      </w:r>
      <w:r w:rsidR="00D65C79" w:rsidRPr="009B6AA8">
        <w:t>transparent and</w:t>
      </w:r>
      <w:r w:rsidRPr="009B6AA8">
        <w:t xml:space="preserve"> differs across the country.</w:t>
      </w:r>
    </w:p>
    <w:p w14:paraId="0BADF4CA" w14:textId="77777777" w:rsidR="00373EE3" w:rsidRDefault="003D3E46" w:rsidP="007A1E2C">
      <w:r w:rsidRPr="009B6AA8">
        <w:t xml:space="preserve">Further discussion on the setting of priority areas is presented in section </w:t>
      </w:r>
      <w:r w:rsidR="008122F2" w:rsidRPr="00D65C79">
        <w:fldChar w:fldCharType="begin"/>
      </w:r>
      <w:r w:rsidR="008122F2" w:rsidRPr="009B6AA8">
        <w:instrText xml:space="preserve"> REF _Ref56166154 \r \h  \* MERGEFORMAT </w:instrText>
      </w:r>
      <w:r w:rsidR="008122F2" w:rsidRPr="00D65C79">
        <w:fldChar w:fldCharType="separate"/>
      </w:r>
      <w:r w:rsidR="007C0448">
        <w:rPr>
          <w:rFonts w:hint="cs"/>
          <w:cs/>
        </w:rPr>
        <w:t>‎</w:t>
      </w:r>
      <w:r w:rsidR="007C0448">
        <w:t>6.4</w:t>
      </w:r>
      <w:r w:rsidR="008122F2" w:rsidRPr="00D65C79">
        <w:fldChar w:fldCharType="end"/>
      </w:r>
      <w:r w:rsidR="008122F2" w:rsidRPr="00D65C79">
        <w:t>.</w:t>
      </w:r>
    </w:p>
    <w:p w14:paraId="7F43CDAE" w14:textId="3297FC11" w:rsidR="009C65D8" w:rsidRPr="009B6AA8" w:rsidRDefault="003D3E46" w:rsidP="007A1E2C">
      <w:pPr>
        <w:pStyle w:val="Finding"/>
      </w:pPr>
      <w:r w:rsidRPr="009B6AA8">
        <w:t xml:space="preserve">The </w:t>
      </w:r>
      <w:r w:rsidR="00A272E3" w:rsidRPr="009B6AA8">
        <w:t>activities involved in</w:t>
      </w:r>
      <w:r w:rsidRPr="009B6AA8">
        <w:t xml:space="preserve"> setting priority areas by </w:t>
      </w:r>
      <w:r w:rsidR="002119EE" w:rsidRPr="009B6AA8">
        <w:t>jurisdictions</w:t>
      </w:r>
      <w:r w:rsidRPr="009B6AA8">
        <w:t xml:space="preserve"> </w:t>
      </w:r>
      <w:r w:rsidR="002119EE" w:rsidRPr="009B6AA8">
        <w:t xml:space="preserve">is not operating as intended and </w:t>
      </w:r>
      <w:r w:rsidR="009C25FA" w:rsidRPr="009B6AA8">
        <w:t>process</w:t>
      </w:r>
      <w:r w:rsidR="00A272E3" w:rsidRPr="009B6AA8">
        <w:t xml:space="preserve">es </w:t>
      </w:r>
      <w:r w:rsidR="009C25FA" w:rsidRPr="009B6AA8">
        <w:t>that could enhance the pr</w:t>
      </w:r>
      <w:r w:rsidR="00A272E3" w:rsidRPr="009B6AA8">
        <w:t>iority setting</w:t>
      </w:r>
      <w:r w:rsidR="009C25FA" w:rsidRPr="009B6AA8">
        <w:t xml:space="preserve"> </w:t>
      </w:r>
      <w:r w:rsidR="002119EE" w:rsidRPr="009B6AA8">
        <w:t>need further consideration.</w:t>
      </w:r>
    </w:p>
    <w:p w14:paraId="023DD3F9" w14:textId="77777777" w:rsidR="00373EE3" w:rsidRPr="003A5E87" w:rsidRDefault="002119EE" w:rsidP="009F3514">
      <w:pPr>
        <w:pStyle w:val="Heading3numbered"/>
      </w:pPr>
      <w:bookmarkStart w:id="150" w:name="_Toc59198471"/>
      <w:bookmarkStart w:id="151" w:name="_Toc66193938"/>
      <w:r w:rsidRPr="00BC705E">
        <w:t>National</w:t>
      </w:r>
      <w:r w:rsidR="00A272E3" w:rsidRPr="00BC705E">
        <w:t xml:space="preserve"> con</w:t>
      </w:r>
      <w:r w:rsidR="00A90F38" w:rsidRPr="00BC705E">
        <w:t>s</w:t>
      </w:r>
      <w:r w:rsidR="00A272E3" w:rsidRPr="00BC705E">
        <w:t>iderations</w:t>
      </w:r>
      <w:bookmarkEnd w:id="150"/>
      <w:bookmarkEnd w:id="151"/>
    </w:p>
    <w:p w14:paraId="5DF928A6" w14:textId="663644DD" w:rsidR="00373EE3" w:rsidRDefault="002119EE" w:rsidP="009163C1">
      <w:r w:rsidRPr="009B6AA8">
        <w:t>Radiotherapy and cancer planning</w:t>
      </w:r>
      <w:r w:rsidR="00A272E3" w:rsidRPr="009B6AA8">
        <w:t xml:space="preserve"> at the health service level</w:t>
      </w:r>
      <w:r w:rsidR="00E61AD5" w:rsidRPr="009B6AA8">
        <w:t xml:space="preserve"> </w:t>
      </w:r>
      <w:r w:rsidR="00A272E3" w:rsidRPr="009B6AA8">
        <w:t xml:space="preserve">is generally considered </w:t>
      </w:r>
      <w:r w:rsidRPr="009B6AA8">
        <w:t>the responsibility of the individual states and territories,</w:t>
      </w:r>
      <w:r w:rsidR="00A272E3" w:rsidRPr="009B6AA8">
        <w:t xml:space="preserve"> but</w:t>
      </w:r>
      <w:r w:rsidRPr="009B6AA8">
        <w:t xml:space="preserve"> the Australian Government provides periodic funding </w:t>
      </w:r>
      <w:r w:rsidR="00251226" w:rsidRPr="009B6AA8">
        <w:t xml:space="preserve">opportunities </w:t>
      </w:r>
      <w:r w:rsidRPr="009B6AA8">
        <w:t xml:space="preserve">to support development of regional cancer services such as the </w:t>
      </w:r>
      <w:r w:rsidR="00251226" w:rsidRPr="009B6AA8">
        <w:t xml:space="preserve">recent competitive grant process for a combined total of </w:t>
      </w:r>
      <w:r w:rsidRPr="009B6AA8">
        <w:t>$45</w:t>
      </w:r>
      <w:r w:rsidR="00D65C79">
        <w:t xml:space="preserve"> </w:t>
      </w:r>
      <w:r w:rsidRPr="00D65C79">
        <w:t>m</w:t>
      </w:r>
      <w:r w:rsidR="0066465D">
        <w:t>illion</w:t>
      </w:r>
      <w:r w:rsidRPr="00D65C79">
        <w:t xml:space="preserve"> to improve access to </w:t>
      </w:r>
      <w:r w:rsidR="00A945C8" w:rsidRPr="00D65C79">
        <w:t xml:space="preserve">radiotherapy </w:t>
      </w:r>
      <w:r w:rsidRPr="00D65C79">
        <w:t xml:space="preserve">included in the 2020 budget for </w:t>
      </w:r>
      <w:r w:rsidR="009163C1" w:rsidRPr="00D65C79">
        <w:t xml:space="preserve">10 </w:t>
      </w:r>
      <w:r w:rsidRPr="009B6AA8">
        <w:t>regional areas</w:t>
      </w:r>
      <w:r w:rsidR="009163C1" w:rsidRPr="009B6AA8">
        <w:t xml:space="preserve">. </w:t>
      </w:r>
      <w:r w:rsidRPr="009B6AA8">
        <w:t xml:space="preserve">The investment is aimed to reduce the need to travel outside the region and allow patients to access all of their cancer treatment services in one place </w:t>
      </w:r>
      <w:sdt>
        <w:sdtPr>
          <w:id w:val="-637489618"/>
          <w:citation/>
        </w:sdtPr>
        <w:sdtContent>
          <w:r w:rsidRPr="00D65C79">
            <w:fldChar w:fldCharType="begin"/>
          </w:r>
          <w:r w:rsidRPr="009B6AA8">
            <w:instrText xml:space="preserve"> CITATION Aus2012 \l 2057 </w:instrText>
          </w:r>
          <w:r w:rsidRPr="00D65C79">
            <w:fldChar w:fldCharType="separate"/>
          </w:r>
          <w:r w:rsidR="00264535" w:rsidRPr="00264535">
            <w:rPr>
              <w:noProof/>
            </w:rPr>
            <w:t>[30]</w:t>
          </w:r>
          <w:r w:rsidRPr="00D65C79">
            <w:fldChar w:fldCharType="end"/>
          </w:r>
        </w:sdtContent>
      </w:sdt>
      <w:r w:rsidRPr="00D65C79">
        <w:t>.</w:t>
      </w:r>
    </w:p>
    <w:p w14:paraId="23F8BDB6" w14:textId="77777777" w:rsidR="00373EE3" w:rsidRDefault="009163C1" w:rsidP="004B0756">
      <w:r w:rsidRPr="009B6AA8">
        <w:t>However, n</w:t>
      </w:r>
      <w:r w:rsidR="002119EE" w:rsidRPr="009B6AA8">
        <w:t xml:space="preserve">one of the </w:t>
      </w:r>
      <w:r w:rsidRPr="009B6AA8">
        <w:t xml:space="preserve">10 identified regions </w:t>
      </w:r>
      <w:r w:rsidR="002119EE" w:rsidRPr="009B6AA8">
        <w:t>are recognised as priority areas under the ROHPG (</w:t>
      </w:r>
      <w:r w:rsidR="00A272E3" w:rsidRPr="009B6AA8">
        <w:t xml:space="preserve">where that assessment </w:t>
      </w:r>
      <w:r w:rsidR="002119EE" w:rsidRPr="009B6AA8">
        <w:t xml:space="preserve">is informed by </w:t>
      </w:r>
      <w:r w:rsidR="00A272E3" w:rsidRPr="009B6AA8">
        <w:t>commentary from</w:t>
      </w:r>
      <w:r w:rsidR="002119EE" w:rsidRPr="009B6AA8">
        <w:t xml:space="preserve"> jurisdictions)</w:t>
      </w:r>
      <w:r w:rsidR="00690F7F" w:rsidRPr="009B6AA8">
        <w:t xml:space="preserve">, creating a potential </w:t>
      </w:r>
      <w:r w:rsidR="0068652F">
        <w:t>misalign</w:t>
      </w:r>
      <w:r w:rsidR="00690F7F" w:rsidRPr="009B6AA8">
        <w:t>ment between agendas</w:t>
      </w:r>
      <w:r w:rsidR="00A272E3" w:rsidRPr="009B6AA8">
        <w:t xml:space="preserve"> of different Australian Government </w:t>
      </w:r>
      <w:r w:rsidR="00863AFD">
        <w:t>initiatives</w:t>
      </w:r>
      <w:r w:rsidR="00690F7F" w:rsidRPr="009B6AA8">
        <w:t>.</w:t>
      </w:r>
    </w:p>
    <w:p w14:paraId="4F2373FB" w14:textId="77777777" w:rsidR="00373EE3" w:rsidRDefault="00BF119B" w:rsidP="004B0756">
      <w:r>
        <w:t xml:space="preserve">Similarly, in 2016 the </w:t>
      </w:r>
      <w:r w:rsidRPr="009B6AA8">
        <w:t>Australian Government</w:t>
      </w:r>
      <w:r>
        <w:t xml:space="preserve"> funded a </w:t>
      </w:r>
      <w:proofErr w:type="spellStart"/>
      <w:r>
        <w:t>linac</w:t>
      </w:r>
      <w:proofErr w:type="spellEnd"/>
      <w:r>
        <w:t xml:space="preserve"> for Burnie in Tasmania </w:t>
      </w:r>
      <w:r w:rsidRPr="009B6AA8">
        <w:t>through the Health and Hospital Fund – Regional Cancer Centres Initiative</w:t>
      </w:r>
      <w:r>
        <w:t xml:space="preserve">. Australian Government funding for a second </w:t>
      </w:r>
      <w:proofErr w:type="spellStart"/>
      <w:r>
        <w:t>linac</w:t>
      </w:r>
      <w:proofErr w:type="spellEnd"/>
      <w:r>
        <w:t xml:space="preserve"> for Burnie has also been approved under </w:t>
      </w:r>
      <w:r w:rsidRPr="009B6AA8">
        <w:t>the Community Health and Hospitals Program (Tasmania’s 2018–2019 Initiatives)</w:t>
      </w:r>
      <w:r>
        <w:t xml:space="preserve">. As Burnie is not listed as a priority area for ROHPG funding, neither of these </w:t>
      </w:r>
      <w:proofErr w:type="spellStart"/>
      <w:r>
        <w:t>linacs</w:t>
      </w:r>
      <w:proofErr w:type="spellEnd"/>
      <w:r>
        <w:t xml:space="preserve"> are currently eligible for ROHPG funding for replacement in future.</w:t>
      </w:r>
    </w:p>
    <w:p w14:paraId="17980908" w14:textId="77777777" w:rsidR="00373EE3" w:rsidRDefault="0068652F" w:rsidP="00C521F5">
      <w:pPr>
        <w:pStyle w:val="Finding"/>
      </w:pPr>
      <w:r>
        <w:t>Misalign</w:t>
      </w:r>
      <w:r w:rsidR="00C521F5" w:rsidRPr="009B6AA8">
        <w:t xml:space="preserve">ment of federal funding for </w:t>
      </w:r>
      <w:proofErr w:type="spellStart"/>
      <w:r w:rsidR="00C521F5" w:rsidRPr="009B6AA8">
        <w:t>li</w:t>
      </w:r>
      <w:r w:rsidR="00B80AA0" w:rsidRPr="009B6AA8">
        <w:t>nacs</w:t>
      </w:r>
      <w:proofErr w:type="spellEnd"/>
      <w:r w:rsidR="00C521F5" w:rsidRPr="009B6AA8">
        <w:t xml:space="preserve"> not through the ROHPG </w:t>
      </w:r>
      <w:r w:rsidR="0087776B" w:rsidRPr="009B6AA8">
        <w:t xml:space="preserve">can </w:t>
      </w:r>
      <w:r w:rsidR="00C521F5" w:rsidRPr="009B6AA8">
        <w:t>create services</w:t>
      </w:r>
      <w:r w:rsidR="0087776B" w:rsidRPr="009B6AA8">
        <w:t xml:space="preserve"> without clear sustainability plans for RT equipment replacement</w:t>
      </w:r>
      <w:r w:rsidR="00C521F5" w:rsidRPr="009B6AA8">
        <w:t>.</w:t>
      </w:r>
    </w:p>
    <w:p w14:paraId="03DC5D1D" w14:textId="65D3590D" w:rsidR="00373EE3" w:rsidRPr="00BC705E" w:rsidRDefault="00A14E22" w:rsidP="009F3514">
      <w:pPr>
        <w:pStyle w:val="heading2numbered"/>
      </w:pPr>
      <w:bookmarkStart w:id="152" w:name="_Toc59198472"/>
      <w:bookmarkStart w:id="153" w:name="_Toc66193939"/>
      <w:bookmarkStart w:id="154" w:name="_Toc73696688"/>
      <w:r w:rsidRPr="00BC705E">
        <w:t>Conclusion</w:t>
      </w:r>
      <w:bookmarkEnd w:id="152"/>
      <w:bookmarkEnd w:id="153"/>
      <w:bookmarkEnd w:id="154"/>
    </w:p>
    <w:p w14:paraId="146C9D7D" w14:textId="77777777" w:rsidR="00373EE3" w:rsidRDefault="007A252F" w:rsidP="007A252F">
      <w:r w:rsidRPr="009B6AA8">
        <w:t>The review found the objectives of the ROHPG remain relevant, as RT continues to be a major component of cancer treatment, contributing to favourable outcomes in a range of high prevalence cancers.</w:t>
      </w:r>
    </w:p>
    <w:p w14:paraId="7CC4C9A2" w14:textId="77777777" w:rsidR="00373EE3" w:rsidRDefault="007A252F" w:rsidP="007A252F">
      <w:r w:rsidRPr="009B6AA8">
        <w:lastRenderedPageBreak/>
        <w:t xml:space="preserve">AIHW data on RT waiting times indicated that people from the low socio-economic areas wait an average of four days longer for RT than people from high socio-economic areas and distance of travel to RT has been shown to be inversely correlated with </w:t>
      </w:r>
      <w:r w:rsidR="00A272E3" w:rsidRPr="009B6AA8">
        <w:t xml:space="preserve">RT </w:t>
      </w:r>
      <w:r w:rsidRPr="009B6AA8">
        <w:t>utilisation rates. This demonstrate</w:t>
      </w:r>
      <w:r w:rsidR="000C6AC0">
        <w:t>s</w:t>
      </w:r>
      <w:r w:rsidRPr="009B6AA8">
        <w:t xml:space="preserve"> the ongoing need to make RT service </w:t>
      </w:r>
      <w:r w:rsidR="00A272E3" w:rsidRPr="009B6AA8">
        <w:t xml:space="preserve">more </w:t>
      </w:r>
      <w:r w:rsidRPr="009B6AA8">
        <w:t>equitabl</w:t>
      </w:r>
      <w:r w:rsidR="00A272E3" w:rsidRPr="009B6AA8">
        <w:t>y</w:t>
      </w:r>
      <w:r w:rsidRPr="009B6AA8">
        <w:t xml:space="preserve"> accessible for </w:t>
      </w:r>
      <w:r w:rsidR="00A272E3" w:rsidRPr="009B6AA8">
        <w:t>disadvantaged</w:t>
      </w:r>
      <w:r w:rsidRPr="009B6AA8">
        <w:t xml:space="preserve"> populations.</w:t>
      </w:r>
    </w:p>
    <w:p w14:paraId="34A616DF" w14:textId="77777777" w:rsidR="00373EE3" w:rsidRDefault="000814D1" w:rsidP="007A252F">
      <w:r w:rsidRPr="009B6AA8">
        <w:t>Unlike other outpatient treatments, RT has significantly high capital costs, which can become a barrier to service provision, especially if throughput is expected to be lower than average, thus necessitating the need for public funded capital assistance in both the public and private sectors. However, capital costs for RT cannot be considered in isolation. Many other factors are essential to providing optimal RT care</w:t>
      </w:r>
      <w:r w:rsidR="000C6AC0">
        <w:t>,</w:t>
      </w:r>
      <w:r w:rsidRPr="009B6AA8">
        <w:t xml:space="preserve"> including workforce, integration with other cancer services, </w:t>
      </w:r>
      <w:r w:rsidR="00A272E3" w:rsidRPr="009B6AA8">
        <w:t xml:space="preserve">and </w:t>
      </w:r>
      <w:r w:rsidRPr="009B6AA8">
        <w:t>access to allied health and other support providers.</w:t>
      </w:r>
    </w:p>
    <w:p w14:paraId="34CB389F" w14:textId="77777777" w:rsidR="00373EE3" w:rsidRDefault="000814D1" w:rsidP="000814D1">
      <w:pPr>
        <w:pStyle w:val="Recommendations"/>
      </w:pPr>
      <w:r w:rsidRPr="009B6AA8">
        <w:t xml:space="preserve">The </w:t>
      </w:r>
      <w:r w:rsidR="007A2ED8" w:rsidRPr="009B6AA8">
        <w:t xml:space="preserve">Department </w:t>
      </w:r>
      <w:r w:rsidRPr="009B6AA8">
        <w:t xml:space="preserve">should continue to support the capital costs of </w:t>
      </w:r>
      <w:r w:rsidR="000C6AC0" w:rsidRPr="009B6AA8">
        <w:t>high</w:t>
      </w:r>
      <w:r w:rsidR="000C6AC0">
        <w:t>-</w:t>
      </w:r>
      <w:r w:rsidRPr="009B6AA8">
        <w:t xml:space="preserve">cost RT equipment. However, steps should be taken to further integrate the </w:t>
      </w:r>
      <w:r w:rsidR="00FD606B">
        <w:t>Scheme</w:t>
      </w:r>
      <w:r w:rsidRPr="009B6AA8">
        <w:t xml:space="preserve"> with</w:t>
      </w:r>
      <w:r w:rsidR="00A272E3" w:rsidRPr="009B6AA8">
        <w:t xml:space="preserve"> jurisdiction</w:t>
      </w:r>
      <w:r w:rsidRPr="009B6AA8">
        <w:t xml:space="preserve"> RT planning.</w:t>
      </w:r>
    </w:p>
    <w:p w14:paraId="2D3114F0" w14:textId="77777777" w:rsidR="00373EE3" w:rsidRDefault="007E410E" w:rsidP="0010422E">
      <w:pPr>
        <w:spacing w:before="240"/>
      </w:pPr>
      <w:r w:rsidRPr="009B6AA8">
        <w:t xml:space="preserve">A trade-off analysis assessed the relative advantage of the current ROHPG </w:t>
      </w:r>
      <w:r w:rsidR="00FD606B">
        <w:t>Scheme</w:t>
      </w:r>
      <w:r w:rsidRPr="009B6AA8">
        <w:t xml:space="preserve"> (stat</w:t>
      </w:r>
      <w:r w:rsidR="009C641D" w:rsidRPr="009B6AA8">
        <w:t>us</w:t>
      </w:r>
      <w:r w:rsidRPr="009B6AA8">
        <w:t xml:space="preserve"> quo) against other potential funding options. The analysis did not find any of the alternative mechanisms to be more advantageous in their entirety. However, additional administrative efficiency is suggested through a more traditional grant program mechanism, or funding via state/territory jurisdiction</w:t>
      </w:r>
      <w:r w:rsidR="009C641D" w:rsidRPr="009B6AA8">
        <w:t>s</w:t>
      </w:r>
      <w:r w:rsidRPr="009B6AA8">
        <w:t>.</w:t>
      </w:r>
    </w:p>
    <w:p w14:paraId="1E6E3AC5" w14:textId="73480692" w:rsidR="007A252F" w:rsidRPr="009B6AA8" w:rsidRDefault="007E410E" w:rsidP="0010422E">
      <w:pPr>
        <w:spacing w:before="240"/>
      </w:pPr>
      <w:r w:rsidRPr="009B6AA8">
        <w:t>The s</w:t>
      </w:r>
      <w:r w:rsidR="009C641D" w:rsidRPr="009B6AA8">
        <w:t>h</w:t>
      </w:r>
      <w:r w:rsidRPr="009B6AA8">
        <w:t xml:space="preserve">ift of responsibility to state and territory </w:t>
      </w:r>
      <w:r w:rsidR="009C1105" w:rsidRPr="009B6AA8">
        <w:t>government</w:t>
      </w:r>
      <w:r w:rsidR="00863AFD">
        <w:t>s</w:t>
      </w:r>
      <w:r w:rsidRPr="009B6AA8">
        <w:t xml:space="preserve"> for the setting of </w:t>
      </w:r>
      <w:r w:rsidR="009C641D" w:rsidRPr="009B6AA8">
        <w:t xml:space="preserve">geographic </w:t>
      </w:r>
      <w:r w:rsidRPr="009B6AA8">
        <w:t xml:space="preserve">priority areas has not promoted </w:t>
      </w:r>
      <w:r w:rsidR="009C1105" w:rsidRPr="009B6AA8">
        <w:t>greater</w:t>
      </w:r>
      <w:r w:rsidRPr="009B6AA8">
        <w:t xml:space="preserve"> integration of the </w:t>
      </w:r>
      <w:r w:rsidR="00D65C79">
        <w:t>ROHPG</w:t>
      </w:r>
      <w:r w:rsidR="00D65C79" w:rsidRPr="00D65C79">
        <w:t xml:space="preserve"> </w:t>
      </w:r>
      <w:r w:rsidRPr="00D65C79">
        <w:t xml:space="preserve">with RT planning as intended. </w:t>
      </w:r>
      <w:r w:rsidR="00BF119B">
        <w:t>M</w:t>
      </w:r>
      <w:r w:rsidR="0068652F">
        <w:t>isalign</w:t>
      </w:r>
      <w:r w:rsidR="00251226" w:rsidRPr="00D65C79">
        <w:t xml:space="preserve">ment between Australian Government funding commitments </w:t>
      </w:r>
      <w:r w:rsidR="00251226" w:rsidRPr="009B6AA8">
        <w:t>and ROHPG priority areas</w:t>
      </w:r>
      <w:r w:rsidR="00BF119B">
        <w:t xml:space="preserve"> may </w:t>
      </w:r>
      <w:r w:rsidR="00A84422">
        <w:t xml:space="preserve">result in RT facilities without clear replacement plans for </w:t>
      </w:r>
      <w:proofErr w:type="spellStart"/>
      <w:r w:rsidR="00A84422">
        <w:t>linacs</w:t>
      </w:r>
      <w:proofErr w:type="spellEnd"/>
      <w:r w:rsidR="00251226" w:rsidRPr="009B6AA8">
        <w:t>.</w:t>
      </w:r>
    </w:p>
    <w:p w14:paraId="5BC69A1D" w14:textId="77777777" w:rsidR="00373EE3" w:rsidRDefault="007E410E" w:rsidP="007E410E">
      <w:pPr>
        <w:pStyle w:val="Recommendations"/>
      </w:pPr>
      <w:r w:rsidRPr="009B6AA8">
        <w:t xml:space="preserve">Steps to better integrate the ROHPG with </w:t>
      </w:r>
      <w:r w:rsidR="006432D2" w:rsidRPr="009B6AA8">
        <w:t xml:space="preserve">national and state/territory </w:t>
      </w:r>
      <w:r w:rsidRPr="009B6AA8">
        <w:t xml:space="preserve">RT planning are required to prevent ongoing </w:t>
      </w:r>
      <w:r w:rsidR="0068652F">
        <w:t>misalign</w:t>
      </w:r>
      <w:r w:rsidRPr="009B6AA8">
        <w:t xml:space="preserve">ment of </w:t>
      </w:r>
      <w:r w:rsidR="009C641D" w:rsidRPr="009B6AA8">
        <w:t xml:space="preserve">cancer </w:t>
      </w:r>
      <w:r w:rsidR="006432D2" w:rsidRPr="009B6AA8">
        <w:t xml:space="preserve">planning </w:t>
      </w:r>
      <w:r w:rsidRPr="009B6AA8">
        <w:t>agendas.</w:t>
      </w:r>
    </w:p>
    <w:p w14:paraId="2362BA77" w14:textId="7D3145DB" w:rsidR="00DC7DE8" w:rsidRPr="00785F73" w:rsidRDefault="00AA5B17" w:rsidP="007A408D">
      <w:pPr>
        <w:pStyle w:val="Heading2"/>
        <w:numPr>
          <w:ilvl w:val="0"/>
          <w:numId w:val="39"/>
        </w:numPr>
      </w:pPr>
      <w:bookmarkStart w:id="155" w:name="_Toc59198473"/>
      <w:bookmarkStart w:id="156" w:name="_Toc66193940"/>
      <w:bookmarkStart w:id="157" w:name="_Toc73696689"/>
      <w:r w:rsidRPr="00785F73">
        <w:lastRenderedPageBreak/>
        <w:t xml:space="preserve">Key Review Area B: </w:t>
      </w:r>
      <w:r w:rsidR="007652F2" w:rsidRPr="00785F73">
        <w:t>Effectiveness</w:t>
      </w:r>
      <w:bookmarkEnd w:id="155"/>
      <w:bookmarkEnd w:id="156"/>
      <w:bookmarkEnd w:id="157"/>
    </w:p>
    <w:p w14:paraId="632628A8" w14:textId="622E5FA5" w:rsidR="00373EE3" w:rsidRDefault="006432D2" w:rsidP="009F3514">
      <w:pPr>
        <w:pStyle w:val="Heading2"/>
        <w:pageBreakBefore w:val="0"/>
      </w:pPr>
      <w:bookmarkStart w:id="158" w:name="_Toc59198474"/>
      <w:bookmarkStart w:id="159" w:name="_Toc66193941"/>
      <w:bookmarkStart w:id="160" w:name="_Toc73696690"/>
      <w:r w:rsidRPr="009B6AA8">
        <w:t>Summary of recommendations</w:t>
      </w:r>
      <w:bookmarkEnd w:id="158"/>
      <w:bookmarkEnd w:id="159"/>
      <w:bookmarkEnd w:id="160"/>
    </w:p>
    <w:p w14:paraId="766EF07F" w14:textId="06617084" w:rsidR="00FB5BD3" w:rsidRPr="009B6AA8" w:rsidRDefault="0027365A" w:rsidP="0027365A">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 xml:space="preserve">Recommendation </w:t>
      </w:r>
      <w:r w:rsidR="00942057">
        <w:rPr>
          <w:b/>
          <w:bCs/>
        </w:rPr>
        <w:t>3</w:t>
      </w:r>
      <w:r w:rsidRPr="009B6AA8">
        <w:rPr>
          <w:b/>
          <w:bCs/>
        </w:rPr>
        <w:t xml:space="preserve">. </w:t>
      </w:r>
      <w:r w:rsidR="00F40F72" w:rsidRPr="009B6AA8">
        <w:t xml:space="preserve">The ROHPG should be offered with subsidy timeframes that do not differentiate between public and private </w:t>
      </w:r>
      <w:r w:rsidR="00F40F72">
        <w:t>facilities</w:t>
      </w:r>
      <w:r w:rsidR="00F40F72" w:rsidRPr="009B6AA8">
        <w:t xml:space="preserve">. The timeframe should be no longer than 10 years. The </w:t>
      </w:r>
      <w:r w:rsidR="00F40F72">
        <w:t>D</w:t>
      </w:r>
      <w:r w:rsidR="00F40F72" w:rsidRPr="009B6AA8">
        <w:t>epartment may wish to consider shorter timeframes on a case</w:t>
      </w:r>
      <w:r w:rsidR="00F40F72">
        <w:t>-</w:t>
      </w:r>
      <w:r w:rsidR="00F40F72" w:rsidRPr="009B6AA8">
        <w:t>by</w:t>
      </w:r>
      <w:r w:rsidR="00F40F72">
        <w:t>-</w:t>
      </w:r>
      <w:r w:rsidR="00F40F72" w:rsidRPr="009B6AA8">
        <w:t xml:space="preserve">case </w:t>
      </w:r>
      <w:r w:rsidR="00EB6FB4" w:rsidRPr="009B6AA8">
        <w:t>basis if</w:t>
      </w:r>
      <w:r w:rsidR="00F40F72" w:rsidRPr="009B6AA8">
        <w:t xml:space="preserve"> suitable evidence of very high throughput can be demonstrated.</w:t>
      </w:r>
    </w:p>
    <w:p w14:paraId="52DAE191" w14:textId="3D469809" w:rsidR="00FB5BD3" w:rsidRPr="009B6AA8" w:rsidRDefault="0027365A" w:rsidP="0027365A">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 xml:space="preserve">Recommendation </w:t>
      </w:r>
      <w:r w:rsidR="00942057">
        <w:rPr>
          <w:b/>
          <w:bCs/>
        </w:rPr>
        <w:t>4</w:t>
      </w:r>
      <w:r w:rsidRPr="009B6AA8">
        <w:rPr>
          <w:b/>
          <w:bCs/>
        </w:rPr>
        <w:t>.</w:t>
      </w:r>
      <w:r w:rsidRPr="009B6AA8">
        <w:t xml:space="preserve"> </w:t>
      </w:r>
      <w:r w:rsidR="00F40F72">
        <w:t xml:space="preserve">The Department may wish to consider the inclusion of additional safety monitoring measures into the ROHPG funding conditions in future as they emerge </w:t>
      </w:r>
      <w:r w:rsidR="007D5B1A">
        <w:t xml:space="preserve">or are mandated by jurisdictions </w:t>
      </w:r>
      <w:r w:rsidR="00F40F72">
        <w:t xml:space="preserve">(e.g. the </w:t>
      </w:r>
      <w:r w:rsidR="00F40F72" w:rsidRPr="009B6AA8">
        <w:t>Australian Radiation Incident Registry</w:t>
      </w:r>
      <w:r w:rsidR="00F40F72">
        <w:t xml:space="preserve"> or Radiation Oncology Standards). However, it is not the place of a capital grants scheme to enforce quality standards for the radiation oncology sector.</w:t>
      </w:r>
    </w:p>
    <w:p w14:paraId="79C18E49" w14:textId="49F7597C" w:rsidR="00373EE3" w:rsidRDefault="009D09DE" w:rsidP="009F3514">
      <w:pPr>
        <w:pStyle w:val="Heading2"/>
        <w:pageBreakBefore w:val="0"/>
      </w:pPr>
      <w:bookmarkStart w:id="161" w:name="_Toc59198475"/>
      <w:bookmarkStart w:id="162" w:name="_Toc66193942"/>
      <w:bookmarkStart w:id="163" w:name="_Toc73696691"/>
      <w:r w:rsidRPr="009B6AA8">
        <w:t>Review questions</w:t>
      </w:r>
      <w:bookmarkEnd w:id="161"/>
      <w:bookmarkEnd w:id="162"/>
      <w:bookmarkEnd w:id="163"/>
    </w:p>
    <w:p w14:paraId="6D77E4EC" w14:textId="77777777" w:rsidR="00373EE3" w:rsidRDefault="00FB5BD3" w:rsidP="009D09DE">
      <w:pPr>
        <w:spacing w:before="240"/>
      </w:pPr>
      <w:r w:rsidRPr="009B6AA8">
        <w:t xml:space="preserve">The ROHPG Review sought to assess the effectiveness of the </w:t>
      </w:r>
      <w:r w:rsidR="00FD606B">
        <w:t>Scheme</w:t>
      </w:r>
      <w:r w:rsidR="00B23C5F" w:rsidRPr="009B6AA8">
        <w:t xml:space="preserve"> at meeting its objectives</w:t>
      </w:r>
      <w:r w:rsidRPr="009B6AA8">
        <w:t xml:space="preserve"> to:</w:t>
      </w:r>
    </w:p>
    <w:p w14:paraId="6B102F49" w14:textId="117C6D40" w:rsidR="00FB5BD3" w:rsidRPr="009B6AA8" w:rsidRDefault="00B23C5F" w:rsidP="000F6B35">
      <w:pPr>
        <w:pStyle w:val="ListBullet"/>
      </w:pPr>
      <w:r w:rsidRPr="009B6AA8">
        <w:t>improve health outcomes for cancer patients</w:t>
      </w:r>
    </w:p>
    <w:p w14:paraId="67D14483" w14:textId="77777777" w:rsidR="00FB5BD3" w:rsidRPr="009B6AA8" w:rsidRDefault="00B23C5F" w:rsidP="000F6B35">
      <w:pPr>
        <w:pStyle w:val="ListBullet"/>
      </w:pPr>
      <w:r w:rsidRPr="009B6AA8">
        <w:t>ensure adequate and equitable access to radiation oncology services</w:t>
      </w:r>
    </w:p>
    <w:p w14:paraId="3A434A50" w14:textId="77777777" w:rsidR="00373EE3" w:rsidRDefault="00B23C5F" w:rsidP="000F6B35">
      <w:pPr>
        <w:pStyle w:val="ListBullet"/>
      </w:pPr>
      <w:r w:rsidRPr="009B6AA8">
        <w:t>improve equity of access</w:t>
      </w:r>
      <w:r w:rsidR="00FB5BD3" w:rsidRPr="009B6AA8">
        <w:t>,</w:t>
      </w:r>
      <w:r w:rsidRPr="009B6AA8">
        <w:t xml:space="preserve"> and</w:t>
      </w:r>
    </w:p>
    <w:p w14:paraId="46AF593C" w14:textId="77777777" w:rsidR="00373EE3" w:rsidRDefault="00B23C5F" w:rsidP="000F6B35">
      <w:pPr>
        <w:pStyle w:val="ListBullet"/>
      </w:pPr>
      <w:proofErr w:type="gramStart"/>
      <w:r w:rsidRPr="009B6AA8">
        <w:t>maintain</w:t>
      </w:r>
      <w:proofErr w:type="gramEnd"/>
      <w:r w:rsidRPr="009B6AA8">
        <w:t xml:space="preserve"> the quality and safety of radiation oncology equipment.</w:t>
      </w:r>
    </w:p>
    <w:p w14:paraId="0BBF169F" w14:textId="77777777" w:rsidR="00373EE3" w:rsidRDefault="00FB5BD3" w:rsidP="00E06173">
      <w:r w:rsidRPr="009B6AA8">
        <w:t>The key review questions for effectiveness were:</w:t>
      </w:r>
    </w:p>
    <w:p w14:paraId="7022B977" w14:textId="4FFF2F1C" w:rsidR="00DC7DE8" w:rsidRPr="009B6AA8" w:rsidRDefault="00FB5BD3" w:rsidP="00FB5BD3">
      <w:pPr>
        <w:pStyle w:val="Quote"/>
      </w:pPr>
      <w:r w:rsidRPr="009B6AA8">
        <w:t xml:space="preserve">1. </w:t>
      </w:r>
      <w:r w:rsidR="007A748D" w:rsidRPr="009B6AA8">
        <w:t>Is the ROHPG ensuring adequate equitable access to radiation oncology services across Australia?</w:t>
      </w:r>
    </w:p>
    <w:p w14:paraId="72A6E4C5" w14:textId="1D3991E1" w:rsidR="007A748D" w:rsidRPr="009B6AA8" w:rsidRDefault="00FB5BD3" w:rsidP="00FB5BD3">
      <w:pPr>
        <w:pStyle w:val="Quote"/>
      </w:pPr>
      <w:r w:rsidRPr="009B6AA8">
        <w:t xml:space="preserve">2. </w:t>
      </w:r>
      <w:r w:rsidR="007A748D" w:rsidRPr="009B6AA8">
        <w:t>Is the ROHPG assisting to maintain safety and quality of radiation oncology equipment?</w:t>
      </w:r>
    </w:p>
    <w:p w14:paraId="555601A4" w14:textId="61623DFE" w:rsidR="00FB5BD3" w:rsidRPr="009B6AA8" w:rsidRDefault="00FB5BD3" w:rsidP="00FB5BD3">
      <w:r w:rsidRPr="009B6AA8">
        <w:t>The following more detailed review questions were considered:</w:t>
      </w:r>
    </w:p>
    <w:p w14:paraId="1C37C97A" w14:textId="77777777" w:rsidR="00373EE3" w:rsidRDefault="000F6B35" w:rsidP="000F6B35">
      <w:pPr>
        <w:pStyle w:val="ListBullet"/>
      </w:pPr>
      <w:r w:rsidRPr="009B6AA8">
        <w:t xml:space="preserve">Are there geographic or other service gaps not being met by the </w:t>
      </w:r>
      <w:r w:rsidR="00FD606B">
        <w:t>Scheme</w:t>
      </w:r>
      <w:r w:rsidRPr="009B6AA8">
        <w:t xml:space="preserve"> or has it resulted in areas of over-servicing?</w:t>
      </w:r>
    </w:p>
    <w:p w14:paraId="3EF37342" w14:textId="3CD3963F" w:rsidR="000F6B35" w:rsidRPr="009B6AA8" w:rsidRDefault="000F6B35" w:rsidP="000F6B35">
      <w:pPr>
        <w:pStyle w:val="ListBullet"/>
      </w:pPr>
      <w:r w:rsidRPr="009B6AA8">
        <w:t>Is the current approach for identifying geographic areas of need accurate and transparent and does it enable appropriate targeting of funding to facilitate access to radiotherapy services?</w:t>
      </w:r>
    </w:p>
    <w:p w14:paraId="669DA15E" w14:textId="45C45684" w:rsidR="000F6B35" w:rsidRPr="009B6AA8" w:rsidRDefault="000F6B35" w:rsidP="000F6B35">
      <w:pPr>
        <w:pStyle w:val="ListBullet"/>
      </w:pPr>
      <w:r w:rsidRPr="009B6AA8">
        <w:t xml:space="preserve">Is there evidence to support different funding rates for public and private </w:t>
      </w:r>
      <w:r w:rsidR="007A75A8">
        <w:t>facilities</w:t>
      </w:r>
      <w:r w:rsidRPr="009B6AA8">
        <w:t xml:space="preserve"> for </w:t>
      </w:r>
      <w:proofErr w:type="spellStart"/>
      <w:r w:rsidR="00AC5BA9" w:rsidRPr="009B6AA8">
        <w:t>linacs</w:t>
      </w:r>
      <w:proofErr w:type="spellEnd"/>
      <w:r w:rsidR="00AC5BA9" w:rsidRPr="009B6AA8">
        <w:t xml:space="preserve"> </w:t>
      </w:r>
      <w:r w:rsidRPr="009B6AA8">
        <w:t>beyond the intended expiry date of 30 June 2021?</w:t>
      </w:r>
    </w:p>
    <w:p w14:paraId="46439659" w14:textId="736C35C9" w:rsidR="007A748D" w:rsidRPr="009B6AA8" w:rsidRDefault="000F6B35" w:rsidP="000F6B35">
      <w:pPr>
        <w:pStyle w:val="ListBullet"/>
      </w:pPr>
      <w:r w:rsidRPr="009B6AA8">
        <w:t>Is the program supporting timely and appropriate replacement of equipment?</w:t>
      </w:r>
    </w:p>
    <w:p w14:paraId="19584C12" w14:textId="647172E5" w:rsidR="000F6B35" w:rsidRPr="009B6AA8" w:rsidRDefault="000F6B35" w:rsidP="000F6B35">
      <w:pPr>
        <w:pStyle w:val="ListBullet"/>
      </w:pPr>
      <w:r w:rsidRPr="009B6AA8">
        <w:t>Are there sufficient safeguards in place to provide assurance that adequate safety and quality standards are being met in relation to the ROHPG funded equipment?</w:t>
      </w:r>
    </w:p>
    <w:p w14:paraId="60589BD1" w14:textId="6AD19C41" w:rsidR="00373EE3" w:rsidRDefault="000F6B35" w:rsidP="009F3514">
      <w:pPr>
        <w:pStyle w:val="Heading2"/>
        <w:pageBreakBefore w:val="0"/>
      </w:pPr>
      <w:bookmarkStart w:id="164" w:name="_Toc59198476"/>
      <w:bookmarkStart w:id="165" w:name="_Toc66193943"/>
      <w:bookmarkStart w:id="166" w:name="_Toc73696692"/>
      <w:r w:rsidRPr="009B6AA8">
        <w:t>Analysis and findings</w:t>
      </w:r>
      <w:bookmarkEnd w:id="164"/>
      <w:bookmarkEnd w:id="165"/>
      <w:bookmarkEnd w:id="166"/>
    </w:p>
    <w:p w14:paraId="421906EF" w14:textId="6368E21A" w:rsidR="00373EE3" w:rsidRPr="00BC705E" w:rsidRDefault="00375E68" w:rsidP="009F3514">
      <w:pPr>
        <w:pStyle w:val="heading2numbered"/>
      </w:pPr>
      <w:bookmarkStart w:id="167" w:name="_Toc59198477"/>
      <w:bookmarkStart w:id="168" w:name="_Toc66193944"/>
      <w:bookmarkStart w:id="169" w:name="_Toc73696693"/>
      <w:r w:rsidRPr="00BC705E">
        <w:t>A</w:t>
      </w:r>
      <w:r w:rsidR="000F6B35" w:rsidRPr="00BC705E">
        <w:t>dequate and equitable access</w:t>
      </w:r>
      <w:bookmarkEnd w:id="167"/>
      <w:bookmarkEnd w:id="168"/>
      <w:bookmarkEnd w:id="169"/>
    </w:p>
    <w:p w14:paraId="3AF79E94" w14:textId="77777777" w:rsidR="00373EE3" w:rsidRPr="00BC705E" w:rsidRDefault="006E465B" w:rsidP="009F3514">
      <w:pPr>
        <w:pStyle w:val="Heading3numbered"/>
      </w:pPr>
      <w:bookmarkStart w:id="170" w:name="_Toc59198478"/>
      <w:bookmarkStart w:id="171" w:name="_Toc66193945"/>
      <w:r w:rsidRPr="00BC705E">
        <w:t>Geographic distribution and accessibility</w:t>
      </w:r>
      <w:bookmarkEnd w:id="170"/>
      <w:bookmarkEnd w:id="171"/>
    </w:p>
    <w:p w14:paraId="258BC0EB" w14:textId="77777777" w:rsidR="00373EE3" w:rsidRDefault="004C447D" w:rsidP="007A1E2C">
      <w:r w:rsidRPr="009B6AA8">
        <w:t>In 20</w:t>
      </w:r>
      <w:r w:rsidR="000210A8" w:rsidRPr="009B6AA8">
        <w:t>19</w:t>
      </w:r>
      <w:r w:rsidR="00E61AD5" w:rsidRPr="009B6AA8">
        <w:t>–</w:t>
      </w:r>
      <w:r w:rsidRPr="009B6AA8">
        <w:t xml:space="preserve">20, </w:t>
      </w:r>
      <w:r w:rsidR="00842F4D" w:rsidRPr="009B6AA8">
        <w:t xml:space="preserve">there were an estimated </w:t>
      </w:r>
      <w:r w:rsidRPr="009B6AA8">
        <w:t>20</w:t>
      </w:r>
      <w:r w:rsidR="000E3B5F">
        <w:t>0</w:t>
      </w:r>
      <w:r w:rsidRPr="009B6AA8">
        <w:t xml:space="preserve"> active </w:t>
      </w:r>
      <w:proofErr w:type="spellStart"/>
      <w:r w:rsidRPr="009B6AA8">
        <w:t>linacs</w:t>
      </w:r>
      <w:proofErr w:type="spellEnd"/>
      <w:r w:rsidRPr="009B6AA8">
        <w:t xml:space="preserve"> across Australia</w:t>
      </w:r>
      <w:r w:rsidR="00F134D6" w:rsidRPr="009B6AA8">
        <w:t xml:space="preserve">, </w:t>
      </w:r>
      <w:r w:rsidR="000C27C1">
        <w:t>101</w:t>
      </w:r>
      <w:r w:rsidR="00F134D6" w:rsidRPr="009B6AA8">
        <w:t xml:space="preserve"> in the public system and </w:t>
      </w:r>
      <w:r w:rsidR="000C27C1">
        <w:t>99</w:t>
      </w:r>
      <w:r w:rsidR="00F134D6" w:rsidRPr="009B6AA8">
        <w:t xml:space="preserve"> in the private sector. This represents a growth of 4</w:t>
      </w:r>
      <w:r w:rsidR="000E3B5F">
        <w:t>1</w:t>
      </w:r>
      <w:r w:rsidR="00F134D6" w:rsidRPr="009B6AA8">
        <w:t xml:space="preserve"> </w:t>
      </w:r>
      <w:proofErr w:type="spellStart"/>
      <w:r w:rsidR="00F134D6" w:rsidRPr="009B6AA8">
        <w:t>linacs</w:t>
      </w:r>
      <w:proofErr w:type="spellEnd"/>
      <w:r w:rsidR="00F134D6" w:rsidRPr="009B6AA8">
        <w:t xml:space="preserve"> (</w:t>
      </w:r>
      <w:r w:rsidR="000E3B5F" w:rsidRPr="009B6AA8">
        <w:t>2</w:t>
      </w:r>
      <w:r w:rsidR="000E3B5F">
        <w:t>6</w:t>
      </w:r>
      <w:r w:rsidR="00F134D6" w:rsidRPr="009B6AA8">
        <w:t>%) since 2013</w:t>
      </w:r>
      <w:r w:rsidR="00E61AD5" w:rsidRPr="009B6AA8">
        <w:t>–</w:t>
      </w:r>
      <w:r w:rsidR="00F134D6" w:rsidRPr="009B6AA8">
        <w:t xml:space="preserve">14 when there were an estimated 159 </w:t>
      </w:r>
      <w:proofErr w:type="spellStart"/>
      <w:r w:rsidR="00F134D6" w:rsidRPr="009B6AA8">
        <w:t>linacs</w:t>
      </w:r>
      <w:proofErr w:type="spellEnd"/>
      <w:r w:rsidR="00F134D6" w:rsidRPr="009B6AA8">
        <w:t>.</w:t>
      </w:r>
    </w:p>
    <w:p w14:paraId="7B8B0319" w14:textId="488B5D6C" w:rsidR="00F134D6" w:rsidRPr="00D65C79" w:rsidRDefault="00F134D6" w:rsidP="007A1E2C">
      <w:r w:rsidRPr="009B6AA8">
        <w:t xml:space="preserve">The majority of the growth </w:t>
      </w:r>
      <w:r w:rsidR="00842F4D" w:rsidRPr="009B6AA8">
        <w:t xml:space="preserve">in this timeframe </w:t>
      </w:r>
      <w:r w:rsidRPr="009B6AA8">
        <w:t>occurred in the private sector</w:t>
      </w:r>
      <w:r w:rsidR="00FB3771">
        <w:t>,</w:t>
      </w:r>
      <w:r w:rsidRPr="009B6AA8">
        <w:t xml:space="preserve"> which saw an overall increase of </w:t>
      </w:r>
      <w:r w:rsidR="004F712F">
        <w:t>39</w:t>
      </w:r>
      <w:r w:rsidR="000E3B5F">
        <w:t xml:space="preserve"> </w:t>
      </w:r>
      <w:proofErr w:type="spellStart"/>
      <w:r w:rsidRPr="009B6AA8">
        <w:t>linacs</w:t>
      </w:r>
      <w:proofErr w:type="spellEnd"/>
      <w:r w:rsidR="00842F4D" w:rsidRPr="009B6AA8">
        <w:t>,</w:t>
      </w:r>
      <w:r w:rsidRPr="009B6AA8">
        <w:t xml:space="preserve"> compared to</w:t>
      </w:r>
      <w:r w:rsidR="00A90F38" w:rsidRPr="009B6AA8">
        <w:t xml:space="preserve"> a net addition of</w:t>
      </w:r>
      <w:r w:rsidRPr="009B6AA8">
        <w:t xml:space="preserve"> </w:t>
      </w:r>
      <w:r w:rsidR="00FB3771">
        <w:t>two</w:t>
      </w:r>
      <w:r w:rsidR="00FB3771" w:rsidRPr="009B6AA8">
        <w:t xml:space="preserve"> </w:t>
      </w:r>
      <w:proofErr w:type="spellStart"/>
      <w:r w:rsidRPr="009B6AA8">
        <w:t>linacs</w:t>
      </w:r>
      <w:proofErr w:type="spellEnd"/>
      <w:r w:rsidRPr="009B6AA8">
        <w:t xml:space="preserve"> in the public sector. Analysis by </w:t>
      </w:r>
      <w:r w:rsidR="00A90F38" w:rsidRPr="009B6AA8">
        <w:t xml:space="preserve">geographic </w:t>
      </w:r>
      <w:r w:rsidRPr="009B6AA8">
        <w:t xml:space="preserve">remoteness showed that growth in the private sector has occurred </w:t>
      </w:r>
      <w:r w:rsidR="004F712F">
        <w:t xml:space="preserve">predominately </w:t>
      </w:r>
      <w:r w:rsidRPr="009B6AA8">
        <w:t>in major cit</w:t>
      </w:r>
      <w:r w:rsidR="008F0864" w:rsidRPr="009B6AA8">
        <w:t>ies</w:t>
      </w:r>
      <w:r w:rsidR="004F712F">
        <w:t xml:space="preserve"> and </w:t>
      </w:r>
      <w:r w:rsidRPr="009B6AA8">
        <w:t xml:space="preserve">regional </w:t>
      </w:r>
      <w:r w:rsidR="008F0864" w:rsidRPr="009B6AA8">
        <w:t>areas (as defined by the Modified Monash Model</w:t>
      </w:r>
      <w:r w:rsidRPr="009B6AA8">
        <w:t xml:space="preserve">). </w:t>
      </w:r>
      <w:r w:rsidR="00A90F38" w:rsidRPr="009B6AA8">
        <w:t>The p</w:t>
      </w:r>
      <w:r w:rsidRPr="009B6AA8">
        <w:t xml:space="preserve">ublic sector </w:t>
      </w:r>
      <w:r w:rsidR="00A90F38" w:rsidRPr="009B6AA8">
        <w:t xml:space="preserve">distribution </w:t>
      </w:r>
      <w:r w:rsidRPr="009B6AA8">
        <w:t xml:space="preserve">has remained relatively constant, with </w:t>
      </w:r>
      <w:r w:rsidR="004F712F">
        <w:t xml:space="preserve">the </w:t>
      </w:r>
      <w:r w:rsidRPr="009B6AA8">
        <w:t xml:space="preserve">small </w:t>
      </w:r>
      <w:r w:rsidR="004F712F">
        <w:t xml:space="preserve">growth </w:t>
      </w:r>
      <w:r w:rsidRPr="009B6AA8">
        <w:t xml:space="preserve">in </w:t>
      </w:r>
      <w:proofErr w:type="spellStart"/>
      <w:r w:rsidRPr="009B6AA8">
        <w:t>linac</w:t>
      </w:r>
      <w:proofErr w:type="spellEnd"/>
      <w:r w:rsidRPr="009B6AA8">
        <w:t xml:space="preserve"> numbers </w:t>
      </w:r>
      <w:r w:rsidR="004F712F">
        <w:t>occurring in major cities</w:t>
      </w:r>
      <w:r w:rsidRPr="009B6AA8">
        <w:t xml:space="preserve">. For further detail see </w:t>
      </w:r>
      <w:r w:rsidR="00FA201A" w:rsidRPr="00D65C79">
        <w:fldChar w:fldCharType="begin"/>
      </w:r>
      <w:r w:rsidR="00FA201A" w:rsidRPr="009B6AA8">
        <w:instrText xml:space="preserve"> REF _Ref56382817 \r \h </w:instrText>
      </w:r>
      <w:r w:rsidR="00FA201A" w:rsidRPr="00D65C79">
        <w:fldChar w:fldCharType="separate"/>
      </w:r>
      <w:r w:rsidR="007C0448">
        <w:rPr>
          <w:rFonts w:hint="cs"/>
          <w:cs/>
        </w:rPr>
        <w:t>‎</w:t>
      </w:r>
      <w:r w:rsidR="007C0448">
        <w:t>Appendix C</w:t>
      </w:r>
      <w:r w:rsidR="00FA201A" w:rsidRPr="00D65C79">
        <w:fldChar w:fldCharType="end"/>
      </w:r>
      <w:r w:rsidRPr="00D65C79">
        <w:t>.</w:t>
      </w:r>
    </w:p>
    <w:p w14:paraId="00E4CBD6" w14:textId="77777777" w:rsidR="00373EE3" w:rsidRDefault="00FA4AAD" w:rsidP="007A1E2C">
      <w:r w:rsidRPr="009B6AA8">
        <w:t>Of the 20</w:t>
      </w:r>
      <w:r w:rsidR="004F712F">
        <w:t>0</w:t>
      </w:r>
      <w:r w:rsidRPr="009B6AA8">
        <w:t xml:space="preserve"> active </w:t>
      </w:r>
      <w:proofErr w:type="spellStart"/>
      <w:r w:rsidRPr="009B6AA8">
        <w:t>linacs</w:t>
      </w:r>
      <w:proofErr w:type="spellEnd"/>
      <w:r w:rsidRPr="009B6AA8">
        <w:t xml:space="preserve"> in 2019</w:t>
      </w:r>
      <w:r w:rsidR="00E61AD5" w:rsidRPr="009B6AA8">
        <w:t>–</w:t>
      </w:r>
      <w:r w:rsidRPr="009B6AA8">
        <w:t xml:space="preserve">20, </w:t>
      </w:r>
      <w:r w:rsidR="004F712F">
        <w:t>9</w:t>
      </w:r>
      <w:r w:rsidR="000C27C1">
        <w:t>3</w:t>
      </w:r>
      <w:r w:rsidR="004E205C" w:rsidRPr="009B6AA8">
        <w:t>%</w:t>
      </w:r>
      <w:r w:rsidR="002F28AA" w:rsidRPr="009B6AA8">
        <w:t xml:space="preserve"> (n=18</w:t>
      </w:r>
      <w:r w:rsidR="000C27C1">
        <w:t>6</w:t>
      </w:r>
      <w:r w:rsidR="002F28AA" w:rsidRPr="009B6AA8">
        <w:t>)</w:t>
      </w:r>
      <w:r w:rsidR="004E205C" w:rsidRPr="009B6AA8">
        <w:t xml:space="preserve"> </w:t>
      </w:r>
      <w:r w:rsidRPr="009B6AA8">
        <w:t xml:space="preserve">were </w:t>
      </w:r>
      <w:r w:rsidR="004E205C" w:rsidRPr="009B6AA8">
        <w:t xml:space="preserve">currently </w:t>
      </w:r>
      <w:r w:rsidR="004F712F">
        <w:t xml:space="preserve">or previously </w:t>
      </w:r>
      <w:r w:rsidR="004E205C" w:rsidRPr="009B6AA8">
        <w:t xml:space="preserve">funded under the ROHPG </w:t>
      </w:r>
      <w:r w:rsidR="00FD606B">
        <w:t>Scheme</w:t>
      </w:r>
      <w:r w:rsidR="004F712F">
        <w:t>. S</w:t>
      </w:r>
      <w:r w:rsidR="002E0B6C">
        <w:t>ix</w:t>
      </w:r>
      <w:r w:rsidR="004F712F">
        <w:t xml:space="preserve"> of the 18</w:t>
      </w:r>
      <w:r w:rsidR="00454B25">
        <w:t>6</w:t>
      </w:r>
      <w:r w:rsidR="004F712F">
        <w:t xml:space="preserve"> ROHPG funded </w:t>
      </w:r>
      <w:r w:rsidR="000C27C1">
        <w:t xml:space="preserve">active </w:t>
      </w:r>
      <w:proofErr w:type="spellStart"/>
      <w:r w:rsidR="004F712F">
        <w:t>linacs</w:t>
      </w:r>
      <w:proofErr w:type="spellEnd"/>
      <w:r w:rsidR="004F712F">
        <w:t xml:space="preserve"> had a capital balance of $0, but had not yet been decommissioned by the facility. There were an additional </w:t>
      </w:r>
      <w:r w:rsidR="000C27C1">
        <w:t>13</w:t>
      </w:r>
      <w:r w:rsidR="00F27EE1">
        <w:t xml:space="preserve"> </w:t>
      </w:r>
      <w:proofErr w:type="spellStart"/>
      <w:r w:rsidR="00F27EE1">
        <w:t>linacs</w:t>
      </w:r>
      <w:proofErr w:type="spellEnd"/>
      <w:r w:rsidR="00F27EE1">
        <w:t xml:space="preserve"> that had been decommissioned </w:t>
      </w:r>
      <w:r w:rsidR="000C27C1">
        <w:t>in 2019</w:t>
      </w:r>
      <w:r w:rsidR="003F5FB4">
        <w:t>–</w:t>
      </w:r>
      <w:r w:rsidR="000C27C1">
        <w:t xml:space="preserve">20 </w:t>
      </w:r>
      <w:r w:rsidR="00F27EE1">
        <w:t xml:space="preserve">and another </w:t>
      </w:r>
      <w:r w:rsidR="000C27C1">
        <w:t>3</w:t>
      </w:r>
      <w:r w:rsidR="004F712F">
        <w:t xml:space="preserve"> </w:t>
      </w:r>
      <w:proofErr w:type="spellStart"/>
      <w:r w:rsidR="004F712F">
        <w:t>linacs</w:t>
      </w:r>
      <w:proofErr w:type="spellEnd"/>
      <w:r w:rsidR="004F712F">
        <w:t xml:space="preserve"> that had been approved for ROHPG funding but were not </w:t>
      </w:r>
      <w:r w:rsidR="00BF7F21">
        <w:t>yet operational in 2019–20.</w:t>
      </w:r>
      <w:r w:rsidR="00F27EE1">
        <w:t xml:space="preserve"> These 1</w:t>
      </w:r>
      <w:r w:rsidR="00F93624">
        <w:t>6</w:t>
      </w:r>
      <w:r w:rsidR="00F27EE1">
        <w:t xml:space="preserve"> </w:t>
      </w:r>
      <w:proofErr w:type="spellStart"/>
      <w:r w:rsidR="00F27EE1">
        <w:t>linacs</w:t>
      </w:r>
      <w:proofErr w:type="spellEnd"/>
      <w:r w:rsidR="00F27EE1">
        <w:t xml:space="preserve"> </w:t>
      </w:r>
      <w:r w:rsidR="000C27C1">
        <w:t>(decommissioned or not yet</w:t>
      </w:r>
      <w:r w:rsidR="003F5FB4">
        <w:t xml:space="preserve"> in</w:t>
      </w:r>
      <w:r w:rsidR="000C27C1">
        <w:t xml:space="preserve"> operation) </w:t>
      </w:r>
      <w:r w:rsidR="00F27EE1">
        <w:t xml:space="preserve">were not included in the count of active </w:t>
      </w:r>
      <w:proofErr w:type="spellStart"/>
      <w:r w:rsidR="00F27EE1">
        <w:t>linacs</w:t>
      </w:r>
      <w:proofErr w:type="spellEnd"/>
      <w:r w:rsidR="00F27EE1">
        <w:t xml:space="preserve"> and subsequent data analysis.</w:t>
      </w:r>
      <w:r w:rsidR="00BF7F21">
        <w:t xml:space="preserve"> </w:t>
      </w:r>
      <w:r w:rsidR="00E26188" w:rsidRPr="009B6AA8">
        <w:t xml:space="preserve">For further detail see </w:t>
      </w:r>
      <w:r w:rsidR="008F0864" w:rsidRPr="00D65C79">
        <w:fldChar w:fldCharType="begin"/>
      </w:r>
      <w:r w:rsidR="008F0864" w:rsidRPr="009B6AA8">
        <w:instrText xml:space="preserve"> REF _Ref56382817 \r \h </w:instrText>
      </w:r>
      <w:r w:rsidR="008F0864" w:rsidRPr="00D65C79">
        <w:fldChar w:fldCharType="separate"/>
      </w:r>
      <w:r w:rsidR="007C0448">
        <w:rPr>
          <w:rFonts w:hint="cs"/>
          <w:cs/>
        </w:rPr>
        <w:t>‎</w:t>
      </w:r>
      <w:r w:rsidR="007C0448">
        <w:t>Appendix C</w:t>
      </w:r>
      <w:r w:rsidR="008F0864" w:rsidRPr="00D65C79">
        <w:fldChar w:fldCharType="end"/>
      </w:r>
      <w:r w:rsidR="008F0864" w:rsidRPr="00D65C79">
        <w:t>.</w:t>
      </w:r>
    </w:p>
    <w:p w14:paraId="2EFFCDB6" w14:textId="77777777" w:rsidR="00373EE3" w:rsidRDefault="00B1366D" w:rsidP="007A1E2C">
      <w:pPr>
        <w:pStyle w:val="Finding"/>
      </w:pPr>
      <w:r w:rsidRPr="009B6AA8">
        <w:t xml:space="preserve">The ROHPG makes a significant financial contribution </w:t>
      </w:r>
      <w:r w:rsidR="00A90F38" w:rsidRPr="009B6AA8">
        <w:t xml:space="preserve">to </w:t>
      </w:r>
      <w:r w:rsidRPr="009B6AA8">
        <w:t xml:space="preserve">the fleet of </w:t>
      </w:r>
      <w:proofErr w:type="spellStart"/>
      <w:r w:rsidRPr="009B6AA8">
        <w:t>linacs</w:t>
      </w:r>
      <w:proofErr w:type="spellEnd"/>
      <w:r w:rsidRPr="009B6AA8">
        <w:t xml:space="preserve"> in Australia and supports growth in </w:t>
      </w:r>
      <w:proofErr w:type="spellStart"/>
      <w:r w:rsidRPr="009B6AA8">
        <w:t>linac</w:t>
      </w:r>
      <w:proofErr w:type="spellEnd"/>
      <w:r w:rsidRPr="009B6AA8">
        <w:t xml:space="preserve"> numbers.</w:t>
      </w:r>
    </w:p>
    <w:p w14:paraId="2130E4F2" w14:textId="77777777" w:rsidR="00373EE3" w:rsidRDefault="00856976" w:rsidP="007A1E2C">
      <w:pPr>
        <w:spacing w:before="240"/>
      </w:pPr>
      <w:r w:rsidRPr="009B6AA8">
        <w:lastRenderedPageBreak/>
        <w:t xml:space="preserve">Analysis of </w:t>
      </w:r>
      <w:proofErr w:type="spellStart"/>
      <w:r w:rsidRPr="009B6AA8">
        <w:t>linac</w:t>
      </w:r>
      <w:proofErr w:type="spellEnd"/>
      <w:r w:rsidRPr="009B6AA8">
        <w:t xml:space="preserve"> availability by remoteness (using the Modified Monash Model classification (MMM)) showed that the majority of </w:t>
      </w:r>
      <w:r w:rsidR="00FA4AAD" w:rsidRPr="009B6AA8">
        <w:t xml:space="preserve">the </w:t>
      </w:r>
      <w:r w:rsidR="00BF7F21">
        <w:t>200</w:t>
      </w:r>
      <w:r w:rsidR="00BF7F21" w:rsidRPr="009B6AA8">
        <w:t xml:space="preserve"> </w:t>
      </w:r>
      <w:r w:rsidR="00FA4AAD" w:rsidRPr="009B6AA8">
        <w:t xml:space="preserve">active </w:t>
      </w:r>
      <w:proofErr w:type="spellStart"/>
      <w:r w:rsidRPr="009B6AA8">
        <w:t>linacs</w:t>
      </w:r>
      <w:proofErr w:type="spellEnd"/>
      <w:r w:rsidRPr="009B6AA8">
        <w:t xml:space="preserve"> (8</w:t>
      </w:r>
      <w:r w:rsidR="00BF7F21">
        <w:t>0</w:t>
      </w:r>
      <w:r w:rsidRPr="009B6AA8">
        <w:t>%, n=16</w:t>
      </w:r>
      <w:r w:rsidR="00BF7F21">
        <w:t>0</w:t>
      </w:r>
      <w:r w:rsidRPr="009B6AA8">
        <w:t xml:space="preserve">) </w:t>
      </w:r>
      <w:r w:rsidR="00FA4AAD" w:rsidRPr="009B6AA8">
        <w:t>were</w:t>
      </w:r>
      <w:r w:rsidRPr="009B6AA8">
        <w:t xml:space="preserve"> located in major cities</w:t>
      </w:r>
      <w:r w:rsidR="00E26188" w:rsidRPr="009B6AA8">
        <w:t>, 1</w:t>
      </w:r>
      <w:r w:rsidR="00BF7F21">
        <w:t>3</w:t>
      </w:r>
      <w:r w:rsidR="00E26188" w:rsidRPr="009B6AA8">
        <w:t xml:space="preserve">% </w:t>
      </w:r>
      <w:r w:rsidR="008151DE" w:rsidRPr="009B6AA8">
        <w:t>(n=2</w:t>
      </w:r>
      <w:r w:rsidR="00BF7F21">
        <w:t>6</w:t>
      </w:r>
      <w:r w:rsidR="008151DE" w:rsidRPr="009B6AA8">
        <w:t xml:space="preserve">) </w:t>
      </w:r>
      <w:r w:rsidR="00FA4AAD" w:rsidRPr="009B6AA8">
        <w:t>were</w:t>
      </w:r>
      <w:r w:rsidR="008151DE" w:rsidRPr="009B6AA8">
        <w:t xml:space="preserve"> located in regional areas and 7% (n=1</w:t>
      </w:r>
      <w:r w:rsidR="00BF7F21">
        <w:t>4</w:t>
      </w:r>
      <w:r w:rsidR="008151DE" w:rsidRPr="009B6AA8">
        <w:t xml:space="preserve">) in rural areas. Of the non-ROHPG funded </w:t>
      </w:r>
      <w:proofErr w:type="spellStart"/>
      <w:r w:rsidR="008151DE" w:rsidRPr="009B6AA8">
        <w:t>linacs</w:t>
      </w:r>
      <w:proofErr w:type="spellEnd"/>
      <w:r w:rsidR="008151DE" w:rsidRPr="009B6AA8">
        <w:t xml:space="preserve">, the vast majority </w:t>
      </w:r>
      <w:r w:rsidR="008151DE" w:rsidRPr="002E0B6C">
        <w:t>(9</w:t>
      </w:r>
      <w:r w:rsidR="002E0B6C" w:rsidRPr="002E0B6C">
        <w:t>3</w:t>
      </w:r>
      <w:r w:rsidR="008151DE" w:rsidRPr="002E0B6C">
        <w:t>%, n=</w:t>
      </w:r>
      <w:r w:rsidR="00BF7F21" w:rsidRPr="002E0B6C">
        <w:t>1</w:t>
      </w:r>
      <w:r w:rsidR="002E0B6C" w:rsidRPr="002E0B6C">
        <w:t>3</w:t>
      </w:r>
      <w:r w:rsidR="008151DE" w:rsidRPr="002E0B6C">
        <w:t xml:space="preserve"> of </w:t>
      </w:r>
      <w:r w:rsidR="00BF7F21" w:rsidRPr="002E0B6C">
        <w:t>1</w:t>
      </w:r>
      <w:r w:rsidR="002E0B6C" w:rsidRPr="002E0B6C">
        <w:t>4</w:t>
      </w:r>
      <w:r w:rsidR="008151DE" w:rsidRPr="002E0B6C">
        <w:t xml:space="preserve">) </w:t>
      </w:r>
      <w:r w:rsidR="00FA4AAD" w:rsidRPr="002E0B6C">
        <w:t>w</w:t>
      </w:r>
      <w:r w:rsidR="00FA4AAD" w:rsidRPr="009B6AA8">
        <w:t>ere</w:t>
      </w:r>
      <w:r w:rsidR="008151DE" w:rsidRPr="009B6AA8">
        <w:t xml:space="preserve"> located in major cit</w:t>
      </w:r>
      <w:r w:rsidR="001D6C37" w:rsidRPr="009B6AA8">
        <w:t>i</w:t>
      </w:r>
      <w:r w:rsidR="008151DE" w:rsidRPr="009B6AA8">
        <w:t>es</w:t>
      </w:r>
      <w:r w:rsidR="00F134D6" w:rsidRPr="009B6AA8">
        <w:t>.</w:t>
      </w:r>
    </w:p>
    <w:p w14:paraId="075749B3" w14:textId="77777777" w:rsidR="00373EE3" w:rsidRDefault="001D6C37" w:rsidP="007A1E2C">
      <w:pPr>
        <w:pStyle w:val="Finding"/>
      </w:pPr>
      <w:r w:rsidRPr="009B6AA8">
        <w:t xml:space="preserve">Growth in </w:t>
      </w:r>
      <w:proofErr w:type="spellStart"/>
      <w:r w:rsidRPr="009B6AA8">
        <w:t>linac</w:t>
      </w:r>
      <w:proofErr w:type="spellEnd"/>
      <w:r w:rsidRPr="009B6AA8">
        <w:t xml:space="preserve"> numbers from 2013</w:t>
      </w:r>
      <w:r w:rsidR="00E61AD5" w:rsidRPr="009B6AA8">
        <w:t>–</w:t>
      </w:r>
      <w:r w:rsidRPr="009B6AA8">
        <w:t xml:space="preserve">14 </w:t>
      </w:r>
      <w:r w:rsidR="00E26188" w:rsidRPr="009B6AA8">
        <w:t>to 2019</w:t>
      </w:r>
      <w:r w:rsidR="00E61AD5" w:rsidRPr="009B6AA8">
        <w:t>–</w:t>
      </w:r>
      <w:r w:rsidR="00E26188" w:rsidRPr="009B6AA8">
        <w:t xml:space="preserve">20 </w:t>
      </w:r>
      <w:r w:rsidRPr="009B6AA8">
        <w:t xml:space="preserve">occurred </w:t>
      </w:r>
      <w:r w:rsidRPr="002E0B6C">
        <w:t xml:space="preserve">predominately in </w:t>
      </w:r>
      <w:r w:rsidR="00FA4AAD" w:rsidRPr="002E0B6C">
        <w:t xml:space="preserve">the private sector in </w:t>
      </w:r>
      <w:r w:rsidRPr="007A65A6">
        <w:t>major cities and regional areas</w:t>
      </w:r>
      <w:r w:rsidR="00FA4AAD" w:rsidRPr="004D01A0">
        <w:t xml:space="preserve">. The ROHPG </w:t>
      </w:r>
      <w:r w:rsidR="00FD606B" w:rsidRPr="004D01A0">
        <w:t>Scheme</w:t>
      </w:r>
      <w:r w:rsidR="00BF7F21" w:rsidRPr="002E0B6C">
        <w:t xml:space="preserve"> </w:t>
      </w:r>
      <w:r w:rsidR="00FA4AAD" w:rsidRPr="002E0B6C">
        <w:t xml:space="preserve">contributed to </w:t>
      </w:r>
      <w:r w:rsidR="00BF7F21" w:rsidRPr="002E0B6C">
        <w:t>9</w:t>
      </w:r>
      <w:r w:rsidR="002E0B6C" w:rsidRPr="002E0B6C">
        <w:t>3</w:t>
      </w:r>
      <w:r w:rsidR="00FA4AAD" w:rsidRPr="002E0B6C">
        <w:t xml:space="preserve">% of active </w:t>
      </w:r>
      <w:proofErr w:type="spellStart"/>
      <w:r w:rsidR="00FA4AAD" w:rsidRPr="002E0B6C">
        <w:t>linac</w:t>
      </w:r>
      <w:r w:rsidR="00BF7F21" w:rsidRPr="002E0B6C">
        <w:t>s</w:t>
      </w:r>
      <w:proofErr w:type="spellEnd"/>
      <w:r w:rsidR="00FA4AAD" w:rsidRPr="002E0B6C">
        <w:t xml:space="preserve"> in 2019</w:t>
      </w:r>
      <w:r w:rsidR="00E61AD5" w:rsidRPr="002E0B6C">
        <w:t>–</w:t>
      </w:r>
      <w:r w:rsidR="00FA4AAD" w:rsidRPr="002E0B6C">
        <w:t>20.</w:t>
      </w:r>
    </w:p>
    <w:p w14:paraId="2CB65A52" w14:textId="7D3BB633" w:rsidR="00373EE3" w:rsidRDefault="002D18B4" w:rsidP="007A1E2C">
      <w:pPr>
        <w:spacing w:before="240"/>
      </w:pPr>
      <w:r w:rsidRPr="009B6AA8">
        <w:t>RT waiting time data collected by the AIHW in 2018</w:t>
      </w:r>
      <w:r w:rsidR="00E61AD5" w:rsidRPr="009B6AA8">
        <w:t>–</w:t>
      </w:r>
      <w:r w:rsidRPr="009B6AA8">
        <w:t xml:space="preserve">19 indicated little differences in waiting time to start treatment between major cities (50% commence treatment in 10 days), regional areas </w:t>
      </w:r>
      <w:r w:rsidR="00A90F38" w:rsidRPr="009B6AA8">
        <w:t>(</w:t>
      </w:r>
      <w:r w:rsidRPr="009B6AA8">
        <w:t xml:space="preserve">50% commence in 11 days) or remote areas (50% commence in 10 days, or 9 days in very remote areas). See </w:t>
      </w:r>
      <w:r w:rsidRPr="00D65C79">
        <w:fldChar w:fldCharType="begin"/>
      </w:r>
      <w:r w:rsidRPr="009B6AA8">
        <w:instrText xml:space="preserve"> REF _Ref56159558 \r \h </w:instrText>
      </w:r>
      <w:r w:rsidRPr="00D65C79">
        <w:fldChar w:fldCharType="separate"/>
      </w:r>
      <w:r w:rsidR="007C0448">
        <w:rPr>
          <w:rFonts w:hint="cs"/>
          <w:cs/>
        </w:rPr>
        <w:t>‎</w:t>
      </w:r>
      <w:r w:rsidR="007C0448">
        <w:t>Appendix D</w:t>
      </w:r>
      <w:r w:rsidRPr="00D65C79">
        <w:fldChar w:fldCharType="end"/>
      </w:r>
      <w:r w:rsidRPr="00D65C79">
        <w:t xml:space="preserve"> for further </w:t>
      </w:r>
      <w:r w:rsidRPr="003D17AC">
        <w:t xml:space="preserve">detail </w:t>
      </w:r>
      <w:r w:rsidR="00676EEA" w:rsidRPr="003D17AC">
        <w:t xml:space="preserve">(or visit </w:t>
      </w:r>
      <w:hyperlink r:id="rId18" w:history="1">
        <w:r w:rsidR="00676EEA" w:rsidRPr="00E7621C">
          <w:rPr>
            <w:rStyle w:val="Hyperlink"/>
          </w:rPr>
          <w:t>AIHW data</w:t>
        </w:r>
      </w:hyperlink>
      <w:r w:rsidR="00676EEA" w:rsidRPr="003D17AC">
        <w:t>).</w:t>
      </w:r>
      <w:r w:rsidR="00A90F38" w:rsidRPr="003D17AC">
        <w:t xml:space="preserve"> </w:t>
      </w:r>
      <w:r w:rsidRPr="003D17AC">
        <w:t>This suggests that there is</w:t>
      </w:r>
      <w:r w:rsidRPr="00D65C79">
        <w:t xml:space="preserve"> currently equitable availability of RT services across the country for those </w:t>
      </w:r>
      <w:r w:rsidR="00FB3771">
        <w:t>who</w:t>
      </w:r>
      <w:r w:rsidR="00FB3771" w:rsidRPr="009B6AA8">
        <w:t xml:space="preserve"> </w:t>
      </w:r>
      <w:r w:rsidRPr="009B6AA8">
        <w:t xml:space="preserve">are accessing services. However, RT utilisation </w:t>
      </w:r>
      <w:r w:rsidR="005D259E" w:rsidRPr="009B6AA8">
        <w:t xml:space="preserve">rates </w:t>
      </w:r>
      <w:r w:rsidR="00842F4D" w:rsidRPr="009B6AA8">
        <w:t xml:space="preserve">(UR) </w:t>
      </w:r>
      <w:r w:rsidRPr="009B6AA8">
        <w:t xml:space="preserve">indicate that not all </w:t>
      </w:r>
      <w:r w:rsidR="005D259E" w:rsidRPr="009B6AA8">
        <w:t>people who could benefit from RT are accessing services</w:t>
      </w:r>
      <w:r w:rsidR="00842F4D" w:rsidRPr="009B6AA8">
        <w:t xml:space="preserve">. As discussed in section </w:t>
      </w:r>
      <w:r w:rsidR="00842F4D" w:rsidRPr="00D65C79">
        <w:fldChar w:fldCharType="begin"/>
      </w:r>
      <w:r w:rsidR="00842F4D" w:rsidRPr="009B6AA8">
        <w:instrText xml:space="preserve"> REF _Ref56161082 \r \h </w:instrText>
      </w:r>
      <w:r w:rsidR="00842F4D" w:rsidRPr="00D65C79">
        <w:fldChar w:fldCharType="separate"/>
      </w:r>
      <w:r w:rsidR="007C0448">
        <w:rPr>
          <w:rFonts w:hint="cs"/>
          <w:cs/>
        </w:rPr>
        <w:t>‎</w:t>
      </w:r>
      <w:r w:rsidR="007C0448">
        <w:t>2.4.2</w:t>
      </w:r>
      <w:r w:rsidR="00842F4D" w:rsidRPr="00D65C79">
        <w:fldChar w:fldCharType="end"/>
      </w:r>
      <w:r w:rsidR="00842F4D" w:rsidRPr="00D65C79">
        <w:t xml:space="preserve">, actual RT utilisation rates in Australia are estimated to </w:t>
      </w:r>
      <w:r w:rsidR="00A360E2" w:rsidRPr="009B6AA8">
        <w:t>be 39%</w:t>
      </w:r>
      <w:r w:rsidR="00842F4D" w:rsidRPr="009B6AA8">
        <w:t xml:space="preserve">, remaining below the optimal </w:t>
      </w:r>
      <w:r w:rsidR="00676EEA" w:rsidRPr="009B6AA8">
        <w:t xml:space="preserve">utilisation </w:t>
      </w:r>
      <w:r w:rsidR="00842F4D" w:rsidRPr="009B6AA8">
        <w:t xml:space="preserve">rate </w:t>
      </w:r>
      <w:r w:rsidR="00676EEA" w:rsidRPr="009B6AA8">
        <w:t xml:space="preserve">(OUR) </w:t>
      </w:r>
      <w:r w:rsidR="00842F4D" w:rsidRPr="009B6AA8">
        <w:t>of 48</w:t>
      </w:r>
      <w:r w:rsidR="00B1366D" w:rsidRPr="009B6AA8">
        <w:t>.4</w:t>
      </w:r>
      <w:r w:rsidR="00842F4D" w:rsidRPr="009B6AA8">
        <w:t xml:space="preserve">% </w:t>
      </w:r>
      <w:sdt>
        <w:sdtPr>
          <w:id w:val="-1806154166"/>
          <w:citation/>
        </w:sdtPr>
        <w:sdtContent>
          <w:r w:rsidR="00842F4D" w:rsidRPr="00D65C79">
            <w:fldChar w:fldCharType="begin"/>
          </w:r>
          <w:r w:rsidR="00842F4D" w:rsidRPr="009B6AA8">
            <w:instrText xml:space="preserve"> CITATION But17 \l 3081  \m Bat18 \m Hen14</w:instrText>
          </w:r>
          <w:r w:rsidR="00842F4D" w:rsidRPr="00D65C79">
            <w:fldChar w:fldCharType="separate"/>
          </w:r>
          <w:r w:rsidR="00264535" w:rsidRPr="00264535">
            <w:rPr>
              <w:noProof/>
            </w:rPr>
            <w:t>[14, 15, 16]</w:t>
          </w:r>
          <w:r w:rsidR="00842F4D" w:rsidRPr="00D65C79">
            <w:fldChar w:fldCharType="end"/>
          </w:r>
        </w:sdtContent>
      </w:sdt>
      <w:r w:rsidR="00842F4D" w:rsidRPr="00D65C79">
        <w:t>.</w:t>
      </w:r>
    </w:p>
    <w:p w14:paraId="75C0808D" w14:textId="1ED6ACF8" w:rsidR="00676EEA" w:rsidRPr="009B6AA8" w:rsidRDefault="00676EEA" w:rsidP="007A1E2C">
      <w:r w:rsidRPr="009B6AA8">
        <w:t>From consultation feedback, jurisdictions did not feel there were any specific geographic areas of need</w:t>
      </w:r>
      <w:r w:rsidR="00A360E2" w:rsidRPr="009B6AA8">
        <w:t xml:space="preserve"> for RT equipment</w:t>
      </w:r>
      <w:r w:rsidRPr="009B6AA8">
        <w:t>.</w:t>
      </w:r>
    </w:p>
    <w:p w14:paraId="0DCFCD6B" w14:textId="77777777" w:rsidR="00373EE3" w:rsidRDefault="00676EEA" w:rsidP="007A1E2C">
      <w:pPr>
        <w:pStyle w:val="Quote"/>
      </w:pPr>
      <w:r w:rsidRPr="009B6AA8">
        <w:t xml:space="preserve">‘More machines is not the answer.’ – </w:t>
      </w:r>
      <w:proofErr w:type="gramStart"/>
      <w:r w:rsidRPr="009B6AA8">
        <w:t>jurisdiction</w:t>
      </w:r>
      <w:proofErr w:type="gramEnd"/>
    </w:p>
    <w:p w14:paraId="0CFAD268" w14:textId="6AB3C66A" w:rsidR="00676EEA" w:rsidRPr="009B6AA8" w:rsidRDefault="00676EEA" w:rsidP="007A1E2C">
      <w:r w:rsidRPr="009B6AA8">
        <w:t>Other factors that affect OUR noted by stakeholders included:</w:t>
      </w:r>
    </w:p>
    <w:p w14:paraId="3A88155F" w14:textId="77777777" w:rsidR="00676EEA" w:rsidRPr="009B6AA8" w:rsidRDefault="00676EEA" w:rsidP="007A1E2C">
      <w:pPr>
        <w:pStyle w:val="ListBullet"/>
      </w:pPr>
      <w:r w:rsidRPr="009B6AA8">
        <w:t>referral patterns</w:t>
      </w:r>
    </w:p>
    <w:p w14:paraId="6CC59695" w14:textId="77777777" w:rsidR="00373EE3" w:rsidRDefault="00676EEA" w:rsidP="007A1E2C">
      <w:pPr>
        <w:pStyle w:val="ListBullet"/>
      </w:pPr>
      <w:r w:rsidRPr="009B6AA8">
        <w:t>education and support for patients to come to services</w:t>
      </w:r>
      <w:r w:rsidR="007F2F59" w:rsidRPr="009B6AA8">
        <w:t>, and</w:t>
      </w:r>
    </w:p>
    <w:p w14:paraId="6214C8FE" w14:textId="77777777" w:rsidR="00373EE3" w:rsidRDefault="00676EEA" w:rsidP="007A1E2C">
      <w:pPr>
        <w:pStyle w:val="ListBullet"/>
      </w:pPr>
      <w:proofErr w:type="gramStart"/>
      <w:r w:rsidRPr="009B6AA8">
        <w:t>workforce</w:t>
      </w:r>
      <w:proofErr w:type="gramEnd"/>
      <w:r w:rsidR="007F2F59" w:rsidRPr="009B6AA8">
        <w:t xml:space="preserve"> availability</w:t>
      </w:r>
      <w:r w:rsidRPr="009B6AA8">
        <w:t>.</w:t>
      </w:r>
    </w:p>
    <w:p w14:paraId="1F44DD30" w14:textId="77777777" w:rsidR="00373EE3" w:rsidRDefault="00676EEA" w:rsidP="007A1E2C">
      <w:r w:rsidRPr="009B6AA8">
        <w:t>Jurisdictions also noted that travel support and accommodation can be significant barrier</w:t>
      </w:r>
      <w:r w:rsidR="00FB3771">
        <w:t>s</w:t>
      </w:r>
      <w:r w:rsidRPr="009B6AA8">
        <w:t xml:space="preserve"> for regional people to access RT services</w:t>
      </w:r>
      <w:r w:rsidR="00FB3771">
        <w:t>. They</w:t>
      </w:r>
      <w:r w:rsidRPr="009B6AA8">
        <w:t xml:space="preserve"> supported </w:t>
      </w:r>
      <w:r w:rsidR="002D6069" w:rsidRPr="009B6AA8">
        <w:t>investment in improving accommodation for regional patients more so than investing in new RT services in regional areas if the services could not be well integrated with other cancer services and supports.</w:t>
      </w:r>
    </w:p>
    <w:p w14:paraId="31788243" w14:textId="77777777" w:rsidR="00373EE3" w:rsidRDefault="002D6069" w:rsidP="007A1E2C">
      <w:pPr>
        <w:pStyle w:val="Quote"/>
      </w:pPr>
      <w:r w:rsidRPr="009B6AA8">
        <w:t xml:space="preserve">‘If time away from home is an issue…cyber knife can treat patients in </w:t>
      </w:r>
      <w:r w:rsidR="00FB3771">
        <w:t>two</w:t>
      </w:r>
      <w:r w:rsidR="00FB3771" w:rsidRPr="009B6AA8">
        <w:t xml:space="preserve"> </w:t>
      </w:r>
      <w:r w:rsidRPr="009B6AA8">
        <w:t>weeks (</w:t>
      </w:r>
      <w:r w:rsidR="00FB3771">
        <w:t>seven</w:t>
      </w:r>
      <w:r w:rsidR="00FB3771" w:rsidRPr="009B6AA8">
        <w:t xml:space="preserve"> </w:t>
      </w:r>
      <w:r w:rsidRPr="009B6AA8">
        <w:t>weeks on a basic machine). If you were a farmer from the Pilbara</w:t>
      </w:r>
      <w:r w:rsidR="00FB3771">
        <w:t>,</w:t>
      </w:r>
      <w:r w:rsidRPr="009B6AA8">
        <w:t xml:space="preserve"> this would </w:t>
      </w:r>
      <w:r w:rsidR="00FB3771">
        <w:t xml:space="preserve">be </w:t>
      </w:r>
      <w:r w:rsidRPr="009B6AA8">
        <w:t xml:space="preserve">a great advantage.’ – </w:t>
      </w:r>
      <w:proofErr w:type="gramStart"/>
      <w:r w:rsidRPr="009B6AA8">
        <w:t>clinician</w:t>
      </w:r>
      <w:proofErr w:type="gramEnd"/>
      <w:r w:rsidRPr="009B6AA8">
        <w:t xml:space="preserve"> in public service</w:t>
      </w:r>
    </w:p>
    <w:p w14:paraId="21C40B33" w14:textId="77777777" w:rsidR="00373EE3" w:rsidRDefault="002D6069" w:rsidP="007A1E2C">
      <w:pPr>
        <w:pStyle w:val="Finding"/>
      </w:pPr>
      <w:r w:rsidRPr="009B6AA8">
        <w:t xml:space="preserve">Increasing </w:t>
      </w:r>
      <w:proofErr w:type="spellStart"/>
      <w:r w:rsidRPr="009B6AA8">
        <w:t>linac</w:t>
      </w:r>
      <w:proofErr w:type="spellEnd"/>
      <w:r w:rsidRPr="009B6AA8">
        <w:t xml:space="preserve"> numbers alone is insufficient to address </w:t>
      </w:r>
      <w:r w:rsidR="003D174E" w:rsidRPr="009B6AA8">
        <w:t>sub</w:t>
      </w:r>
      <w:r w:rsidR="00FB3771">
        <w:t>-</w:t>
      </w:r>
      <w:r w:rsidRPr="009B6AA8">
        <w:t xml:space="preserve"> optimal RT utilisation rates in Australia.</w:t>
      </w:r>
    </w:p>
    <w:p w14:paraId="6F945918" w14:textId="77777777" w:rsidR="00373EE3" w:rsidRDefault="00D321BF" w:rsidP="007A1E2C">
      <w:pPr>
        <w:spacing w:before="240"/>
      </w:pPr>
      <w:r w:rsidRPr="009B6AA8">
        <w:t xml:space="preserve">Analysis of MBS service data by </w:t>
      </w:r>
      <w:proofErr w:type="spellStart"/>
      <w:r w:rsidRPr="009B6AA8">
        <w:t>linac</w:t>
      </w:r>
      <w:proofErr w:type="spellEnd"/>
      <w:r w:rsidRPr="009B6AA8">
        <w:t xml:space="preserve"> number showed that there has been a small decrease in the average number of services per </w:t>
      </w:r>
      <w:proofErr w:type="spellStart"/>
      <w:r w:rsidRPr="009B6AA8">
        <w:t>linac</w:t>
      </w:r>
      <w:proofErr w:type="spellEnd"/>
      <w:r w:rsidRPr="009B6AA8">
        <w:t xml:space="preserve"> from 6,400 services per </w:t>
      </w:r>
      <w:proofErr w:type="spellStart"/>
      <w:r w:rsidRPr="009B6AA8">
        <w:t>linac</w:t>
      </w:r>
      <w:proofErr w:type="spellEnd"/>
      <w:r w:rsidRPr="009B6AA8">
        <w:t xml:space="preserve"> in 2013</w:t>
      </w:r>
      <w:r w:rsidR="00E61AD5" w:rsidRPr="009B6AA8">
        <w:t>–</w:t>
      </w:r>
      <w:r w:rsidRPr="009B6AA8">
        <w:t xml:space="preserve">14 down to </w:t>
      </w:r>
      <w:r w:rsidR="00BF7F21">
        <w:t>6,100</w:t>
      </w:r>
      <w:r w:rsidRPr="009B6AA8">
        <w:t xml:space="preserve"> services per </w:t>
      </w:r>
      <w:proofErr w:type="spellStart"/>
      <w:r w:rsidRPr="009B6AA8">
        <w:t>linac</w:t>
      </w:r>
      <w:proofErr w:type="spellEnd"/>
      <w:r w:rsidRPr="009B6AA8">
        <w:t xml:space="preserve"> in 2019</w:t>
      </w:r>
      <w:r w:rsidR="00E61AD5" w:rsidRPr="009B6AA8">
        <w:t>–</w:t>
      </w:r>
      <w:r w:rsidRPr="009B6AA8">
        <w:t xml:space="preserve">20. </w:t>
      </w:r>
      <w:r w:rsidR="00676EEA" w:rsidRPr="009B6AA8">
        <w:t>From the data available</w:t>
      </w:r>
      <w:r w:rsidR="00FB3771">
        <w:t>,</w:t>
      </w:r>
      <w:r w:rsidR="00676EEA" w:rsidRPr="009B6AA8">
        <w:t xml:space="preserve"> it is not possible to conclude if this decrease is a result of over servic</w:t>
      </w:r>
      <w:r w:rsidR="002D6069" w:rsidRPr="009B6AA8">
        <w:t xml:space="preserve">ing </w:t>
      </w:r>
      <w:r w:rsidR="00676EEA" w:rsidRPr="009B6AA8">
        <w:t>in some area</w:t>
      </w:r>
      <w:r w:rsidR="002D6069" w:rsidRPr="009B6AA8">
        <w:t>s</w:t>
      </w:r>
      <w:r w:rsidR="00676EEA" w:rsidRPr="009B6AA8">
        <w:t xml:space="preserve">, new </w:t>
      </w:r>
      <w:proofErr w:type="spellStart"/>
      <w:r w:rsidR="00676EEA" w:rsidRPr="009B6AA8">
        <w:t>linacs</w:t>
      </w:r>
      <w:proofErr w:type="spellEnd"/>
      <w:r w:rsidR="00676EEA" w:rsidRPr="009B6AA8">
        <w:t xml:space="preserve"> requir</w:t>
      </w:r>
      <w:r w:rsidR="002D6069" w:rsidRPr="009B6AA8">
        <w:t xml:space="preserve">ing </w:t>
      </w:r>
      <w:r w:rsidR="00676EEA" w:rsidRPr="009B6AA8">
        <w:t xml:space="preserve">time to build up service throughput, or changing trends in RT service delivery </w:t>
      </w:r>
      <w:r w:rsidR="002D6069" w:rsidRPr="009B6AA8">
        <w:t xml:space="preserve">such as </w:t>
      </w:r>
      <w:r w:rsidR="00676EEA" w:rsidRPr="009B6AA8">
        <w:t>higher dose treatments that take longer planning time per patient</w:t>
      </w:r>
      <w:r w:rsidR="00FB3771">
        <w:t>,</w:t>
      </w:r>
      <w:r w:rsidR="00676EEA" w:rsidRPr="009B6AA8">
        <w:t xml:space="preserve"> reducing overall throughput.</w:t>
      </w:r>
    </w:p>
    <w:p w14:paraId="6E32D146" w14:textId="77777777" w:rsidR="00373EE3" w:rsidRDefault="006E465B" w:rsidP="007A1E2C">
      <w:pPr>
        <w:pStyle w:val="Finding"/>
      </w:pPr>
      <w:r w:rsidRPr="009B6AA8">
        <w:t>From the data available</w:t>
      </w:r>
      <w:r w:rsidR="00FB3771">
        <w:t>,</w:t>
      </w:r>
      <w:r w:rsidRPr="009B6AA8">
        <w:t xml:space="preserve"> it was not possible to determine if the growth in </w:t>
      </w:r>
      <w:proofErr w:type="spellStart"/>
      <w:r w:rsidRPr="009B6AA8">
        <w:t>linac</w:t>
      </w:r>
      <w:proofErr w:type="spellEnd"/>
      <w:r w:rsidRPr="009B6AA8">
        <w:t xml:space="preserve"> numbers has resulted in over servicing of certain </w:t>
      </w:r>
      <w:r w:rsidR="003D174E" w:rsidRPr="009B6AA8">
        <w:t xml:space="preserve">geographic </w:t>
      </w:r>
      <w:r w:rsidRPr="009B6AA8">
        <w:t>areas.</w:t>
      </w:r>
    </w:p>
    <w:p w14:paraId="65695D76" w14:textId="77777777" w:rsidR="00373EE3" w:rsidRDefault="002D6069" w:rsidP="007A1E2C">
      <w:pPr>
        <w:spacing w:before="240"/>
      </w:pPr>
      <w:r w:rsidRPr="009B6AA8">
        <w:t xml:space="preserve">However, public </w:t>
      </w:r>
      <w:r w:rsidR="007A75A8">
        <w:t>facilities</w:t>
      </w:r>
      <w:r w:rsidRPr="009B6AA8">
        <w:t xml:space="preserve"> raise</w:t>
      </w:r>
      <w:r w:rsidR="008A45CE" w:rsidRPr="009B6AA8">
        <w:t>d</w:t>
      </w:r>
      <w:r w:rsidRPr="009B6AA8">
        <w:t xml:space="preserve"> concerns over the number of new </w:t>
      </w:r>
      <w:proofErr w:type="spellStart"/>
      <w:r w:rsidRPr="009B6AA8">
        <w:t>linacs</w:t>
      </w:r>
      <w:proofErr w:type="spellEnd"/>
      <w:r w:rsidRPr="009B6AA8">
        <w:t xml:space="preserve"> approved in major cities in close proximity to one another</w:t>
      </w:r>
      <w:r w:rsidR="008A45CE" w:rsidRPr="009B6AA8">
        <w:t xml:space="preserve">, or private facilities opening at a time when the public service was planning to extend. The </w:t>
      </w:r>
      <w:r w:rsidR="003D174E" w:rsidRPr="009B6AA8">
        <w:t xml:space="preserve">change </w:t>
      </w:r>
      <w:r w:rsidR="008A45CE" w:rsidRPr="009B6AA8">
        <w:t xml:space="preserve">introduced in 2017 that lists priority areas was intended to prevent such situations and provide a transparent and equitable method for all interested </w:t>
      </w:r>
      <w:r w:rsidR="007A75A8">
        <w:t>facilities</w:t>
      </w:r>
      <w:r w:rsidR="008A45CE" w:rsidRPr="009B6AA8">
        <w:t xml:space="preserve"> to apply for new </w:t>
      </w:r>
      <w:proofErr w:type="spellStart"/>
      <w:r w:rsidR="008A45CE" w:rsidRPr="009B6AA8">
        <w:t>linac</w:t>
      </w:r>
      <w:proofErr w:type="spellEnd"/>
      <w:r w:rsidR="008A45CE" w:rsidRPr="009B6AA8">
        <w:t xml:space="preserve"> funding where warranted. However, since many new </w:t>
      </w:r>
      <w:proofErr w:type="spellStart"/>
      <w:r w:rsidR="008A45CE" w:rsidRPr="009B6AA8">
        <w:t>linacs</w:t>
      </w:r>
      <w:proofErr w:type="spellEnd"/>
      <w:r w:rsidR="008A45CE" w:rsidRPr="009B6AA8">
        <w:t xml:space="preserve"> were approved prior to the 2017 changes coming into effect, the effectiveness of this process has not been able to be tested to date.</w:t>
      </w:r>
    </w:p>
    <w:p w14:paraId="540E05E3" w14:textId="401073AD" w:rsidR="00373EE3" w:rsidRDefault="008A45CE" w:rsidP="007A1E2C">
      <w:r w:rsidRPr="009B6AA8">
        <w:t>In addition, there are currently five priority areas listed on the Department’s website that have not yet been awarded</w:t>
      </w:r>
      <w:r w:rsidR="003D174E" w:rsidRPr="009B6AA8">
        <w:t xml:space="preserve"> approval for funding under the program,</w:t>
      </w:r>
      <w:r w:rsidRPr="009B6AA8">
        <w:t xml:space="preserve"> </w:t>
      </w:r>
      <w:r w:rsidR="003D174E" w:rsidRPr="009B6AA8">
        <w:t xml:space="preserve">but they </w:t>
      </w:r>
      <w:r w:rsidRPr="009B6AA8">
        <w:t xml:space="preserve">have been listed for over 12 months. These are the Midwest Region, </w:t>
      </w:r>
      <w:proofErr w:type="spellStart"/>
      <w:r w:rsidRPr="009B6AA8">
        <w:t>Wheatbelt</w:t>
      </w:r>
      <w:proofErr w:type="spellEnd"/>
      <w:r w:rsidRPr="009B6AA8">
        <w:t xml:space="preserve"> Region and South Metro Region in Western Australia; and Central Adelaide and Northern Adelaide in South Australia</w:t>
      </w:r>
      <w:r w:rsidR="00A360E2" w:rsidRPr="009B6AA8">
        <w:t xml:space="preserve"> </w:t>
      </w:r>
      <w:sdt>
        <w:sdtPr>
          <w:id w:val="-1356650080"/>
          <w:citation/>
        </w:sdtPr>
        <w:sdtContent>
          <w:r w:rsidR="00A360E2" w:rsidRPr="00D65C79">
            <w:fldChar w:fldCharType="begin"/>
          </w:r>
          <w:r w:rsidR="00A360E2" w:rsidRPr="009B6AA8">
            <w:instrText xml:space="preserve"> CITATION Aus2013 \l 2057 </w:instrText>
          </w:r>
          <w:r w:rsidR="00A360E2" w:rsidRPr="00D65C79">
            <w:fldChar w:fldCharType="separate"/>
          </w:r>
          <w:r w:rsidR="00264535" w:rsidRPr="00264535">
            <w:rPr>
              <w:noProof/>
            </w:rPr>
            <w:t>[31]</w:t>
          </w:r>
          <w:r w:rsidR="00A360E2" w:rsidRPr="00D65C79">
            <w:fldChar w:fldCharType="end"/>
          </w:r>
        </w:sdtContent>
      </w:sdt>
      <w:r w:rsidRPr="00D65C79">
        <w:t>.</w:t>
      </w:r>
    </w:p>
    <w:p w14:paraId="03A0B6B1" w14:textId="77777777" w:rsidR="00373EE3" w:rsidRDefault="008A45CE" w:rsidP="007A1E2C">
      <w:r w:rsidRPr="009B6AA8">
        <w:t xml:space="preserve">This suggests that </w:t>
      </w:r>
      <w:r w:rsidR="006E465B" w:rsidRPr="009B6AA8">
        <w:t xml:space="preserve">on its own, </w:t>
      </w:r>
      <w:r w:rsidRPr="009B6AA8">
        <w:t xml:space="preserve">identifying the priority areas </w:t>
      </w:r>
      <w:r w:rsidR="006E465B" w:rsidRPr="009B6AA8">
        <w:t xml:space="preserve">may be </w:t>
      </w:r>
      <w:r w:rsidRPr="009B6AA8">
        <w:t xml:space="preserve">insufficient </w:t>
      </w:r>
      <w:r w:rsidR="006E465B" w:rsidRPr="009B6AA8">
        <w:t xml:space="preserve">to generate interest in service provision, depending on the location of the area. Further discussion on the setting of priority areas is provided in section </w:t>
      </w:r>
      <w:r w:rsidR="006E465B" w:rsidRPr="00D65C79">
        <w:fldChar w:fldCharType="begin"/>
      </w:r>
      <w:r w:rsidR="006E465B" w:rsidRPr="009B6AA8">
        <w:instrText xml:space="preserve"> REF _Ref56166154 \r \h </w:instrText>
      </w:r>
      <w:r w:rsidR="006E465B" w:rsidRPr="00D65C79">
        <w:fldChar w:fldCharType="separate"/>
      </w:r>
      <w:r w:rsidR="007C0448">
        <w:rPr>
          <w:rFonts w:hint="cs"/>
          <w:cs/>
        </w:rPr>
        <w:t>‎</w:t>
      </w:r>
      <w:r w:rsidR="007C0448">
        <w:t>6.4</w:t>
      </w:r>
      <w:r w:rsidR="006E465B" w:rsidRPr="00D65C79">
        <w:fldChar w:fldCharType="end"/>
      </w:r>
      <w:r w:rsidR="006E465B" w:rsidRPr="00D65C79">
        <w:t>.</w:t>
      </w:r>
    </w:p>
    <w:p w14:paraId="0DD45943" w14:textId="3904AE55" w:rsidR="006E465B" w:rsidRPr="00BC705E" w:rsidRDefault="006E465B" w:rsidP="009F3514">
      <w:pPr>
        <w:pStyle w:val="Heading3numbered"/>
      </w:pPr>
      <w:bookmarkStart w:id="172" w:name="_Toc59198479"/>
      <w:bookmarkStart w:id="173" w:name="_Toc66193946"/>
      <w:r w:rsidRPr="00BC705E">
        <w:t xml:space="preserve">Service throughput by public and private </w:t>
      </w:r>
      <w:r w:rsidR="007A75A8" w:rsidRPr="00BC705E">
        <w:t>facilities</w:t>
      </w:r>
      <w:bookmarkEnd w:id="172"/>
      <w:bookmarkEnd w:id="173"/>
    </w:p>
    <w:p w14:paraId="03123773" w14:textId="77777777" w:rsidR="00373EE3" w:rsidRDefault="00A360E2" w:rsidP="00D447D4">
      <w:r w:rsidRPr="009B6AA8">
        <w:t>After the 2017 ROHPG changes came into effect,</w:t>
      </w:r>
      <w:r w:rsidR="00D447D4" w:rsidRPr="009B6AA8">
        <w:t xml:space="preserve"> </w:t>
      </w:r>
      <w:r w:rsidRPr="009B6AA8">
        <w:t>different</w:t>
      </w:r>
      <w:r w:rsidR="00D447D4" w:rsidRPr="009B6AA8">
        <w:t xml:space="preserve"> ROHPG funding timeframes for public </w:t>
      </w:r>
      <w:r w:rsidR="007A75A8">
        <w:t>facilities</w:t>
      </w:r>
      <w:r w:rsidR="00D447D4" w:rsidRPr="009B6AA8">
        <w:t xml:space="preserve"> (10 years) and private </w:t>
      </w:r>
      <w:r w:rsidR="007A75A8">
        <w:t>facilities</w:t>
      </w:r>
      <w:r w:rsidR="00D447D4" w:rsidRPr="009B6AA8">
        <w:t xml:space="preserve"> (</w:t>
      </w:r>
      <w:r w:rsidR="00B54D2F">
        <w:t>eight</w:t>
      </w:r>
      <w:r w:rsidR="00B54D2F" w:rsidRPr="009B6AA8">
        <w:t xml:space="preserve"> </w:t>
      </w:r>
      <w:r w:rsidR="00D447D4" w:rsidRPr="009B6AA8">
        <w:t xml:space="preserve">years) </w:t>
      </w:r>
      <w:r w:rsidR="00FB3771">
        <w:t>were</w:t>
      </w:r>
      <w:r w:rsidR="00FB3771" w:rsidRPr="009B6AA8">
        <w:t xml:space="preserve"> </w:t>
      </w:r>
      <w:r w:rsidR="00D447D4" w:rsidRPr="009B6AA8">
        <w:t xml:space="preserve">introduced based on the rationale that private </w:t>
      </w:r>
      <w:r w:rsidR="007A75A8">
        <w:t>facilities</w:t>
      </w:r>
      <w:r w:rsidR="00D447D4" w:rsidRPr="009B6AA8">
        <w:t xml:space="preserve"> had a </w:t>
      </w:r>
      <w:r w:rsidRPr="009B6AA8">
        <w:t>high</w:t>
      </w:r>
      <w:r w:rsidR="00D447D4" w:rsidRPr="009B6AA8">
        <w:t>er</w:t>
      </w:r>
      <w:r w:rsidRPr="009B6AA8">
        <w:t xml:space="preserve"> </w:t>
      </w:r>
      <w:r w:rsidRPr="009B6AA8">
        <w:lastRenderedPageBreak/>
        <w:t>throughput of services</w:t>
      </w:r>
      <w:r w:rsidR="00D447D4" w:rsidRPr="009B6AA8">
        <w:t xml:space="preserve"> that necessitated a shorter turnover time. The review has sought to </w:t>
      </w:r>
      <w:r w:rsidR="003D174E" w:rsidRPr="009B6AA8">
        <w:t>examine</w:t>
      </w:r>
      <w:r w:rsidR="00D447D4" w:rsidRPr="009B6AA8">
        <w:t xml:space="preserve"> evidence</w:t>
      </w:r>
      <w:r w:rsidR="003D174E" w:rsidRPr="009B6AA8">
        <w:t xml:space="preserve"> in support of these differential </w:t>
      </w:r>
      <w:r w:rsidR="00D447D4" w:rsidRPr="009B6AA8">
        <w:t>funding timeframes.</w:t>
      </w:r>
    </w:p>
    <w:p w14:paraId="4B94EE92" w14:textId="77777777" w:rsidR="00373EE3" w:rsidRDefault="00AA0C7B" w:rsidP="00F96EFA">
      <w:r w:rsidRPr="009B6AA8">
        <w:t xml:space="preserve">Analysis of MBS service data was undertaken to ascertain if there were differences between service throughput between public and private </w:t>
      </w:r>
      <w:r w:rsidR="007A75A8">
        <w:t>facilities</w:t>
      </w:r>
      <w:r w:rsidRPr="009B6AA8">
        <w:t xml:space="preserve">. MBS service data per </w:t>
      </w:r>
      <w:r w:rsidR="00C62BBC">
        <w:t>facility</w:t>
      </w:r>
      <w:r w:rsidRPr="009B6AA8">
        <w:t xml:space="preserve"> was standardised to</w:t>
      </w:r>
      <w:r w:rsidR="003D174E" w:rsidRPr="009B6AA8">
        <w:t xml:space="preserve"> an activity level</w:t>
      </w:r>
      <w:r w:rsidRPr="009B6AA8">
        <w:t xml:space="preserve"> per </w:t>
      </w:r>
      <w:proofErr w:type="spellStart"/>
      <w:r w:rsidRPr="009B6AA8">
        <w:t>linac</w:t>
      </w:r>
      <w:proofErr w:type="spellEnd"/>
      <w:r w:rsidRPr="009B6AA8">
        <w:t xml:space="preserve">. </w:t>
      </w:r>
      <w:r w:rsidR="00F96EFA" w:rsidRPr="009B6AA8">
        <w:t xml:space="preserve">The data showed that there was a breadth of service volume per </w:t>
      </w:r>
      <w:proofErr w:type="spellStart"/>
      <w:r w:rsidR="00F96EFA" w:rsidRPr="009B6AA8">
        <w:t>linac</w:t>
      </w:r>
      <w:proofErr w:type="spellEnd"/>
      <w:r w:rsidR="00F96EFA" w:rsidRPr="009B6AA8">
        <w:t xml:space="preserve"> in both private and public facilities ranging from as low as 1,000 services per </w:t>
      </w:r>
      <w:proofErr w:type="spellStart"/>
      <w:r w:rsidR="00F96EFA" w:rsidRPr="009B6AA8">
        <w:t>linac</w:t>
      </w:r>
      <w:proofErr w:type="spellEnd"/>
      <w:r w:rsidR="00F96EFA" w:rsidRPr="009B6AA8">
        <w:t xml:space="preserve"> to over 10,000 services per </w:t>
      </w:r>
      <w:proofErr w:type="spellStart"/>
      <w:r w:rsidR="00F96EFA" w:rsidRPr="009B6AA8">
        <w:t>linac</w:t>
      </w:r>
      <w:proofErr w:type="spellEnd"/>
      <w:r w:rsidR="00863AFD">
        <w:t xml:space="preserve"> per annum</w:t>
      </w:r>
      <w:r w:rsidR="00F96EFA" w:rsidRPr="009B6AA8">
        <w:t>. However, caution must be used in interpreting the very low or very high service volumes</w:t>
      </w:r>
      <w:r w:rsidR="003D174E" w:rsidRPr="009B6AA8">
        <w:t>; they</w:t>
      </w:r>
      <w:r w:rsidR="00F96EFA" w:rsidRPr="009B6AA8">
        <w:t xml:space="preserve"> may be an </w:t>
      </w:r>
      <w:proofErr w:type="spellStart"/>
      <w:r w:rsidR="00F96EFA" w:rsidRPr="009B6AA8">
        <w:t>artifact</w:t>
      </w:r>
      <w:proofErr w:type="spellEnd"/>
      <w:r w:rsidR="00F96EFA" w:rsidRPr="009B6AA8">
        <w:t xml:space="preserve"> of the data (e.g. incorrect number of </w:t>
      </w:r>
      <w:proofErr w:type="spellStart"/>
      <w:r w:rsidR="00F96EFA" w:rsidRPr="009B6AA8">
        <w:t>linacs</w:t>
      </w:r>
      <w:proofErr w:type="spellEnd"/>
      <w:r w:rsidR="00F96EFA" w:rsidRPr="009B6AA8">
        <w:t xml:space="preserve"> used in the calculation, or provision of services for a partial year only). The majority of private facilities averaged </w:t>
      </w:r>
      <w:proofErr w:type="gramStart"/>
      <w:r w:rsidR="00F96EFA" w:rsidRPr="009B6AA8">
        <w:t>between 4,000 to 8,000</w:t>
      </w:r>
      <w:proofErr w:type="gramEnd"/>
      <w:r w:rsidR="00F96EFA" w:rsidRPr="009B6AA8">
        <w:t xml:space="preserve"> services per annum per </w:t>
      </w:r>
      <w:proofErr w:type="spellStart"/>
      <w:r w:rsidR="00F96EFA" w:rsidRPr="009B6AA8">
        <w:t>linac</w:t>
      </w:r>
      <w:proofErr w:type="spellEnd"/>
      <w:r w:rsidR="003D174E" w:rsidRPr="009B6AA8">
        <w:t xml:space="preserve">. The equivalent metric was </w:t>
      </w:r>
      <w:r w:rsidR="00F96EFA" w:rsidRPr="009B6AA8">
        <w:t xml:space="preserve">between 5,000 and 8,000 services per annum per </w:t>
      </w:r>
      <w:proofErr w:type="spellStart"/>
      <w:r w:rsidR="00F96EFA" w:rsidRPr="009B6AA8">
        <w:t>linac</w:t>
      </w:r>
      <w:proofErr w:type="spellEnd"/>
      <w:r w:rsidR="00F96EFA" w:rsidRPr="009B6AA8">
        <w:t xml:space="preserve"> in public facilities, as shown in </w:t>
      </w:r>
      <w:r w:rsidR="00F96EFA" w:rsidRPr="00D65C79">
        <w:fldChar w:fldCharType="begin"/>
      </w:r>
      <w:r w:rsidR="00F96EFA" w:rsidRPr="009B6AA8">
        <w:instrText xml:space="preserve"> REF _Ref56180909 \h </w:instrText>
      </w:r>
      <w:r w:rsidR="00F96EFA" w:rsidRPr="00D65C79">
        <w:fldChar w:fldCharType="separate"/>
      </w:r>
      <w:r w:rsidR="007C0448" w:rsidRPr="00D65C79">
        <w:t xml:space="preserve">Figure </w:t>
      </w:r>
      <w:r w:rsidR="007C0448">
        <w:rPr>
          <w:rFonts w:hint="cs"/>
          <w:noProof/>
          <w:cs/>
        </w:rPr>
        <w:t>‎</w:t>
      </w:r>
      <w:r w:rsidR="007C0448">
        <w:rPr>
          <w:noProof/>
        </w:rPr>
        <w:t>5</w:t>
      </w:r>
      <w:r w:rsidR="007C0448" w:rsidRPr="00D65C79">
        <w:t>.</w:t>
      </w:r>
      <w:r w:rsidR="007C0448">
        <w:rPr>
          <w:noProof/>
        </w:rPr>
        <w:t>1</w:t>
      </w:r>
      <w:r w:rsidR="00F96EFA" w:rsidRPr="00D65C79">
        <w:fldChar w:fldCharType="end"/>
      </w:r>
      <w:r w:rsidR="00F96EFA" w:rsidRPr="00D65C79">
        <w:t xml:space="preserve"> on the following page.</w:t>
      </w:r>
    </w:p>
    <w:p w14:paraId="7DF5A36C" w14:textId="77777777" w:rsidR="00373EE3" w:rsidRDefault="00F96EFA" w:rsidP="00F96EFA">
      <w:r w:rsidRPr="009B6AA8">
        <w:t xml:space="preserve">Analysis of the average (mean) number of services per </w:t>
      </w:r>
      <w:proofErr w:type="spellStart"/>
      <w:r w:rsidRPr="009B6AA8">
        <w:t>linac</w:t>
      </w:r>
      <w:proofErr w:type="spellEnd"/>
      <w:r w:rsidRPr="009B6AA8">
        <w:t xml:space="preserve"> per annum indicated relatively consistent averages from 2013</w:t>
      </w:r>
      <w:r w:rsidR="00E61AD5" w:rsidRPr="009B6AA8">
        <w:t>–</w:t>
      </w:r>
      <w:r w:rsidRPr="009B6AA8">
        <w:t>14 to 2019</w:t>
      </w:r>
      <w:r w:rsidR="00E61AD5" w:rsidRPr="009B6AA8">
        <w:t>–</w:t>
      </w:r>
      <w:r w:rsidRPr="009B6AA8">
        <w:t xml:space="preserve">20 at approximately 6,000 services per </w:t>
      </w:r>
      <w:proofErr w:type="spellStart"/>
      <w:r w:rsidRPr="009B6AA8">
        <w:t>linac</w:t>
      </w:r>
      <w:proofErr w:type="spellEnd"/>
      <w:r w:rsidRPr="009B6AA8">
        <w:t xml:space="preserve"> per annum in both public and private facilities. Despite consistent averages, the service volume throughput at individual sites varied greatly in both public and private </w:t>
      </w:r>
      <w:r w:rsidR="007A75A8">
        <w:t>facilities</w:t>
      </w:r>
      <w:r w:rsidRPr="009B6AA8">
        <w:t>. In 2019</w:t>
      </w:r>
      <w:r w:rsidR="00E61AD5" w:rsidRPr="009B6AA8">
        <w:t>–</w:t>
      </w:r>
      <w:r w:rsidRPr="009B6AA8">
        <w:t>20, there were 1</w:t>
      </w:r>
      <w:r w:rsidR="00574DF3">
        <w:t>7</w:t>
      </w:r>
      <w:r w:rsidRPr="009B6AA8">
        <w:t xml:space="preserve"> private and </w:t>
      </w:r>
      <w:r w:rsidR="00574DF3">
        <w:t>eight</w:t>
      </w:r>
      <w:r w:rsidR="00FB3771" w:rsidRPr="009B6AA8">
        <w:t xml:space="preserve"> </w:t>
      </w:r>
      <w:r w:rsidRPr="009B6AA8">
        <w:t xml:space="preserve">public facilities that </w:t>
      </w:r>
      <w:r w:rsidR="003D174E" w:rsidRPr="009B6AA8">
        <w:t>had</w:t>
      </w:r>
      <w:r w:rsidRPr="009B6AA8">
        <w:t xml:space="preserve"> an annual service usage of 8,000 or more per </w:t>
      </w:r>
      <w:proofErr w:type="spellStart"/>
      <w:r w:rsidRPr="009B6AA8">
        <w:t>linac</w:t>
      </w:r>
      <w:proofErr w:type="spellEnd"/>
      <w:r w:rsidRPr="009B6AA8">
        <w:t xml:space="preserve">. Conversely, there were </w:t>
      </w:r>
      <w:r w:rsidR="00574DF3">
        <w:t>19</w:t>
      </w:r>
      <w:r w:rsidRPr="009B6AA8">
        <w:t xml:space="preserve"> private and </w:t>
      </w:r>
      <w:r w:rsidR="00574DF3">
        <w:t>six</w:t>
      </w:r>
      <w:r w:rsidR="00FB3771" w:rsidRPr="009B6AA8">
        <w:t xml:space="preserve"> </w:t>
      </w:r>
      <w:r w:rsidRPr="009B6AA8">
        <w:t xml:space="preserve">public facilities with </w:t>
      </w:r>
      <w:r w:rsidR="00072591">
        <w:t>fewer</w:t>
      </w:r>
      <w:r w:rsidRPr="009B6AA8">
        <w:t xml:space="preserve"> than 3,000 services per </w:t>
      </w:r>
      <w:proofErr w:type="spellStart"/>
      <w:r w:rsidRPr="009B6AA8">
        <w:t>linac</w:t>
      </w:r>
      <w:proofErr w:type="spellEnd"/>
      <w:r w:rsidR="00574DF3">
        <w:t xml:space="preserve"> per annum</w:t>
      </w:r>
      <w:r w:rsidRPr="009B6AA8">
        <w:t>.</w:t>
      </w:r>
    </w:p>
    <w:p w14:paraId="1CC6EE9F" w14:textId="2B913D9E" w:rsidR="00FB58B7" w:rsidRPr="009B6AA8" w:rsidRDefault="00AA0C7B" w:rsidP="00574DF3">
      <w:r w:rsidRPr="009B6AA8">
        <w:t xml:space="preserve">Several limitations of the data analysis need to be noted. First, the number of </w:t>
      </w:r>
      <w:proofErr w:type="spellStart"/>
      <w:r w:rsidRPr="009B6AA8">
        <w:t>linacs</w:t>
      </w:r>
      <w:proofErr w:type="spellEnd"/>
      <w:r w:rsidRPr="009B6AA8">
        <w:t xml:space="preserve"> per facility was estimated based on ROHPG equipment funding data, public</w:t>
      </w:r>
      <w:r w:rsidR="00FB3771">
        <w:t>ly</w:t>
      </w:r>
      <w:r w:rsidRPr="009B6AA8">
        <w:t xml:space="preserve"> available information, and MBS service data. </w:t>
      </w:r>
      <w:proofErr w:type="spellStart"/>
      <w:r w:rsidRPr="009B6AA8">
        <w:t>Linac</w:t>
      </w:r>
      <w:proofErr w:type="spellEnd"/>
      <w:r w:rsidRPr="009B6AA8">
        <w:t xml:space="preserve"> numbers </w:t>
      </w:r>
      <w:r w:rsidR="003D174E" w:rsidRPr="009B6AA8">
        <w:t xml:space="preserve">operated by an individual </w:t>
      </w:r>
      <w:r w:rsidR="00C62BBC">
        <w:t>facility</w:t>
      </w:r>
      <w:r w:rsidR="003D174E" w:rsidRPr="009B6AA8">
        <w:t xml:space="preserve"> could not be </w:t>
      </w:r>
      <w:r w:rsidRPr="009B6AA8">
        <w:t xml:space="preserve">verified with </w:t>
      </w:r>
      <w:r w:rsidR="007A75A8">
        <w:t>facilities</w:t>
      </w:r>
      <w:r w:rsidRPr="009B6AA8">
        <w:t xml:space="preserve"> and could be subject to error. Additionally, jurisdictions indicated that some RT services in the public system are not claimed through MBS, and therefore public data will be underrepresented for these volumes. </w:t>
      </w:r>
      <w:r w:rsidR="00F96EFA" w:rsidRPr="009B6AA8">
        <w:t xml:space="preserve">Finally, the data analysis has not taken the </w:t>
      </w:r>
      <w:r w:rsidR="00D65C79">
        <w:t>case mix</w:t>
      </w:r>
      <w:r w:rsidR="00F96EFA" w:rsidRPr="00D65C79">
        <w:t xml:space="preserve"> of individual facilities into consideration, which can greatly affect volume of through</w:t>
      </w:r>
      <w:r w:rsidR="00753ADA">
        <w:t>p</w:t>
      </w:r>
      <w:r w:rsidR="00F96EFA" w:rsidRPr="00D65C79">
        <w:t xml:space="preserve">ut. </w:t>
      </w:r>
      <w:r w:rsidR="00F96EFA" w:rsidRPr="009B6AA8">
        <w:t xml:space="preserve">Further detail on the data analysis is provided in </w:t>
      </w:r>
      <w:r w:rsidR="0010422E" w:rsidRPr="00D65C79">
        <w:fldChar w:fldCharType="begin"/>
      </w:r>
      <w:r w:rsidR="0010422E" w:rsidRPr="009B6AA8">
        <w:instrText xml:space="preserve"> REF _Ref56383228 \r \h </w:instrText>
      </w:r>
      <w:r w:rsidR="0010422E" w:rsidRPr="00D65C79">
        <w:fldChar w:fldCharType="separate"/>
      </w:r>
      <w:r w:rsidR="007C0448">
        <w:rPr>
          <w:rFonts w:hint="cs"/>
          <w:cs/>
        </w:rPr>
        <w:t>‎</w:t>
      </w:r>
      <w:r w:rsidR="007C0448">
        <w:t>Appendix E</w:t>
      </w:r>
      <w:r w:rsidR="0010422E" w:rsidRPr="00D65C79">
        <w:fldChar w:fldCharType="end"/>
      </w:r>
      <w:r w:rsidR="0010422E" w:rsidRPr="00D65C79">
        <w:t>.</w:t>
      </w:r>
    </w:p>
    <w:p w14:paraId="24456100" w14:textId="77777777" w:rsidR="00F96EFA" w:rsidRPr="009B6AA8" w:rsidRDefault="00F96EFA" w:rsidP="005253D9">
      <w:pPr>
        <w:sectPr w:rsidR="00F96EFA" w:rsidRPr="009B6AA8" w:rsidSect="001D01ED">
          <w:pgSz w:w="11906" w:h="16838" w:code="9"/>
          <w:pgMar w:top="1304" w:right="1134" w:bottom="737" w:left="737" w:header="567" w:footer="284" w:gutter="0"/>
          <w:cols w:space="708"/>
          <w:docGrid w:linePitch="360"/>
        </w:sectPr>
      </w:pPr>
    </w:p>
    <w:p w14:paraId="18A598F8" w14:textId="20A06A97" w:rsidR="00F96EFA" w:rsidRPr="009B6AA8" w:rsidRDefault="00F96EFA" w:rsidP="00F96EFA">
      <w:pPr>
        <w:pStyle w:val="Caption"/>
      </w:pPr>
      <w:bookmarkStart w:id="174" w:name="_Ref56180909"/>
      <w:r w:rsidRPr="00D65C79">
        <w:lastRenderedPageBreak/>
        <w:t xml:space="preserve">Figure </w:t>
      </w:r>
      <w:r w:rsidR="007B4ED4" w:rsidRPr="00D65C79">
        <w:fldChar w:fldCharType="begin"/>
      </w:r>
      <w:r w:rsidR="007B4ED4" w:rsidRPr="009B6AA8">
        <w:instrText xml:space="preserve"> STYLEREF 1 \s </w:instrText>
      </w:r>
      <w:r w:rsidR="007B4ED4" w:rsidRPr="00D65C79">
        <w:fldChar w:fldCharType="separate"/>
      </w:r>
      <w:r w:rsidR="007C0448">
        <w:rPr>
          <w:rFonts w:hint="cs"/>
          <w:noProof/>
          <w:cs/>
        </w:rPr>
        <w:t>‎</w:t>
      </w:r>
      <w:r w:rsidR="007C0448">
        <w:rPr>
          <w:noProof/>
        </w:rPr>
        <w:t>5</w:t>
      </w:r>
      <w:r w:rsidR="007B4ED4" w:rsidRPr="00D65C79">
        <w:rPr>
          <w:noProof/>
        </w:rPr>
        <w:fldChar w:fldCharType="end"/>
      </w:r>
      <w:r w:rsidR="006A4D42" w:rsidRPr="00D65C79">
        <w:t>.</w:t>
      </w:r>
      <w:r w:rsidR="007B4ED4" w:rsidRPr="00D65C79">
        <w:fldChar w:fldCharType="begin"/>
      </w:r>
      <w:r w:rsidR="007B4ED4" w:rsidRPr="009B6AA8">
        <w:instrText xml:space="preserve"> SEQ Figure \* ARABIC \s 1 </w:instrText>
      </w:r>
      <w:r w:rsidR="007B4ED4" w:rsidRPr="00D65C79">
        <w:fldChar w:fldCharType="separate"/>
      </w:r>
      <w:r w:rsidR="007C0448">
        <w:rPr>
          <w:noProof/>
        </w:rPr>
        <w:t>1</w:t>
      </w:r>
      <w:r w:rsidR="007B4ED4" w:rsidRPr="00D65C79">
        <w:rPr>
          <w:noProof/>
        </w:rPr>
        <w:fldChar w:fldCharType="end"/>
      </w:r>
      <w:bookmarkEnd w:id="174"/>
      <w:r w:rsidRPr="00D65C79">
        <w:t xml:space="preserve"> </w:t>
      </w:r>
      <w:r w:rsidRPr="00E06173">
        <w:t xml:space="preserve">Distribution of annual services per </w:t>
      </w:r>
      <w:proofErr w:type="spellStart"/>
      <w:r w:rsidR="00C8436C" w:rsidRPr="00E06173">
        <w:t>linac</w:t>
      </w:r>
      <w:proofErr w:type="spellEnd"/>
      <w:r w:rsidRPr="00E06173">
        <w:t xml:space="preserve"> 2013</w:t>
      </w:r>
      <w:r w:rsidR="00E61AD5" w:rsidRPr="00E06173">
        <w:t>–</w:t>
      </w:r>
      <w:r w:rsidRPr="00E06173">
        <w:t>14 to 2019</w:t>
      </w:r>
      <w:r w:rsidR="00E61AD5" w:rsidRPr="00E06173">
        <w:t>–</w:t>
      </w:r>
      <w:r w:rsidRPr="00E06173">
        <w:t xml:space="preserve">20 by </w:t>
      </w:r>
      <w:r w:rsidR="00C62BBC" w:rsidRPr="00E06173">
        <w:t>facility</w:t>
      </w:r>
      <w:r w:rsidRPr="00E06173">
        <w:t xml:space="preserve"> type</w:t>
      </w:r>
    </w:p>
    <w:p w14:paraId="23EA20A9" w14:textId="0E46CEA7" w:rsidR="00F96EFA" w:rsidRPr="00D65C79" w:rsidRDefault="00BF7F21" w:rsidP="00374DA4">
      <w:r w:rsidRPr="00BF7F21">
        <w:rPr>
          <w:noProof/>
          <w:lang w:eastAsia="en-AU"/>
        </w:rPr>
        <w:drawing>
          <wp:inline distT="0" distB="0" distL="0" distR="0" wp14:anchorId="34308B43" wp14:editId="5C72BB94">
            <wp:extent cx="6496050" cy="5133711"/>
            <wp:effectExtent l="0" t="0" r="0" b="0"/>
            <wp:docPr id="88" name="Picture 88" descr="Figure 5.1 Distribution of annual services per linac 2013-14 to 2019-20 by facility type -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5.1 Distribution of annual services per linac 2013-14 to 2019-20 by facility type - bar grap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8568" cy="5135701"/>
                    </a:xfrm>
                    <a:prstGeom prst="rect">
                      <a:avLst/>
                    </a:prstGeom>
                    <a:noFill/>
                    <a:ln>
                      <a:noFill/>
                    </a:ln>
                  </pic:spPr>
                </pic:pic>
              </a:graphicData>
            </a:graphic>
          </wp:inline>
        </w:drawing>
      </w:r>
    </w:p>
    <w:p w14:paraId="47737038" w14:textId="5A34C20F" w:rsidR="00F96EFA" w:rsidRDefault="00F96EFA" w:rsidP="0079376F">
      <w:pPr>
        <w:pStyle w:val="TableNotes"/>
      </w:pPr>
      <w:r w:rsidRPr="00D65C79">
        <w:t xml:space="preserve">X = mean, </w:t>
      </w:r>
      <w:r w:rsidRPr="00D65C79">
        <w:sym w:font="Symbol" w:char="F02D"/>
      </w:r>
      <w:r w:rsidRPr="00D65C79">
        <w:t xml:space="preserve"> = median, box = upper and lower quartiles, </w:t>
      </w:r>
      <w:r w:rsidRPr="00D65C79">
        <w:sym w:font="Symbol" w:char="F05E"/>
      </w:r>
      <w:r w:rsidRPr="00D65C79">
        <w:t xml:space="preserve"> = lowest (or highest) value, dots = values, dots beyond </w:t>
      </w:r>
      <w:r w:rsidRPr="00D65C79">
        <w:sym w:font="Symbol" w:char="F05E"/>
      </w:r>
      <w:r w:rsidRPr="00D65C79">
        <w:t xml:space="preserve"> = outliers not used in calculations for mean, median or quartiles.</w:t>
      </w:r>
      <w:r w:rsidRPr="00D65C79">
        <w:br/>
        <w:t>Source: Calculated from MBS data and ROHPG Equipment reports</w:t>
      </w:r>
    </w:p>
    <w:p w14:paraId="3505A13A" w14:textId="77777777" w:rsidR="001D01ED" w:rsidRPr="009B6AA8" w:rsidRDefault="001D01ED" w:rsidP="0079376F">
      <w:pPr>
        <w:pStyle w:val="TableNotes"/>
      </w:pPr>
    </w:p>
    <w:p w14:paraId="7826B5DD" w14:textId="77777777" w:rsidR="00F96EFA" w:rsidRPr="009B6AA8" w:rsidRDefault="00F96EFA" w:rsidP="005253D9">
      <w:pPr>
        <w:sectPr w:rsidR="00F96EFA" w:rsidRPr="009B6AA8" w:rsidSect="00C8436C">
          <w:pgSz w:w="16838" w:h="11906" w:orient="landscape" w:code="9"/>
          <w:pgMar w:top="737" w:right="1304" w:bottom="1134" w:left="737" w:header="567" w:footer="284" w:gutter="0"/>
          <w:cols w:space="708"/>
          <w:docGrid w:linePitch="360"/>
        </w:sectPr>
      </w:pPr>
    </w:p>
    <w:p w14:paraId="24533A8B" w14:textId="77777777" w:rsidR="00373EE3" w:rsidRDefault="002400CB" w:rsidP="002400CB">
      <w:pPr>
        <w:pStyle w:val="Finding"/>
      </w:pPr>
      <w:r w:rsidRPr="009B6AA8">
        <w:lastRenderedPageBreak/>
        <w:t xml:space="preserve">There is no evidence from the MBS service data to indicate that all </w:t>
      </w:r>
      <w:r w:rsidRPr="002400CB">
        <w:t>private</w:t>
      </w:r>
      <w:r w:rsidRPr="009B6AA8">
        <w:t xml:space="preserve"> </w:t>
      </w:r>
      <w:r w:rsidRPr="002400CB">
        <w:t>facilities</w:t>
      </w:r>
      <w:r w:rsidRPr="009B6AA8">
        <w:t xml:space="preserve"> have a high</w:t>
      </w:r>
      <w:r>
        <w:t>er</w:t>
      </w:r>
      <w:r w:rsidRPr="009B6AA8">
        <w:t xml:space="preserve"> service per </w:t>
      </w:r>
      <w:proofErr w:type="spellStart"/>
      <w:r w:rsidRPr="009B6AA8">
        <w:t>linac</w:t>
      </w:r>
      <w:proofErr w:type="spellEnd"/>
      <w:r w:rsidRPr="009B6AA8">
        <w:t xml:space="preserve"> throughput per annum, or that private </w:t>
      </w:r>
      <w:r>
        <w:t>facilities</w:t>
      </w:r>
      <w:r w:rsidRPr="009B6AA8">
        <w:t xml:space="preserve"> average higher service through</w:t>
      </w:r>
      <w:r w:rsidR="00753ADA">
        <w:t>p</w:t>
      </w:r>
      <w:r w:rsidRPr="009B6AA8">
        <w:t xml:space="preserve">ut per </w:t>
      </w:r>
      <w:proofErr w:type="spellStart"/>
      <w:r w:rsidRPr="009B6AA8">
        <w:t>linac</w:t>
      </w:r>
      <w:proofErr w:type="spellEnd"/>
      <w:r w:rsidRPr="009B6AA8">
        <w:t xml:space="preserve"> per annum than public </w:t>
      </w:r>
      <w:r>
        <w:t>facilities</w:t>
      </w:r>
      <w:r w:rsidRPr="009B6AA8">
        <w:t>.</w:t>
      </w:r>
    </w:p>
    <w:p w14:paraId="2EC8494B" w14:textId="77777777" w:rsidR="00373EE3" w:rsidRDefault="002400CB" w:rsidP="002400CB">
      <w:pPr>
        <w:pStyle w:val="Finding"/>
      </w:pPr>
      <w:r w:rsidRPr="009B6AA8">
        <w:t>MBS service data analysis showed that there were instances in both the public and private sector of individual facilities averaging more than 8,000 service</w:t>
      </w:r>
      <w:r>
        <w:t>s</w:t>
      </w:r>
      <w:r w:rsidRPr="009B6AA8">
        <w:t xml:space="preserve"> per </w:t>
      </w:r>
      <w:proofErr w:type="spellStart"/>
      <w:r w:rsidRPr="009B6AA8">
        <w:t>linac</w:t>
      </w:r>
      <w:proofErr w:type="spellEnd"/>
      <w:r w:rsidRPr="009B6AA8">
        <w:t xml:space="preserve"> per annum.</w:t>
      </w:r>
    </w:p>
    <w:p w14:paraId="13784B2A" w14:textId="77777777" w:rsidR="00373EE3" w:rsidRDefault="002400CB" w:rsidP="002400CB">
      <w:pPr>
        <w:spacing w:before="240"/>
      </w:pPr>
      <w:r w:rsidRPr="009B6AA8">
        <w:t xml:space="preserve">Stakeholders had mixed views about the different ROHPG timeframes for public and private </w:t>
      </w:r>
      <w:r>
        <w:t>facilities</w:t>
      </w:r>
      <w:r w:rsidRPr="009B6AA8">
        <w:t xml:space="preserve">, with most public </w:t>
      </w:r>
      <w:r>
        <w:t>facilities</w:t>
      </w:r>
      <w:r w:rsidRPr="009B6AA8">
        <w:t xml:space="preserve"> and jurisdictions consulted of the view that public and private facilities should have the same timeframe to enable an ‘equal playing field’.</w:t>
      </w:r>
    </w:p>
    <w:p w14:paraId="3B0CD1D2" w14:textId="54B088AE" w:rsidR="006F6BDC" w:rsidRPr="009B6AA8" w:rsidRDefault="002400CB" w:rsidP="002400CB">
      <w:r w:rsidRPr="009B6AA8">
        <w:t xml:space="preserve">Advances in technology was another factor that stakeholders raised in support of equal timeframes for all </w:t>
      </w:r>
      <w:r>
        <w:t>facilities</w:t>
      </w:r>
      <w:r w:rsidRPr="009B6AA8">
        <w:t xml:space="preserve">. Public </w:t>
      </w:r>
      <w:r>
        <w:t>facilities</w:t>
      </w:r>
      <w:r w:rsidRPr="009B6AA8">
        <w:t xml:space="preserve"> felt that the eight-year timeframe for private facilities provided an unfair advantage to be able to uptake new technology faster. </w:t>
      </w:r>
      <w:r w:rsidR="006F6BDC" w:rsidRPr="00D65C79">
        <w:t xml:space="preserve">Other stakeholders felt </w:t>
      </w:r>
      <w:r w:rsidR="006F6BDC" w:rsidRPr="009B6AA8">
        <w:t>that the eight</w:t>
      </w:r>
      <w:r w:rsidR="00A20CDB">
        <w:t>-</w:t>
      </w:r>
      <w:r w:rsidR="006F6BDC" w:rsidRPr="009B6AA8">
        <w:t xml:space="preserve"> and 10-year difference was inconsequential and that the overarching aim of the program to promote </w:t>
      </w:r>
      <w:proofErr w:type="spellStart"/>
      <w:r w:rsidR="006F6BDC" w:rsidRPr="009B6AA8">
        <w:t>linac</w:t>
      </w:r>
      <w:proofErr w:type="spellEnd"/>
      <w:r w:rsidR="006F6BDC" w:rsidRPr="009B6AA8">
        <w:t xml:space="preserve"> turnover should be the focus.</w:t>
      </w:r>
    </w:p>
    <w:p w14:paraId="75DA2FD7" w14:textId="5508D6B8" w:rsidR="006F6BDC" w:rsidRPr="009B6AA8" w:rsidRDefault="00A20CDB" w:rsidP="006F6BDC">
      <w:pPr>
        <w:pStyle w:val="Quote"/>
      </w:pPr>
      <w:r>
        <w:rPr>
          <w:rFonts w:cs="Times New Roman"/>
        </w:rPr>
        <w:t>‛</w:t>
      </w:r>
      <w:r w:rsidR="006F6BDC" w:rsidRPr="009B6AA8">
        <w:t xml:space="preserve">The driver of the </w:t>
      </w:r>
      <w:r w:rsidR="00FD606B">
        <w:t>Scheme</w:t>
      </w:r>
      <w:r w:rsidR="006F6BDC" w:rsidRPr="009B6AA8">
        <w:t xml:space="preserve"> should be ensuring equipment is appropriately modern, doesn’t always have to be </w:t>
      </w:r>
      <w:r w:rsidR="001C6CC4" w:rsidRPr="009B6AA8">
        <w:t>cutting</w:t>
      </w:r>
      <w:r w:rsidR="001C6CC4">
        <w:t>-</w:t>
      </w:r>
      <w:r w:rsidR="006F6BDC" w:rsidRPr="009B6AA8">
        <w:t xml:space="preserve">edge. [The </w:t>
      </w:r>
      <w:r w:rsidR="00FD606B">
        <w:t>Scheme</w:t>
      </w:r>
      <w:r w:rsidR="006F6BDC" w:rsidRPr="009B6AA8">
        <w:t>] should prevent 15</w:t>
      </w:r>
      <w:r>
        <w:t>-</w:t>
      </w:r>
      <w:r w:rsidR="006F6BDC" w:rsidRPr="009B6AA8">
        <w:t xml:space="preserve"> to 20-</w:t>
      </w:r>
      <w:r w:rsidRPr="009B6AA8">
        <w:t>year</w:t>
      </w:r>
      <w:r>
        <w:t>-</w:t>
      </w:r>
      <w:r w:rsidR="006F6BDC" w:rsidRPr="009B6AA8">
        <w:t>old machines. The distinction between eight or 10 years is low risk</w:t>
      </w:r>
      <w:r w:rsidR="007B4ED4" w:rsidRPr="009B6AA8">
        <w:t xml:space="preserve">.’ </w:t>
      </w:r>
      <w:r w:rsidR="006F6BDC" w:rsidRPr="009B6AA8">
        <w:t>–</w:t>
      </w:r>
      <w:r w:rsidR="00EB6FB4">
        <w:t xml:space="preserve"> </w:t>
      </w:r>
      <w:r w:rsidR="006F6BDC" w:rsidRPr="009B6AA8">
        <w:t>Comment made by peak body</w:t>
      </w:r>
    </w:p>
    <w:p w14:paraId="4F7E5383" w14:textId="77777777" w:rsidR="00373EE3" w:rsidRDefault="007C3F21" w:rsidP="00F6395A">
      <w:proofErr w:type="spellStart"/>
      <w:r>
        <w:t>Linac</w:t>
      </w:r>
      <w:proofErr w:type="spellEnd"/>
      <w:r>
        <w:t xml:space="preserve"> vendors indicated </w:t>
      </w:r>
      <w:r w:rsidR="00BE0142">
        <w:t xml:space="preserve">that, </w:t>
      </w:r>
      <w:r>
        <w:t>within an eight- to 10-year timeframe, RT t</w:t>
      </w:r>
      <w:r w:rsidRPr="009B186D">
        <w:t xml:space="preserve">echnologies and </w:t>
      </w:r>
      <w:r>
        <w:t>t</w:t>
      </w:r>
      <w:r w:rsidRPr="009B186D">
        <w:t xml:space="preserve">echniques </w:t>
      </w:r>
      <w:r>
        <w:t xml:space="preserve">will progress to </w:t>
      </w:r>
      <w:r w:rsidRPr="009B186D">
        <w:t>enable more precise and accurate treatment delivery</w:t>
      </w:r>
      <w:r>
        <w:t xml:space="preserve">, resulting in the </w:t>
      </w:r>
      <w:r w:rsidRPr="009B186D">
        <w:t>ability to deliver higher treatment doses</w:t>
      </w:r>
      <w:r>
        <w:t xml:space="preserve"> with </w:t>
      </w:r>
      <w:r w:rsidRPr="009B186D">
        <w:t>reduced patient side effects.</w:t>
      </w:r>
      <w:r>
        <w:t xml:space="preserve"> To ensure machine currency within this timeframe, </w:t>
      </w:r>
      <w:proofErr w:type="spellStart"/>
      <w:r>
        <w:t>linacs</w:t>
      </w:r>
      <w:proofErr w:type="spellEnd"/>
      <w:r>
        <w:t xml:space="preserve"> may require upgrades to various hardware or software to enable more effective and efficient delivery of RT.</w:t>
      </w:r>
    </w:p>
    <w:p w14:paraId="64FAEC9A" w14:textId="77777777" w:rsidR="00373EE3" w:rsidRDefault="007C3F21" w:rsidP="00F6395A">
      <w:r>
        <w:t>For example, hardware upgrades may include m</w:t>
      </w:r>
      <w:r w:rsidRPr="002C6887">
        <w:t>ulti-</w:t>
      </w:r>
      <w:r>
        <w:t>l</w:t>
      </w:r>
      <w:r w:rsidRPr="002C6887">
        <w:t xml:space="preserve">eaf </w:t>
      </w:r>
      <w:r>
        <w:t>c</w:t>
      </w:r>
      <w:r w:rsidRPr="002C6887">
        <w:t>ollimator</w:t>
      </w:r>
      <w:r>
        <w:rPr>
          <w:rStyle w:val="FootnoteReference"/>
        </w:rPr>
        <w:footnoteReference w:id="9"/>
      </w:r>
      <w:r w:rsidRPr="002C6887">
        <w:t xml:space="preserve"> improvements</w:t>
      </w:r>
      <w:r>
        <w:t xml:space="preserve"> (e.g. f</w:t>
      </w:r>
      <w:r w:rsidRPr="002C6887">
        <w:t xml:space="preserve">iner </w:t>
      </w:r>
      <w:r>
        <w:t>l</w:t>
      </w:r>
      <w:r w:rsidRPr="002C6887">
        <w:t xml:space="preserve">eaf </w:t>
      </w:r>
      <w:r>
        <w:t>w</w:t>
      </w:r>
      <w:r w:rsidRPr="002C6887">
        <w:t xml:space="preserve">idth or </w:t>
      </w:r>
      <w:r>
        <w:t>f</w:t>
      </w:r>
      <w:r w:rsidRPr="002C6887">
        <w:t xml:space="preserve">aster </w:t>
      </w:r>
      <w:r>
        <w:t>l</w:t>
      </w:r>
      <w:r w:rsidRPr="002C6887">
        <w:t xml:space="preserve">eaf </w:t>
      </w:r>
      <w:r>
        <w:t>m</w:t>
      </w:r>
      <w:r w:rsidRPr="002C6887">
        <w:t>otion</w:t>
      </w:r>
      <w:r>
        <w:t xml:space="preserve">) </w:t>
      </w:r>
      <w:r w:rsidRPr="002C6887">
        <w:t xml:space="preserve">to enable more precise </w:t>
      </w:r>
      <w:r>
        <w:t>delivery, ‘f</w:t>
      </w:r>
      <w:r w:rsidRPr="00973AC1">
        <w:t xml:space="preserve">lattening </w:t>
      </w:r>
      <w:r>
        <w:t>f</w:t>
      </w:r>
      <w:r w:rsidRPr="00973AC1">
        <w:t xml:space="preserve">ilter </w:t>
      </w:r>
      <w:r>
        <w:t>f</w:t>
      </w:r>
      <w:r w:rsidRPr="00973AC1">
        <w:t>ree</w:t>
      </w:r>
      <w:r>
        <w:t>’</w:t>
      </w:r>
      <w:r w:rsidRPr="00973AC1">
        <w:t xml:space="preserve"> </w:t>
      </w:r>
      <w:r>
        <w:t>b</w:t>
      </w:r>
      <w:r w:rsidRPr="00973AC1">
        <w:t>eams</w:t>
      </w:r>
      <w:r>
        <w:rPr>
          <w:rStyle w:val="FootnoteReference"/>
        </w:rPr>
        <w:footnoteReference w:id="10"/>
      </w:r>
      <w:r w:rsidRPr="00973AC1">
        <w:t xml:space="preserve"> for faster</w:t>
      </w:r>
      <w:r>
        <w:t>,</w:t>
      </w:r>
      <w:r w:rsidRPr="00973AC1">
        <w:t xml:space="preserve"> </w:t>
      </w:r>
      <w:r>
        <w:t>high</w:t>
      </w:r>
      <w:r w:rsidR="006D5F38">
        <w:t>-</w:t>
      </w:r>
      <w:r>
        <w:t xml:space="preserve">dose </w:t>
      </w:r>
      <w:r w:rsidRPr="00973AC1">
        <w:t xml:space="preserve">treatment delivery </w:t>
      </w:r>
      <w:r>
        <w:t>(</w:t>
      </w:r>
      <w:r w:rsidRPr="00973AC1">
        <w:t>used in hypo</w:t>
      </w:r>
      <w:r>
        <w:t>-</w:t>
      </w:r>
      <w:r w:rsidRPr="00973AC1">
        <w:t xml:space="preserve">fractionated </w:t>
      </w:r>
      <w:r>
        <w:t>treatment courses) and advanced ‘couch s</w:t>
      </w:r>
      <w:r w:rsidRPr="00973AC1">
        <w:t>ystems</w:t>
      </w:r>
      <w:r>
        <w:t>’</w:t>
      </w:r>
      <w:r>
        <w:rPr>
          <w:rStyle w:val="FootnoteReference"/>
        </w:rPr>
        <w:footnoteReference w:id="11"/>
      </w:r>
      <w:r w:rsidRPr="00973AC1">
        <w:t xml:space="preserve"> </w:t>
      </w:r>
      <w:r w:rsidR="00BE0142">
        <w:t>that</w:t>
      </w:r>
      <w:r w:rsidRPr="00973AC1">
        <w:t xml:space="preserve"> together with IGRT enable more accurate setup of the patient to match the initial treatment plan</w:t>
      </w:r>
      <w:r>
        <w:t xml:space="preserve">. Many hardware upgrades will also </w:t>
      </w:r>
      <w:r w:rsidRPr="007C3F21">
        <w:t xml:space="preserve">require </w:t>
      </w:r>
      <w:r>
        <w:t xml:space="preserve">associated </w:t>
      </w:r>
      <w:r w:rsidRPr="007C3F21">
        <w:t>upgrades to treatment planning systems and oncology information systems</w:t>
      </w:r>
      <w:r>
        <w:t xml:space="preserve"> to maintain compatibility.</w:t>
      </w:r>
    </w:p>
    <w:p w14:paraId="6CBBD220" w14:textId="77777777" w:rsidR="00373EE3" w:rsidRDefault="00F6395A" w:rsidP="00F6395A">
      <w:proofErr w:type="spellStart"/>
      <w:r w:rsidRPr="009B6AA8">
        <w:t>Linac</w:t>
      </w:r>
      <w:proofErr w:type="spellEnd"/>
      <w:r w:rsidRPr="009B6AA8">
        <w:t xml:space="preserve"> vendors indicated that eight to 10</w:t>
      </w:r>
      <w:r w:rsidR="00E61AD5" w:rsidRPr="009B6AA8">
        <w:t xml:space="preserve"> </w:t>
      </w:r>
      <w:r w:rsidRPr="009B6AA8">
        <w:t xml:space="preserve">years was a suitable timeframe for </w:t>
      </w:r>
      <w:proofErr w:type="spellStart"/>
      <w:r w:rsidRPr="009B6AA8">
        <w:t>linac</w:t>
      </w:r>
      <w:proofErr w:type="spellEnd"/>
      <w:r w:rsidRPr="009B6AA8">
        <w:t xml:space="preserve"> turnover, so long as a mid-way upgrade was performed to ensure currency of the machines</w:t>
      </w:r>
      <w:r w:rsidR="007C3F21">
        <w:t xml:space="preserve"> in line with technology advances</w:t>
      </w:r>
      <w:r w:rsidRPr="009B6AA8">
        <w:t>.</w:t>
      </w:r>
    </w:p>
    <w:p w14:paraId="20461DDF" w14:textId="254A638E" w:rsidR="00373EE3" w:rsidRDefault="00F6395A" w:rsidP="00F6395A">
      <w:r w:rsidRPr="009B6AA8">
        <w:t xml:space="preserve">Although not recently reviewed, nominal lifetimes for </w:t>
      </w:r>
      <w:proofErr w:type="spellStart"/>
      <w:r w:rsidRPr="009B6AA8">
        <w:t>linacs</w:t>
      </w:r>
      <w:proofErr w:type="spellEnd"/>
      <w:r w:rsidRPr="009B6AA8">
        <w:t xml:space="preserve"> for the basis of planning is often set at 10</w:t>
      </w:r>
      <w:r w:rsidR="00E61AD5" w:rsidRPr="009B6AA8">
        <w:t xml:space="preserve"> </w:t>
      </w:r>
      <w:r w:rsidRPr="009B6AA8">
        <w:t xml:space="preserve">years in many European and United Kingdom countries as well as New Zealand </w:t>
      </w:r>
      <w:sdt>
        <w:sdtPr>
          <w:rPr>
            <w:rStyle w:val="FootnoteReference"/>
          </w:rPr>
          <w:id w:val="90980508"/>
          <w:citation/>
        </w:sdtPr>
        <w:sdtContent>
          <w:r w:rsidRPr="00374DA4">
            <w:rPr>
              <w:rStyle w:val="FootnoteReference"/>
            </w:rPr>
            <w:fldChar w:fldCharType="begin"/>
          </w:r>
          <w:r w:rsidRPr="00374DA4">
            <w:rPr>
              <w:rStyle w:val="FootnoteReference"/>
            </w:rPr>
            <w:instrText xml:space="preserve"> CITATION Dun14 \l 2057 </w:instrText>
          </w:r>
          <w:r w:rsidRPr="00374DA4">
            <w:rPr>
              <w:rStyle w:val="FootnoteReference"/>
            </w:rPr>
            <w:fldChar w:fldCharType="separate"/>
          </w:r>
          <w:r w:rsidR="00264535" w:rsidRPr="00264535">
            <w:rPr>
              <w:noProof/>
            </w:rPr>
            <w:t>[32]</w:t>
          </w:r>
          <w:r w:rsidRPr="00374DA4">
            <w:rPr>
              <w:rStyle w:val="FootnoteReference"/>
            </w:rPr>
            <w:fldChar w:fldCharType="end"/>
          </w:r>
        </w:sdtContent>
      </w:sdt>
      <w:r w:rsidRPr="00374DA4">
        <w:rPr>
          <w:rStyle w:val="FootnoteReference"/>
        </w:rPr>
        <w:t xml:space="preserve"> </w:t>
      </w:r>
      <w:sdt>
        <w:sdtPr>
          <w:rPr>
            <w:rStyle w:val="FootnoteReference"/>
          </w:rPr>
          <w:id w:val="-2084434668"/>
          <w:citation/>
        </w:sdtPr>
        <w:sdtContent>
          <w:r w:rsidRPr="00374DA4">
            <w:rPr>
              <w:rStyle w:val="FootnoteReference"/>
            </w:rPr>
            <w:fldChar w:fldCharType="begin"/>
          </w:r>
          <w:r w:rsidRPr="00374DA4">
            <w:rPr>
              <w:rStyle w:val="FootnoteReference"/>
            </w:rPr>
            <w:instrText xml:space="preserve"> CITATION Can09 \l 2057 </w:instrText>
          </w:r>
          <w:r w:rsidRPr="00374DA4">
            <w:rPr>
              <w:rStyle w:val="FootnoteReference"/>
            </w:rPr>
            <w:fldChar w:fldCharType="separate"/>
          </w:r>
          <w:r w:rsidR="00264535" w:rsidRPr="00264535">
            <w:rPr>
              <w:noProof/>
            </w:rPr>
            <w:t>[33]</w:t>
          </w:r>
          <w:r w:rsidRPr="00374DA4">
            <w:rPr>
              <w:rStyle w:val="FootnoteReference"/>
            </w:rPr>
            <w:fldChar w:fldCharType="end"/>
          </w:r>
        </w:sdtContent>
      </w:sdt>
      <w:r w:rsidRPr="00374DA4">
        <w:rPr>
          <w:rStyle w:val="FootnoteReference"/>
        </w:rPr>
        <w:t xml:space="preserve"> </w:t>
      </w:r>
      <w:sdt>
        <w:sdtPr>
          <w:rPr>
            <w:rStyle w:val="FootnoteReference"/>
          </w:rPr>
          <w:id w:val="-1071498766"/>
          <w:citation/>
        </w:sdtPr>
        <w:sdtContent>
          <w:r w:rsidRPr="00374DA4">
            <w:rPr>
              <w:rStyle w:val="FootnoteReference"/>
            </w:rPr>
            <w:fldChar w:fldCharType="begin"/>
          </w:r>
          <w:r w:rsidRPr="00374DA4">
            <w:rPr>
              <w:rStyle w:val="FootnoteReference"/>
            </w:rPr>
            <w:instrText xml:space="preserve"> CITATION Min14 \l 2057 </w:instrText>
          </w:r>
          <w:r w:rsidRPr="00374DA4">
            <w:rPr>
              <w:rStyle w:val="FootnoteReference"/>
            </w:rPr>
            <w:fldChar w:fldCharType="separate"/>
          </w:r>
          <w:r w:rsidR="00264535" w:rsidRPr="00264535">
            <w:rPr>
              <w:noProof/>
            </w:rPr>
            <w:t>[34]</w:t>
          </w:r>
          <w:r w:rsidRPr="00374DA4">
            <w:rPr>
              <w:rStyle w:val="FootnoteReference"/>
            </w:rPr>
            <w:fldChar w:fldCharType="end"/>
          </w:r>
        </w:sdtContent>
      </w:sdt>
      <w:r w:rsidRPr="00374DA4">
        <w:rPr>
          <w:rStyle w:val="FootnoteReference"/>
        </w:rPr>
        <w:t>.</w:t>
      </w:r>
    </w:p>
    <w:p w14:paraId="689EABB1" w14:textId="4FC3A963" w:rsidR="00F6395A" w:rsidRPr="009B6AA8" w:rsidRDefault="00F6395A" w:rsidP="00F6395A">
      <w:pPr>
        <w:pStyle w:val="Finding"/>
      </w:pPr>
      <w:r w:rsidRPr="009B6AA8">
        <w:t>Internationally, a nominal lifetime of 10</w:t>
      </w:r>
      <w:r w:rsidR="00E61AD5" w:rsidRPr="009B6AA8">
        <w:t xml:space="preserve"> </w:t>
      </w:r>
      <w:r w:rsidRPr="009B6AA8">
        <w:t>years is commonly used</w:t>
      </w:r>
      <w:r w:rsidR="00A20CDB">
        <w:t xml:space="preserve"> for </w:t>
      </w:r>
      <w:proofErr w:type="spellStart"/>
      <w:r w:rsidR="00A20CDB">
        <w:t>linacs</w:t>
      </w:r>
      <w:proofErr w:type="spellEnd"/>
      <w:r w:rsidRPr="009B6AA8">
        <w:t xml:space="preserve">. This nominal timeframe was supported by </w:t>
      </w:r>
      <w:r w:rsidR="008040DF" w:rsidRPr="009B6AA8">
        <w:t xml:space="preserve">most </w:t>
      </w:r>
      <w:r w:rsidRPr="009B6AA8">
        <w:t>stakeholders</w:t>
      </w:r>
      <w:r w:rsidR="003D174E" w:rsidRPr="009B6AA8">
        <w:t xml:space="preserve">, other than private </w:t>
      </w:r>
      <w:r w:rsidR="007A75A8">
        <w:t>facilities</w:t>
      </w:r>
      <w:r w:rsidR="00D65C79">
        <w:t>,</w:t>
      </w:r>
      <w:r w:rsidR="003D174E" w:rsidRPr="00D65C79">
        <w:t xml:space="preserve"> consulted during the project</w:t>
      </w:r>
      <w:r w:rsidRPr="009B6AA8">
        <w:t>.</w:t>
      </w:r>
    </w:p>
    <w:p w14:paraId="15310564" w14:textId="7600C9B3" w:rsidR="00373EE3" w:rsidRPr="00BC705E" w:rsidRDefault="00375E68" w:rsidP="009F3514">
      <w:pPr>
        <w:pStyle w:val="heading2numbered"/>
      </w:pPr>
      <w:bookmarkStart w:id="175" w:name="_Toc59198480"/>
      <w:bookmarkStart w:id="176" w:name="_Toc66193947"/>
      <w:bookmarkStart w:id="177" w:name="_Toc73696694"/>
      <w:r w:rsidRPr="00BC705E">
        <w:t>S</w:t>
      </w:r>
      <w:r w:rsidR="000F6B35" w:rsidRPr="00BC705E">
        <w:t>afety and quality of equipment</w:t>
      </w:r>
      <w:bookmarkEnd w:id="175"/>
      <w:bookmarkEnd w:id="176"/>
      <w:bookmarkEnd w:id="177"/>
    </w:p>
    <w:p w14:paraId="2808883A" w14:textId="3CF4C4DC" w:rsidR="0071379F" w:rsidRPr="009B6AA8" w:rsidRDefault="007B3748" w:rsidP="007A1E2C">
      <w:r w:rsidRPr="009B6AA8">
        <w:t xml:space="preserve">The ROHPG seeks to ensure safety and quality of RT in two ways: a) ensuring the quality of machines that are in service through dosimetry monitoring, and b) ensuring appropriate turnover of </w:t>
      </w:r>
      <w:proofErr w:type="spellStart"/>
      <w:r w:rsidRPr="009B6AA8">
        <w:t>linacs</w:t>
      </w:r>
      <w:proofErr w:type="spellEnd"/>
      <w:r w:rsidRPr="009B6AA8">
        <w:t xml:space="preserve"> within </w:t>
      </w:r>
      <w:r w:rsidR="00A20CDB">
        <w:t>a</w:t>
      </w:r>
      <w:r w:rsidRPr="009B6AA8">
        <w:t xml:space="preserve"> nominal lifetime. The effectiveness of the ROHPG at achiev</w:t>
      </w:r>
      <w:r w:rsidR="00AD0741" w:rsidRPr="009B6AA8">
        <w:t>ing</w:t>
      </w:r>
      <w:r w:rsidRPr="009B6AA8">
        <w:t xml:space="preserve"> these objectives </w:t>
      </w:r>
      <w:r w:rsidR="00A20CDB">
        <w:t>is</w:t>
      </w:r>
      <w:r w:rsidR="00A20CDB" w:rsidRPr="009B6AA8">
        <w:t xml:space="preserve"> </w:t>
      </w:r>
      <w:r w:rsidRPr="009B6AA8">
        <w:t>discussed below.</w:t>
      </w:r>
    </w:p>
    <w:p w14:paraId="1EAFF887" w14:textId="77777777" w:rsidR="00373EE3" w:rsidRPr="00BC705E" w:rsidRDefault="007B3748" w:rsidP="009F3514">
      <w:pPr>
        <w:pStyle w:val="Heading3numbered"/>
      </w:pPr>
      <w:bookmarkStart w:id="178" w:name="_Toc59198481"/>
      <w:bookmarkStart w:id="179" w:name="_Toc66193948"/>
      <w:r w:rsidRPr="00BC705E">
        <w:t>Dosimetry monitoring</w:t>
      </w:r>
      <w:bookmarkEnd w:id="178"/>
      <w:bookmarkEnd w:id="179"/>
    </w:p>
    <w:p w14:paraId="0D324785" w14:textId="0ED67DAF" w:rsidR="00373EE3" w:rsidRDefault="0071379F" w:rsidP="007A1E2C">
      <w:r w:rsidRPr="009B6AA8">
        <w:t xml:space="preserve">The 2017 changes to the ROHPG </w:t>
      </w:r>
      <w:r w:rsidR="00FD606B">
        <w:t>Scheme</w:t>
      </w:r>
      <w:r w:rsidRPr="009B6AA8">
        <w:t xml:space="preserve"> introduced a </w:t>
      </w:r>
      <w:r w:rsidR="00FE019B" w:rsidRPr="009B6AA8">
        <w:t>requirement</w:t>
      </w:r>
      <w:r w:rsidRPr="009B6AA8">
        <w:t xml:space="preserve"> for all funded </w:t>
      </w:r>
      <w:r w:rsidR="007A75A8">
        <w:t>facilities</w:t>
      </w:r>
      <w:r w:rsidR="00FE019B" w:rsidRPr="009B6AA8">
        <w:t xml:space="preserve"> to undergo dosimetry monitoring from an independent organisation with suitable National Association of Testing Authorities (NATA) accreditation</w:t>
      </w:r>
      <w:sdt>
        <w:sdtPr>
          <w:id w:val="-1974205078"/>
          <w:citation/>
        </w:sdtPr>
        <w:sdtContent>
          <w:r w:rsidR="00FE019B" w:rsidRPr="00D65C79">
            <w:fldChar w:fldCharType="begin"/>
          </w:r>
          <w:r w:rsidR="00010607">
            <w:instrText xml:space="preserve">CITATION Aus2014 \l 2057 </w:instrText>
          </w:r>
          <w:r w:rsidR="00FE019B" w:rsidRPr="00D65C79">
            <w:fldChar w:fldCharType="separate"/>
          </w:r>
          <w:r w:rsidR="00264535">
            <w:rPr>
              <w:noProof/>
            </w:rPr>
            <w:t xml:space="preserve"> </w:t>
          </w:r>
          <w:r w:rsidR="00264535" w:rsidRPr="00264535">
            <w:rPr>
              <w:noProof/>
            </w:rPr>
            <w:t>[35]</w:t>
          </w:r>
          <w:r w:rsidR="00FE019B" w:rsidRPr="00D65C79">
            <w:fldChar w:fldCharType="end"/>
          </w:r>
        </w:sdtContent>
      </w:sdt>
      <w:r w:rsidR="00FE019B" w:rsidRPr="00D65C79">
        <w:t>. The ROHPG guidelines indicate that the dosimetry audit should be consistent with the f</w:t>
      </w:r>
      <w:r w:rsidR="00FE019B" w:rsidRPr="009B6AA8">
        <w:t>our-year audit cycle with different audit levels across the cycle used by the ACDS.</w:t>
      </w:r>
    </w:p>
    <w:p w14:paraId="42B66F12" w14:textId="77777777" w:rsidR="00373EE3" w:rsidRDefault="00AD0741" w:rsidP="007A1E2C">
      <w:r w:rsidRPr="009B6AA8">
        <w:t xml:space="preserve">The Australian Government funded an initial pilot of the </w:t>
      </w:r>
      <w:r w:rsidR="00935249" w:rsidRPr="009B6AA8">
        <w:t>ACDS for approx</w:t>
      </w:r>
      <w:r w:rsidRPr="009B6AA8">
        <w:t>imately</w:t>
      </w:r>
      <w:r w:rsidR="00935249" w:rsidRPr="009B6AA8">
        <w:t xml:space="preserve"> </w:t>
      </w:r>
      <w:r w:rsidRPr="009B6AA8">
        <w:t>four</w:t>
      </w:r>
      <w:r w:rsidR="00935249" w:rsidRPr="009B6AA8">
        <w:t xml:space="preserve"> years. </w:t>
      </w:r>
      <w:r w:rsidRPr="009B6AA8">
        <w:t xml:space="preserve">This initiative was then given a further two </w:t>
      </w:r>
      <w:r w:rsidR="00935249" w:rsidRPr="009B6AA8">
        <w:t xml:space="preserve">years of funding to transition to a self-sustainable model. </w:t>
      </w:r>
      <w:r w:rsidRPr="009B6AA8">
        <w:t>The ACDS has been o</w:t>
      </w:r>
      <w:r w:rsidR="00935249" w:rsidRPr="009B6AA8">
        <w:t xml:space="preserve">perating as a user pay </w:t>
      </w:r>
      <w:r w:rsidR="00A20CDB" w:rsidRPr="009B6AA8">
        <w:t>fee</w:t>
      </w:r>
      <w:r w:rsidR="00A20CDB">
        <w:t>-</w:t>
      </w:r>
      <w:r w:rsidR="00A20CDB" w:rsidRPr="009B6AA8">
        <w:t>for</w:t>
      </w:r>
      <w:r w:rsidR="00A20CDB">
        <w:t>-</w:t>
      </w:r>
      <w:r w:rsidR="00935249" w:rsidRPr="009B6AA8">
        <w:t xml:space="preserve">subscription model now for </w:t>
      </w:r>
      <w:r w:rsidRPr="009B6AA8">
        <w:t>approximately four</w:t>
      </w:r>
      <w:r w:rsidR="006F6BDC" w:rsidRPr="009B6AA8">
        <w:t xml:space="preserve"> </w:t>
      </w:r>
      <w:r w:rsidR="00935249" w:rsidRPr="009B6AA8">
        <w:t>years</w:t>
      </w:r>
      <w:r w:rsidRPr="009B6AA8">
        <w:t xml:space="preserve"> and w</w:t>
      </w:r>
      <w:r w:rsidR="00935249" w:rsidRPr="009B6AA8">
        <w:t xml:space="preserve">ithin </w:t>
      </w:r>
      <w:r w:rsidRPr="009B6AA8">
        <w:t>six</w:t>
      </w:r>
      <w:r w:rsidR="00935249" w:rsidRPr="009B6AA8">
        <w:t xml:space="preserve"> months</w:t>
      </w:r>
      <w:r w:rsidRPr="009B6AA8">
        <w:t xml:space="preserve"> there </w:t>
      </w:r>
      <w:r w:rsidR="00935249" w:rsidRPr="009B6AA8">
        <w:t>had</w:t>
      </w:r>
      <w:r w:rsidR="006F6BDC" w:rsidRPr="009B6AA8">
        <w:t xml:space="preserve"> been almost </w:t>
      </w:r>
      <w:r w:rsidR="00935249" w:rsidRPr="009B6AA8">
        <w:t>100% sign</w:t>
      </w:r>
      <w:r w:rsidRPr="009B6AA8">
        <w:t>-</w:t>
      </w:r>
      <w:r w:rsidR="00935249" w:rsidRPr="009B6AA8">
        <w:t>up</w:t>
      </w:r>
      <w:r w:rsidRPr="009B6AA8">
        <w:t xml:space="preserve"> of </w:t>
      </w:r>
      <w:r w:rsidR="006F6BDC" w:rsidRPr="009B6AA8">
        <w:t xml:space="preserve">RT </w:t>
      </w:r>
      <w:r w:rsidR="007A75A8">
        <w:t>facilities</w:t>
      </w:r>
      <w:r w:rsidR="006F6BDC" w:rsidRPr="009B6AA8">
        <w:t xml:space="preserve"> (</w:t>
      </w:r>
      <w:r w:rsidRPr="009B6AA8">
        <w:t xml:space="preserve">ROHPG funded </w:t>
      </w:r>
      <w:r w:rsidR="006F6BDC" w:rsidRPr="009B6AA8">
        <w:t>and non-funded).</w:t>
      </w:r>
    </w:p>
    <w:p w14:paraId="22FE03CA" w14:textId="77777777" w:rsidR="00373EE3" w:rsidRDefault="005519AC" w:rsidP="007A1E2C">
      <w:r w:rsidRPr="009B6AA8">
        <w:lastRenderedPageBreak/>
        <w:t xml:space="preserve">All stakeholders consulted </w:t>
      </w:r>
      <w:r w:rsidR="00FE019B" w:rsidRPr="009B6AA8">
        <w:t xml:space="preserve">felt the inclusion </w:t>
      </w:r>
      <w:r w:rsidRPr="009B6AA8">
        <w:t>of dosimetry monitoring in</w:t>
      </w:r>
      <w:r w:rsidR="00FE019B" w:rsidRPr="009B6AA8">
        <w:t xml:space="preserve"> the </w:t>
      </w:r>
      <w:r w:rsidRPr="009B6AA8">
        <w:t>ROHPG</w:t>
      </w:r>
      <w:r w:rsidR="00FE019B" w:rsidRPr="009B6AA8">
        <w:t xml:space="preserve"> requirements was beneficial</w:t>
      </w:r>
      <w:r w:rsidRPr="009B6AA8">
        <w:t xml:space="preserve">. </w:t>
      </w:r>
      <w:r w:rsidR="00FE019B" w:rsidRPr="009B6AA8">
        <w:t>All stakeholders commented on the quality of the services provided by ACDS.</w:t>
      </w:r>
    </w:p>
    <w:p w14:paraId="1AEAA975" w14:textId="77777777" w:rsidR="00373EE3" w:rsidRDefault="006F6BDC" w:rsidP="007A1E2C">
      <w:r w:rsidRPr="009B6AA8">
        <w:t>Stakeholders</w:t>
      </w:r>
      <w:r w:rsidR="00AD0741" w:rsidRPr="009B6AA8">
        <w:t xml:space="preserve"> said that p</w:t>
      </w:r>
      <w:r w:rsidR="00FE019B" w:rsidRPr="009B6AA8">
        <w:t xml:space="preserve">rior to the introduction of formal audit requirements, RT </w:t>
      </w:r>
      <w:r w:rsidR="007A75A8">
        <w:t>facilities</w:t>
      </w:r>
      <w:r w:rsidR="00FE019B" w:rsidRPr="009B6AA8">
        <w:t xml:space="preserve"> would routinely audit one another in reciprocal fashion, which did not incur financial expense (other than time). </w:t>
      </w:r>
      <w:r w:rsidR="00935249" w:rsidRPr="009B6AA8">
        <w:t xml:space="preserve">In this context, </w:t>
      </w:r>
      <w:r w:rsidR="00FE019B" w:rsidRPr="009B6AA8">
        <w:t xml:space="preserve">some </w:t>
      </w:r>
      <w:r w:rsidR="007A75A8">
        <w:t>facilities</w:t>
      </w:r>
      <w:r w:rsidR="00FE019B" w:rsidRPr="009B6AA8">
        <w:t xml:space="preserve"> (both public and private) felt the costs of the ACDS audits were prohibitive.</w:t>
      </w:r>
      <w:r w:rsidR="00935249" w:rsidRPr="009B6AA8">
        <w:t xml:space="preserve"> ACDS audits cost $12,000 per annum per </w:t>
      </w:r>
      <w:proofErr w:type="spellStart"/>
      <w:r w:rsidR="00935249" w:rsidRPr="009B6AA8">
        <w:t>linac</w:t>
      </w:r>
      <w:proofErr w:type="spellEnd"/>
      <w:r w:rsidR="00935249" w:rsidRPr="009B6AA8">
        <w:t xml:space="preserve">, over </w:t>
      </w:r>
      <w:r w:rsidR="00AD0741" w:rsidRPr="009B6AA8">
        <w:t xml:space="preserve">a </w:t>
      </w:r>
      <w:r w:rsidR="00935249" w:rsidRPr="009B6AA8">
        <w:t xml:space="preserve">four-year audit cycle. </w:t>
      </w:r>
      <w:r w:rsidR="00AA0269" w:rsidRPr="009B6AA8">
        <w:t xml:space="preserve">Notwithstanding the accumulation of costs for </w:t>
      </w:r>
      <w:r w:rsidR="007A75A8">
        <w:t>facilities</w:t>
      </w:r>
      <w:r w:rsidR="00AA0269" w:rsidRPr="009B6AA8">
        <w:t xml:space="preserve"> with multiple </w:t>
      </w:r>
      <w:proofErr w:type="spellStart"/>
      <w:r w:rsidR="00AA0269" w:rsidRPr="009B6AA8">
        <w:t>linacs</w:t>
      </w:r>
      <w:proofErr w:type="spellEnd"/>
      <w:r w:rsidR="00AA0269" w:rsidRPr="009B6AA8">
        <w:t>, ACDS costs represent only 3.2% (private) to 4% (public) of ROHPG payments.</w:t>
      </w:r>
    </w:p>
    <w:p w14:paraId="6A77C8E7" w14:textId="77777777" w:rsidR="00373EE3" w:rsidRDefault="00AA0269" w:rsidP="007A1E2C">
      <w:r w:rsidRPr="009B6AA8">
        <w:t xml:space="preserve">ACDS indicated that all </w:t>
      </w:r>
      <w:r w:rsidR="007A75A8">
        <w:t>facilities</w:t>
      </w:r>
      <w:r w:rsidRPr="009B6AA8">
        <w:t xml:space="preserve"> with ROHPG funded </w:t>
      </w:r>
      <w:proofErr w:type="spellStart"/>
      <w:r w:rsidRPr="009B6AA8">
        <w:t>linacs</w:t>
      </w:r>
      <w:proofErr w:type="spellEnd"/>
      <w:r w:rsidRPr="009B6AA8">
        <w:t xml:space="preserve"> subscribed to the audit cycle, and most </w:t>
      </w:r>
      <w:r w:rsidR="007A75A8">
        <w:t>facilities</w:t>
      </w:r>
      <w:r w:rsidRPr="009B6AA8">
        <w:t xml:space="preserve"> without ROHPG funding also subscribed (only two </w:t>
      </w:r>
      <w:r w:rsidR="008040DF" w:rsidRPr="009B6AA8">
        <w:t xml:space="preserve">non-ROHPG funded </w:t>
      </w:r>
      <w:proofErr w:type="spellStart"/>
      <w:r w:rsidR="008040DF" w:rsidRPr="009B6AA8">
        <w:t>linacs</w:t>
      </w:r>
      <w:proofErr w:type="spellEnd"/>
      <w:r w:rsidR="00AD0741" w:rsidRPr="009B6AA8">
        <w:t xml:space="preserve"> had</w:t>
      </w:r>
      <w:r w:rsidR="008040DF" w:rsidRPr="009B6AA8">
        <w:t xml:space="preserve"> </w:t>
      </w:r>
      <w:r w:rsidRPr="009B6AA8">
        <w:t>not subscribed).</w:t>
      </w:r>
    </w:p>
    <w:p w14:paraId="4BCAE1D4" w14:textId="77777777" w:rsidR="00373EE3" w:rsidRDefault="008040DF" w:rsidP="007A1E2C">
      <w:r w:rsidRPr="009B6AA8">
        <w:t xml:space="preserve">One </w:t>
      </w:r>
      <w:r w:rsidR="00C62BBC">
        <w:t>facility</w:t>
      </w:r>
      <w:r w:rsidRPr="009B6AA8">
        <w:t xml:space="preserve"> commented that having only one independent dosimetry audit provider presented its own risk. Conversely, because ACDS </w:t>
      </w:r>
      <w:r w:rsidR="00A20CDB">
        <w:t>is</w:t>
      </w:r>
      <w:r w:rsidR="00A20CDB" w:rsidRPr="009B6AA8">
        <w:t xml:space="preserve"> </w:t>
      </w:r>
      <w:r w:rsidRPr="009B6AA8">
        <w:t>the only national provider</w:t>
      </w:r>
      <w:r w:rsidR="00AD0741" w:rsidRPr="009B6AA8">
        <w:t>,</w:t>
      </w:r>
      <w:r w:rsidRPr="009B6AA8">
        <w:t xml:space="preserve"> they are able to compare and benchmark services to themselves and national averages, and monitor trends and outliers.</w:t>
      </w:r>
    </w:p>
    <w:p w14:paraId="1D145BC8" w14:textId="106347EC" w:rsidR="008040DF" w:rsidRPr="009B6AA8" w:rsidRDefault="008040DF" w:rsidP="007A1E2C">
      <w:pPr>
        <w:pStyle w:val="Finding"/>
      </w:pPr>
      <w:r w:rsidRPr="009B6AA8">
        <w:t xml:space="preserve">Dosimetry monitoring is a beneficial and </w:t>
      </w:r>
      <w:r w:rsidR="00AD0741" w:rsidRPr="009B6AA8">
        <w:t>respected</w:t>
      </w:r>
      <w:r w:rsidRPr="009B6AA8">
        <w:t xml:space="preserve"> addition to the ROHPG </w:t>
      </w:r>
      <w:r w:rsidR="006F6BDC" w:rsidRPr="009B6AA8">
        <w:t>funding conditions.</w:t>
      </w:r>
    </w:p>
    <w:p w14:paraId="459A5712" w14:textId="77777777" w:rsidR="00373EE3" w:rsidRPr="00BC705E" w:rsidRDefault="007B3748" w:rsidP="009F3514">
      <w:pPr>
        <w:pStyle w:val="Heading3numbered"/>
      </w:pPr>
      <w:bookmarkStart w:id="180" w:name="_Ref57654833"/>
      <w:bookmarkStart w:id="181" w:name="_Toc59198482"/>
      <w:bookmarkStart w:id="182" w:name="_Toc66193949"/>
      <w:proofErr w:type="spellStart"/>
      <w:r w:rsidRPr="00BC705E">
        <w:t>Linac</w:t>
      </w:r>
      <w:proofErr w:type="spellEnd"/>
      <w:r w:rsidRPr="00BC705E">
        <w:t xml:space="preserve"> turnover</w:t>
      </w:r>
      <w:bookmarkEnd w:id="180"/>
      <w:bookmarkEnd w:id="181"/>
      <w:bookmarkEnd w:id="182"/>
    </w:p>
    <w:p w14:paraId="426AE975" w14:textId="77777777" w:rsidR="00373EE3" w:rsidRDefault="004777B3" w:rsidP="007A1E2C">
      <w:r w:rsidRPr="007C0476">
        <w:t xml:space="preserve">ROHPG equipment data was analysed to determine </w:t>
      </w:r>
      <w:proofErr w:type="spellStart"/>
      <w:r w:rsidRPr="007C0476">
        <w:t>linac</w:t>
      </w:r>
      <w:proofErr w:type="spellEnd"/>
      <w:r w:rsidRPr="007C0476">
        <w:t xml:space="preserve"> turnover for ROHPG funded </w:t>
      </w:r>
      <w:proofErr w:type="spellStart"/>
      <w:r w:rsidRPr="007C0476">
        <w:t>linacs</w:t>
      </w:r>
      <w:proofErr w:type="spellEnd"/>
      <w:r w:rsidRPr="007C0476">
        <w:t xml:space="preserve">. As shown in </w:t>
      </w:r>
      <w:bookmarkStart w:id="183" w:name="_Hlk57383108"/>
      <w:r w:rsidRPr="007C0476">
        <w:fldChar w:fldCharType="begin"/>
      </w:r>
      <w:r w:rsidRPr="007C0476">
        <w:instrText xml:space="preserve"> REF _Ref56189541 \h </w:instrText>
      </w:r>
      <w:r w:rsidR="0041441F" w:rsidRPr="007C0476">
        <w:instrText xml:space="preserve"> \* MERGEFORMAT </w:instrText>
      </w:r>
      <w:r w:rsidRPr="007C0476">
        <w:fldChar w:fldCharType="separate"/>
      </w:r>
      <w:r w:rsidR="007C0448" w:rsidRPr="009B6AA8">
        <w:t xml:space="preserve">Table </w:t>
      </w:r>
      <w:r w:rsidR="007C0448">
        <w:rPr>
          <w:rFonts w:hint="cs"/>
          <w:noProof/>
          <w:cs/>
        </w:rPr>
        <w:t>‎</w:t>
      </w:r>
      <w:r w:rsidR="007C0448">
        <w:rPr>
          <w:noProof/>
        </w:rPr>
        <w:t>5.1</w:t>
      </w:r>
      <w:r w:rsidRPr="007C0476">
        <w:fldChar w:fldCharType="end"/>
      </w:r>
      <w:r w:rsidRPr="007C0476">
        <w:t>,</w:t>
      </w:r>
      <w:bookmarkEnd w:id="183"/>
      <w:r w:rsidRPr="007C0476">
        <w:t xml:space="preserve"> the analysis </w:t>
      </w:r>
      <w:r w:rsidR="00AD0741" w:rsidRPr="007C0476">
        <w:t>found</w:t>
      </w:r>
      <w:r w:rsidRPr="007C0476">
        <w:t xml:space="preserve"> that </w:t>
      </w:r>
      <w:r w:rsidR="00641C63" w:rsidRPr="007C0476">
        <w:t>9</w:t>
      </w:r>
      <w:r w:rsidR="007C0476">
        <w:t>2.5</w:t>
      </w:r>
      <w:r w:rsidRPr="007C0476">
        <w:t xml:space="preserve">% of ROHPG funded </w:t>
      </w:r>
      <w:proofErr w:type="spellStart"/>
      <w:r w:rsidRPr="007C0476">
        <w:t>linacs</w:t>
      </w:r>
      <w:proofErr w:type="spellEnd"/>
      <w:r w:rsidRPr="007C0476">
        <w:t xml:space="preserve"> (</w:t>
      </w:r>
      <w:r w:rsidR="00641C63" w:rsidRPr="007C0476">
        <w:t>currently active</w:t>
      </w:r>
      <w:r w:rsidRPr="007C0476">
        <w:t>) are 10 years old or less</w:t>
      </w:r>
      <w:r w:rsidR="00DF5550" w:rsidRPr="00A512A1">
        <w:t xml:space="preserve">. However, </w:t>
      </w:r>
      <w:proofErr w:type="spellStart"/>
      <w:r w:rsidR="00DF5550" w:rsidRPr="00A512A1">
        <w:t>linacs</w:t>
      </w:r>
      <w:proofErr w:type="spellEnd"/>
      <w:r w:rsidR="00DF5550" w:rsidRPr="00A512A1">
        <w:t xml:space="preserve"> in public facilities </w:t>
      </w:r>
      <w:r w:rsidR="00DF5550" w:rsidRPr="004D01A0">
        <w:t>were more likely to be over 10 years of age (n=1</w:t>
      </w:r>
      <w:r w:rsidR="000965EB">
        <w:t>0</w:t>
      </w:r>
      <w:r w:rsidR="00DF5550" w:rsidRPr="007C0476">
        <w:t xml:space="preserve">) compared to private facility </w:t>
      </w:r>
      <w:proofErr w:type="spellStart"/>
      <w:r w:rsidR="00DF5550" w:rsidRPr="007C0476">
        <w:t>linacs</w:t>
      </w:r>
      <w:proofErr w:type="spellEnd"/>
      <w:r w:rsidR="00DF5550" w:rsidRPr="007C0476">
        <w:t xml:space="preserve"> (n=</w:t>
      </w:r>
      <w:r w:rsidR="000965EB">
        <w:t>4</w:t>
      </w:r>
      <w:r w:rsidR="00DF5550" w:rsidRPr="007C0476">
        <w:t>)</w:t>
      </w:r>
      <w:r w:rsidR="000E1715" w:rsidRPr="007C0476">
        <w:t xml:space="preserve">, although only one </w:t>
      </w:r>
      <w:proofErr w:type="spellStart"/>
      <w:r w:rsidR="000E1715" w:rsidRPr="007C0476">
        <w:t>linac</w:t>
      </w:r>
      <w:proofErr w:type="spellEnd"/>
      <w:r w:rsidR="000E1715" w:rsidRPr="007C0476">
        <w:t xml:space="preserve"> (in a priv</w:t>
      </w:r>
      <w:r w:rsidR="00D5112E" w:rsidRPr="007C0476">
        <w:t>a</w:t>
      </w:r>
      <w:r w:rsidR="000E1715" w:rsidRPr="007C0476">
        <w:t>te facility) was currently aged greater than 12 years</w:t>
      </w:r>
      <w:r w:rsidR="00D5112E" w:rsidRPr="007C0476">
        <w:t xml:space="preserve">. </w:t>
      </w:r>
      <w:r w:rsidR="005519AC" w:rsidRPr="007C0476">
        <w:t xml:space="preserve">The median age of ROHPG funded </w:t>
      </w:r>
      <w:proofErr w:type="spellStart"/>
      <w:r w:rsidR="00641C63" w:rsidRPr="007C0476">
        <w:t>linacs</w:t>
      </w:r>
      <w:proofErr w:type="spellEnd"/>
      <w:r w:rsidR="00641C63" w:rsidRPr="007C0476">
        <w:t xml:space="preserve"> (currently active) </w:t>
      </w:r>
      <w:r w:rsidR="005519AC" w:rsidRPr="007C0476">
        <w:t xml:space="preserve">is </w:t>
      </w:r>
      <w:r w:rsidR="00A20CDB" w:rsidRPr="007C0476">
        <w:t xml:space="preserve">five </w:t>
      </w:r>
      <w:r w:rsidR="005519AC" w:rsidRPr="007C0476">
        <w:t>years (</w:t>
      </w:r>
      <w:r w:rsidR="00641C63" w:rsidRPr="007C0476">
        <w:t>six</w:t>
      </w:r>
      <w:r w:rsidR="00A20CDB" w:rsidRPr="007C0476">
        <w:t xml:space="preserve"> </w:t>
      </w:r>
      <w:r w:rsidR="005519AC" w:rsidRPr="007C0476">
        <w:t xml:space="preserve">for public </w:t>
      </w:r>
      <w:proofErr w:type="spellStart"/>
      <w:r w:rsidR="005519AC" w:rsidRPr="007C0476">
        <w:t>linacs</w:t>
      </w:r>
      <w:proofErr w:type="spellEnd"/>
      <w:r w:rsidR="005519AC" w:rsidRPr="007C0476">
        <w:t xml:space="preserve"> and </w:t>
      </w:r>
      <w:r w:rsidR="00641C63" w:rsidRPr="007C0476">
        <w:t>four</w:t>
      </w:r>
      <w:r w:rsidR="00A20CDB" w:rsidRPr="007C0476">
        <w:t xml:space="preserve"> </w:t>
      </w:r>
      <w:r w:rsidR="005519AC" w:rsidRPr="007C0476">
        <w:t>for private</w:t>
      </w:r>
      <w:r w:rsidR="00DF5550" w:rsidRPr="007C0476">
        <w:t xml:space="preserve"> </w:t>
      </w:r>
      <w:proofErr w:type="spellStart"/>
      <w:r w:rsidR="00DF5550" w:rsidRPr="007C0476">
        <w:t>linacs</w:t>
      </w:r>
      <w:proofErr w:type="spellEnd"/>
      <w:r w:rsidR="005519AC" w:rsidRPr="007C0476">
        <w:t>).</w:t>
      </w:r>
    </w:p>
    <w:p w14:paraId="11098656" w14:textId="4D0B37DD" w:rsidR="004777B3" w:rsidRPr="00E06173" w:rsidRDefault="004777B3" w:rsidP="007A1E2C">
      <w:pPr>
        <w:pStyle w:val="Caption"/>
      </w:pPr>
      <w:bookmarkStart w:id="184" w:name="_Ref56189541"/>
      <w:r w:rsidRPr="009B6AA8">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5</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1</w:t>
      </w:r>
      <w:r w:rsidR="004B24F3">
        <w:rPr>
          <w:noProof/>
        </w:rPr>
        <w:fldChar w:fldCharType="end"/>
      </w:r>
      <w:bookmarkEnd w:id="184"/>
      <w:r w:rsidRPr="00D65C79">
        <w:t xml:space="preserve">: </w:t>
      </w:r>
      <w:r w:rsidRPr="00E06173">
        <w:t xml:space="preserve">Operational years of active </w:t>
      </w:r>
      <w:proofErr w:type="spellStart"/>
      <w:r w:rsidRPr="00E06173">
        <w:t>linacs</w:t>
      </w:r>
      <w:proofErr w:type="spellEnd"/>
      <w:r w:rsidRPr="00E06173">
        <w:t xml:space="preserve"> funded or previously funded by ROHPG </w:t>
      </w:r>
    </w:p>
    <w:tbl>
      <w:tblPr>
        <w:tblStyle w:val="HMATableA"/>
        <w:tblW w:w="0" w:type="auto"/>
        <w:tblLook w:val="04A0" w:firstRow="1" w:lastRow="0" w:firstColumn="1" w:lastColumn="0" w:noHBand="0" w:noVBand="1"/>
        <w:tblCaption w:val="Table 5.1 Operational years of active linacs funded or previously funded by ROHPG"/>
        <w:tblDescription w:val="Table showing number of private, public and total linacs funded, by operational years from 0 to 12+ years, including percent of total."/>
      </w:tblPr>
      <w:tblGrid>
        <w:gridCol w:w="1168"/>
        <w:gridCol w:w="770"/>
        <w:gridCol w:w="685"/>
        <w:gridCol w:w="876"/>
        <w:gridCol w:w="681"/>
      </w:tblGrid>
      <w:tr w:rsidR="00DF5550" w:rsidRPr="009B6AA8" w14:paraId="07851F9E" w14:textId="77777777" w:rsidTr="00374DA4">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008966C" w14:textId="5FE76BDD" w:rsidR="00DF5550" w:rsidRPr="009B6AA8" w:rsidRDefault="00DF5550" w:rsidP="007A1E2C">
            <w:pPr>
              <w:keepNext/>
              <w:rPr>
                <w:lang w:eastAsia="zh-CN"/>
              </w:rPr>
            </w:pPr>
            <w:r w:rsidRPr="009B6AA8">
              <w:rPr>
                <w:rFonts w:ascii="Calibri" w:hAnsi="Calibri" w:cs="Calibri"/>
                <w:lang w:eastAsia="zh-CN"/>
              </w:rPr>
              <w:t>No. of years</w:t>
            </w:r>
          </w:p>
        </w:tc>
        <w:tc>
          <w:tcPr>
            <w:tcW w:w="0" w:type="auto"/>
            <w:shd w:val="clear" w:color="auto" w:fill="auto"/>
            <w:noWrap/>
            <w:hideMark/>
          </w:tcPr>
          <w:p w14:paraId="32A3A976" w14:textId="1036D2A0" w:rsidR="00DF5550" w:rsidRPr="009B6AA8" w:rsidRDefault="00DF5550" w:rsidP="007A1E2C">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Private</w:t>
            </w:r>
          </w:p>
        </w:tc>
        <w:tc>
          <w:tcPr>
            <w:tcW w:w="0" w:type="auto"/>
            <w:shd w:val="clear" w:color="auto" w:fill="auto"/>
          </w:tcPr>
          <w:p w14:paraId="59AD49BF" w14:textId="153F91E5" w:rsidR="00DF5550" w:rsidRPr="009B6AA8" w:rsidRDefault="00DF5550" w:rsidP="007A1E2C">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Public</w:t>
            </w:r>
          </w:p>
        </w:tc>
        <w:tc>
          <w:tcPr>
            <w:tcW w:w="0" w:type="auto"/>
            <w:shd w:val="clear" w:color="auto" w:fill="auto"/>
            <w:noWrap/>
            <w:hideMark/>
          </w:tcPr>
          <w:p w14:paraId="213CD83F" w14:textId="77777777" w:rsidR="00DF5550" w:rsidRPr="009B6AA8" w:rsidRDefault="00DF5550" w:rsidP="007A1E2C">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 xml:space="preserve">Total (n) </w:t>
            </w:r>
          </w:p>
        </w:tc>
        <w:tc>
          <w:tcPr>
            <w:tcW w:w="0" w:type="auto"/>
            <w:shd w:val="clear" w:color="auto" w:fill="auto"/>
          </w:tcPr>
          <w:p w14:paraId="745F9714" w14:textId="544A2761" w:rsidR="00DF5550" w:rsidRPr="009B6AA8" w:rsidRDefault="00DF5550" w:rsidP="007A1E2C">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w:t>
            </w:r>
          </w:p>
        </w:tc>
      </w:tr>
      <w:tr w:rsidR="00DF5550" w:rsidRPr="009B6AA8" w14:paraId="213CE5AC" w14:textId="77777777" w:rsidTr="00374DA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4898D13" w14:textId="1BA21522" w:rsidR="00DF5550" w:rsidRPr="009B6AA8" w:rsidRDefault="00DF5550" w:rsidP="007A1E2C">
            <w:pPr>
              <w:keepNext/>
              <w:rPr>
                <w:rFonts w:ascii="Calibri" w:hAnsi="Calibri" w:cs="Calibri"/>
                <w:lang w:eastAsia="zh-CN"/>
              </w:rPr>
            </w:pPr>
            <w:r>
              <w:rPr>
                <w:rFonts w:ascii="Calibri" w:hAnsi="Calibri" w:cs="Calibri"/>
                <w:lang w:eastAsia="zh-CN"/>
              </w:rPr>
              <w:t>0</w:t>
            </w:r>
            <w:r w:rsidRPr="009B6AA8">
              <w:rPr>
                <w:rFonts w:ascii="Calibri" w:hAnsi="Calibri" w:cs="Calibri"/>
                <w:lang w:eastAsia="zh-CN"/>
              </w:rPr>
              <w:t>–10</w:t>
            </w:r>
          </w:p>
        </w:tc>
        <w:tc>
          <w:tcPr>
            <w:tcW w:w="0" w:type="auto"/>
            <w:noWrap/>
            <w:hideMark/>
          </w:tcPr>
          <w:p w14:paraId="2BF5C8C0" w14:textId="11E048F4" w:rsidR="00DF5550" w:rsidRPr="009B6AA8" w:rsidRDefault="007C0476"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81</w:t>
            </w:r>
          </w:p>
        </w:tc>
        <w:tc>
          <w:tcPr>
            <w:tcW w:w="0" w:type="auto"/>
            <w:noWrap/>
            <w:hideMark/>
          </w:tcPr>
          <w:p w14:paraId="0F234618" w14:textId="645B6C57" w:rsidR="00DF5550" w:rsidRPr="009B6AA8" w:rsidRDefault="00DF5550"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9</w:t>
            </w:r>
            <w:r w:rsidR="007C0476">
              <w:rPr>
                <w:rFonts w:ascii="Calibri" w:hAnsi="Calibri" w:cs="Calibri"/>
                <w:lang w:eastAsia="zh-CN"/>
              </w:rPr>
              <w:t>1</w:t>
            </w:r>
          </w:p>
        </w:tc>
        <w:tc>
          <w:tcPr>
            <w:tcW w:w="0" w:type="auto"/>
            <w:noWrap/>
            <w:hideMark/>
          </w:tcPr>
          <w:p w14:paraId="5744C01D" w14:textId="0ABA674B" w:rsidR="00DF5550" w:rsidRPr="009B6AA8" w:rsidRDefault="00DF5550"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17</w:t>
            </w:r>
            <w:r w:rsidR="0084194E">
              <w:rPr>
                <w:rFonts w:ascii="Calibri" w:hAnsi="Calibri" w:cs="Calibri"/>
                <w:lang w:eastAsia="zh-CN"/>
              </w:rPr>
              <w:t>2</w:t>
            </w:r>
          </w:p>
        </w:tc>
        <w:tc>
          <w:tcPr>
            <w:tcW w:w="0" w:type="auto"/>
            <w:noWrap/>
            <w:hideMark/>
          </w:tcPr>
          <w:p w14:paraId="038AF7A0" w14:textId="2BA3D41A" w:rsidR="00DF5550" w:rsidRPr="009B6AA8" w:rsidRDefault="000E1715"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9</w:t>
            </w:r>
            <w:r w:rsidR="007C0476">
              <w:rPr>
                <w:rFonts w:ascii="Calibri" w:hAnsi="Calibri" w:cs="Calibri"/>
                <w:lang w:eastAsia="zh-CN"/>
              </w:rPr>
              <w:t>2.5</w:t>
            </w:r>
            <w:r w:rsidR="00DF5550">
              <w:rPr>
                <w:rFonts w:ascii="Calibri" w:hAnsi="Calibri" w:cs="Calibri"/>
                <w:lang w:eastAsia="zh-CN"/>
              </w:rPr>
              <w:t>%</w:t>
            </w:r>
          </w:p>
        </w:tc>
      </w:tr>
      <w:tr w:rsidR="00DF5550" w:rsidRPr="009B6AA8" w14:paraId="555B1795" w14:textId="77777777" w:rsidTr="00374DA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843B2E7" w14:textId="168ACFFE" w:rsidR="00DF5550" w:rsidRPr="009B6AA8" w:rsidRDefault="00DF5550" w:rsidP="007A1E2C">
            <w:pPr>
              <w:keepNext/>
              <w:rPr>
                <w:rFonts w:ascii="Calibri" w:hAnsi="Calibri" w:cs="Calibri"/>
                <w:lang w:eastAsia="zh-CN"/>
              </w:rPr>
            </w:pPr>
            <w:r w:rsidRPr="009B6AA8">
              <w:rPr>
                <w:rFonts w:ascii="Calibri" w:hAnsi="Calibri" w:cs="Calibri"/>
                <w:lang w:eastAsia="zh-CN"/>
              </w:rPr>
              <w:t>11–1</w:t>
            </w:r>
            <w:r w:rsidR="000E1715">
              <w:rPr>
                <w:rFonts w:ascii="Calibri" w:hAnsi="Calibri" w:cs="Calibri"/>
                <w:lang w:eastAsia="zh-CN"/>
              </w:rPr>
              <w:t>2</w:t>
            </w:r>
          </w:p>
        </w:tc>
        <w:tc>
          <w:tcPr>
            <w:tcW w:w="0" w:type="auto"/>
            <w:noWrap/>
            <w:hideMark/>
          </w:tcPr>
          <w:p w14:paraId="18332355" w14:textId="470CB8CB" w:rsidR="00DF5550" w:rsidRPr="009B6AA8" w:rsidRDefault="007C0476"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eastAsia="zh-CN"/>
              </w:rPr>
            </w:pPr>
            <w:r>
              <w:rPr>
                <w:rFonts w:ascii="Calibri" w:hAnsi="Calibri" w:cs="Calibri"/>
                <w:lang w:eastAsia="zh-CN"/>
              </w:rPr>
              <w:t>3</w:t>
            </w:r>
          </w:p>
        </w:tc>
        <w:tc>
          <w:tcPr>
            <w:tcW w:w="0" w:type="auto"/>
            <w:noWrap/>
            <w:hideMark/>
          </w:tcPr>
          <w:p w14:paraId="7CDF3E6E" w14:textId="4E1A2B4C" w:rsidR="00DF5550" w:rsidRPr="009B6AA8" w:rsidRDefault="00DF5550"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eastAsia="zh-CN"/>
              </w:rPr>
            </w:pPr>
            <w:r>
              <w:rPr>
                <w:rFonts w:ascii="Calibri" w:hAnsi="Calibri" w:cs="Calibri"/>
                <w:lang w:eastAsia="zh-CN"/>
              </w:rPr>
              <w:t>1</w:t>
            </w:r>
            <w:r w:rsidR="007C0476">
              <w:rPr>
                <w:rFonts w:ascii="Calibri" w:hAnsi="Calibri" w:cs="Calibri"/>
                <w:lang w:eastAsia="zh-CN"/>
              </w:rPr>
              <w:t>0</w:t>
            </w:r>
          </w:p>
        </w:tc>
        <w:tc>
          <w:tcPr>
            <w:tcW w:w="0" w:type="auto"/>
            <w:noWrap/>
            <w:hideMark/>
          </w:tcPr>
          <w:p w14:paraId="1B6AF7E7" w14:textId="5CFBDD7F" w:rsidR="00DF5550" w:rsidRPr="009B6AA8" w:rsidRDefault="00DF5550"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eastAsia="zh-CN"/>
              </w:rPr>
            </w:pPr>
            <w:r>
              <w:rPr>
                <w:rFonts w:ascii="Calibri" w:hAnsi="Calibri" w:cs="Calibri"/>
                <w:lang w:eastAsia="zh-CN"/>
              </w:rPr>
              <w:t>1</w:t>
            </w:r>
            <w:r w:rsidR="007C0476">
              <w:rPr>
                <w:rFonts w:ascii="Calibri" w:hAnsi="Calibri" w:cs="Calibri"/>
                <w:lang w:eastAsia="zh-CN"/>
              </w:rPr>
              <w:t>3</w:t>
            </w:r>
          </w:p>
        </w:tc>
        <w:tc>
          <w:tcPr>
            <w:tcW w:w="0" w:type="auto"/>
            <w:noWrap/>
            <w:hideMark/>
          </w:tcPr>
          <w:p w14:paraId="71B508CB" w14:textId="456D37A3" w:rsidR="00DF5550" w:rsidRPr="009B6AA8" w:rsidRDefault="007C0476"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eastAsia="zh-CN"/>
              </w:rPr>
            </w:pPr>
            <w:r>
              <w:rPr>
                <w:rFonts w:ascii="Calibri" w:hAnsi="Calibri" w:cs="Calibri"/>
                <w:lang w:eastAsia="zh-CN"/>
              </w:rPr>
              <w:t>7.0</w:t>
            </w:r>
            <w:r w:rsidR="00DF5550">
              <w:rPr>
                <w:rFonts w:ascii="Calibri" w:hAnsi="Calibri" w:cs="Calibri"/>
                <w:lang w:eastAsia="zh-CN"/>
              </w:rPr>
              <w:t>%</w:t>
            </w:r>
          </w:p>
        </w:tc>
      </w:tr>
      <w:tr w:rsidR="000E1715" w:rsidRPr="009B6AA8" w14:paraId="5A2BCEB6" w14:textId="77777777" w:rsidTr="00374DA4">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FDCCDF9" w14:textId="2EC39FF4" w:rsidR="000E1715" w:rsidRPr="009B6AA8" w:rsidRDefault="000E1715" w:rsidP="007A1E2C">
            <w:pPr>
              <w:keepNext/>
              <w:rPr>
                <w:rFonts w:ascii="Calibri" w:hAnsi="Calibri" w:cs="Calibri"/>
                <w:lang w:eastAsia="zh-CN"/>
              </w:rPr>
            </w:pPr>
            <w:r>
              <w:rPr>
                <w:rFonts w:ascii="Calibri" w:hAnsi="Calibri" w:cs="Calibri"/>
                <w:lang w:eastAsia="zh-CN"/>
              </w:rPr>
              <w:t>12+</w:t>
            </w:r>
          </w:p>
        </w:tc>
        <w:tc>
          <w:tcPr>
            <w:tcW w:w="0" w:type="auto"/>
            <w:noWrap/>
          </w:tcPr>
          <w:p w14:paraId="04D6C252" w14:textId="10662458" w:rsidR="000E1715" w:rsidRDefault="000E1715"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1</w:t>
            </w:r>
          </w:p>
        </w:tc>
        <w:tc>
          <w:tcPr>
            <w:tcW w:w="0" w:type="auto"/>
            <w:noWrap/>
          </w:tcPr>
          <w:p w14:paraId="3DE976D1" w14:textId="5F903F03" w:rsidR="000E1715" w:rsidRDefault="000E1715"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0</w:t>
            </w:r>
          </w:p>
        </w:tc>
        <w:tc>
          <w:tcPr>
            <w:tcW w:w="0" w:type="auto"/>
            <w:noWrap/>
          </w:tcPr>
          <w:p w14:paraId="407FFE27" w14:textId="08140A16" w:rsidR="000E1715" w:rsidRDefault="000E1715"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1</w:t>
            </w:r>
          </w:p>
        </w:tc>
        <w:tc>
          <w:tcPr>
            <w:tcW w:w="0" w:type="auto"/>
            <w:noWrap/>
          </w:tcPr>
          <w:p w14:paraId="0945E9ED" w14:textId="55CCA821" w:rsidR="000E1715" w:rsidRDefault="000E1715"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0.5%</w:t>
            </w:r>
          </w:p>
        </w:tc>
      </w:tr>
      <w:tr w:rsidR="00DF5550" w:rsidRPr="009B6AA8" w14:paraId="483126AC" w14:textId="77777777" w:rsidTr="00374DA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2A4823A" w14:textId="77777777" w:rsidR="00DF5550" w:rsidRPr="009B6AA8" w:rsidRDefault="00DF5550" w:rsidP="007A1E2C">
            <w:pPr>
              <w:keepNext/>
              <w:rPr>
                <w:rFonts w:ascii="Calibri" w:hAnsi="Calibri" w:cs="Calibri"/>
                <w:lang w:eastAsia="zh-CN"/>
              </w:rPr>
            </w:pPr>
            <w:r w:rsidRPr="009B6AA8">
              <w:rPr>
                <w:rFonts w:ascii="Calibri" w:hAnsi="Calibri" w:cs="Calibri"/>
                <w:lang w:eastAsia="zh-CN"/>
              </w:rPr>
              <w:t xml:space="preserve">TOTAL </w:t>
            </w:r>
          </w:p>
        </w:tc>
        <w:tc>
          <w:tcPr>
            <w:tcW w:w="0" w:type="auto"/>
            <w:noWrap/>
            <w:hideMark/>
          </w:tcPr>
          <w:p w14:paraId="1C24AF68" w14:textId="09FC54A4" w:rsidR="00DF5550" w:rsidRPr="009B6AA8" w:rsidRDefault="007C0476"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lang w:eastAsia="zh-CN"/>
              </w:rPr>
            </w:pPr>
            <w:r>
              <w:rPr>
                <w:rFonts w:ascii="Calibri" w:hAnsi="Calibri" w:cs="Calibri"/>
                <w:b/>
                <w:bCs/>
                <w:lang w:eastAsia="zh-CN"/>
              </w:rPr>
              <w:t>85</w:t>
            </w:r>
          </w:p>
        </w:tc>
        <w:tc>
          <w:tcPr>
            <w:tcW w:w="0" w:type="auto"/>
            <w:noWrap/>
            <w:hideMark/>
          </w:tcPr>
          <w:p w14:paraId="4669F56F" w14:textId="02E69142" w:rsidR="00DF5550" w:rsidRPr="009B6AA8" w:rsidRDefault="00DF5550"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lang w:eastAsia="zh-CN"/>
              </w:rPr>
            </w:pPr>
            <w:r>
              <w:rPr>
                <w:rFonts w:ascii="Calibri" w:hAnsi="Calibri" w:cs="Calibri"/>
                <w:b/>
                <w:bCs/>
                <w:lang w:eastAsia="zh-CN"/>
              </w:rPr>
              <w:t>101</w:t>
            </w:r>
          </w:p>
        </w:tc>
        <w:tc>
          <w:tcPr>
            <w:tcW w:w="0" w:type="auto"/>
            <w:noWrap/>
            <w:hideMark/>
          </w:tcPr>
          <w:p w14:paraId="69F97631" w14:textId="5F04594B" w:rsidR="00DF5550" w:rsidRPr="009B6AA8" w:rsidRDefault="00DF5550"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lang w:eastAsia="zh-CN"/>
              </w:rPr>
            </w:pPr>
            <w:r w:rsidRPr="007C0476">
              <w:rPr>
                <w:rFonts w:ascii="Calibri" w:hAnsi="Calibri" w:cs="Calibri"/>
                <w:b/>
                <w:bCs/>
                <w:lang w:eastAsia="zh-CN"/>
              </w:rPr>
              <w:t>18</w:t>
            </w:r>
            <w:r w:rsidR="0084194E">
              <w:rPr>
                <w:rFonts w:ascii="Calibri" w:hAnsi="Calibri" w:cs="Calibri"/>
                <w:b/>
                <w:bCs/>
                <w:lang w:eastAsia="zh-CN"/>
              </w:rPr>
              <w:t>6</w:t>
            </w:r>
          </w:p>
        </w:tc>
        <w:tc>
          <w:tcPr>
            <w:tcW w:w="0" w:type="auto"/>
            <w:noWrap/>
            <w:hideMark/>
          </w:tcPr>
          <w:p w14:paraId="223831F6" w14:textId="72844095" w:rsidR="00DF5550" w:rsidRPr="009B6AA8" w:rsidRDefault="00DF5550"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lang w:eastAsia="zh-CN"/>
              </w:rPr>
            </w:pPr>
            <w:r>
              <w:rPr>
                <w:rFonts w:ascii="Calibri" w:hAnsi="Calibri" w:cs="Calibri"/>
                <w:b/>
                <w:bCs/>
                <w:lang w:eastAsia="zh-CN"/>
              </w:rPr>
              <w:t>100%</w:t>
            </w:r>
          </w:p>
        </w:tc>
      </w:tr>
    </w:tbl>
    <w:p w14:paraId="3FBF2DA7" w14:textId="77777777" w:rsidR="00373EE3" w:rsidRDefault="00441EBE" w:rsidP="007A1E2C">
      <w:pPr>
        <w:spacing w:before="240"/>
      </w:pPr>
      <w:r w:rsidRPr="009B6AA8">
        <w:t xml:space="preserve">Additionally, data on </w:t>
      </w:r>
      <w:r w:rsidR="005370A0">
        <w:t>40</w:t>
      </w:r>
      <w:r w:rsidR="005370A0" w:rsidRPr="009B6AA8">
        <w:t xml:space="preserve"> </w:t>
      </w:r>
      <w:proofErr w:type="spellStart"/>
      <w:r w:rsidR="00BC7856">
        <w:t>linacs</w:t>
      </w:r>
      <w:proofErr w:type="spellEnd"/>
      <w:r w:rsidR="00BC7856">
        <w:t xml:space="preserve"> </w:t>
      </w:r>
      <w:r w:rsidRPr="009B6AA8">
        <w:t xml:space="preserve">decommissioned </w:t>
      </w:r>
      <w:r w:rsidR="00BC7856">
        <w:t>from January 2018 to June 20</w:t>
      </w:r>
      <w:r w:rsidR="00753ADA">
        <w:t>2</w:t>
      </w:r>
      <w:r w:rsidR="00BC7856">
        <w:t xml:space="preserve">0 </w:t>
      </w:r>
      <w:r w:rsidRPr="009B6AA8">
        <w:t xml:space="preserve">was analysed, which indicated that </w:t>
      </w:r>
      <w:r w:rsidR="005370A0">
        <w:t>7</w:t>
      </w:r>
      <w:r w:rsidR="000E1715">
        <w:t>2.5</w:t>
      </w:r>
      <w:r w:rsidRPr="009B6AA8">
        <w:t xml:space="preserve">% of </w:t>
      </w:r>
      <w:proofErr w:type="spellStart"/>
      <w:r w:rsidRPr="009B6AA8">
        <w:t>linacs</w:t>
      </w:r>
      <w:proofErr w:type="spellEnd"/>
      <w:r w:rsidRPr="009B6AA8">
        <w:t xml:space="preserve"> were decommissioned</w:t>
      </w:r>
      <w:r w:rsidR="005370A0">
        <w:t xml:space="preserve"> at or before 10 years of age, and 2</w:t>
      </w:r>
      <w:r w:rsidR="000E1715">
        <w:t>5</w:t>
      </w:r>
      <w:r w:rsidR="005370A0">
        <w:t>% were decommissioned between 11 to 1</w:t>
      </w:r>
      <w:r w:rsidR="000E1715">
        <w:t>2</w:t>
      </w:r>
      <w:r w:rsidR="005370A0">
        <w:t xml:space="preserve"> years of age</w:t>
      </w:r>
      <w:r w:rsidR="000E1715">
        <w:t xml:space="preserve">. Only one </w:t>
      </w:r>
      <w:proofErr w:type="spellStart"/>
      <w:r w:rsidR="000E1715">
        <w:t>linac</w:t>
      </w:r>
      <w:proofErr w:type="spellEnd"/>
      <w:r w:rsidR="000E1715">
        <w:t xml:space="preserve"> (2.5%) was decommissioned at an age greater than 12 years</w:t>
      </w:r>
      <w:r w:rsidR="005370A0">
        <w:t xml:space="preserve"> </w:t>
      </w:r>
      <w:r w:rsidR="00AD0741" w:rsidRPr="009B6AA8">
        <w:t>(</w:t>
      </w:r>
      <w:r w:rsidR="002C635B" w:rsidRPr="009B6AA8">
        <w:t xml:space="preserve">see </w:t>
      </w:r>
      <w:r w:rsidR="002C635B" w:rsidRPr="00D65C79">
        <w:fldChar w:fldCharType="begin"/>
      </w:r>
      <w:r w:rsidR="002C635B" w:rsidRPr="009B6AA8">
        <w:instrText xml:space="preserve"> REF _Ref56192385 \h </w:instrText>
      </w:r>
      <w:r w:rsidR="002C635B" w:rsidRPr="00D65C79">
        <w:fldChar w:fldCharType="separate"/>
      </w:r>
      <w:r w:rsidR="007C0448" w:rsidRPr="009B6AA8">
        <w:t xml:space="preserve">Table </w:t>
      </w:r>
      <w:r w:rsidR="007C0448">
        <w:rPr>
          <w:rFonts w:hint="cs"/>
          <w:noProof/>
          <w:cs/>
        </w:rPr>
        <w:t>‎</w:t>
      </w:r>
      <w:r w:rsidR="007C0448">
        <w:rPr>
          <w:noProof/>
        </w:rPr>
        <w:t>5</w:t>
      </w:r>
      <w:r w:rsidR="007C0448">
        <w:t>.</w:t>
      </w:r>
      <w:r w:rsidR="007C0448">
        <w:rPr>
          <w:noProof/>
        </w:rPr>
        <w:t>2</w:t>
      </w:r>
      <w:r w:rsidR="002C635B" w:rsidRPr="00D65C79">
        <w:fldChar w:fldCharType="end"/>
      </w:r>
      <w:r w:rsidR="00AD0741" w:rsidRPr="00D65C79">
        <w:t>)</w:t>
      </w:r>
      <w:r w:rsidR="002C635B" w:rsidRPr="00D65C79">
        <w:t xml:space="preserve">. </w:t>
      </w:r>
      <w:r w:rsidR="008040DF" w:rsidRPr="00D65C79">
        <w:t>T</w:t>
      </w:r>
      <w:r w:rsidR="005519AC" w:rsidRPr="00D65C79">
        <w:t>he medi</w:t>
      </w:r>
      <w:r w:rsidR="008040DF" w:rsidRPr="00D65C79">
        <w:t>an</w:t>
      </w:r>
      <w:r w:rsidR="005519AC" w:rsidRPr="00D65C79">
        <w:t xml:space="preserve"> age of decommissioned </w:t>
      </w:r>
      <w:proofErr w:type="spellStart"/>
      <w:r w:rsidR="005519AC" w:rsidRPr="00D65C79">
        <w:t>linacs</w:t>
      </w:r>
      <w:proofErr w:type="spellEnd"/>
      <w:r w:rsidR="005519AC" w:rsidRPr="00D65C79">
        <w:t xml:space="preserve"> was 10 years (10 years for public and </w:t>
      </w:r>
      <w:r w:rsidR="00C33259">
        <w:t>nine</w:t>
      </w:r>
      <w:r w:rsidR="00C33259" w:rsidRPr="00D65C79">
        <w:t xml:space="preserve"> </w:t>
      </w:r>
      <w:r w:rsidR="005519AC" w:rsidRPr="00D65C79">
        <w:t xml:space="preserve">years </w:t>
      </w:r>
      <w:r w:rsidR="005519AC" w:rsidRPr="009B6AA8">
        <w:t>for private).</w:t>
      </w:r>
    </w:p>
    <w:p w14:paraId="112A4BF6" w14:textId="174EA93C" w:rsidR="00441EBE" w:rsidRPr="00E06173" w:rsidRDefault="00441EBE" w:rsidP="007A1E2C">
      <w:pPr>
        <w:pStyle w:val="Caption"/>
      </w:pPr>
      <w:bookmarkStart w:id="185" w:name="_Ref56192385"/>
      <w:r w:rsidRPr="009B6AA8">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5</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2</w:t>
      </w:r>
      <w:r w:rsidR="004B24F3">
        <w:rPr>
          <w:noProof/>
        </w:rPr>
        <w:fldChar w:fldCharType="end"/>
      </w:r>
      <w:bookmarkEnd w:id="185"/>
      <w:r w:rsidRPr="00D65C79">
        <w:t xml:space="preserve">: </w:t>
      </w:r>
      <w:r w:rsidRPr="00E06173">
        <w:t xml:space="preserve">Operational years of decommissioned </w:t>
      </w:r>
      <w:proofErr w:type="spellStart"/>
      <w:r w:rsidRPr="00E06173">
        <w:t>linacs</w:t>
      </w:r>
      <w:proofErr w:type="spellEnd"/>
      <w:r w:rsidRPr="00E06173">
        <w:t xml:space="preserve"> funded by ROHPG </w:t>
      </w:r>
    </w:p>
    <w:tbl>
      <w:tblPr>
        <w:tblStyle w:val="HMATableA"/>
        <w:tblW w:w="0" w:type="auto"/>
        <w:tblLook w:val="04A0" w:firstRow="1" w:lastRow="0" w:firstColumn="1" w:lastColumn="0" w:noHBand="0" w:noVBand="1"/>
        <w:tblCaption w:val="Table 5.2 Operational years of decommissioned linacs funded by ROHPG"/>
        <w:tblDescription w:val="Table showing number of private, public and total decommissioned linacs, by number of years from 0 to 12+ years, including percentage of total."/>
      </w:tblPr>
      <w:tblGrid>
        <w:gridCol w:w="1168"/>
        <w:gridCol w:w="770"/>
        <w:gridCol w:w="685"/>
        <w:gridCol w:w="876"/>
        <w:gridCol w:w="681"/>
      </w:tblGrid>
      <w:tr w:rsidR="00DF5550" w:rsidRPr="009B6AA8" w14:paraId="5506AA7A" w14:textId="77777777" w:rsidTr="00374DA4">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6219A3" w14:textId="37E44C8F" w:rsidR="00DF5550" w:rsidRPr="009B6AA8" w:rsidRDefault="00DF5550" w:rsidP="007A1E2C">
            <w:pPr>
              <w:keepNext/>
              <w:rPr>
                <w:rFonts w:ascii="Calibri" w:hAnsi="Calibri" w:cs="Calibri"/>
                <w:lang w:eastAsia="zh-CN"/>
              </w:rPr>
            </w:pPr>
            <w:r w:rsidRPr="009B6AA8">
              <w:rPr>
                <w:rFonts w:ascii="Calibri" w:hAnsi="Calibri" w:cs="Calibri"/>
                <w:lang w:eastAsia="zh-CN"/>
              </w:rPr>
              <w:t>No. of years</w:t>
            </w:r>
          </w:p>
        </w:tc>
        <w:tc>
          <w:tcPr>
            <w:tcW w:w="0" w:type="auto"/>
            <w:noWrap/>
            <w:hideMark/>
          </w:tcPr>
          <w:p w14:paraId="307E5610" w14:textId="136F9E7A" w:rsidR="00DF5550" w:rsidRPr="009B6AA8" w:rsidRDefault="00DF5550" w:rsidP="007A1E2C">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Private</w:t>
            </w:r>
          </w:p>
        </w:tc>
        <w:tc>
          <w:tcPr>
            <w:tcW w:w="0" w:type="auto"/>
            <w:noWrap/>
            <w:hideMark/>
          </w:tcPr>
          <w:p w14:paraId="79B8611A" w14:textId="1CE8EA69" w:rsidR="00DF5550" w:rsidRPr="009B6AA8" w:rsidRDefault="00DF5550" w:rsidP="007A1E2C">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Public</w:t>
            </w:r>
          </w:p>
        </w:tc>
        <w:tc>
          <w:tcPr>
            <w:tcW w:w="0" w:type="auto"/>
            <w:noWrap/>
            <w:hideMark/>
          </w:tcPr>
          <w:p w14:paraId="3172129D" w14:textId="569B26B5" w:rsidR="00DF5550" w:rsidRPr="009B6AA8" w:rsidRDefault="00DF5550" w:rsidP="007A1E2C">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Total (n)</w:t>
            </w:r>
          </w:p>
        </w:tc>
        <w:tc>
          <w:tcPr>
            <w:tcW w:w="0" w:type="auto"/>
            <w:noWrap/>
            <w:hideMark/>
          </w:tcPr>
          <w:p w14:paraId="0040E7BB" w14:textId="4FBF8DF6" w:rsidR="00DF5550" w:rsidRPr="009B6AA8" w:rsidRDefault="00DF5550" w:rsidP="007A1E2C">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w:t>
            </w:r>
          </w:p>
        </w:tc>
      </w:tr>
      <w:tr w:rsidR="00441EBE" w:rsidRPr="009B6AA8" w14:paraId="3315DDDF" w14:textId="77777777" w:rsidTr="00374DA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FA1A490" w14:textId="3C25C0CD" w:rsidR="00441EBE" w:rsidRPr="009B6AA8" w:rsidRDefault="005370A0" w:rsidP="007A1E2C">
            <w:pPr>
              <w:keepNext/>
              <w:rPr>
                <w:rFonts w:ascii="Calibri" w:hAnsi="Calibri" w:cs="Calibri"/>
                <w:lang w:eastAsia="zh-CN"/>
              </w:rPr>
            </w:pPr>
            <w:r>
              <w:rPr>
                <w:rFonts w:ascii="Calibri" w:hAnsi="Calibri" w:cs="Calibri"/>
                <w:lang w:eastAsia="zh-CN"/>
              </w:rPr>
              <w:t>0</w:t>
            </w:r>
            <w:r w:rsidR="00E61AD5" w:rsidRPr="009B6AA8">
              <w:rPr>
                <w:rFonts w:ascii="Calibri" w:hAnsi="Calibri" w:cs="Calibri"/>
                <w:lang w:eastAsia="zh-CN"/>
              </w:rPr>
              <w:t>–</w:t>
            </w:r>
            <w:r w:rsidR="00441EBE" w:rsidRPr="009B6AA8">
              <w:rPr>
                <w:rFonts w:ascii="Calibri" w:hAnsi="Calibri" w:cs="Calibri"/>
                <w:lang w:eastAsia="zh-CN"/>
              </w:rPr>
              <w:t>10</w:t>
            </w:r>
          </w:p>
        </w:tc>
        <w:tc>
          <w:tcPr>
            <w:tcW w:w="0" w:type="auto"/>
            <w:noWrap/>
            <w:hideMark/>
          </w:tcPr>
          <w:p w14:paraId="77331B8D" w14:textId="3AB60663" w:rsidR="00441EBE" w:rsidRPr="009B6AA8" w:rsidRDefault="00441EBE"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1</w:t>
            </w:r>
            <w:r w:rsidR="005370A0">
              <w:rPr>
                <w:rFonts w:ascii="Calibri" w:hAnsi="Calibri" w:cs="Calibri"/>
                <w:lang w:eastAsia="zh-CN"/>
              </w:rPr>
              <w:t>5</w:t>
            </w:r>
          </w:p>
        </w:tc>
        <w:tc>
          <w:tcPr>
            <w:tcW w:w="0" w:type="auto"/>
            <w:noWrap/>
            <w:hideMark/>
          </w:tcPr>
          <w:p w14:paraId="7EB4D825" w14:textId="741FCA05" w:rsidR="00441EBE" w:rsidRPr="009B6AA8" w:rsidRDefault="00441EBE"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sidRPr="009B6AA8">
              <w:rPr>
                <w:rFonts w:ascii="Calibri" w:hAnsi="Calibri" w:cs="Calibri"/>
                <w:lang w:eastAsia="zh-CN"/>
              </w:rPr>
              <w:t>1</w:t>
            </w:r>
            <w:r w:rsidR="005370A0">
              <w:rPr>
                <w:rFonts w:ascii="Calibri" w:hAnsi="Calibri" w:cs="Calibri"/>
                <w:lang w:eastAsia="zh-CN"/>
              </w:rPr>
              <w:t>4</w:t>
            </w:r>
          </w:p>
        </w:tc>
        <w:tc>
          <w:tcPr>
            <w:tcW w:w="0" w:type="auto"/>
            <w:noWrap/>
            <w:hideMark/>
          </w:tcPr>
          <w:p w14:paraId="7AD5013E" w14:textId="02961BA7" w:rsidR="00441EBE" w:rsidRPr="009B6AA8" w:rsidRDefault="00BE0142"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29</w:t>
            </w:r>
          </w:p>
        </w:tc>
        <w:tc>
          <w:tcPr>
            <w:tcW w:w="0" w:type="auto"/>
            <w:noWrap/>
            <w:hideMark/>
          </w:tcPr>
          <w:p w14:paraId="589DA6D3" w14:textId="53AF96A1" w:rsidR="00441EBE" w:rsidRPr="009B6AA8" w:rsidRDefault="005370A0"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7</w:t>
            </w:r>
            <w:r w:rsidR="000E1715">
              <w:rPr>
                <w:rFonts w:ascii="Calibri" w:hAnsi="Calibri" w:cs="Calibri"/>
                <w:lang w:eastAsia="zh-CN"/>
              </w:rPr>
              <w:t>2.5</w:t>
            </w:r>
            <w:r w:rsidR="00441EBE" w:rsidRPr="009B6AA8">
              <w:rPr>
                <w:rFonts w:ascii="Calibri" w:hAnsi="Calibri" w:cs="Calibri"/>
                <w:lang w:eastAsia="zh-CN"/>
              </w:rPr>
              <w:t>%</w:t>
            </w:r>
          </w:p>
        </w:tc>
      </w:tr>
      <w:tr w:rsidR="00441EBE" w:rsidRPr="009B6AA8" w14:paraId="62F9FABD" w14:textId="77777777" w:rsidTr="00374DA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8ED7918" w14:textId="12B22176" w:rsidR="00441EBE" w:rsidRPr="009B6AA8" w:rsidRDefault="00441EBE" w:rsidP="007A1E2C">
            <w:pPr>
              <w:keepNext/>
              <w:rPr>
                <w:rFonts w:ascii="Calibri" w:hAnsi="Calibri" w:cs="Calibri"/>
                <w:lang w:eastAsia="zh-CN"/>
              </w:rPr>
            </w:pPr>
            <w:r w:rsidRPr="009B6AA8">
              <w:rPr>
                <w:rFonts w:ascii="Calibri" w:hAnsi="Calibri" w:cs="Calibri"/>
                <w:lang w:eastAsia="zh-CN"/>
              </w:rPr>
              <w:t>11</w:t>
            </w:r>
            <w:r w:rsidR="00E61AD5" w:rsidRPr="009B6AA8">
              <w:rPr>
                <w:rFonts w:ascii="Calibri" w:hAnsi="Calibri" w:cs="Calibri"/>
                <w:lang w:eastAsia="zh-CN"/>
              </w:rPr>
              <w:t>–</w:t>
            </w:r>
            <w:r w:rsidRPr="009B6AA8">
              <w:rPr>
                <w:rFonts w:ascii="Calibri" w:hAnsi="Calibri" w:cs="Calibri"/>
                <w:lang w:eastAsia="zh-CN"/>
              </w:rPr>
              <w:t>1</w:t>
            </w:r>
            <w:r w:rsidR="00BE0142">
              <w:rPr>
                <w:rFonts w:ascii="Calibri" w:hAnsi="Calibri" w:cs="Calibri"/>
                <w:lang w:eastAsia="zh-CN"/>
              </w:rPr>
              <w:t>2</w:t>
            </w:r>
          </w:p>
        </w:tc>
        <w:tc>
          <w:tcPr>
            <w:tcW w:w="0" w:type="auto"/>
            <w:noWrap/>
            <w:hideMark/>
          </w:tcPr>
          <w:p w14:paraId="794B79B0" w14:textId="12328AD7" w:rsidR="00441EBE" w:rsidRPr="009B6AA8" w:rsidRDefault="000E1715"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eastAsia="zh-CN"/>
              </w:rPr>
            </w:pPr>
            <w:r>
              <w:rPr>
                <w:rFonts w:ascii="Calibri" w:hAnsi="Calibri" w:cs="Calibri"/>
                <w:lang w:eastAsia="zh-CN"/>
              </w:rPr>
              <w:t>4</w:t>
            </w:r>
          </w:p>
        </w:tc>
        <w:tc>
          <w:tcPr>
            <w:tcW w:w="0" w:type="auto"/>
            <w:noWrap/>
            <w:hideMark/>
          </w:tcPr>
          <w:p w14:paraId="5F884B53" w14:textId="77777777" w:rsidR="00441EBE" w:rsidRPr="009B6AA8" w:rsidRDefault="00441EBE"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eastAsia="zh-CN"/>
              </w:rPr>
            </w:pPr>
            <w:r w:rsidRPr="009B6AA8">
              <w:rPr>
                <w:rFonts w:ascii="Calibri" w:hAnsi="Calibri" w:cs="Calibri"/>
                <w:lang w:eastAsia="zh-CN"/>
              </w:rPr>
              <w:t>6</w:t>
            </w:r>
          </w:p>
        </w:tc>
        <w:tc>
          <w:tcPr>
            <w:tcW w:w="0" w:type="auto"/>
            <w:noWrap/>
            <w:hideMark/>
          </w:tcPr>
          <w:p w14:paraId="0ABE88B2" w14:textId="3805173F" w:rsidR="00441EBE" w:rsidRPr="009B6AA8" w:rsidRDefault="00441EBE"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eastAsia="zh-CN"/>
              </w:rPr>
            </w:pPr>
            <w:r w:rsidRPr="009B6AA8">
              <w:rPr>
                <w:rFonts w:ascii="Calibri" w:hAnsi="Calibri" w:cs="Calibri"/>
                <w:lang w:eastAsia="zh-CN"/>
              </w:rPr>
              <w:t>1</w:t>
            </w:r>
            <w:r w:rsidR="000E1715">
              <w:rPr>
                <w:rFonts w:ascii="Calibri" w:hAnsi="Calibri" w:cs="Calibri"/>
                <w:lang w:eastAsia="zh-CN"/>
              </w:rPr>
              <w:t>0</w:t>
            </w:r>
          </w:p>
        </w:tc>
        <w:tc>
          <w:tcPr>
            <w:tcW w:w="0" w:type="auto"/>
            <w:noWrap/>
            <w:hideMark/>
          </w:tcPr>
          <w:p w14:paraId="4A8ECA76" w14:textId="3659AE1E" w:rsidR="00441EBE" w:rsidRPr="009B6AA8" w:rsidRDefault="000E1715"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eastAsia="zh-CN"/>
              </w:rPr>
            </w:pPr>
            <w:r>
              <w:rPr>
                <w:rFonts w:ascii="Calibri" w:hAnsi="Calibri" w:cs="Calibri"/>
                <w:lang w:eastAsia="zh-CN"/>
              </w:rPr>
              <w:t>25.0</w:t>
            </w:r>
            <w:r w:rsidR="00441EBE" w:rsidRPr="009B6AA8">
              <w:rPr>
                <w:rFonts w:ascii="Calibri" w:hAnsi="Calibri" w:cs="Calibri"/>
                <w:lang w:eastAsia="zh-CN"/>
              </w:rPr>
              <w:t>%</w:t>
            </w:r>
          </w:p>
        </w:tc>
      </w:tr>
      <w:tr w:rsidR="000E1715" w:rsidRPr="009B6AA8" w14:paraId="615824D9" w14:textId="77777777" w:rsidTr="00374DA4">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707F17F" w14:textId="1701E318" w:rsidR="000E1715" w:rsidRPr="009B6AA8" w:rsidRDefault="000E1715" w:rsidP="007A1E2C">
            <w:pPr>
              <w:keepNext/>
              <w:rPr>
                <w:rFonts w:ascii="Calibri" w:hAnsi="Calibri" w:cs="Calibri"/>
                <w:lang w:eastAsia="zh-CN"/>
              </w:rPr>
            </w:pPr>
            <w:r>
              <w:rPr>
                <w:rFonts w:ascii="Calibri" w:hAnsi="Calibri" w:cs="Calibri"/>
                <w:lang w:eastAsia="zh-CN"/>
              </w:rPr>
              <w:t>12+</w:t>
            </w:r>
          </w:p>
        </w:tc>
        <w:tc>
          <w:tcPr>
            <w:tcW w:w="0" w:type="auto"/>
            <w:noWrap/>
          </w:tcPr>
          <w:p w14:paraId="76C85D24" w14:textId="563C850C" w:rsidR="000E1715" w:rsidRPr="009B6AA8" w:rsidRDefault="000E1715"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1</w:t>
            </w:r>
          </w:p>
        </w:tc>
        <w:tc>
          <w:tcPr>
            <w:tcW w:w="0" w:type="auto"/>
            <w:noWrap/>
          </w:tcPr>
          <w:p w14:paraId="7FAA1D45" w14:textId="54748481" w:rsidR="000E1715" w:rsidRPr="009B6AA8" w:rsidRDefault="000E1715"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0</w:t>
            </w:r>
          </w:p>
        </w:tc>
        <w:tc>
          <w:tcPr>
            <w:tcW w:w="0" w:type="auto"/>
            <w:noWrap/>
          </w:tcPr>
          <w:p w14:paraId="3C31CF30" w14:textId="49D9F1D8" w:rsidR="000E1715" w:rsidRPr="009B6AA8" w:rsidRDefault="000E1715"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1</w:t>
            </w:r>
          </w:p>
        </w:tc>
        <w:tc>
          <w:tcPr>
            <w:tcW w:w="0" w:type="auto"/>
            <w:noWrap/>
          </w:tcPr>
          <w:p w14:paraId="5DE6264C" w14:textId="73A0344D" w:rsidR="000E1715" w:rsidRDefault="000E1715" w:rsidP="007A1E2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zh-CN"/>
              </w:rPr>
            </w:pPr>
            <w:r>
              <w:rPr>
                <w:rFonts w:ascii="Calibri" w:hAnsi="Calibri" w:cs="Calibri"/>
                <w:lang w:eastAsia="zh-CN"/>
              </w:rPr>
              <w:t>2.5%</w:t>
            </w:r>
          </w:p>
        </w:tc>
      </w:tr>
      <w:tr w:rsidR="00441EBE" w:rsidRPr="009B6AA8" w14:paraId="744FA4F9" w14:textId="77777777" w:rsidTr="00374DA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B1517C0" w14:textId="77777777" w:rsidR="00441EBE" w:rsidRPr="009B6AA8" w:rsidRDefault="00441EBE" w:rsidP="007A1E2C">
            <w:pPr>
              <w:keepNext/>
              <w:rPr>
                <w:rFonts w:ascii="Calibri" w:hAnsi="Calibri" w:cs="Calibri"/>
                <w:lang w:eastAsia="zh-CN"/>
              </w:rPr>
            </w:pPr>
            <w:r w:rsidRPr="009B6AA8">
              <w:rPr>
                <w:rFonts w:ascii="Calibri" w:hAnsi="Calibri" w:cs="Calibri"/>
                <w:lang w:eastAsia="zh-CN"/>
              </w:rPr>
              <w:t xml:space="preserve">TOTAL </w:t>
            </w:r>
          </w:p>
        </w:tc>
        <w:tc>
          <w:tcPr>
            <w:tcW w:w="0" w:type="auto"/>
            <w:noWrap/>
            <w:hideMark/>
          </w:tcPr>
          <w:p w14:paraId="633CFA96" w14:textId="297993C2" w:rsidR="00441EBE" w:rsidRPr="009B6AA8" w:rsidRDefault="005370A0"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lang w:eastAsia="zh-CN"/>
              </w:rPr>
            </w:pPr>
            <w:r>
              <w:rPr>
                <w:rFonts w:ascii="Calibri" w:hAnsi="Calibri" w:cs="Calibri"/>
                <w:b/>
                <w:bCs/>
                <w:lang w:eastAsia="zh-CN"/>
              </w:rPr>
              <w:t>20</w:t>
            </w:r>
          </w:p>
        </w:tc>
        <w:tc>
          <w:tcPr>
            <w:tcW w:w="0" w:type="auto"/>
            <w:noWrap/>
            <w:hideMark/>
          </w:tcPr>
          <w:p w14:paraId="35664487" w14:textId="382651AB" w:rsidR="00441EBE" w:rsidRPr="009B6AA8" w:rsidRDefault="005370A0"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lang w:eastAsia="zh-CN"/>
              </w:rPr>
            </w:pPr>
            <w:r>
              <w:rPr>
                <w:rFonts w:ascii="Calibri" w:hAnsi="Calibri" w:cs="Calibri"/>
                <w:b/>
                <w:bCs/>
                <w:lang w:eastAsia="zh-CN"/>
              </w:rPr>
              <w:t>20</w:t>
            </w:r>
          </w:p>
        </w:tc>
        <w:tc>
          <w:tcPr>
            <w:tcW w:w="0" w:type="auto"/>
            <w:noWrap/>
            <w:hideMark/>
          </w:tcPr>
          <w:p w14:paraId="2F5FC86F" w14:textId="3117DEF2" w:rsidR="00441EBE" w:rsidRPr="009B6AA8" w:rsidRDefault="005370A0"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lang w:eastAsia="zh-CN"/>
              </w:rPr>
            </w:pPr>
            <w:r>
              <w:rPr>
                <w:rFonts w:ascii="Calibri" w:hAnsi="Calibri" w:cs="Calibri"/>
                <w:b/>
                <w:bCs/>
                <w:lang w:eastAsia="zh-CN"/>
              </w:rPr>
              <w:t>40</w:t>
            </w:r>
          </w:p>
        </w:tc>
        <w:tc>
          <w:tcPr>
            <w:tcW w:w="0" w:type="auto"/>
            <w:noWrap/>
            <w:hideMark/>
          </w:tcPr>
          <w:p w14:paraId="0899188E" w14:textId="77777777" w:rsidR="00441EBE" w:rsidRPr="009B6AA8" w:rsidRDefault="00441EBE" w:rsidP="007A1E2C">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lang w:eastAsia="zh-CN"/>
              </w:rPr>
            </w:pPr>
            <w:r w:rsidRPr="009B6AA8">
              <w:rPr>
                <w:rFonts w:ascii="Calibri" w:hAnsi="Calibri" w:cs="Calibri"/>
                <w:b/>
                <w:bCs/>
                <w:lang w:eastAsia="zh-CN"/>
              </w:rPr>
              <w:t>100%</w:t>
            </w:r>
          </w:p>
        </w:tc>
      </w:tr>
    </w:tbl>
    <w:p w14:paraId="04F9FF53" w14:textId="77777777" w:rsidR="00373EE3" w:rsidRDefault="002C635B" w:rsidP="00374DA4">
      <w:pPr>
        <w:pStyle w:val="Finding"/>
        <w:keepNext/>
      </w:pPr>
      <w:r w:rsidRPr="009B6AA8">
        <w:t xml:space="preserve">The ROHPG promotes turnover of </w:t>
      </w:r>
      <w:proofErr w:type="spellStart"/>
      <w:r w:rsidRPr="009B6AA8">
        <w:t>l</w:t>
      </w:r>
      <w:r w:rsidR="008040DF" w:rsidRPr="009B6AA8">
        <w:t>inacs</w:t>
      </w:r>
      <w:proofErr w:type="spellEnd"/>
      <w:r w:rsidRPr="009B6AA8">
        <w:t xml:space="preserve"> in an appropriate timeframe</w:t>
      </w:r>
      <w:r w:rsidR="008040DF" w:rsidRPr="009B6AA8">
        <w:t>. V</w:t>
      </w:r>
      <w:r w:rsidRPr="009B6AA8">
        <w:t xml:space="preserve">ery few </w:t>
      </w:r>
      <w:r w:rsidR="009374A0" w:rsidRPr="009B6AA8">
        <w:t>a</w:t>
      </w:r>
      <w:r w:rsidRPr="009B6AA8">
        <w:t xml:space="preserve">ctive </w:t>
      </w:r>
      <w:proofErr w:type="spellStart"/>
      <w:r w:rsidRPr="009B6AA8">
        <w:t>linacs</w:t>
      </w:r>
      <w:proofErr w:type="spellEnd"/>
      <w:r w:rsidRPr="009B6AA8">
        <w:t xml:space="preserve"> are aged more than 10 years (</w:t>
      </w:r>
      <w:r w:rsidR="00D5112E">
        <w:t>7</w:t>
      </w:r>
      <w:r w:rsidR="000965EB">
        <w:t>.5</w:t>
      </w:r>
      <w:r w:rsidRPr="009B6AA8">
        <w:t xml:space="preserve">%), and </w:t>
      </w:r>
      <w:r w:rsidR="00D61C07">
        <w:t xml:space="preserve">only one active </w:t>
      </w:r>
      <w:proofErr w:type="spellStart"/>
      <w:r w:rsidR="00D61C07">
        <w:t>linac</w:t>
      </w:r>
      <w:proofErr w:type="spellEnd"/>
      <w:r w:rsidR="00D61C07">
        <w:t xml:space="preserve"> is aged more than 12 years. Almost three quarters</w:t>
      </w:r>
      <w:r w:rsidRPr="009B6AA8">
        <w:t xml:space="preserve"> of decommissioned </w:t>
      </w:r>
      <w:proofErr w:type="spellStart"/>
      <w:r w:rsidRPr="009B6AA8">
        <w:t>li</w:t>
      </w:r>
      <w:r w:rsidR="008040DF" w:rsidRPr="009B6AA8">
        <w:t>nacs</w:t>
      </w:r>
      <w:proofErr w:type="spellEnd"/>
      <w:r w:rsidRPr="009B6AA8">
        <w:t xml:space="preserve"> </w:t>
      </w:r>
      <w:r w:rsidR="008040DF" w:rsidRPr="009B6AA8">
        <w:t xml:space="preserve">were aged </w:t>
      </w:r>
      <w:r w:rsidRPr="009B6AA8">
        <w:t xml:space="preserve">10 years </w:t>
      </w:r>
      <w:r w:rsidR="00D61C07">
        <w:t xml:space="preserve">or less </w:t>
      </w:r>
      <w:r w:rsidRPr="009B6AA8">
        <w:t>at the time of decommissioning</w:t>
      </w:r>
      <w:r w:rsidR="00D61C07">
        <w:t>, and only one was aged more than 12 years at the time of decommissioning</w:t>
      </w:r>
      <w:r w:rsidRPr="009B6AA8">
        <w:t>.</w:t>
      </w:r>
    </w:p>
    <w:p w14:paraId="2535E8BF" w14:textId="4A0F6043" w:rsidR="00373EE3" w:rsidRDefault="00B07EF0" w:rsidP="007A1E2C">
      <w:pPr>
        <w:spacing w:before="240"/>
      </w:pPr>
      <w:r w:rsidRPr="00BE4C8D">
        <w:t xml:space="preserve">Age itself does not determine the safety of a </w:t>
      </w:r>
      <w:proofErr w:type="spellStart"/>
      <w:r w:rsidRPr="00BE4C8D">
        <w:t>linac</w:t>
      </w:r>
      <w:proofErr w:type="spellEnd"/>
      <w:r w:rsidRPr="00BE4C8D">
        <w:t xml:space="preserve">, but increased age is often reflective of increased maintenance needs, </w:t>
      </w:r>
      <w:r w:rsidR="00D5112E">
        <w:t>wearing</w:t>
      </w:r>
      <w:r w:rsidRPr="00BE4C8D">
        <w:t xml:space="preserve"> of parts and downtime for repairs. </w:t>
      </w:r>
      <w:r>
        <w:t>In addition</w:t>
      </w:r>
      <w:r w:rsidR="00D5112E">
        <w:t xml:space="preserve">, ageing </w:t>
      </w:r>
      <w:proofErr w:type="spellStart"/>
      <w:r w:rsidRPr="00BE4C8D">
        <w:t>linacs</w:t>
      </w:r>
      <w:proofErr w:type="spellEnd"/>
      <w:r w:rsidRPr="00BE4C8D">
        <w:t xml:space="preserve"> are less likely to be able to deliver newer high</w:t>
      </w:r>
      <w:r w:rsidR="009A6047">
        <w:t>-</w:t>
      </w:r>
      <w:r w:rsidRPr="00BE4C8D">
        <w:t xml:space="preserve">dose RT techniques such as hypo-fractionation, and may therefore be more limited in their clinical capacity. In </w:t>
      </w:r>
      <w:r w:rsidRPr="00F0339C">
        <w:t>20</w:t>
      </w:r>
      <w:r w:rsidRPr="005F163B">
        <w:t>02, t</w:t>
      </w:r>
      <w:r w:rsidRPr="004620F0">
        <w:t>he</w:t>
      </w:r>
      <w:r w:rsidRPr="00226482">
        <w:t xml:space="preserve"> Ba</w:t>
      </w:r>
      <w:r w:rsidRPr="00B96CC6">
        <w:t>u</w:t>
      </w:r>
      <w:r w:rsidRPr="00E06335">
        <w:t>me I</w:t>
      </w:r>
      <w:r w:rsidRPr="009C1212">
        <w:t>nq</w:t>
      </w:r>
      <w:r w:rsidRPr="00B30B07">
        <w:t>uir</w:t>
      </w:r>
      <w:r w:rsidRPr="00BA5D7E">
        <w:t>y</w:t>
      </w:r>
      <w:r w:rsidRPr="004E4ADE">
        <w:t xml:space="preserve"> re</w:t>
      </w:r>
      <w:r w:rsidRPr="00605C7E">
        <w:t>c</w:t>
      </w:r>
      <w:r w:rsidRPr="0094300D">
        <w:t>o</w:t>
      </w:r>
      <w:r w:rsidRPr="00186BE6">
        <w:t>mmen</w:t>
      </w:r>
      <w:r w:rsidRPr="00890F29">
        <w:t>d</w:t>
      </w:r>
      <w:r w:rsidRPr="00E6752E">
        <w:t>e</w:t>
      </w:r>
      <w:r w:rsidRPr="00F40F72">
        <w:t xml:space="preserve">d that </w:t>
      </w:r>
      <w:proofErr w:type="spellStart"/>
      <w:r w:rsidRPr="00F40F72">
        <w:t>linacs</w:t>
      </w:r>
      <w:proofErr w:type="spellEnd"/>
      <w:r w:rsidRPr="00F40F72">
        <w:t xml:space="preserve"> </w:t>
      </w:r>
      <w:r w:rsidRPr="0001065C">
        <w:t>should be decommissioned</w:t>
      </w:r>
      <w:r w:rsidRPr="00907AF3">
        <w:t xml:space="preserve"> </w:t>
      </w:r>
      <w:r w:rsidRPr="00810FC1">
        <w:t>bef</w:t>
      </w:r>
      <w:r w:rsidRPr="00B64570">
        <w:t>o</w:t>
      </w:r>
      <w:r w:rsidRPr="00E5793B">
        <w:t>re the</w:t>
      </w:r>
      <w:r w:rsidRPr="000E1715">
        <w:t>y reach the a</w:t>
      </w:r>
      <w:r w:rsidRPr="00F5709A">
        <w:t xml:space="preserve">ge of </w:t>
      </w:r>
      <w:r w:rsidRPr="004079D7">
        <w:t>12</w:t>
      </w:r>
      <w:r w:rsidRPr="009009B3">
        <w:t xml:space="preserve"> years </w:t>
      </w:r>
      <w:sdt>
        <w:sdtPr>
          <w:id w:val="1211312241"/>
          <w:citation/>
        </w:sdtPr>
        <w:sdtContent>
          <w:r w:rsidRPr="00BE4C8D">
            <w:fldChar w:fldCharType="begin"/>
          </w:r>
          <w:r w:rsidRPr="00BE4C8D">
            <w:instrText xml:space="preserve"> CITATION Rad02 \l 3081 </w:instrText>
          </w:r>
          <w:r w:rsidRPr="00BE4C8D">
            <w:fldChar w:fldCharType="separate"/>
          </w:r>
          <w:r w:rsidR="00264535" w:rsidRPr="00264535">
            <w:rPr>
              <w:noProof/>
            </w:rPr>
            <w:t>[27]</w:t>
          </w:r>
          <w:r w:rsidRPr="00BE4C8D">
            <w:fldChar w:fldCharType="end"/>
          </w:r>
        </w:sdtContent>
      </w:sdt>
      <w:r w:rsidRPr="00BE4C8D">
        <w:t>.</w:t>
      </w:r>
    </w:p>
    <w:p w14:paraId="3A2568DC" w14:textId="77777777" w:rsidR="00373EE3" w:rsidRDefault="00B07EF0" w:rsidP="007A1E2C">
      <w:r>
        <w:t xml:space="preserve">As discussed in section </w:t>
      </w:r>
      <w:r>
        <w:fldChar w:fldCharType="begin"/>
      </w:r>
      <w:r>
        <w:instrText xml:space="preserve"> REF _Ref57653567 \r \h </w:instrText>
      </w:r>
      <w:r>
        <w:fldChar w:fldCharType="separate"/>
      </w:r>
      <w:r w:rsidR="007C0448">
        <w:rPr>
          <w:rFonts w:hint="cs"/>
          <w:cs/>
        </w:rPr>
        <w:t>‎</w:t>
      </w:r>
      <w:r w:rsidR="007C0448">
        <w:t>2.3.3</w:t>
      </w:r>
      <w:r>
        <w:fldChar w:fldCharType="end"/>
      </w:r>
      <w:r>
        <w:t xml:space="preserve">, there are a number of </w:t>
      </w:r>
      <w:proofErr w:type="spellStart"/>
      <w:r>
        <w:t>linacs</w:t>
      </w:r>
      <w:proofErr w:type="spellEnd"/>
      <w:r>
        <w:t xml:space="preserve"> currently funded under the grandfathered ROHPG arrangements that will not reach a capital balance of $0 by the time the </w:t>
      </w:r>
      <w:proofErr w:type="spellStart"/>
      <w:r>
        <w:t>linac</w:t>
      </w:r>
      <w:proofErr w:type="spellEnd"/>
      <w:r>
        <w:t xml:space="preserve"> is aged 1</w:t>
      </w:r>
      <w:r w:rsidR="007E45A5">
        <w:t>2</w:t>
      </w:r>
      <w:r>
        <w:t xml:space="preserve"> years (62 </w:t>
      </w:r>
      <w:proofErr w:type="spellStart"/>
      <w:r>
        <w:t>linacs</w:t>
      </w:r>
      <w:proofErr w:type="spellEnd"/>
      <w:r>
        <w:t xml:space="preserve">). Although facilities are likely to turnover these </w:t>
      </w:r>
      <w:proofErr w:type="spellStart"/>
      <w:r>
        <w:t>li</w:t>
      </w:r>
      <w:r w:rsidR="005429AB">
        <w:t>nacs</w:t>
      </w:r>
      <w:proofErr w:type="spellEnd"/>
      <w:r>
        <w:t xml:space="preserve"> before </w:t>
      </w:r>
      <w:r w:rsidR="007E45A5">
        <w:t>that time, extending ROHPG beyond a 10</w:t>
      </w:r>
      <w:r w:rsidR="005F6742">
        <w:t>-</w:t>
      </w:r>
      <w:r w:rsidR="007E45A5">
        <w:t xml:space="preserve">year timeframe is counter to the </w:t>
      </w:r>
      <w:r>
        <w:t>intended objectives of the ROHPG</w:t>
      </w:r>
      <w:r w:rsidR="007E45A5">
        <w:t>.</w:t>
      </w:r>
    </w:p>
    <w:p w14:paraId="37EBE143" w14:textId="202EB012" w:rsidR="003137F7" w:rsidRPr="008A10D9" w:rsidRDefault="008A10D9" w:rsidP="007A1E2C">
      <w:r>
        <w:t xml:space="preserve">To maintain consistency with the intended objectives of the ROHPG, an age cap </w:t>
      </w:r>
      <w:r w:rsidR="00566CC9">
        <w:t xml:space="preserve">for </w:t>
      </w:r>
      <w:r w:rsidR="00B07EF0">
        <w:t xml:space="preserve">grandfathered equipment </w:t>
      </w:r>
      <w:r>
        <w:t xml:space="preserve">could be introduced </w:t>
      </w:r>
      <w:r w:rsidR="00B07EF0">
        <w:t xml:space="preserve">to ensure </w:t>
      </w:r>
      <w:r w:rsidR="00B07EF0" w:rsidRPr="008A10D9">
        <w:t xml:space="preserve">currency of equipment, the ability to deliver newer techniques and hence the quality </w:t>
      </w:r>
      <w:r w:rsidR="00B07EF0" w:rsidRPr="008A10D9">
        <w:lastRenderedPageBreak/>
        <w:t xml:space="preserve">services delivered for patients. </w:t>
      </w:r>
      <w:r w:rsidRPr="008A10D9">
        <w:rPr>
          <w:rFonts w:cs="Times New Roman"/>
          <w:color w:val="000000" w:themeColor="text1"/>
          <w:szCs w:val="20"/>
        </w:rPr>
        <w:t xml:space="preserve">However, </w:t>
      </w:r>
      <w:r w:rsidRPr="008A10D9">
        <w:t xml:space="preserve">analysis of current </w:t>
      </w:r>
      <w:proofErr w:type="spellStart"/>
      <w:r w:rsidRPr="008A10D9">
        <w:t>linac</w:t>
      </w:r>
      <w:proofErr w:type="spellEnd"/>
      <w:r w:rsidRPr="008A10D9">
        <w:t xml:space="preserve"> age and </w:t>
      </w:r>
      <w:proofErr w:type="spellStart"/>
      <w:r w:rsidRPr="008A10D9">
        <w:rPr>
          <w:rFonts w:cs="Times New Roman"/>
          <w:color w:val="000000" w:themeColor="text1"/>
          <w:szCs w:val="20"/>
        </w:rPr>
        <w:t>linac</w:t>
      </w:r>
      <w:proofErr w:type="spellEnd"/>
      <w:r w:rsidRPr="008A10D9">
        <w:rPr>
          <w:rFonts w:cs="Times New Roman"/>
          <w:color w:val="000000" w:themeColor="text1"/>
          <w:szCs w:val="20"/>
        </w:rPr>
        <w:t xml:space="preserve"> age at decommissioning </w:t>
      </w:r>
      <w:r w:rsidRPr="008A10D9">
        <w:t xml:space="preserve">indicated that very few </w:t>
      </w:r>
      <w:proofErr w:type="spellStart"/>
      <w:r w:rsidRPr="008A10D9">
        <w:t>linacs</w:t>
      </w:r>
      <w:proofErr w:type="spellEnd"/>
      <w:r w:rsidRPr="008A10D9">
        <w:t xml:space="preserve"> are active or decommissioned after 12 years.</w:t>
      </w:r>
    </w:p>
    <w:p w14:paraId="24CF117B" w14:textId="77777777" w:rsidR="00373EE3" w:rsidRDefault="008A10D9" w:rsidP="007A1E2C">
      <w:pPr>
        <w:pStyle w:val="Finding"/>
      </w:pPr>
      <w:r w:rsidRPr="008A10D9">
        <w:t>Despite the potential fo</w:t>
      </w:r>
      <w:r w:rsidRPr="00A91E09">
        <w:t>r grandfathered</w:t>
      </w:r>
      <w:r w:rsidRPr="003919B5">
        <w:t xml:space="preserve"> equipment t</w:t>
      </w:r>
      <w:r w:rsidRPr="00C837DC">
        <w:t>o</w:t>
      </w:r>
      <w:r w:rsidRPr="00DC3C64">
        <w:t xml:space="preserve"> extend</w:t>
      </w:r>
      <w:r w:rsidRPr="00760CC3">
        <w:t xml:space="preserve"> </w:t>
      </w:r>
      <w:r w:rsidRPr="00975630">
        <w:t>we</w:t>
      </w:r>
      <w:r w:rsidRPr="00A50883">
        <w:t>ll b</w:t>
      </w:r>
      <w:r w:rsidRPr="00B80B09">
        <w:t>eyon</w:t>
      </w:r>
      <w:r w:rsidRPr="008A10D9">
        <w:t xml:space="preserve">d 10 or 12 years of age, analysis of </w:t>
      </w:r>
      <w:proofErr w:type="spellStart"/>
      <w:r w:rsidR="00566CC9" w:rsidRPr="008A10D9">
        <w:t>linac</w:t>
      </w:r>
      <w:proofErr w:type="spellEnd"/>
      <w:r w:rsidR="00566CC9" w:rsidRPr="008A10D9">
        <w:t xml:space="preserve"> age at decommissioning </w:t>
      </w:r>
      <w:r w:rsidRPr="008A10D9">
        <w:t>suggest</w:t>
      </w:r>
      <w:r>
        <w:t>s</w:t>
      </w:r>
      <w:r w:rsidRPr="008A10D9">
        <w:t xml:space="preserve"> that the majority of </w:t>
      </w:r>
      <w:proofErr w:type="spellStart"/>
      <w:r w:rsidRPr="008A10D9">
        <w:t>linacs</w:t>
      </w:r>
      <w:proofErr w:type="spellEnd"/>
      <w:r w:rsidRPr="008A10D9">
        <w:t xml:space="preserve"> are likely to be turned-over at or before this age.</w:t>
      </w:r>
    </w:p>
    <w:p w14:paraId="56C2D53F" w14:textId="77777777" w:rsidR="00373EE3" w:rsidRPr="00BC705E" w:rsidRDefault="007B3748" w:rsidP="009F3514">
      <w:pPr>
        <w:pStyle w:val="Heading3numbered"/>
      </w:pPr>
      <w:bookmarkStart w:id="186" w:name="_Toc59198483"/>
      <w:bookmarkStart w:id="187" w:name="_Toc66193950"/>
      <w:r w:rsidRPr="00BC705E">
        <w:t>Other safety and quality considerations</w:t>
      </w:r>
      <w:bookmarkEnd w:id="186"/>
      <w:bookmarkEnd w:id="187"/>
    </w:p>
    <w:p w14:paraId="22B9ED45" w14:textId="77777777" w:rsidR="00373EE3" w:rsidRDefault="00B80AA0" w:rsidP="00B80AA0">
      <w:r w:rsidRPr="009B6AA8">
        <w:t xml:space="preserve">When asked to consider other safety and quality considerations, </w:t>
      </w:r>
      <w:r w:rsidR="007A75A8">
        <w:t>facilities</w:t>
      </w:r>
      <w:r w:rsidRPr="009B6AA8">
        <w:t xml:space="preserve">, clinicians, jurisdictions, peak bodies and safety agencies all </w:t>
      </w:r>
      <w:r w:rsidR="00F6252B" w:rsidRPr="009B6AA8">
        <w:t>referenced</w:t>
      </w:r>
      <w:r w:rsidRPr="009B6AA8">
        <w:t xml:space="preserve"> the Radiation Oncology Practice Standards. Stakeholders commented that other safety consideration</w:t>
      </w:r>
      <w:r w:rsidR="007D37F3">
        <w:t>s</w:t>
      </w:r>
      <w:r w:rsidRPr="009B6AA8">
        <w:t xml:space="preserve"> were:</w:t>
      </w:r>
    </w:p>
    <w:p w14:paraId="3BEA1AE6" w14:textId="77777777" w:rsidR="00373EE3" w:rsidRDefault="004B0E85" w:rsidP="00F6252B">
      <w:pPr>
        <w:pStyle w:val="ListBullet"/>
      </w:pPr>
      <w:r w:rsidRPr="009B6AA8">
        <w:t xml:space="preserve">routine </w:t>
      </w:r>
      <w:r w:rsidR="00B80AA0" w:rsidRPr="009B6AA8">
        <w:t>maintenance of equipment</w:t>
      </w:r>
    </w:p>
    <w:p w14:paraId="44928B0C" w14:textId="77777777" w:rsidR="00373EE3" w:rsidRDefault="004B0E85" w:rsidP="00F6252B">
      <w:pPr>
        <w:pStyle w:val="ListBullet"/>
      </w:pPr>
      <w:r w:rsidRPr="009B6AA8">
        <w:t xml:space="preserve">education </w:t>
      </w:r>
      <w:r w:rsidR="00B80AA0" w:rsidRPr="009B6AA8">
        <w:t>and training of the workforce</w:t>
      </w:r>
      <w:r w:rsidRPr="009B6AA8">
        <w:t>, and</w:t>
      </w:r>
    </w:p>
    <w:p w14:paraId="5A7C32E5" w14:textId="77777777" w:rsidR="00373EE3" w:rsidRDefault="004B0E85" w:rsidP="00F6252B">
      <w:pPr>
        <w:pStyle w:val="ListBullet"/>
      </w:pPr>
      <w:proofErr w:type="gramStart"/>
      <w:r w:rsidRPr="009B6AA8">
        <w:t>access</w:t>
      </w:r>
      <w:proofErr w:type="gramEnd"/>
      <w:r w:rsidRPr="009B6AA8">
        <w:t xml:space="preserve"> </w:t>
      </w:r>
      <w:r w:rsidR="00B80AA0" w:rsidRPr="009B6AA8">
        <w:t>to a suitable qualified workforce</w:t>
      </w:r>
      <w:r w:rsidRPr="009B6AA8">
        <w:t>.</w:t>
      </w:r>
    </w:p>
    <w:p w14:paraId="06B4FD6F" w14:textId="77777777" w:rsidR="00373EE3" w:rsidRDefault="004B0E85" w:rsidP="00374DA4">
      <w:r w:rsidRPr="009B6AA8">
        <w:t>ARPANSA is developing a national Australian Radiation Incident Registry based on models used in the US and Europe. Once established, participation in the registry would incur subscription fees. ARPANSA suggested that participation in the registry could be built into the ROHPG requirements.</w:t>
      </w:r>
    </w:p>
    <w:p w14:paraId="7699E187" w14:textId="77777777" w:rsidR="00373EE3" w:rsidRDefault="00F6252B" w:rsidP="00F6252B">
      <w:r w:rsidRPr="009B6AA8">
        <w:t>These considerations</w:t>
      </w:r>
      <w:r w:rsidR="004431AF" w:rsidRPr="009B6AA8">
        <w:t xml:space="preserve">, together with a range of other issues, </w:t>
      </w:r>
      <w:r w:rsidRPr="009B6AA8">
        <w:t>are covered under the 16 standards of the Radiation Oncology Practice Standards, as follows:</w:t>
      </w:r>
    </w:p>
    <w:p w14:paraId="7CFC04AA" w14:textId="77777777" w:rsidR="00373EE3" w:rsidRDefault="00F6252B" w:rsidP="00374DA4">
      <w:pPr>
        <w:pStyle w:val="ListBullet"/>
      </w:pPr>
      <w:r w:rsidRPr="009B6AA8">
        <w:t>Facility Management</w:t>
      </w:r>
    </w:p>
    <w:p w14:paraId="35CA4F48" w14:textId="086DF27B" w:rsidR="00B80AA0" w:rsidRPr="00374DA4" w:rsidRDefault="00F6252B" w:rsidP="00374DA4">
      <w:pPr>
        <w:pStyle w:val="ListBullet2"/>
        <w:ind w:left="851"/>
      </w:pPr>
      <w:r w:rsidRPr="00374DA4">
        <w:t>Staff</w:t>
      </w:r>
    </w:p>
    <w:p w14:paraId="2FFA0BD1" w14:textId="26F1637B" w:rsidR="00B80AA0" w:rsidRPr="00374DA4" w:rsidRDefault="00B80AA0" w:rsidP="00374DA4">
      <w:pPr>
        <w:pStyle w:val="ListBullet2"/>
        <w:ind w:left="851"/>
      </w:pPr>
      <w:r w:rsidRPr="00374DA4">
        <w:t>Workforce Profile</w:t>
      </w:r>
    </w:p>
    <w:p w14:paraId="15823B7B" w14:textId="0097CDF8" w:rsidR="00B80AA0" w:rsidRPr="00374DA4" w:rsidRDefault="00B80AA0" w:rsidP="00374DA4">
      <w:pPr>
        <w:pStyle w:val="ListBullet2"/>
        <w:ind w:left="851"/>
      </w:pPr>
      <w:r w:rsidRPr="00374DA4">
        <w:t>Management of Radiation Oncology Patient Records</w:t>
      </w:r>
    </w:p>
    <w:p w14:paraId="2817C434" w14:textId="149C17DA" w:rsidR="00B80AA0" w:rsidRPr="00374DA4" w:rsidRDefault="00B80AA0" w:rsidP="00374DA4">
      <w:pPr>
        <w:pStyle w:val="ListBullet2"/>
        <w:ind w:left="851"/>
      </w:pPr>
      <w:r w:rsidRPr="00374DA4">
        <w:t>Data Management</w:t>
      </w:r>
    </w:p>
    <w:p w14:paraId="434BC62F" w14:textId="492D5500" w:rsidR="00B80AA0" w:rsidRPr="00374DA4" w:rsidRDefault="00B80AA0" w:rsidP="00374DA4">
      <w:pPr>
        <w:pStyle w:val="ListBullet2"/>
        <w:ind w:left="851"/>
      </w:pPr>
      <w:r w:rsidRPr="00374DA4">
        <w:t>Facility Infrastructure</w:t>
      </w:r>
    </w:p>
    <w:p w14:paraId="6B22C4E1" w14:textId="53685B85" w:rsidR="00B80AA0" w:rsidRPr="00374DA4" w:rsidRDefault="00B80AA0" w:rsidP="00374DA4">
      <w:pPr>
        <w:pStyle w:val="ListBullet2"/>
        <w:ind w:left="851"/>
      </w:pPr>
      <w:r w:rsidRPr="00374DA4">
        <w:t>Facility Process Management</w:t>
      </w:r>
    </w:p>
    <w:p w14:paraId="658BDD73" w14:textId="4C702525" w:rsidR="00B80AA0" w:rsidRPr="009B6AA8" w:rsidRDefault="00B80AA0" w:rsidP="00374DA4">
      <w:pPr>
        <w:pStyle w:val="ListBullet2"/>
        <w:ind w:left="851"/>
      </w:pPr>
      <w:r w:rsidRPr="00374DA4">
        <w:t>Radiation Therapy</w:t>
      </w:r>
      <w:r w:rsidRPr="009B6AA8">
        <w:t xml:space="preserve"> Equipment</w:t>
      </w:r>
    </w:p>
    <w:p w14:paraId="58CA0126" w14:textId="77777777" w:rsidR="00373EE3" w:rsidRDefault="00F6252B" w:rsidP="00F6252B">
      <w:pPr>
        <w:pStyle w:val="ListBullet"/>
      </w:pPr>
      <w:r w:rsidRPr="009B6AA8">
        <w:t>Treatment Planning and Delivery</w:t>
      </w:r>
    </w:p>
    <w:p w14:paraId="23B47843" w14:textId="6B4BDF7F" w:rsidR="00B80AA0" w:rsidRPr="009B6AA8" w:rsidRDefault="00B80AA0" w:rsidP="00374DA4">
      <w:pPr>
        <w:pStyle w:val="ListBullet2"/>
        <w:ind w:left="851"/>
      </w:pPr>
      <w:r w:rsidRPr="009B6AA8">
        <w:t>Radiation Treatment Prescription</w:t>
      </w:r>
    </w:p>
    <w:p w14:paraId="33CB3798" w14:textId="042B9E7B" w:rsidR="00B80AA0" w:rsidRPr="009B6AA8" w:rsidRDefault="00B80AA0" w:rsidP="00374DA4">
      <w:pPr>
        <w:pStyle w:val="ListBullet2"/>
        <w:ind w:left="851"/>
      </w:pPr>
      <w:r w:rsidRPr="009B6AA8">
        <w:t>Planning Procedures</w:t>
      </w:r>
    </w:p>
    <w:p w14:paraId="653FBC4D" w14:textId="500DB981" w:rsidR="00B80AA0" w:rsidRPr="009B6AA8" w:rsidRDefault="00B80AA0" w:rsidP="00374DA4">
      <w:pPr>
        <w:pStyle w:val="ListBullet2"/>
        <w:ind w:left="851"/>
      </w:pPr>
      <w:r w:rsidRPr="009B6AA8">
        <w:t>Dosimetry</w:t>
      </w:r>
    </w:p>
    <w:p w14:paraId="5DBDC675" w14:textId="4826C390" w:rsidR="00B80AA0" w:rsidRPr="009B6AA8" w:rsidRDefault="00B80AA0" w:rsidP="00374DA4">
      <w:pPr>
        <w:pStyle w:val="ListBullet2"/>
        <w:ind w:left="851"/>
      </w:pPr>
      <w:r w:rsidRPr="009B6AA8">
        <w:t>Radiation Treatment Delivery</w:t>
      </w:r>
    </w:p>
    <w:p w14:paraId="4A5A4DEC" w14:textId="77777777" w:rsidR="00373EE3" w:rsidRDefault="00F6252B" w:rsidP="00F6252B">
      <w:pPr>
        <w:pStyle w:val="ListBullet"/>
      </w:pPr>
      <w:r w:rsidRPr="009B6AA8">
        <w:t>Safety and Quality Management</w:t>
      </w:r>
    </w:p>
    <w:p w14:paraId="12293412" w14:textId="589AEBF0" w:rsidR="00B80AA0" w:rsidRPr="009B6AA8" w:rsidRDefault="00B80AA0" w:rsidP="00374DA4">
      <w:pPr>
        <w:pStyle w:val="ListBullet2"/>
        <w:ind w:left="851"/>
      </w:pPr>
      <w:r w:rsidRPr="009B6AA8">
        <w:t>Safety, Quality and Improvement Processes</w:t>
      </w:r>
    </w:p>
    <w:p w14:paraId="065A68B1" w14:textId="2FA2D653" w:rsidR="00B80AA0" w:rsidRPr="009B6AA8" w:rsidRDefault="00B80AA0" w:rsidP="00374DA4">
      <w:pPr>
        <w:pStyle w:val="ListBullet2"/>
        <w:ind w:left="851"/>
      </w:pPr>
      <w:r w:rsidRPr="009B6AA8">
        <w:t>Radiation Safety</w:t>
      </w:r>
    </w:p>
    <w:p w14:paraId="150504FF" w14:textId="4E1EC015" w:rsidR="00B80AA0" w:rsidRPr="009B6AA8" w:rsidRDefault="00B80AA0" w:rsidP="00374DA4">
      <w:pPr>
        <w:pStyle w:val="ListBullet2"/>
        <w:ind w:left="851"/>
      </w:pPr>
      <w:r w:rsidRPr="009B6AA8">
        <w:t>Incident Monitoring Program</w:t>
      </w:r>
    </w:p>
    <w:p w14:paraId="0CBBB402" w14:textId="01624B89" w:rsidR="00B80AA0" w:rsidRPr="009B6AA8" w:rsidRDefault="00B80AA0" w:rsidP="00374DA4">
      <w:pPr>
        <w:pStyle w:val="ListBullet2"/>
        <w:ind w:left="851"/>
      </w:pPr>
      <w:proofErr w:type="spellStart"/>
      <w:r w:rsidRPr="009B6AA8">
        <w:t>Dosimetric</w:t>
      </w:r>
      <w:proofErr w:type="spellEnd"/>
      <w:r w:rsidRPr="009B6AA8">
        <w:t xml:space="preserve"> </w:t>
      </w:r>
      <w:proofErr w:type="spellStart"/>
      <w:r w:rsidRPr="009B6AA8">
        <w:t>Intercomparison</w:t>
      </w:r>
      <w:proofErr w:type="spellEnd"/>
    </w:p>
    <w:p w14:paraId="1E5801A5" w14:textId="354BB0BC" w:rsidR="00373EE3" w:rsidRDefault="00B80AA0" w:rsidP="00374DA4">
      <w:pPr>
        <w:pStyle w:val="ListBullet2"/>
        <w:ind w:left="851"/>
      </w:pPr>
      <w:r w:rsidRPr="009B6AA8">
        <w:t>Clinical Trials Participation</w:t>
      </w:r>
      <w:r w:rsidR="00F6252B" w:rsidRPr="009B6AA8">
        <w:t xml:space="preserve"> </w:t>
      </w:r>
      <w:sdt>
        <w:sdtPr>
          <w:id w:val="-395133536"/>
          <w:citation/>
        </w:sdtPr>
        <w:sdtContent>
          <w:r w:rsidR="00F6252B" w:rsidRPr="00D65C79">
            <w:fldChar w:fldCharType="begin"/>
          </w:r>
          <w:r w:rsidR="00F6252B" w:rsidRPr="009B6AA8">
            <w:instrText xml:space="preserve"> CITATION Rad18 \l 2057 </w:instrText>
          </w:r>
          <w:r w:rsidR="00F6252B" w:rsidRPr="00D65C79">
            <w:fldChar w:fldCharType="separate"/>
          </w:r>
          <w:r w:rsidR="00264535" w:rsidRPr="00264535">
            <w:rPr>
              <w:noProof/>
            </w:rPr>
            <w:t>[26]</w:t>
          </w:r>
          <w:r w:rsidR="00F6252B" w:rsidRPr="00D65C79">
            <w:fldChar w:fldCharType="end"/>
          </w:r>
        </w:sdtContent>
      </w:sdt>
      <w:r w:rsidR="00F6252B" w:rsidRPr="00D65C79">
        <w:t>.</w:t>
      </w:r>
    </w:p>
    <w:p w14:paraId="12A1E690" w14:textId="77777777" w:rsidR="00373EE3" w:rsidRDefault="00F6252B" w:rsidP="00B80AA0">
      <w:r w:rsidRPr="009B6AA8">
        <w:t>At present, the Radiation Oncology Practice Standards are voluntary and only on</w:t>
      </w:r>
      <w:r w:rsidR="004B0E85" w:rsidRPr="009B6AA8">
        <w:t>e</w:t>
      </w:r>
      <w:r w:rsidRPr="009B6AA8">
        <w:t xml:space="preserve"> jurisdiction (Queensland) has mandated the use of the standards in order to maintain an RT licence in the state.</w:t>
      </w:r>
    </w:p>
    <w:p w14:paraId="4D820A29" w14:textId="77777777" w:rsidR="00373EE3" w:rsidRDefault="00545980" w:rsidP="00B80AA0">
      <w:r w:rsidRPr="009B6AA8">
        <w:t xml:space="preserve">In the absence of national regulation for RT, </w:t>
      </w:r>
      <w:r w:rsidR="004431AF" w:rsidRPr="009B6AA8">
        <w:t>the Royal Australian and New Zealand College of Radiologists</w:t>
      </w:r>
      <w:r w:rsidR="004431AF" w:rsidRPr="00D65C79">
        <w:t xml:space="preserve"> (</w:t>
      </w:r>
      <w:r w:rsidRPr="00D65C79">
        <w:t>RANZCR</w:t>
      </w:r>
      <w:r w:rsidR="004431AF" w:rsidRPr="00D65C79">
        <w:t>)</w:t>
      </w:r>
      <w:r w:rsidRPr="00D65C79">
        <w:t xml:space="preserve"> advocated for the inclusion of the standards into the ROHPG funding, i.e. that RT facilities provide a certific</w:t>
      </w:r>
      <w:r w:rsidRPr="009B6AA8">
        <w:t>ate of currency for meeting the standards in order to receive ROHPG payments, similar to the mechanism used for dosimetry monitor</w:t>
      </w:r>
      <w:r w:rsidR="004B0E85" w:rsidRPr="009B6AA8">
        <w:t>ing</w:t>
      </w:r>
      <w:r w:rsidRPr="009B6AA8">
        <w:t>. RANZCR indicated that the system being used in Queensland, whereby reciprocal assessments are undertaken by other services, could be used as a template for the remainder of the country.</w:t>
      </w:r>
      <w:r w:rsidR="00D042A4" w:rsidRPr="00D042A4">
        <w:t xml:space="preserve"> </w:t>
      </w:r>
      <w:r w:rsidR="00D042A4">
        <w:t>However, mandatory enforcement of the Radiation Oncology Standards is at the discretion of the individual jurisdictions.</w:t>
      </w:r>
    </w:p>
    <w:p w14:paraId="15675C29" w14:textId="77777777" w:rsidR="00373EE3" w:rsidRDefault="00E165DD" w:rsidP="00E165DD">
      <w:pPr>
        <w:pStyle w:val="Quote"/>
      </w:pPr>
      <w:r w:rsidRPr="009B6AA8">
        <w:t>‘In the absence of anything else the ROHPG is really the only lever that exists [as a control of safety and quality]’ – jurisdiction</w:t>
      </w:r>
    </w:p>
    <w:p w14:paraId="00DFA21D" w14:textId="77777777" w:rsidR="00373EE3" w:rsidRDefault="004B0E85" w:rsidP="00D042A4">
      <w:pPr>
        <w:pStyle w:val="Finding"/>
        <w:spacing w:before="240"/>
      </w:pPr>
      <w:r w:rsidRPr="009B6AA8">
        <w:t>The RT community look</w:t>
      </w:r>
      <w:r w:rsidR="00C33259">
        <w:t>s</w:t>
      </w:r>
      <w:r w:rsidRPr="009B6AA8">
        <w:t xml:space="preserve"> to the ROHPG </w:t>
      </w:r>
      <w:r w:rsidR="00FD606B">
        <w:t>Scheme</w:t>
      </w:r>
      <w:r w:rsidRPr="009B6AA8">
        <w:t xml:space="preserve"> to drive consistency and best practice in the absence of national regulation and planning.</w:t>
      </w:r>
    </w:p>
    <w:p w14:paraId="77E2204D" w14:textId="3FB3F1FA" w:rsidR="00373EE3" w:rsidRPr="00BC705E" w:rsidRDefault="000F6B35" w:rsidP="009F3514">
      <w:pPr>
        <w:pStyle w:val="heading2numbered"/>
      </w:pPr>
      <w:bookmarkStart w:id="188" w:name="_Toc59198484"/>
      <w:bookmarkStart w:id="189" w:name="_Toc66193951"/>
      <w:bookmarkStart w:id="190" w:name="_Toc73696695"/>
      <w:r w:rsidRPr="00BC705E">
        <w:lastRenderedPageBreak/>
        <w:t>Conclusion</w:t>
      </w:r>
      <w:bookmarkEnd w:id="188"/>
      <w:bookmarkEnd w:id="189"/>
      <w:bookmarkEnd w:id="190"/>
    </w:p>
    <w:p w14:paraId="07CA8783" w14:textId="77777777" w:rsidR="00373EE3" w:rsidRDefault="007F2F59" w:rsidP="007A1E2C">
      <w:r w:rsidRPr="009B6AA8">
        <w:t xml:space="preserve">The ROHPG makes a significant financial contribution </w:t>
      </w:r>
      <w:r w:rsidR="004431AF" w:rsidRPr="009B6AA8">
        <w:t xml:space="preserve">to </w:t>
      </w:r>
      <w:r w:rsidRPr="009B6AA8">
        <w:t xml:space="preserve">the </w:t>
      </w:r>
      <w:r w:rsidR="006F6BDC" w:rsidRPr="009B6AA8">
        <w:t xml:space="preserve">fleet </w:t>
      </w:r>
      <w:r w:rsidRPr="009B6AA8">
        <w:t xml:space="preserve">of </w:t>
      </w:r>
      <w:proofErr w:type="spellStart"/>
      <w:r w:rsidRPr="009B6AA8">
        <w:t>linacs</w:t>
      </w:r>
      <w:proofErr w:type="spellEnd"/>
      <w:r w:rsidRPr="009B6AA8">
        <w:t xml:space="preserve"> in Australia and supports growth in </w:t>
      </w:r>
      <w:proofErr w:type="spellStart"/>
      <w:r w:rsidRPr="009B6AA8">
        <w:t>linac</w:t>
      </w:r>
      <w:proofErr w:type="spellEnd"/>
      <w:r w:rsidRPr="009B6AA8">
        <w:t xml:space="preserve"> numbers. The majority of recent growth in </w:t>
      </w:r>
      <w:proofErr w:type="spellStart"/>
      <w:r w:rsidRPr="009B6AA8">
        <w:t>linac</w:t>
      </w:r>
      <w:proofErr w:type="spellEnd"/>
      <w:r w:rsidRPr="009B6AA8">
        <w:t xml:space="preserve"> numbers ha</w:t>
      </w:r>
      <w:r w:rsidR="004431AF" w:rsidRPr="009B6AA8">
        <w:t>s</w:t>
      </w:r>
      <w:r w:rsidRPr="009B6AA8">
        <w:t xml:space="preserve"> been in the private sector, demonstrating the important contribution made</w:t>
      </w:r>
      <w:r w:rsidR="006F6BDC" w:rsidRPr="009B6AA8">
        <w:t xml:space="preserve"> by</w:t>
      </w:r>
      <w:r w:rsidRPr="009B6AA8">
        <w:t xml:space="preserve"> </w:t>
      </w:r>
      <w:r w:rsidR="004431AF" w:rsidRPr="009B6AA8">
        <w:t>this sector to overall RT provision</w:t>
      </w:r>
      <w:r w:rsidRPr="009B6AA8">
        <w:t>, and the need for ongoing dialogue between the public and private sector.</w:t>
      </w:r>
    </w:p>
    <w:p w14:paraId="1F8B58CE" w14:textId="77777777" w:rsidR="00373EE3" w:rsidRDefault="007F2F59" w:rsidP="007A1E2C">
      <w:r w:rsidRPr="009B6AA8">
        <w:t xml:space="preserve">The recent growth in regional areas (especially by private </w:t>
      </w:r>
      <w:r w:rsidR="007A75A8">
        <w:t>facilities</w:t>
      </w:r>
      <w:r w:rsidRPr="009B6AA8">
        <w:t xml:space="preserve">) will support increased geographic access to RT services. Further to this, there are increasing numbers of </w:t>
      </w:r>
      <w:r w:rsidR="0068358F">
        <w:t>public-private</w:t>
      </w:r>
      <w:r w:rsidRPr="009B6AA8">
        <w:t xml:space="preserve"> partnerships or shared care arrangements emerging in regional areas.</w:t>
      </w:r>
    </w:p>
    <w:p w14:paraId="42937BB6" w14:textId="77777777" w:rsidR="00373EE3" w:rsidRDefault="007F2F59" w:rsidP="007A1E2C">
      <w:r w:rsidRPr="009B6AA8">
        <w:t xml:space="preserve">However, increasing </w:t>
      </w:r>
      <w:proofErr w:type="spellStart"/>
      <w:r w:rsidRPr="009B6AA8">
        <w:t>linac</w:t>
      </w:r>
      <w:proofErr w:type="spellEnd"/>
      <w:r w:rsidRPr="009B6AA8">
        <w:t xml:space="preserve"> numbers alone is insufficient to address </w:t>
      </w:r>
      <w:r w:rsidR="004431AF" w:rsidRPr="009B6AA8">
        <w:t>sub</w:t>
      </w:r>
      <w:r w:rsidR="00C33259">
        <w:t>-</w:t>
      </w:r>
      <w:r w:rsidRPr="009B6AA8">
        <w:t>optimal</w:t>
      </w:r>
      <w:r w:rsidR="006F6BDC" w:rsidRPr="009B6AA8">
        <w:t xml:space="preserve"> </w:t>
      </w:r>
      <w:r w:rsidRPr="009B6AA8">
        <w:t xml:space="preserve">RT utilisation rates in Australia. Other factors that affect </w:t>
      </w:r>
      <w:r w:rsidR="003539AC" w:rsidRPr="009B6AA8">
        <w:t>utilisation</w:t>
      </w:r>
      <w:r w:rsidRPr="009B6AA8">
        <w:t xml:space="preserve"> rates include referral patterns, </w:t>
      </w:r>
      <w:r w:rsidR="00820701" w:rsidRPr="009B6AA8">
        <w:t>clinician</w:t>
      </w:r>
      <w:r w:rsidR="004431AF" w:rsidRPr="009B6AA8">
        <w:t xml:space="preserve"> and patient </w:t>
      </w:r>
      <w:r w:rsidRPr="009B6AA8">
        <w:t>education</w:t>
      </w:r>
      <w:r w:rsidR="003539AC" w:rsidRPr="009B6AA8">
        <w:t>,</w:t>
      </w:r>
      <w:r w:rsidRPr="009B6AA8">
        <w:t xml:space="preserve"> support for patients to come to services</w:t>
      </w:r>
      <w:r w:rsidR="004431AF" w:rsidRPr="009B6AA8">
        <w:t xml:space="preserve"> (e.g. access to accommodation where patients are from regional areas)</w:t>
      </w:r>
      <w:r w:rsidRPr="009B6AA8">
        <w:t xml:space="preserve">, and workforce </w:t>
      </w:r>
      <w:r w:rsidR="003539AC" w:rsidRPr="009B6AA8">
        <w:t>availability</w:t>
      </w:r>
      <w:r w:rsidRPr="009B6AA8">
        <w:t>.</w:t>
      </w:r>
      <w:r w:rsidR="003539AC" w:rsidRPr="009B6AA8">
        <w:t xml:space="preserve"> Integration of </w:t>
      </w:r>
      <w:r w:rsidR="004431AF" w:rsidRPr="009B6AA8">
        <w:t xml:space="preserve">the </w:t>
      </w:r>
      <w:r w:rsidR="003539AC" w:rsidRPr="009B6AA8">
        <w:t xml:space="preserve">ROHPG </w:t>
      </w:r>
      <w:r w:rsidR="00FD606B">
        <w:t>Scheme</w:t>
      </w:r>
      <w:r w:rsidR="003539AC" w:rsidRPr="009B6AA8">
        <w:t xml:space="preserve"> </w:t>
      </w:r>
      <w:r w:rsidR="004431AF" w:rsidRPr="009B6AA8">
        <w:t xml:space="preserve">design features </w:t>
      </w:r>
      <w:r w:rsidR="003539AC" w:rsidRPr="009B6AA8">
        <w:t>with broader RT planning considerations will provide a more holistic and less disjointed approach for the sector.</w:t>
      </w:r>
    </w:p>
    <w:p w14:paraId="384AFF51" w14:textId="3FDAA908" w:rsidR="003539AC" w:rsidRPr="00BC705E" w:rsidRDefault="003539AC" w:rsidP="009F3514">
      <w:pPr>
        <w:pStyle w:val="Heading4"/>
      </w:pPr>
      <w:bookmarkStart w:id="191" w:name="_Toc66193952"/>
      <w:r w:rsidRPr="00BC705E">
        <w:t xml:space="preserve">Service throughput by public and private </w:t>
      </w:r>
      <w:r w:rsidR="007A75A8" w:rsidRPr="00BC705E">
        <w:t>facilities</w:t>
      </w:r>
      <w:bookmarkEnd w:id="191"/>
    </w:p>
    <w:p w14:paraId="59A8E24C" w14:textId="77777777" w:rsidR="00373EE3" w:rsidRDefault="003539AC" w:rsidP="007A1E2C">
      <w:r w:rsidRPr="009B6AA8">
        <w:t xml:space="preserve">Analysis of MBS data did not provide evidence of increased service throughput by private </w:t>
      </w:r>
      <w:r w:rsidR="007A75A8">
        <w:t>facilities</w:t>
      </w:r>
      <w:r w:rsidRPr="009B6AA8">
        <w:t xml:space="preserve"> compared to public </w:t>
      </w:r>
      <w:r w:rsidR="007A75A8">
        <w:t>facilities</w:t>
      </w:r>
      <w:r w:rsidR="004431AF" w:rsidRPr="009B6AA8">
        <w:t>, a</w:t>
      </w:r>
      <w:r w:rsidRPr="009B6AA8">
        <w:t xml:space="preserve">lthough it was noted that some </w:t>
      </w:r>
      <w:r w:rsidR="007A75A8">
        <w:t>facilities</w:t>
      </w:r>
      <w:r w:rsidRPr="009B6AA8">
        <w:t xml:space="preserve"> (both public and private) have higher than average throughput and exceed the nominal annual usage estimates of 8,200 services. </w:t>
      </w:r>
      <w:r w:rsidR="00A62690" w:rsidRPr="009B6AA8">
        <w:t>A 10-year lifecycle is felt to be appropriate given the current structure and priorities of funding, but the timeframe should be reviewed as part of adopting any of the forward options, and periodically.</w:t>
      </w:r>
    </w:p>
    <w:p w14:paraId="3E67E8B5" w14:textId="77777777" w:rsidR="00373EE3" w:rsidRDefault="003539AC" w:rsidP="007A1E2C">
      <w:pPr>
        <w:pStyle w:val="Recommendations"/>
        <w:keepLines/>
      </w:pPr>
      <w:r w:rsidRPr="009B6AA8">
        <w:t xml:space="preserve">The ROHPG should be offered with </w:t>
      </w:r>
      <w:r w:rsidR="004431AF" w:rsidRPr="009B6AA8">
        <w:t xml:space="preserve">subsidy </w:t>
      </w:r>
      <w:r w:rsidRPr="009B6AA8">
        <w:t xml:space="preserve">timeframes </w:t>
      </w:r>
      <w:r w:rsidR="004431AF" w:rsidRPr="009B6AA8">
        <w:t>that do not differentiate between</w:t>
      </w:r>
      <w:r w:rsidRPr="009B6AA8">
        <w:t xml:space="preserve"> public and private </w:t>
      </w:r>
      <w:r w:rsidR="007A75A8">
        <w:t>facilities</w:t>
      </w:r>
      <w:r w:rsidRPr="009B6AA8">
        <w:t xml:space="preserve">. The timeframe should be no longer than 10 years. The </w:t>
      </w:r>
      <w:r w:rsidR="00855E21">
        <w:t>D</w:t>
      </w:r>
      <w:r w:rsidR="00855E21" w:rsidRPr="009B6AA8">
        <w:t xml:space="preserve">epartment </w:t>
      </w:r>
      <w:r w:rsidRPr="009B6AA8">
        <w:t xml:space="preserve">may wish to consider shorter timeframes on a </w:t>
      </w:r>
      <w:r w:rsidR="00C33259" w:rsidRPr="009B6AA8">
        <w:t>case</w:t>
      </w:r>
      <w:r w:rsidR="00C33259">
        <w:t>-</w:t>
      </w:r>
      <w:r w:rsidR="00C33259" w:rsidRPr="009B6AA8">
        <w:t>by</w:t>
      </w:r>
      <w:r w:rsidR="00C33259">
        <w:t>-</w:t>
      </w:r>
      <w:r w:rsidRPr="009B6AA8">
        <w:t xml:space="preserve">case </w:t>
      </w:r>
      <w:r w:rsidR="00EB6FB4" w:rsidRPr="009B6AA8">
        <w:t>basis if</w:t>
      </w:r>
      <w:r w:rsidRPr="009B6AA8">
        <w:t xml:space="preserve"> suitable evidence of very high throughput can be demonstrated.</w:t>
      </w:r>
    </w:p>
    <w:p w14:paraId="36A72871" w14:textId="77777777" w:rsidR="00373EE3" w:rsidRPr="00BC705E" w:rsidRDefault="003539AC" w:rsidP="009F3514">
      <w:pPr>
        <w:pStyle w:val="Heading4"/>
      </w:pPr>
      <w:bookmarkStart w:id="192" w:name="_Toc66193953"/>
      <w:r w:rsidRPr="00BC705E">
        <w:t>Safety and quality</w:t>
      </w:r>
      <w:bookmarkEnd w:id="192"/>
    </w:p>
    <w:p w14:paraId="11CCF19B" w14:textId="33574963" w:rsidR="003539AC" w:rsidRPr="009B6AA8" w:rsidRDefault="003539AC" w:rsidP="00125FC1">
      <w:r w:rsidRPr="009B6AA8">
        <w:t xml:space="preserve">The ROHPG promotes turnover of </w:t>
      </w:r>
      <w:proofErr w:type="spellStart"/>
      <w:r w:rsidRPr="009B6AA8">
        <w:t>linacs</w:t>
      </w:r>
      <w:proofErr w:type="spellEnd"/>
      <w:r w:rsidRPr="009B6AA8">
        <w:t xml:space="preserve"> in an appropriate timeframe. The dosimetry monitoring ensure</w:t>
      </w:r>
      <w:r w:rsidR="007F17C0">
        <w:t>s</w:t>
      </w:r>
      <w:r w:rsidRPr="009B6AA8">
        <w:t xml:space="preserve"> quality and safety of the funded </w:t>
      </w:r>
      <w:proofErr w:type="spellStart"/>
      <w:r w:rsidRPr="009B6AA8">
        <w:t>linacs</w:t>
      </w:r>
      <w:proofErr w:type="spellEnd"/>
      <w:r w:rsidRPr="009B6AA8">
        <w:t>.</w:t>
      </w:r>
    </w:p>
    <w:p w14:paraId="0968D8A9" w14:textId="77777777" w:rsidR="00373EE3" w:rsidRDefault="003539AC" w:rsidP="00125FC1">
      <w:r w:rsidRPr="009B6AA8">
        <w:t xml:space="preserve">The varying regulatory rules among individual jurisdictions and lack of a national regulatory body for RT leave the ROHPG one of the only mechanisms to drive national consistency and best practice in RT. </w:t>
      </w:r>
      <w:r w:rsidR="00855E21">
        <w:t>Despite this, it is not the place of a capital grants scheme such as the ROHPG to enforce quality standards for the radiation oncology sector.</w:t>
      </w:r>
    </w:p>
    <w:p w14:paraId="65799D82" w14:textId="45C749D9" w:rsidR="0027365A" w:rsidRPr="009B6AA8" w:rsidRDefault="00BE4C8D" w:rsidP="0027365A">
      <w:pPr>
        <w:pStyle w:val="Recommendations"/>
      </w:pPr>
      <w:r>
        <w:t xml:space="preserve">The Department may wish to consider the inclusion of </w:t>
      </w:r>
      <w:r w:rsidR="00E941F2">
        <w:t xml:space="preserve">additional </w:t>
      </w:r>
      <w:r>
        <w:t xml:space="preserve">safety </w:t>
      </w:r>
      <w:r w:rsidR="00E941F2">
        <w:t xml:space="preserve">monitoring </w:t>
      </w:r>
      <w:r>
        <w:t xml:space="preserve">measures into the ROHPG </w:t>
      </w:r>
      <w:r w:rsidR="00E941F2">
        <w:t>funding conditions in future as they emerge</w:t>
      </w:r>
      <w:r w:rsidR="007D5B1A">
        <w:t xml:space="preserve"> or are mandated by jurisdictions</w:t>
      </w:r>
      <w:r w:rsidR="00E941F2">
        <w:t xml:space="preserve"> (e.g. the </w:t>
      </w:r>
      <w:r w:rsidR="00E941F2" w:rsidRPr="009B6AA8">
        <w:t>Australian Radiation Incident Registry</w:t>
      </w:r>
      <w:r w:rsidR="00E941F2">
        <w:t xml:space="preserve"> or </w:t>
      </w:r>
      <w:r>
        <w:t>Radiation Oncology Standards</w:t>
      </w:r>
      <w:r w:rsidR="00E941F2">
        <w:t xml:space="preserve">). </w:t>
      </w:r>
      <w:r w:rsidR="00F40F72">
        <w:t>However, it is not the place of a capital grants scheme to enforce quality standards for the radiation oncology sector.</w:t>
      </w:r>
    </w:p>
    <w:p w14:paraId="102A7CFF" w14:textId="0F38A38F" w:rsidR="00373EE3" w:rsidRPr="00785F73" w:rsidRDefault="00AA5B17" w:rsidP="00374DA4">
      <w:pPr>
        <w:pStyle w:val="Heading1numbered"/>
        <w:pageBreakBefore/>
      </w:pPr>
      <w:bookmarkStart w:id="193" w:name="_Toc59198485"/>
      <w:bookmarkStart w:id="194" w:name="_Toc66193954"/>
      <w:bookmarkStart w:id="195" w:name="_Toc73696696"/>
      <w:r w:rsidRPr="00785F73">
        <w:lastRenderedPageBreak/>
        <w:t xml:space="preserve">Key Review Area </w:t>
      </w:r>
      <w:r w:rsidR="00375E68" w:rsidRPr="00785F73">
        <w:t>C</w:t>
      </w:r>
      <w:r w:rsidRPr="00785F73">
        <w:t xml:space="preserve">: </w:t>
      </w:r>
      <w:r w:rsidR="00375E68" w:rsidRPr="00785F73">
        <w:t>E</w:t>
      </w:r>
      <w:r w:rsidR="000F6B35" w:rsidRPr="00785F73">
        <w:t>fficient and effective administration</w:t>
      </w:r>
      <w:bookmarkEnd w:id="193"/>
      <w:bookmarkEnd w:id="194"/>
      <w:bookmarkEnd w:id="195"/>
    </w:p>
    <w:p w14:paraId="57B110CC" w14:textId="46A592DC" w:rsidR="00373EE3" w:rsidRPr="00D609FC" w:rsidRDefault="00365296" w:rsidP="009F3514">
      <w:pPr>
        <w:pStyle w:val="Heading2"/>
        <w:pageBreakBefore w:val="0"/>
      </w:pPr>
      <w:bookmarkStart w:id="196" w:name="_Toc59198486"/>
      <w:bookmarkStart w:id="197" w:name="_Toc66193955"/>
      <w:bookmarkStart w:id="198" w:name="_Toc73696697"/>
      <w:r w:rsidRPr="009B6AA8">
        <w:t>Summary of recommendations</w:t>
      </w:r>
      <w:bookmarkEnd w:id="196"/>
      <w:bookmarkEnd w:id="197"/>
      <w:bookmarkEnd w:id="198"/>
    </w:p>
    <w:p w14:paraId="1B04FA54" w14:textId="3012AE2F" w:rsidR="00365296" w:rsidRPr="009B6AA8" w:rsidRDefault="00365296" w:rsidP="00F331ED">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 xml:space="preserve">Recommendation </w:t>
      </w:r>
      <w:r w:rsidR="00753ADA">
        <w:rPr>
          <w:b/>
          <w:bCs/>
        </w:rPr>
        <w:t>5</w:t>
      </w:r>
      <w:r w:rsidRPr="009B6AA8">
        <w:rPr>
          <w:b/>
          <w:bCs/>
        </w:rPr>
        <w:t>.</w:t>
      </w:r>
      <w:r w:rsidRPr="009B6AA8">
        <w:t xml:space="preserve"> </w:t>
      </w:r>
      <w:r w:rsidR="00F40F72" w:rsidRPr="00226482">
        <w:t xml:space="preserve">$3 million makes a significant contribution to the current costs of a base level </w:t>
      </w:r>
      <w:proofErr w:type="spellStart"/>
      <w:r w:rsidR="00F40F72" w:rsidRPr="00226482">
        <w:t>linac</w:t>
      </w:r>
      <w:proofErr w:type="spellEnd"/>
      <w:r w:rsidR="00F40F72">
        <w:t>.</w:t>
      </w:r>
      <w:r w:rsidR="00F40F72" w:rsidRPr="009B6AA8">
        <w:t xml:space="preserve"> </w:t>
      </w:r>
      <w:r w:rsidR="00F40F72" w:rsidRPr="00226482">
        <w:t>The capital contribution should be reviewed periodically (nominally every four years) to ensure it remains an appropriate value.</w:t>
      </w:r>
    </w:p>
    <w:p w14:paraId="7035995C" w14:textId="77777777" w:rsidR="00373EE3" w:rsidRDefault="00365296" w:rsidP="00A0682A">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 xml:space="preserve">Recommendation </w:t>
      </w:r>
      <w:r w:rsidR="00753ADA">
        <w:rPr>
          <w:b/>
          <w:bCs/>
        </w:rPr>
        <w:t>6</w:t>
      </w:r>
      <w:r w:rsidRPr="009B6AA8">
        <w:rPr>
          <w:b/>
          <w:bCs/>
        </w:rPr>
        <w:t>.</w:t>
      </w:r>
      <w:r w:rsidRPr="009B6AA8">
        <w:t xml:space="preserve"> </w:t>
      </w:r>
      <w:r w:rsidR="00F40F72" w:rsidRPr="009B6AA8">
        <w:t>The formula used for setting priority areas in each jurisdiction should be made available, along with the estimated demand (including both met and unmet need) for each planning region. Longer-term projections should also be presented (e.g. upcoming five years), even if these areas cannot be applied for until future years. This will enable forward planning by providers.</w:t>
      </w:r>
    </w:p>
    <w:p w14:paraId="240238E0" w14:textId="3EDE4624" w:rsidR="00A3666D" w:rsidRPr="009B6AA8" w:rsidRDefault="00A3666D" w:rsidP="00F331ED">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 xml:space="preserve">Recommendation </w:t>
      </w:r>
      <w:r w:rsidR="00753ADA">
        <w:rPr>
          <w:b/>
          <w:bCs/>
        </w:rPr>
        <w:t>7</w:t>
      </w:r>
      <w:r w:rsidRPr="009B6AA8">
        <w:rPr>
          <w:b/>
          <w:bCs/>
        </w:rPr>
        <w:t xml:space="preserve">. </w:t>
      </w:r>
      <w:r w:rsidR="00F40F72" w:rsidRPr="009B6AA8">
        <w:t>The Department</w:t>
      </w:r>
      <w:r w:rsidR="00F40F72">
        <w:t>, in conjunction with jurisdictional departments of health,</w:t>
      </w:r>
      <w:r w:rsidR="00F40F72" w:rsidRPr="009B6AA8">
        <w:t xml:space="preserve"> </w:t>
      </w:r>
      <w:r w:rsidR="00F40F72">
        <w:t xml:space="preserve">could </w:t>
      </w:r>
      <w:r w:rsidR="00F40F72" w:rsidRPr="009B6AA8">
        <w:t xml:space="preserve">consider establishment of a national register of all </w:t>
      </w:r>
      <w:proofErr w:type="spellStart"/>
      <w:r w:rsidR="00F40F72" w:rsidRPr="009B6AA8">
        <w:t>linacs</w:t>
      </w:r>
      <w:proofErr w:type="spellEnd"/>
      <w:r w:rsidR="00F40F72">
        <w:t xml:space="preserve"> </w:t>
      </w:r>
      <w:r w:rsidR="00F40F72" w:rsidRPr="009B6AA8">
        <w:t>to support planning processes.</w:t>
      </w:r>
    </w:p>
    <w:p w14:paraId="578849D1" w14:textId="78E63633" w:rsidR="00365296" w:rsidRPr="009B6AA8" w:rsidRDefault="00365296" w:rsidP="00F331ED">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 xml:space="preserve">Recommendation </w:t>
      </w:r>
      <w:r w:rsidR="00753ADA">
        <w:rPr>
          <w:b/>
          <w:bCs/>
        </w:rPr>
        <w:t>8</w:t>
      </w:r>
      <w:r w:rsidRPr="009B6AA8">
        <w:rPr>
          <w:b/>
          <w:bCs/>
        </w:rPr>
        <w:t>.</w:t>
      </w:r>
      <w:r w:rsidRPr="009B6AA8">
        <w:t xml:space="preserve"> </w:t>
      </w:r>
      <w:r w:rsidR="00F40F72" w:rsidRPr="009B6AA8">
        <w:t>The Department may wish to consider expanding the setting of priority area</w:t>
      </w:r>
      <w:r w:rsidR="00F40F72">
        <w:t>s</w:t>
      </w:r>
      <w:r w:rsidR="00F40F72" w:rsidRPr="009B6AA8">
        <w:t xml:space="preserve"> to include broader radiotherapy planning at a national level, with input from jurisdiction</w:t>
      </w:r>
      <w:r w:rsidR="00F40F72">
        <w:t>s</w:t>
      </w:r>
      <w:r w:rsidR="00F40F72" w:rsidRPr="009B6AA8">
        <w:t xml:space="preserve"> and </w:t>
      </w:r>
      <w:r w:rsidR="00F40F72">
        <w:t>facilities</w:t>
      </w:r>
      <w:r w:rsidR="00F40F72" w:rsidRPr="009B6AA8">
        <w:t>.</w:t>
      </w:r>
    </w:p>
    <w:p w14:paraId="017B2241" w14:textId="32BA3A44" w:rsidR="00365296" w:rsidRPr="009B6AA8" w:rsidRDefault="00365296" w:rsidP="00F331ED">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 xml:space="preserve">Recommendation </w:t>
      </w:r>
      <w:r w:rsidR="0058375C">
        <w:rPr>
          <w:b/>
          <w:bCs/>
        </w:rPr>
        <w:t>9</w:t>
      </w:r>
      <w:r w:rsidRPr="009B6AA8">
        <w:rPr>
          <w:b/>
          <w:bCs/>
        </w:rPr>
        <w:t xml:space="preserve">. </w:t>
      </w:r>
      <w:r w:rsidR="00F40F72" w:rsidRPr="009B6AA8">
        <w:t>The Department should maintain the two-year timeframe for establishing new facilities. New timeframes (no longer than two years) should be negotiated with the grandfathered non-operational facilities.</w:t>
      </w:r>
    </w:p>
    <w:p w14:paraId="3C93108D" w14:textId="70CD02CB" w:rsidR="00365296" w:rsidRPr="009B6AA8" w:rsidRDefault="00365296" w:rsidP="00F331ED">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 xml:space="preserve">Recommendation </w:t>
      </w:r>
      <w:r w:rsidR="0058375C">
        <w:rPr>
          <w:b/>
          <w:bCs/>
        </w:rPr>
        <w:t>10</w:t>
      </w:r>
      <w:r w:rsidRPr="009B6AA8">
        <w:rPr>
          <w:b/>
          <w:bCs/>
        </w:rPr>
        <w:t>.</w:t>
      </w:r>
      <w:r w:rsidRPr="009B6AA8">
        <w:t xml:space="preserve"> </w:t>
      </w:r>
      <w:r w:rsidR="00F40F72" w:rsidRPr="009B6AA8">
        <w:t>The Department should maintain the inclusion of dosimetry monitoring.</w:t>
      </w:r>
    </w:p>
    <w:p w14:paraId="3D2DDAFF" w14:textId="6F72A40D" w:rsidR="00373EE3" w:rsidRDefault="009D09DE" w:rsidP="009F3514">
      <w:pPr>
        <w:pStyle w:val="Heading2"/>
        <w:pageBreakBefore w:val="0"/>
      </w:pPr>
      <w:bookmarkStart w:id="199" w:name="_Toc59198487"/>
      <w:bookmarkStart w:id="200" w:name="_Toc66193956"/>
      <w:bookmarkStart w:id="201" w:name="_Toc73696698"/>
      <w:r w:rsidRPr="009B6AA8">
        <w:t>Review questions</w:t>
      </w:r>
      <w:bookmarkEnd w:id="199"/>
      <w:bookmarkEnd w:id="200"/>
      <w:bookmarkEnd w:id="201"/>
    </w:p>
    <w:p w14:paraId="1BE3DE23" w14:textId="77777777" w:rsidR="00373EE3" w:rsidRDefault="000F6B35" w:rsidP="009D09DE">
      <w:pPr>
        <w:spacing w:before="240"/>
      </w:pPr>
      <w:r w:rsidRPr="009B6AA8">
        <w:t xml:space="preserve">The ROHPG Review sought to assess the efficient and effective administration of the </w:t>
      </w:r>
      <w:r w:rsidR="00FD606B">
        <w:t>Scheme</w:t>
      </w:r>
      <w:r w:rsidRPr="009B6AA8">
        <w:t xml:space="preserve">, specifically the efficiency and effectiveness of the </w:t>
      </w:r>
      <w:r w:rsidR="007D37F3">
        <w:t xml:space="preserve">2017 </w:t>
      </w:r>
      <w:r w:rsidRPr="009B6AA8">
        <w:t xml:space="preserve">changes to administration processes and if there have been any unintended consequences </w:t>
      </w:r>
      <w:r w:rsidR="007F17C0">
        <w:t>from</w:t>
      </w:r>
      <w:r w:rsidR="007F17C0" w:rsidRPr="009B6AA8">
        <w:t xml:space="preserve"> </w:t>
      </w:r>
      <w:r w:rsidRPr="009B6AA8">
        <w:t>these changes. The key review questions were:</w:t>
      </w:r>
    </w:p>
    <w:p w14:paraId="4DF8131B" w14:textId="23374F24" w:rsidR="004A24A3" w:rsidRPr="009B6AA8" w:rsidRDefault="000F6B35" w:rsidP="000F6B35">
      <w:pPr>
        <w:pStyle w:val="Quote"/>
      </w:pPr>
      <w:r w:rsidRPr="009B6AA8">
        <w:t xml:space="preserve">1. </w:t>
      </w:r>
      <w:r w:rsidR="004A24A3" w:rsidRPr="009B6AA8">
        <w:t>To what extent is paying a set capital contribution for high-cost equipment effective?</w:t>
      </w:r>
    </w:p>
    <w:p w14:paraId="7ADFE6DA" w14:textId="1126BE26" w:rsidR="004A24A3" w:rsidRPr="009B6AA8" w:rsidRDefault="000F6B35" w:rsidP="000F6B35">
      <w:pPr>
        <w:pStyle w:val="Quote"/>
      </w:pPr>
      <w:r w:rsidRPr="009B6AA8">
        <w:t xml:space="preserve">2. </w:t>
      </w:r>
      <w:r w:rsidR="004A24A3" w:rsidRPr="009B6AA8">
        <w:t>To what extent is making annual capital payments over a 10-year (or 8-year) period effective?</w:t>
      </w:r>
    </w:p>
    <w:p w14:paraId="6251F65D" w14:textId="67D72143" w:rsidR="004A24A3" w:rsidRPr="009B6AA8" w:rsidRDefault="000F6B35" w:rsidP="000F6B35">
      <w:pPr>
        <w:pStyle w:val="Quote"/>
      </w:pPr>
      <w:r w:rsidRPr="009B6AA8">
        <w:t xml:space="preserve">3. </w:t>
      </w:r>
      <w:r w:rsidR="008700A0" w:rsidRPr="009B6AA8">
        <w:t>What has been the effect of removing the link for capital reimbursement to MBS service volume?</w:t>
      </w:r>
    </w:p>
    <w:p w14:paraId="5A8D6310" w14:textId="2EBE5E84" w:rsidR="008700A0" w:rsidRPr="009B6AA8" w:rsidRDefault="000F6B35" w:rsidP="000F6B35">
      <w:pPr>
        <w:pStyle w:val="Quote"/>
      </w:pPr>
      <w:r w:rsidRPr="009B6AA8">
        <w:t xml:space="preserve">4. </w:t>
      </w:r>
      <w:r w:rsidR="008700A0" w:rsidRPr="009B6AA8">
        <w:t xml:space="preserve">What has been the impact of identifying priority areas annually in conjunction with </w:t>
      </w:r>
      <w:r w:rsidR="00ED3765">
        <w:t>s</w:t>
      </w:r>
      <w:r w:rsidR="00ED3765" w:rsidRPr="009B6AA8">
        <w:t xml:space="preserve">tate </w:t>
      </w:r>
      <w:r w:rsidR="008700A0" w:rsidRPr="009B6AA8">
        <w:t xml:space="preserve">/ </w:t>
      </w:r>
      <w:r w:rsidR="00ED3765">
        <w:t>t</w:t>
      </w:r>
      <w:r w:rsidR="00ED3765" w:rsidRPr="009B6AA8">
        <w:t xml:space="preserve">erritory </w:t>
      </w:r>
      <w:r w:rsidR="00ED3765">
        <w:t>g</w:t>
      </w:r>
      <w:r w:rsidR="00ED3765" w:rsidRPr="009B6AA8">
        <w:t>overnments</w:t>
      </w:r>
      <w:r w:rsidR="008700A0" w:rsidRPr="009B6AA8">
        <w:t>?</w:t>
      </w:r>
    </w:p>
    <w:p w14:paraId="7129ED44" w14:textId="29249AC3" w:rsidR="008700A0" w:rsidRPr="009B6AA8" w:rsidRDefault="000F6B35" w:rsidP="000F6B35">
      <w:pPr>
        <w:pStyle w:val="Quote"/>
      </w:pPr>
      <w:r w:rsidRPr="009B6AA8">
        <w:t xml:space="preserve">5. </w:t>
      </w:r>
      <w:r w:rsidR="008700A0" w:rsidRPr="009B6AA8">
        <w:t>What has been the impact of the new process for applications in newly identified priority areas?</w:t>
      </w:r>
    </w:p>
    <w:p w14:paraId="6E3BCDF3" w14:textId="7F4BB566" w:rsidR="008700A0" w:rsidRPr="009B6AA8" w:rsidRDefault="000F6B35" w:rsidP="000F6B35">
      <w:pPr>
        <w:pStyle w:val="Quote"/>
      </w:pPr>
      <w:r w:rsidRPr="009B6AA8">
        <w:t xml:space="preserve">6. </w:t>
      </w:r>
      <w:r w:rsidR="008700A0" w:rsidRPr="009B6AA8">
        <w:t xml:space="preserve">To what extent have approved new facilities been operational within </w:t>
      </w:r>
      <w:r w:rsidR="007F17C0">
        <w:t>two</w:t>
      </w:r>
      <w:r w:rsidR="007F17C0" w:rsidRPr="009B6AA8">
        <w:t xml:space="preserve"> </w:t>
      </w:r>
      <w:r w:rsidR="008700A0" w:rsidRPr="009B6AA8">
        <w:t>years of approval?</w:t>
      </w:r>
    </w:p>
    <w:p w14:paraId="16640D2E" w14:textId="0B0A9617" w:rsidR="008700A0" w:rsidRPr="009B6AA8" w:rsidRDefault="000F6B35" w:rsidP="000F6B35">
      <w:pPr>
        <w:pStyle w:val="Quote"/>
      </w:pPr>
      <w:r w:rsidRPr="009B6AA8">
        <w:t xml:space="preserve">7. </w:t>
      </w:r>
      <w:r w:rsidR="008700A0" w:rsidRPr="009B6AA8">
        <w:t>What has been the impact of publishing ROHPG funded facilities on the Department of Health website?</w:t>
      </w:r>
    </w:p>
    <w:p w14:paraId="71079EC7" w14:textId="1FC5192E" w:rsidR="00AA5B17" w:rsidRPr="009B6AA8" w:rsidRDefault="000F6B35" w:rsidP="000F6B35">
      <w:pPr>
        <w:pStyle w:val="Quote"/>
      </w:pPr>
      <w:r w:rsidRPr="009B6AA8">
        <w:t xml:space="preserve">8. </w:t>
      </w:r>
      <w:r w:rsidR="008700A0" w:rsidRPr="009B6AA8">
        <w:t>What has been the impact of the required dosimetry audits of funded facilities?</w:t>
      </w:r>
    </w:p>
    <w:p w14:paraId="3895E10F" w14:textId="77777777" w:rsidR="000F6B35" w:rsidRPr="009B6AA8" w:rsidRDefault="000F6B35" w:rsidP="0009192B">
      <w:pPr>
        <w:keepNext/>
        <w:spacing w:before="240"/>
      </w:pPr>
      <w:r w:rsidRPr="009B6AA8">
        <w:t>The following more detailed review questions were considered:</w:t>
      </w:r>
    </w:p>
    <w:p w14:paraId="7AFE3579" w14:textId="6880790F" w:rsidR="00AA5B17" w:rsidRPr="00AB0F8B" w:rsidRDefault="000F6B35" w:rsidP="00AB0F8B">
      <w:pPr>
        <w:pStyle w:val="ListBullet"/>
      </w:pPr>
      <w:r w:rsidRPr="00AB0F8B">
        <w:t>What has been the impact for service providers in general and have there been any unintended consequences of the recent changes to the ROHPG on service provision or clinical practice?</w:t>
      </w:r>
    </w:p>
    <w:p w14:paraId="6A9FBCFA" w14:textId="79977AA0" w:rsidR="000F6B35" w:rsidRPr="00AB0F8B" w:rsidRDefault="000F6B35" w:rsidP="00AB0F8B">
      <w:pPr>
        <w:pStyle w:val="ListBullet"/>
      </w:pPr>
      <w:r w:rsidRPr="00AB0F8B">
        <w:t xml:space="preserve">To what extent is there cross-subsidisation with funds from other Australian Government </w:t>
      </w:r>
      <w:r w:rsidR="00696A14" w:rsidRPr="00AB0F8B">
        <w:t xml:space="preserve">agencies </w:t>
      </w:r>
      <w:r w:rsidRPr="00AB0F8B">
        <w:t xml:space="preserve">or </w:t>
      </w:r>
      <w:r w:rsidR="00ED3765" w:rsidRPr="00AB0F8B">
        <w:t>state</w:t>
      </w:r>
      <w:r w:rsidRPr="00AB0F8B">
        <w:t>/</w:t>
      </w:r>
      <w:r w:rsidR="00ED3765" w:rsidRPr="00AB0F8B">
        <w:t xml:space="preserve">territory </w:t>
      </w:r>
      <w:r w:rsidRPr="00AB0F8B">
        <w:t>governments?</w:t>
      </w:r>
    </w:p>
    <w:p w14:paraId="40EC5847" w14:textId="5E003E50" w:rsidR="000F6B35" w:rsidRPr="00AB0F8B" w:rsidRDefault="000F6B35" w:rsidP="00AB0F8B">
      <w:pPr>
        <w:pStyle w:val="ListBullet"/>
      </w:pPr>
      <w:r w:rsidRPr="00AB0F8B">
        <w:t xml:space="preserve">To what extent do public and private </w:t>
      </w:r>
      <w:r w:rsidR="007A75A8" w:rsidRPr="00AB0F8B">
        <w:t>facilities</w:t>
      </w:r>
      <w:r w:rsidRPr="00AB0F8B">
        <w:t xml:space="preserve"> borrow funding for </w:t>
      </w:r>
      <w:proofErr w:type="spellStart"/>
      <w:r w:rsidR="00AC5BA9" w:rsidRPr="00AB0F8B">
        <w:t>linac</w:t>
      </w:r>
      <w:r w:rsidR="00696A14" w:rsidRPr="00AB0F8B">
        <w:t>s</w:t>
      </w:r>
      <w:proofErr w:type="spellEnd"/>
      <w:r w:rsidR="00AC5BA9" w:rsidRPr="00AB0F8B">
        <w:t xml:space="preserve"> </w:t>
      </w:r>
      <w:r w:rsidR="00696A14" w:rsidRPr="00AB0F8B">
        <w:t>th</w:t>
      </w:r>
      <w:r w:rsidR="00A0682A" w:rsidRPr="00AB0F8B">
        <w:t>e</w:t>
      </w:r>
      <w:r w:rsidR="00696A14" w:rsidRPr="00AB0F8B">
        <w:t xml:space="preserve">y </w:t>
      </w:r>
      <w:r w:rsidRPr="00AB0F8B">
        <w:t>purchase?</w:t>
      </w:r>
    </w:p>
    <w:p w14:paraId="74679B02" w14:textId="37215AB1" w:rsidR="000F6B35" w:rsidRPr="00AB0F8B" w:rsidRDefault="000F6B35" w:rsidP="00AB0F8B">
      <w:pPr>
        <w:pStyle w:val="ListBullet"/>
      </w:pPr>
      <w:r w:rsidRPr="00AB0F8B">
        <w:t>To what extent has publication of priority areas on the Department of Health website increased transparency</w:t>
      </w:r>
      <w:r w:rsidR="00696A14" w:rsidRPr="00AB0F8B">
        <w:t xml:space="preserve"> about planning decisions </w:t>
      </w:r>
      <w:r w:rsidR="002343A1" w:rsidRPr="00AB0F8B">
        <w:t xml:space="preserve">for </w:t>
      </w:r>
      <w:r w:rsidR="00696A14" w:rsidRPr="00AB0F8B">
        <w:t xml:space="preserve">the location of subsidised </w:t>
      </w:r>
      <w:proofErr w:type="spellStart"/>
      <w:r w:rsidR="00696A14" w:rsidRPr="00AB0F8B">
        <w:t>linacs</w:t>
      </w:r>
      <w:proofErr w:type="spellEnd"/>
      <w:r w:rsidRPr="00AB0F8B">
        <w:t>?</w:t>
      </w:r>
    </w:p>
    <w:p w14:paraId="493666D0" w14:textId="469E5B6C" w:rsidR="000F6B35" w:rsidRPr="00AB0F8B" w:rsidRDefault="000F6B35" w:rsidP="00AB0F8B">
      <w:pPr>
        <w:pStyle w:val="ListBullet"/>
      </w:pPr>
      <w:r w:rsidRPr="00AB0F8B">
        <w:t>Is the annual update of priority areas a suitable timeframe?</w:t>
      </w:r>
    </w:p>
    <w:p w14:paraId="4426081D" w14:textId="114E8591" w:rsidR="000F6B35" w:rsidRPr="00AB0F8B" w:rsidRDefault="000F6B35" w:rsidP="00AB0F8B">
      <w:pPr>
        <w:pStyle w:val="ListBullet"/>
      </w:pPr>
      <w:r w:rsidRPr="00AB0F8B">
        <w:t xml:space="preserve">Is there an ongoing need for the current requirement for applicants to notify the relevant </w:t>
      </w:r>
      <w:r w:rsidR="00ED3765" w:rsidRPr="00AB0F8B">
        <w:t>state</w:t>
      </w:r>
      <w:r w:rsidRPr="00AB0F8B">
        <w:t>/</w:t>
      </w:r>
      <w:r w:rsidR="00ED3765" w:rsidRPr="00AB0F8B">
        <w:t xml:space="preserve">territory </w:t>
      </w:r>
      <w:r w:rsidRPr="00AB0F8B">
        <w:t xml:space="preserve">government of their application? Does this create a potential conflict of interest for the </w:t>
      </w:r>
      <w:r w:rsidR="00ED3765" w:rsidRPr="00AB0F8B">
        <w:t>state</w:t>
      </w:r>
      <w:r w:rsidRPr="00AB0F8B">
        <w:t>/</w:t>
      </w:r>
      <w:r w:rsidR="00ED3765" w:rsidRPr="00AB0F8B">
        <w:t xml:space="preserve">territory </w:t>
      </w:r>
      <w:r w:rsidRPr="00AB0F8B">
        <w:t>government?</w:t>
      </w:r>
    </w:p>
    <w:p w14:paraId="3D176354" w14:textId="791C0FD4" w:rsidR="00BB22E6" w:rsidRPr="00AB0F8B" w:rsidRDefault="00BB22E6" w:rsidP="00AB0F8B">
      <w:pPr>
        <w:pStyle w:val="ListBullet"/>
      </w:pPr>
      <w:r w:rsidRPr="00AB0F8B">
        <w:t>Is two years an adequate timeframe to commence operational services for (a</w:t>
      </w:r>
      <w:r w:rsidR="002343A1" w:rsidRPr="00AB0F8B">
        <w:t>) </w:t>
      </w:r>
      <w:r w:rsidRPr="00AB0F8B">
        <w:t xml:space="preserve">new facilities, or (b) new </w:t>
      </w:r>
      <w:proofErr w:type="spellStart"/>
      <w:r w:rsidR="00AC5BA9" w:rsidRPr="00AB0F8B">
        <w:t>linacs</w:t>
      </w:r>
      <w:proofErr w:type="spellEnd"/>
      <w:r w:rsidR="00AC5BA9" w:rsidRPr="00AB0F8B">
        <w:t xml:space="preserve"> </w:t>
      </w:r>
      <w:r w:rsidRPr="00AB0F8B">
        <w:t>at existing facilities?</w:t>
      </w:r>
    </w:p>
    <w:p w14:paraId="3B785370" w14:textId="7AD6C1FC" w:rsidR="00BB22E6" w:rsidRPr="009B6AA8" w:rsidRDefault="00BB22E6" w:rsidP="00AB0F8B">
      <w:pPr>
        <w:pStyle w:val="ListBullet"/>
      </w:pPr>
      <w:r w:rsidRPr="00AB0F8B">
        <w:t>What has been</w:t>
      </w:r>
      <w:r w:rsidRPr="009B6AA8">
        <w:t xml:space="preserve"> the impact of the dosimetry audits on funded facility operations?</w:t>
      </w:r>
    </w:p>
    <w:p w14:paraId="621FCA40" w14:textId="6ECFF3AB" w:rsidR="00373EE3" w:rsidRDefault="00BB22E6" w:rsidP="00AB0F8B">
      <w:pPr>
        <w:pStyle w:val="Heading2"/>
        <w:keepNext/>
        <w:pageBreakBefore w:val="0"/>
      </w:pPr>
      <w:bookmarkStart w:id="202" w:name="_Toc59198488"/>
      <w:bookmarkStart w:id="203" w:name="_Toc66193957"/>
      <w:bookmarkStart w:id="204" w:name="_Toc73696699"/>
      <w:r w:rsidRPr="009B6AA8">
        <w:lastRenderedPageBreak/>
        <w:t>Analysis and findings</w:t>
      </w:r>
      <w:bookmarkEnd w:id="202"/>
      <w:bookmarkEnd w:id="203"/>
      <w:bookmarkEnd w:id="204"/>
    </w:p>
    <w:p w14:paraId="4F641D44" w14:textId="690512C4" w:rsidR="00373EE3" w:rsidRPr="00BC705E" w:rsidRDefault="00BB22E6" w:rsidP="009F3514">
      <w:pPr>
        <w:pStyle w:val="heading2numbered"/>
      </w:pPr>
      <w:bookmarkStart w:id="205" w:name="_Toc59198489"/>
      <w:bookmarkStart w:id="206" w:name="_Toc66193958"/>
      <w:bookmarkStart w:id="207" w:name="_Toc73696700"/>
      <w:r w:rsidRPr="00BC705E">
        <w:t>Effectiveness of the capital contribution</w:t>
      </w:r>
      <w:bookmarkEnd w:id="205"/>
      <w:bookmarkEnd w:id="206"/>
      <w:bookmarkEnd w:id="207"/>
    </w:p>
    <w:p w14:paraId="0D135687" w14:textId="77777777" w:rsidR="00373EE3" w:rsidRPr="00BC705E" w:rsidRDefault="00D200B1" w:rsidP="009F3514">
      <w:pPr>
        <w:pStyle w:val="Heading3numbered"/>
      </w:pPr>
      <w:bookmarkStart w:id="208" w:name="_Toc59198490"/>
      <w:bookmarkStart w:id="209" w:name="_Toc66193959"/>
      <w:r w:rsidRPr="00BC705E">
        <w:t>External beam radiotherapy</w:t>
      </w:r>
      <w:bookmarkEnd w:id="208"/>
      <w:bookmarkEnd w:id="209"/>
    </w:p>
    <w:p w14:paraId="0DC45FBE" w14:textId="77777777" w:rsidR="00373EE3" w:rsidRDefault="00857FF4" w:rsidP="007A1E2C">
      <w:r w:rsidRPr="009B6AA8">
        <w:t>The ROHPG contribution of $3</w:t>
      </w:r>
      <w:r w:rsidR="00D65C79">
        <w:t xml:space="preserve"> </w:t>
      </w:r>
      <w:r w:rsidRPr="00D65C79">
        <w:t>m</w:t>
      </w:r>
      <w:r w:rsidR="0066465D">
        <w:t>illion</w:t>
      </w:r>
      <w:r w:rsidRPr="00D65C79">
        <w:t xml:space="preserve"> for </w:t>
      </w:r>
      <w:proofErr w:type="spellStart"/>
      <w:r w:rsidRPr="00D65C79">
        <w:t>linacs</w:t>
      </w:r>
      <w:proofErr w:type="spellEnd"/>
      <w:r w:rsidRPr="00D65C79">
        <w:t xml:space="preserve"> </w:t>
      </w:r>
      <w:r w:rsidR="00696A14" w:rsidRPr="00D65C79">
        <w:t>was considered</w:t>
      </w:r>
      <w:r w:rsidRPr="00D65C79">
        <w:t xml:space="preserve"> helpful and welcomed by all stakeholders</w:t>
      </w:r>
      <w:r w:rsidR="00696A14" w:rsidRPr="009B6AA8">
        <w:t xml:space="preserve"> consulted throughout the project</w:t>
      </w:r>
      <w:r w:rsidRPr="009B6AA8">
        <w:t xml:space="preserve">. However, stakeholders raised concerns that the reduced ROHPG funding for </w:t>
      </w:r>
      <w:proofErr w:type="spellStart"/>
      <w:r w:rsidRPr="009B6AA8">
        <w:t>linacs</w:t>
      </w:r>
      <w:proofErr w:type="spellEnd"/>
      <w:r w:rsidRPr="009B6AA8">
        <w:t xml:space="preserve"> and ceased funding of other RT</w:t>
      </w:r>
      <w:r w:rsidR="00595E55" w:rsidRPr="009B6AA8">
        <w:t xml:space="preserve"> </w:t>
      </w:r>
      <w:r w:rsidRPr="009B6AA8">
        <w:t xml:space="preserve">equipment may impact on </w:t>
      </w:r>
      <w:proofErr w:type="spellStart"/>
      <w:r w:rsidRPr="009B6AA8">
        <w:t>linac</w:t>
      </w:r>
      <w:proofErr w:type="spellEnd"/>
      <w:r w:rsidRPr="009B6AA8">
        <w:t xml:space="preserve"> turnover times in future.</w:t>
      </w:r>
    </w:p>
    <w:p w14:paraId="4086EC51" w14:textId="77777777" w:rsidR="00373EE3" w:rsidRDefault="0073271B" w:rsidP="007A1E2C">
      <w:r w:rsidRPr="009B6AA8">
        <w:t xml:space="preserve">Consultation with </w:t>
      </w:r>
      <w:proofErr w:type="spellStart"/>
      <w:r w:rsidRPr="009B6AA8">
        <w:t>linac</w:t>
      </w:r>
      <w:proofErr w:type="spellEnd"/>
      <w:r w:rsidRPr="009B6AA8">
        <w:t xml:space="preserve"> vendors and RT </w:t>
      </w:r>
      <w:r w:rsidR="007A75A8">
        <w:t>facilities</w:t>
      </w:r>
      <w:r w:rsidRPr="009B6AA8">
        <w:t xml:space="preserve"> indicated that in Australia a base model </w:t>
      </w:r>
      <w:proofErr w:type="spellStart"/>
      <w:r w:rsidRPr="009B6AA8">
        <w:t>linac</w:t>
      </w:r>
      <w:proofErr w:type="spellEnd"/>
      <w:r w:rsidRPr="009B6AA8">
        <w:t xml:space="preserve"> ranged from $3</w:t>
      </w:r>
      <w:r w:rsidR="00D65C79">
        <w:t xml:space="preserve"> </w:t>
      </w:r>
      <w:r w:rsidRPr="00D65C79">
        <w:t>m</w:t>
      </w:r>
      <w:r w:rsidR="00A92CDD">
        <w:t>illion</w:t>
      </w:r>
      <w:r w:rsidRPr="00D65C79">
        <w:t xml:space="preserve"> to $4</w:t>
      </w:r>
      <w:r w:rsidR="00D65C79">
        <w:t xml:space="preserve"> </w:t>
      </w:r>
      <w:r w:rsidRPr="00D65C79">
        <w:t>m</w:t>
      </w:r>
      <w:r w:rsidR="00A92CDD">
        <w:t>illion</w:t>
      </w:r>
      <w:r w:rsidRPr="00D65C79">
        <w:t xml:space="preserve"> and increased</w:t>
      </w:r>
      <w:r w:rsidR="002343A1">
        <w:t>,</w:t>
      </w:r>
      <w:r w:rsidRPr="00D65C79">
        <w:t xml:space="preserve"> depending on the additional features required. More advanced </w:t>
      </w:r>
      <w:proofErr w:type="spellStart"/>
      <w:r w:rsidRPr="00D65C79">
        <w:t>linacs</w:t>
      </w:r>
      <w:proofErr w:type="spellEnd"/>
      <w:r w:rsidRPr="00D65C79">
        <w:t xml:space="preserve"> with feature</w:t>
      </w:r>
      <w:r w:rsidRPr="009B6AA8">
        <w:t xml:space="preserve">s such as adaptive radiotherapy (adjusting to the anatomy of the patient) or stereotactic radio surgery </w:t>
      </w:r>
      <w:r w:rsidR="00393E63">
        <w:t>ranged</w:t>
      </w:r>
      <w:r w:rsidR="00393E63" w:rsidRPr="009B6AA8">
        <w:t xml:space="preserve"> </w:t>
      </w:r>
      <w:r w:rsidRPr="009B6AA8">
        <w:t>from $5</w:t>
      </w:r>
      <w:r w:rsidR="00D65C79">
        <w:t> </w:t>
      </w:r>
      <w:r w:rsidR="004110FF" w:rsidRPr="00D65C79">
        <w:t>m</w:t>
      </w:r>
      <w:r w:rsidR="00A92CDD">
        <w:t>illion</w:t>
      </w:r>
      <w:r w:rsidRPr="00D65C79">
        <w:t xml:space="preserve"> to $6</w:t>
      </w:r>
      <w:r w:rsidR="00D65C79">
        <w:t xml:space="preserve"> </w:t>
      </w:r>
      <w:r w:rsidRPr="00D65C79">
        <w:t>m</w:t>
      </w:r>
      <w:r w:rsidR="00A92CDD">
        <w:t>illion</w:t>
      </w:r>
      <w:r w:rsidRPr="00D65C79">
        <w:t xml:space="preserve">. </w:t>
      </w:r>
      <w:r w:rsidR="004110FF" w:rsidRPr="00D65C79">
        <w:t>Emerging</w:t>
      </w:r>
      <w:r w:rsidRPr="00D65C79">
        <w:t xml:space="preserve"> technology such as MR </w:t>
      </w:r>
      <w:proofErr w:type="spellStart"/>
      <w:r w:rsidRPr="00D65C79">
        <w:t>linacs</w:t>
      </w:r>
      <w:proofErr w:type="spellEnd"/>
      <w:r w:rsidRPr="00D65C79">
        <w:t xml:space="preserve"> </w:t>
      </w:r>
      <w:r w:rsidR="00393E63">
        <w:t>ranged</w:t>
      </w:r>
      <w:r w:rsidR="00393E63" w:rsidRPr="00D65C79">
        <w:t xml:space="preserve"> </w:t>
      </w:r>
      <w:r w:rsidRPr="00D65C79">
        <w:t>from $10</w:t>
      </w:r>
      <w:r w:rsidR="00D65C79">
        <w:t xml:space="preserve"> </w:t>
      </w:r>
      <w:r w:rsidR="004110FF" w:rsidRPr="00D65C79">
        <w:t>m</w:t>
      </w:r>
      <w:r w:rsidR="00A92CDD">
        <w:t>illion</w:t>
      </w:r>
      <w:r w:rsidRPr="00D65C79">
        <w:t xml:space="preserve"> to $11</w:t>
      </w:r>
      <w:r w:rsidR="00D65C79">
        <w:t> </w:t>
      </w:r>
      <w:r w:rsidRPr="00D65C79">
        <w:t>m</w:t>
      </w:r>
      <w:r w:rsidR="00A92CDD">
        <w:t>illion</w:t>
      </w:r>
      <w:r w:rsidRPr="00D65C79">
        <w:t>.</w:t>
      </w:r>
    </w:p>
    <w:p w14:paraId="049643DA" w14:textId="77777777" w:rsidR="00373EE3" w:rsidRDefault="004110FF" w:rsidP="007A1E2C">
      <w:r w:rsidRPr="009B6AA8">
        <w:t xml:space="preserve">Private </w:t>
      </w:r>
      <w:r w:rsidR="007A75A8">
        <w:t>facilities</w:t>
      </w:r>
      <w:r w:rsidRPr="009B6AA8">
        <w:t xml:space="preserve"> </w:t>
      </w:r>
      <w:r w:rsidR="00696A14" w:rsidRPr="009B6AA8">
        <w:t>said</w:t>
      </w:r>
      <w:r w:rsidRPr="009B6AA8">
        <w:t xml:space="preserve"> that their ability to bulk-purchase </w:t>
      </w:r>
      <w:proofErr w:type="spellStart"/>
      <w:r w:rsidRPr="009B6AA8">
        <w:t>linacs</w:t>
      </w:r>
      <w:proofErr w:type="spellEnd"/>
      <w:r w:rsidR="004E19D0" w:rsidRPr="009B6AA8">
        <w:t xml:space="preserve"> help</w:t>
      </w:r>
      <w:r w:rsidR="002F01B0" w:rsidRPr="009B6AA8">
        <w:t>ed</w:t>
      </w:r>
      <w:r w:rsidR="004E19D0" w:rsidRPr="009B6AA8">
        <w:t xml:space="preserve"> to </w:t>
      </w:r>
      <w:r w:rsidRPr="009B6AA8">
        <w:t>ke</w:t>
      </w:r>
      <w:r w:rsidR="004E19D0" w:rsidRPr="009B6AA8">
        <w:t xml:space="preserve">ep </w:t>
      </w:r>
      <w:proofErr w:type="spellStart"/>
      <w:r w:rsidR="004E19D0" w:rsidRPr="009B6AA8">
        <w:t>linac</w:t>
      </w:r>
      <w:proofErr w:type="spellEnd"/>
      <w:r w:rsidR="004E19D0" w:rsidRPr="009B6AA8">
        <w:t xml:space="preserve"> costs </w:t>
      </w:r>
      <w:r w:rsidRPr="009B6AA8">
        <w:t>down</w:t>
      </w:r>
      <w:r w:rsidR="004E19D0" w:rsidRPr="009B6AA8">
        <w:t xml:space="preserve">. </w:t>
      </w:r>
      <w:r w:rsidRPr="009B6AA8">
        <w:t xml:space="preserve">This is obviously more challenging for public </w:t>
      </w:r>
      <w:r w:rsidR="007A75A8">
        <w:t>facilities</w:t>
      </w:r>
      <w:r w:rsidRPr="009B6AA8">
        <w:t>, although some</w:t>
      </w:r>
      <w:r w:rsidR="002F01B0" w:rsidRPr="009B6AA8">
        <w:t xml:space="preserve"> larger </w:t>
      </w:r>
      <w:r w:rsidRPr="009B6AA8">
        <w:t xml:space="preserve">jurisdictions have established group purchasing arrangements where they negotiate </w:t>
      </w:r>
      <w:proofErr w:type="spellStart"/>
      <w:r w:rsidRPr="009B6AA8">
        <w:t>linac</w:t>
      </w:r>
      <w:proofErr w:type="spellEnd"/>
      <w:r w:rsidRPr="009B6AA8">
        <w:t xml:space="preserve"> prices to around $3 </w:t>
      </w:r>
      <w:r w:rsidR="00D65C79">
        <w:t>m</w:t>
      </w:r>
      <w:r w:rsidR="00A92CDD">
        <w:t>illion</w:t>
      </w:r>
      <w:r w:rsidR="00D65C79" w:rsidRPr="00D65C79">
        <w:t xml:space="preserve"> </w:t>
      </w:r>
      <w:r w:rsidRPr="00D65C79">
        <w:t>for a standard base model machine</w:t>
      </w:r>
      <w:r w:rsidR="004E19D0" w:rsidRPr="00D65C79">
        <w:t>.</w:t>
      </w:r>
    </w:p>
    <w:p w14:paraId="3BB1488C" w14:textId="77777777" w:rsidR="00373EE3" w:rsidRDefault="00857FF4" w:rsidP="007A1E2C">
      <w:r w:rsidRPr="00D65C79">
        <w:t>This suggests that the $3</w:t>
      </w:r>
      <w:r w:rsidR="00D65C79">
        <w:t xml:space="preserve"> </w:t>
      </w:r>
      <w:r w:rsidRPr="00D65C79">
        <w:t>m</w:t>
      </w:r>
      <w:r w:rsidR="00A92CDD">
        <w:t>illion</w:t>
      </w:r>
      <w:r w:rsidRPr="00D65C79">
        <w:t xml:space="preserve"> contribution from the ROHPG is in keeping with current base model prices for </w:t>
      </w:r>
      <w:proofErr w:type="spellStart"/>
      <w:r w:rsidR="00D65C79" w:rsidRPr="009B6AA8">
        <w:t>linacs</w:t>
      </w:r>
      <w:proofErr w:type="spellEnd"/>
      <w:r w:rsidR="00D65C79" w:rsidRPr="009B6AA8">
        <w:t xml:space="preserve"> but</w:t>
      </w:r>
      <w:r w:rsidRPr="009B6AA8">
        <w:t xml:space="preserve"> does not cover the costs of add-ons required to provide the latest advancement in RT treatment. However, it can be argued that the ROHPG should be available to ensure RT equipment is suitably modern to enable best practice, not necessarily cutting</w:t>
      </w:r>
      <w:r w:rsidR="00A92CDD">
        <w:t>-</w:t>
      </w:r>
      <w:r w:rsidRPr="009B6AA8">
        <w:t>edge</w:t>
      </w:r>
      <w:r w:rsidR="0026791E" w:rsidRPr="009B6AA8">
        <w:t xml:space="preserve"> service use</w:t>
      </w:r>
      <w:r w:rsidRPr="009B6AA8">
        <w:t>.</w:t>
      </w:r>
    </w:p>
    <w:p w14:paraId="72F2DFD4" w14:textId="77777777" w:rsidR="00373EE3" w:rsidRDefault="00857FF4" w:rsidP="007A1E2C">
      <w:r w:rsidRPr="009B6AA8">
        <w:t xml:space="preserve">The question then is </w:t>
      </w:r>
      <w:r w:rsidR="0026791E" w:rsidRPr="009B6AA8">
        <w:t>‘</w:t>
      </w:r>
      <w:r w:rsidRPr="009B6AA8">
        <w:t xml:space="preserve">do base level </w:t>
      </w:r>
      <w:proofErr w:type="spellStart"/>
      <w:r w:rsidRPr="009B6AA8">
        <w:t>linacs</w:t>
      </w:r>
      <w:proofErr w:type="spellEnd"/>
      <w:r w:rsidRPr="009B6AA8">
        <w:t xml:space="preserve"> still provide best practice treatment?</w:t>
      </w:r>
      <w:r w:rsidR="0026791E" w:rsidRPr="009B6AA8">
        <w:t>’</w:t>
      </w:r>
      <w:r w:rsidRPr="009B6AA8">
        <w:t xml:space="preserve"> </w:t>
      </w:r>
      <w:r w:rsidR="002F01B0" w:rsidRPr="009B6AA8">
        <w:t>T</w:t>
      </w:r>
      <w:r w:rsidRPr="009B6AA8">
        <w:t xml:space="preserve">he answer to this will </w:t>
      </w:r>
      <w:r w:rsidR="002F01B0" w:rsidRPr="009B6AA8">
        <w:t>inevitably</w:t>
      </w:r>
      <w:r w:rsidRPr="009B6AA8">
        <w:t xml:space="preserve"> depend on the type and stage of cancer to be treated</w:t>
      </w:r>
      <w:r w:rsidR="002F01B0" w:rsidRPr="009B6AA8">
        <w:t xml:space="preserve">. Other considerations include the </w:t>
      </w:r>
      <w:r w:rsidRPr="009B6AA8">
        <w:t xml:space="preserve">need for </w:t>
      </w:r>
      <w:r w:rsidR="002F01B0" w:rsidRPr="009B6AA8">
        <w:t xml:space="preserve">versatility </w:t>
      </w:r>
      <w:r w:rsidR="002343A1">
        <w:t>of</w:t>
      </w:r>
      <w:r w:rsidR="002343A1" w:rsidRPr="009B6AA8">
        <w:t xml:space="preserve"> </w:t>
      </w:r>
      <w:r w:rsidRPr="009B6AA8">
        <w:t xml:space="preserve">equipment for </w:t>
      </w:r>
      <w:r w:rsidR="007A75A8">
        <w:t>facilities</w:t>
      </w:r>
      <w:r w:rsidR="002F01B0" w:rsidRPr="009B6AA8">
        <w:t xml:space="preserve">, and the business model of the facility (e.g. high throughput ‘standard’ treatments, versus specialised </w:t>
      </w:r>
      <w:r w:rsidR="0026791E" w:rsidRPr="009B6AA8">
        <w:t xml:space="preserve">(but slower) </w:t>
      </w:r>
      <w:r w:rsidR="002F01B0" w:rsidRPr="009B6AA8">
        <w:t>complex treatment).</w:t>
      </w:r>
    </w:p>
    <w:p w14:paraId="0D5E5B60" w14:textId="77777777" w:rsidR="00373EE3" w:rsidRDefault="002F01B0" w:rsidP="007A1E2C">
      <w:pPr>
        <w:pStyle w:val="Finding"/>
      </w:pPr>
      <w:r w:rsidRPr="009B6AA8">
        <w:t>$3</w:t>
      </w:r>
      <w:r w:rsidR="00D65C79">
        <w:t xml:space="preserve"> </w:t>
      </w:r>
      <w:r w:rsidRPr="00D65C79">
        <w:t>m</w:t>
      </w:r>
      <w:r w:rsidR="0066465D">
        <w:t>illion</w:t>
      </w:r>
      <w:r w:rsidRPr="00D65C79">
        <w:t xml:space="preserve"> makes a significant contribution to the current costs of </w:t>
      </w:r>
      <w:r w:rsidR="002343A1">
        <w:t xml:space="preserve">a </w:t>
      </w:r>
      <w:r w:rsidRPr="00D65C79">
        <w:t xml:space="preserve">base level </w:t>
      </w:r>
      <w:proofErr w:type="spellStart"/>
      <w:r w:rsidR="00D65C79" w:rsidRPr="00D65C79">
        <w:t>linac</w:t>
      </w:r>
      <w:proofErr w:type="spellEnd"/>
      <w:r w:rsidR="00D65C79" w:rsidRPr="00D65C79">
        <w:t xml:space="preserve"> but</w:t>
      </w:r>
      <w:r w:rsidRPr="00D65C79">
        <w:t xml:space="preserve"> does not cover the full costs of add-ons required for newer treatment regimes, or advanced equipment. </w:t>
      </w:r>
      <w:r w:rsidR="00A62690" w:rsidRPr="009B6AA8">
        <w:t>The capital contribution should be reviewed periodically (nominally every four years) to ensure it remains an appropriate value.</w:t>
      </w:r>
    </w:p>
    <w:p w14:paraId="089EC6AB" w14:textId="77777777" w:rsidR="00373EE3" w:rsidRDefault="00D200B1" w:rsidP="007A1E2C">
      <w:pPr>
        <w:spacing w:before="240"/>
      </w:pPr>
      <w:r w:rsidRPr="009B6AA8">
        <w:t xml:space="preserve">Public </w:t>
      </w:r>
      <w:r w:rsidR="007A75A8">
        <w:t>facilities</w:t>
      </w:r>
      <w:r w:rsidRPr="009B6AA8">
        <w:t xml:space="preserve"> indicated that, if insufficient </w:t>
      </w:r>
      <w:r w:rsidR="0041233D">
        <w:t xml:space="preserve">funding is available from their </w:t>
      </w:r>
      <w:r w:rsidRPr="009B6AA8">
        <w:t xml:space="preserve">ROHPG </w:t>
      </w:r>
      <w:r w:rsidR="0041233D">
        <w:t xml:space="preserve">accounts </w:t>
      </w:r>
      <w:r w:rsidRPr="009B6AA8">
        <w:t xml:space="preserve">to cover the </w:t>
      </w:r>
      <w:r w:rsidR="0041233D">
        <w:t xml:space="preserve">full </w:t>
      </w:r>
      <w:r w:rsidRPr="009B6AA8">
        <w:t xml:space="preserve">cost of </w:t>
      </w:r>
      <w:proofErr w:type="spellStart"/>
      <w:r w:rsidRPr="009B6AA8">
        <w:t>linac</w:t>
      </w:r>
      <w:proofErr w:type="spellEnd"/>
      <w:r w:rsidRPr="009B6AA8">
        <w:t xml:space="preserve"> replacement, it may take longer to source requisite funds from elsewhere, thus delaying the turnover of</w:t>
      </w:r>
      <w:r w:rsidR="00FD606B">
        <w:t xml:space="preserve"> ageing</w:t>
      </w:r>
      <w:r w:rsidRPr="009B6AA8">
        <w:t xml:space="preserve"> </w:t>
      </w:r>
      <w:proofErr w:type="spellStart"/>
      <w:r w:rsidRPr="009B6AA8">
        <w:t>linacs</w:t>
      </w:r>
      <w:proofErr w:type="spellEnd"/>
      <w:r w:rsidRPr="009B6AA8">
        <w:t xml:space="preserve"> in future</w:t>
      </w:r>
      <w:r w:rsidR="0041233D">
        <w:t xml:space="preserve">, or necessitate </w:t>
      </w:r>
      <w:r w:rsidRPr="009B6AA8">
        <w:t xml:space="preserve">opting for base models initially and upgrading with add-ons at a later date. </w:t>
      </w:r>
      <w:r w:rsidR="0041233D">
        <w:t xml:space="preserve">However, the ROHPG </w:t>
      </w:r>
      <w:r w:rsidR="00D5112E">
        <w:t>S</w:t>
      </w:r>
      <w:r w:rsidR="0041233D">
        <w:t>cheme only provides a contribution to high-cost equipment and alternative funding options will need to be sourced by public facilities.</w:t>
      </w:r>
    </w:p>
    <w:p w14:paraId="103D0C21" w14:textId="77E433A9" w:rsidR="00D200B1" w:rsidRPr="009B6AA8" w:rsidRDefault="00D200B1" w:rsidP="007A1E2C">
      <w:pPr>
        <w:spacing w:after="0"/>
      </w:pPr>
      <w:r w:rsidRPr="009B6AA8">
        <w:t xml:space="preserve">However, stakeholders generally felt it was too early to determine the full impact of the changes to the ROHPG funding amounts. This is because the existing ROHPG funds used by public </w:t>
      </w:r>
      <w:r w:rsidR="007A75A8">
        <w:t>facilities</w:t>
      </w:r>
      <w:r w:rsidRPr="009B6AA8">
        <w:t xml:space="preserve"> come from the </w:t>
      </w:r>
      <w:r w:rsidR="0026791E" w:rsidRPr="009B6AA8">
        <w:t xml:space="preserve">pre-2017 </w:t>
      </w:r>
      <w:r w:rsidRPr="009B6AA8">
        <w:t xml:space="preserve">grandfathered system. For some </w:t>
      </w:r>
      <w:r w:rsidR="007A75A8">
        <w:t>facilities</w:t>
      </w:r>
      <w:r w:rsidR="00017E3A">
        <w:t>,</w:t>
      </w:r>
      <w:r w:rsidRPr="009B6AA8">
        <w:t xml:space="preserve"> it will not be until newly purchased </w:t>
      </w:r>
      <w:proofErr w:type="spellStart"/>
      <w:r w:rsidRPr="009B6AA8">
        <w:t>linacs</w:t>
      </w:r>
      <w:proofErr w:type="spellEnd"/>
      <w:r w:rsidR="0080183F">
        <w:t xml:space="preserve"> or grandfathered equipment</w:t>
      </w:r>
      <w:r w:rsidRPr="009B6AA8">
        <w:t xml:space="preserve"> require replacement that the full impact will be realised.</w:t>
      </w:r>
    </w:p>
    <w:p w14:paraId="24379B67" w14:textId="65D60D9F" w:rsidR="00D200B1" w:rsidRPr="0041233D" w:rsidRDefault="00D200B1" w:rsidP="00AB0F8B">
      <w:pPr>
        <w:pStyle w:val="Finding"/>
      </w:pPr>
      <w:r w:rsidRPr="009B6AA8">
        <w:t xml:space="preserve">The full impact of the changes to ROHPG funding will not be realised for some time in the public sector. </w:t>
      </w:r>
      <w:r w:rsidR="0041233D" w:rsidRPr="0041233D">
        <w:t xml:space="preserve">This time could be used by public facilities to </w:t>
      </w:r>
      <w:r w:rsidR="0041233D">
        <w:t xml:space="preserve">identify alternative funding sources and </w:t>
      </w:r>
      <w:r w:rsidR="0041233D" w:rsidRPr="0041233D">
        <w:t xml:space="preserve">mitigate the risks of insufficient funds for </w:t>
      </w:r>
      <w:proofErr w:type="spellStart"/>
      <w:r w:rsidR="0041233D" w:rsidRPr="0041233D">
        <w:t>linac</w:t>
      </w:r>
      <w:proofErr w:type="spellEnd"/>
      <w:r w:rsidR="0041233D" w:rsidRPr="0041233D">
        <w:t xml:space="preserve"> replacement.</w:t>
      </w:r>
    </w:p>
    <w:p w14:paraId="61F0FCF5" w14:textId="77777777" w:rsidR="00373EE3" w:rsidRDefault="00595E55" w:rsidP="007A1E2C">
      <w:pPr>
        <w:spacing w:before="240"/>
      </w:pPr>
      <w:r w:rsidRPr="009B6AA8">
        <w:t>The review process did not identify an</w:t>
      </w:r>
      <w:r w:rsidR="0026791E" w:rsidRPr="009B6AA8">
        <w:t xml:space="preserve">y </w:t>
      </w:r>
      <w:r w:rsidR="00457248" w:rsidRPr="009B6AA8">
        <w:t xml:space="preserve">routine </w:t>
      </w:r>
      <w:r w:rsidR="0026791E" w:rsidRPr="009B6AA8">
        <w:t>subsidy sources</w:t>
      </w:r>
      <w:r w:rsidR="00457248" w:rsidRPr="009B6AA8">
        <w:t xml:space="preserve"> or sources for replacement of</w:t>
      </w:r>
      <w:r w:rsidR="00FD606B">
        <w:t xml:space="preserve"> ageing</w:t>
      </w:r>
      <w:r w:rsidR="00457248" w:rsidRPr="009B6AA8">
        <w:t xml:space="preserve"> RT equipment </w:t>
      </w:r>
      <w:r w:rsidRPr="009B6AA8">
        <w:t xml:space="preserve">from </w:t>
      </w:r>
      <w:r w:rsidR="0026791E" w:rsidRPr="009B6AA8">
        <w:t xml:space="preserve">other </w:t>
      </w:r>
      <w:r w:rsidRPr="009B6AA8">
        <w:t xml:space="preserve">Australian Government </w:t>
      </w:r>
      <w:r w:rsidR="0026791E" w:rsidRPr="009B6AA8">
        <w:t xml:space="preserve">agencies </w:t>
      </w:r>
      <w:r w:rsidRPr="009B6AA8">
        <w:t>or state/territory governments.</w:t>
      </w:r>
    </w:p>
    <w:p w14:paraId="22F0063D" w14:textId="4E3853BB" w:rsidR="00595E55" w:rsidRPr="009B6AA8" w:rsidRDefault="00595E55" w:rsidP="007A1E2C">
      <w:r w:rsidRPr="009B6AA8">
        <w:t>Jurisdictions indicated that the state</w:t>
      </w:r>
      <w:r w:rsidR="002343A1">
        <w:t>s</w:t>
      </w:r>
      <w:r w:rsidRPr="009B6AA8">
        <w:t>/territor</w:t>
      </w:r>
      <w:r w:rsidR="0026791E" w:rsidRPr="009B6AA8">
        <w:t>ies,</w:t>
      </w:r>
      <w:r w:rsidRPr="009B6AA8">
        <w:t xml:space="preserve"> through hospital</w:t>
      </w:r>
      <w:r w:rsidR="0026791E" w:rsidRPr="009B6AA8">
        <w:t>s</w:t>
      </w:r>
      <w:r w:rsidRPr="009B6AA8">
        <w:t>/health services</w:t>
      </w:r>
      <w:r w:rsidR="0026791E" w:rsidRPr="009B6AA8">
        <w:t>,</w:t>
      </w:r>
      <w:r w:rsidRPr="009B6AA8">
        <w:t xml:space="preserve"> </w:t>
      </w:r>
      <w:r w:rsidR="002343A1">
        <w:t>were</w:t>
      </w:r>
      <w:r w:rsidR="002343A1" w:rsidRPr="009B6AA8">
        <w:t xml:space="preserve"> </w:t>
      </w:r>
      <w:r w:rsidRPr="009B6AA8">
        <w:t xml:space="preserve">responsible for the initial upfront </w:t>
      </w:r>
      <w:r w:rsidR="0026791E" w:rsidRPr="009B6AA8">
        <w:t xml:space="preserve">costs of </w:t>
      </w:r>
      <w:proofErr w:type="spellStart"/>
      <w:r w:rsidRPr="009B6AA8">
        <w:t>linac</w:t>
      </w:r>
      <w:proofErr w:type="spellEnd"/>
      <w:r w:rsidR="0026791E" w:rsidRPr="009B6AA8">
        <w:t xml:space="preserve"> development</w:t>
      </w:r>
      <w:r w:rsidRPr="009B6AA8">
        <w:t>, such as bunker development, refurbishment costs</w:t>
      </w:r>
      <w:r w:rsidR="0026791E" w:rsidRPr="009B6AA8">
        <w:t>, and staffing, a</w:t>
      </w:r>
      <w:r w:rsidRPr="009B6AA8">
        <w:t xml:space="preserve">lthough a small number of facilities have received upfront ROHPG payments to enable the purchase of </w:t>
      </w:r>
      <w:r w:rsidR="0026791E" w:rsidRPr="009B6AA8">
        <w:t xml:space="preserve">a </w:t>
      </w:r>
      <w:proofErr w:type="spellStart"/>
      <w:r w:rsidRPr="009B6AA8">
        <w:t>linac</w:t>
      </w:r>
      <w:proofErr w:type="spellEnd"/>
      <w:r w:rsidRPr="009B6AA8">
        <w:t>.</w:t>
      </w:r>
    </w:p>
    <w:p w14:paraId="2BC4DCA9" w14:textId="77777777" w:rsidR="00373EE3" w:rsidRDefault="00595E55" w:rsidP="007A1E2C">
      <w:r w:rsidRPr="009B6AA8">
        <w:t xml:space="preserve">Public </w:t>
      </w:r>
      <w:r w:rsidR="007A75A8">
        <w:t>facilities</w:t>
      </w:r>
      <w:r w:rsidRPr="009B6AA8">
        <w:t xml:space="preserve"> </w:t>
      </w:r>
      <w:r w:rsidR="0026791E" w:rsidRPr="009B6AA8">
        <w:t xml:space="preserve">said </w:t>
      </w:r>
      <w:r w:rsidRPr="009B6AA8">
        <w:t>that hospital</w:t>
      </w:r>
      <w:r w:rsidR="0026791E" w:rsidRPr="009B6AA8">
        <w:t>s</w:t>
      </w:r>
      <w:r w:rsidRPr="009B6AA8">
        <w:t xml:space="preserve">/health services typically funded the ongoing maintenance of RT machines and staff salaries. Some public </w:t>
      </w:r>
      <w:r w:rsidR="007A75A8">
        <w:t>facilities</w:t>
      </w:r>
      <w:r w:rsidRPr="009B6AA8">
        <w:t xml:space="preserve"> had trust fund or facility fee arrangements that were funded by clinicians from MBS revenue, which could be accessed to fund other less expensive equipment and software.</w:t>
      </w:r>
    </w:p>
    <w:p w14:paraId="77D48902" w14:textId="77777777" w:rsidR="00373EE3" w:rsidRPr="00BC705E" w:rsidRDefault="00D200B1" w:rsidP="008C4676">
      <w:pPr>
        <w:pStyle w:val="Heading3numbered"/>
        <w:keepLines/>
        <w:pageBreakBefore/>
      </w:pPr>
      <w:bookmarkStart w:id="210" w:name="_Toc59198491"/>
      <w:bookmarkStart w:id="211" w:name="_Toc66193960"/>
      <w:r w:rsidRPr="00BC705E">
        <w:lastRenderedPageBreak/>
        <w:t>Brachytherapy</w:t>
      </w:r>
      <w:bookmarkEnd w:id="210"/>
      <w:bookmarkEnd w:id="211"/>
    </w:p>
    <w:p w14:paraId="1B12EEA9" w14:textId="77777777" w:rsidR="00373EE3" w:rsidRDefault="00D200B1" w:rsidP="00D200B1">
      <w:r w:rsidRPr="009B6AA8">
        <w:t xml:space="preserve">Concerns were raised by all stakeholders about the removal of brachytherapy funding from the ROHPG </w:t>
      </w:r>
      <w:r w:rsidR="00FD606B">
        <w:t>Scheme</w:t>
      </w:r>
      <w:r w:rsidRPr="009B6AA8">
        <w:t>.</w:t>
      </w:r>
    </w:p>
    <w:p w14:paraId="7C7DFE2A" w14:textId="41E39A26" w:rsidR="008A10D9" w:rsidRDefault="00B10085" w:rsidP="004620F0">
      <w:pPr>
        <w:keepNext/>
      </w:pPr>
      <w:r>
        <w:t xml:space="preserve">Brachytherapy is also used for a small number of cancers including cervical cancer, prostate cancer, vaginal cancer, uterine cancer, and some non-melanoma skin cancers. </w:t>
      </w:r>
      <w:r w:rsidR="008A10D9">
        <w:t xml:space="preserve">The OUR for brachytherapy is 3.3% of all new cancers but ranges for specific cancer types from 10% to 80% as shown in </w:t>
      </w:r>
      <w:r w:rsidR="008A10D9">
        <w:fldChar w:fldCharType="begin"/>
      </w:r>
      <w:r w:rsidR="008A10D9">
        <w:instrText xml:space="preserve"> REF _Ref57628742 \h </w:instrText>
      </w:r>
      <w:r w:rsidR="008A10D9">
        <w:fldChar w:fldCharType="separate"/>
      </w:r>
      <w:r w:rsidR="007C0448">
        <w:t xml:space="preserve">Table </w:t>
      </w:r>
      <w:r w:rsidR="007C0448">
        <w:rPr>
          <w:rFonts w:hint="cs"/>
          <w:noProof/>
          <w:cs/>
        </w:rPr>
        <w:t>‎</w:t>
      </w:r>
      <w:r w:rsidR="007C0448">
        <w:rPr>
          <w:noProof/>
        </w:rPr>
        <w:t>6</w:t>
      </w:r>
      <w:r w:rsidR="007C0448">
        <w:t>.</w:t>
      </w:r>
      <w:r w:rsidR="007C0448">
        <w:rPr>
          <w:noProof/>
        </w:rPr>
        <w:t>1</w:t>
      </w:r>
      <w:r w:rsidR="008A10D9">
        <w:fldChar w:fldCharType="end"/>
      </w:r>
      <w:r w:rsidR="008A10D9">
        <w:t xml:space="preserve"> </w:t>
      </w:r>
      <w:sdt>
        <w:sdtPr>
          <w:id w:val="-461585385"/>
          <w:citation/>
        </w:sdtPr>
        <w:sdtContent>
          <w:r w:rsidR="008A10D9">
            <w:fldChar w:fldCharType="begin"/>
          </w:r>
          <w:r w:rsidR="008A10D9">
            <w:instrText xml:space="preserve"> CITATION Col13 \l 3081 </w:instrText>
          </w:r>
          <w:r w:rsidR="008A10D9">
            <w:fldChar w:fldCharType="separate"/>
          </w:r>
          <w:r w:rsidR="00264535" w:rsidRPr="00264535">
            <w:rPr>
              <w:noProof/>
            </w:rPr>
            <w:t>[6]</w:t>
          </w:r>
          <w:r w:rsidR="008A10D9">
            <w:fldChar w:fldCharType="end"/>
          </w:r>
        </w:sdtContent>
      </w:sdt>
      <w:r w:rsidR="008A10D9">
        <w:t>.</w:t>
      </w:r>
    </w:p>
    <w:p w14:paraId="69AEBD0C" w14:textId="1A3A03A6" w:rsidR="008A10D9" w:rsidRPr="00E06173" w:rsidRDefault="008A10D9" w:rsidP="00B11926">
      <w:pPr>
        <w:pStyle w:val="Caption"/>
      </w:pPr>
      <w:bookmarkStart w:id="212" w:name="_Ref57628742"/>
      <w:r>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6</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1</w:t>
      </w:r>
      <w:r w:rsidR="004B24F3">
        <w:rPr>
          <w:noProof/>
        </w:rPr>
        <w:fldChar w:fldCharType="end"/>
      </w:r>
      <w:bookmarkEnd w:id="212"/>
      <w:r>
        <w:t xml:space="preserve">: </w:t>
      </w:r>
      <w:r w:rsidRPr="00E06173">
        <w:t xml:space="preserve">Cancer incidence and brachytherapy optimal utilisation rate for selected cancers </w:t>
      </w:r>
    </w:p>
    <w:tbl>
      <w:tblPr>
        <w:tblStyle w:val="HMATableA"/>
        <w:tblW w:w="7559" w:type="dxa"/>
        <w:tblInd w:w="-5" w:type="dxa"/>
        <w:tblLook w:val="04A0" w:firstRow="1" w:lastRow="0" w:firstColumn="1" w:lastColumn="0" w:noHBand="0" w:noVBand="1"/>
        <w:tblCaption w:val="Table 6.1 Cancer incidence and brachytherapy optimal utilisation rate for selected cancers"/>
        <w:tblDescription w:val="Table showing four cancer types and their projected incidence, OUR and estimated patient demand."/>
      </w:tblPr>
      <w:tblGrid>
        <w:gridCol w:w="2379"/>
        <w:gridCol w:w="1036"/>
        <w:gridCol w:w="1036"/>
        <w:gridCol w:w="1036"/>
        <w:gridCol w:w="1036"/>
        <w:gridCol w:w="1036"/>
      </w:tblGrid>
      <w:tr w:rsidR="008A10D9" w:rsidRPr="005F163B" w14:paraId="10F4CA2A" w14:textId="77777777" w:rsidTr="0062327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379" w:type="dxa"/>
            <w:noWrap/>
            <w:hideMark/>
          </w:tcPr>
          <w:p w14:paraId="6F9759D6" w14:textId="77777777" w:rsidR="008A10D9" w:rsidRPr="005F163B" w:rsidRDefault="008A10D9" w:rsidP="00F97C6A">
            <w:pPr>
              <w:pStyle w:val="TableHeading"/>
            </w:pPr>
            <w:r w:rsidRPr="005F163B">
              <w:t> </w:t>
            </w:r>
          </w:p>
        </w:tc>
        <w:tc>
          <w:tcPr>
            <w:tcW w:w="1036" w:type="dxa"/>
            <w:noWrap/>
            <w:hideMark/>
          </w:tcPr>
          <w:p w14:paraId="1C5E56D6" w14:textId="77777777" w:rsidR="008A10D9" w:rsidRPr="005F163B" w:rsidRDefault="008A10D9" w:rsidP="00F97C6A">
            <w:pPr>
              <w:pStyle w:val="TableHeading"/>
              <w:cnfStyle w:val="100000000000" w:firstRow="1" w:lastRow="0" w:firstColumn="0" w:lastColumn="0" w:oddVBand="0" w:evenVBand="0" w:oddHBand="0" w:evenHBand="0" w:firstRowFirstColumn="0" w:firstRowLastColumn="0" w:lastRowFirstColumn="0" w:lastRowLastColumn="0"/>
            </w:pPr>
            <w:r w:rsidRPr="005F163B">
              <w:t>Cervical cancer</w:t>
            </w:r>
          </w:p>
        </w:tc>
        <w:tc>
          <w:tcPr>
            <w:tcW w:w="1036" w:type="dxa"/>
            <w:noWrap/>
            <w:hideMark/>
          </w:tcPr>
          <w:p w14:paraId="6A361F64" w14:textId="77777777" w:rsidR="008A10D9" w:rsidRPr="005F163B" w:rsidRDefault="008A10D9" w:rsidP="00F97C6A">
            <w:pPr>
              <w:pStyle w:val="TableHeading"/>
              <w:cnfStyle w:val="100000000000" w:firstRow="1" w:lastRow="0" w:firstColumn="0" w:lastColumn="0" w:oddVBand="0" w:evenVBand="0" w:oddHBand="0" w:evenHBand="0" w:firstRowFirstColumn="0" w:firstRowLastColumn="0" w:lastRowFirstColumn="0" w:lastRowLastColumn="0"/>
            </w:pPr>
            <w:r w:rsidRPr="005F163B">
              <w:t>Prostate cancer</w:t>
            </w:r>
          </w:p>
        </w:tc>
        <w:tc>
          <w:tcPr>
            <w:tcW w:w="1036" w:type="dxa"/>
            <w:noWrap/>
            <w:hideMark/>
          </w:tcPr>
          <w:p w14:paraId="395F1C64" w14:textId="77777777" w:rsidR="008A10D9" w:rsidRPr="005F163B" w:rsidRDefault="008A10D9" w:rsidP="00F97C6A">
            <w:pPr>
              <w:pStyle w:val="TableHeading"/>
              <w:cnfStyle w:val="100000000000" w:firstRow="1" w:lastRow="0" w:firstColumn="0" w:lastColumn="0" w:oddVBand="0" w:evenVBand="0" w:oddHBand="0" w:evenHBand="0" w:firstRowFirstColumn="0" w:firstRowLastColumn="0" w:lastRowFirstColumn="0" w:lastRowLastColumn="0"/>
            </w:pPr>
            <w:r w:rsidRPr="005F163B">
              <w:t>Uterine cancer</w:t>
            </w:r>
          </w:p>
        </w:tc>
        <w:tc>
          <w:tcPr>
            <w:tcW w:w="1036" w:type="dxa"/>
            <w:noWrap/>
            <w:hideMark/>
          </w:tcPr>
          <w:p w14:paraId="10D0F2BC" w14:textId="77777777" w:rsidR="008A10D9" w:rsidRPr="005F163B" w:rsidRDefault="008A10D9" w:rsidP="00F97C6A">
            <w:pPr>
              <w:pStyle w:val="TableHeading"/>
              <w:cnfStyle w:val="100000000000" w:firstRow="1" w:lastRow="0" w:firstColumn="0" w:lastColumn="0" w:oddVBand="0" w:evenVBand="0" w:oddHBand="0" w:evenHBand="0" w:firstRowFirstColumn="0" w:firstRowLastColumn="0" w:lastRowFirstColumn="0" w:lastRowLastColumn="0"/>
            </w:pPr>
            <w:r w:rsidRPr="005F163B">
              <w:t>Vaginal cancer</w:t>
            </w:r>
          </w:p>
        </w:tc>
        <w:tc>
          <w:tcPr>
            <w:tcW w:w="1036" w:type="dxa"/>
            <w:noWrap/>
            <w:hideMark/>
          </w:tcPr>
          <w:p w14:paraId="3AFCD7EF" w14:textId="77777777" w:rsidR="008A10D9" w:rsidRPr="005F163B" w:rsidRDefault="008A10D9" w:rsidP="00F97C6A">
            <w:pPr>
              <w:pStyle w:val="TableHeading"/>
              <w:cnfStyle w:val="100000000000" w:firstRow="1" w:lastRow="0" w:firstColumn="0" w:lastColumn="0" w:oddVBand="0" w:evenVBand="0" w:oddHBand="0" w:evenHBand="0" w:firstRowFirstColumn="0" w:firstRowLastColumn="0" w:lastRowFirstColumn="0" w:lastRowLastColumn="0"/>
            </w:pPr>
            <w:r w:rsidRPr="005F163B">
              <w:t xml:space="preserve">Total </w:t>
            </w:r>
          </w:p>
        </w:tc>
      </w:tr>
      <w:tr w:rsidR="008A10D9" w:rsidRPr="005F163B" w14:paraId="06F1CA1D" w14:textId="77777777" w:rsidTr="008A10D9">
        <w:trPr>
          <w:trHeight w:val="285"/>
        </w:trPr>
        <w:tc>
          <w:tcPr>
            <w:cnfStyle w:val="001000000000" w:firstRow="0" w:lastRow="0" w:firstColumn="1" w:lastColumn="0" w:oddVBand="0" w:evenVBand="0" w:oddHBand="0" w:evenHBand="0" w:firstRowFirstColumn="0" w:firstRowLastColumn="0" w:lastRowFirstColumn="0" w:lastRowLastColumn="0"/>
            <w:tcW w:w="2379" w:type="dxa"/>
            <w:noWrap/>
            <w:hideMark/>
          </w:tcPr>
          <w:p w14:paraId="19FC54AC" w14:textId="77777777" w:rsidR="008A10D9" w:rsidRPr="005F163B" w:rsidRDefault="008A10D9" w:rsidP="00AF6669">
            <w:pPr>
              <w:pStyle w:val="Tabletext"/>
              <w:rPr>
                <w:b/>
              </w:rPr>
            </w:pPr>
            <w:r>
              <w:t>Projected incidence (</w:t>
            </w:r>
            <w:r w:rsidRPr="005F163B">
              <w:t>2020</w:t>
            </w:r>
            <w:r>
              <w:t>)</w:t>
            </w:r>
          </w:p>
        </w:tc>
        <w:tc>
          <w:tcPr>
            <w:tcW w:w="1036" w:type="dxa"/>
            <w:noWrap/>
            <w:hideMark/>
          </w:tcPr>
          <w:p w14:paraId="004912CB" w14:textId="77777777" w:rsidR="008A10D9" w:rsidRPr="005F163B" w:rsidRDefault="008A10D9" w:rsidP="00AF6669">
            <w:pPr>
              <w:pStyle w:val="Tabletext"/>
              <w:cnfStyle w:val="000000000000" w:firstRow="0" w:lastRow="0" w:firstColumn="0" w:lastColumn="0" w:oddVBand="0" w:evenVBand="0" w:oddHBand="0" w:evenHBand="0" w:firstRowFirstColumn="0" w:firstRowLastColumn="0" w:lastRowFirstColumn="0" w:lastRowLastColumn="0"/>
            </w:pPr>
            <w:r w:rsidRPr="005F163B">
              <w:t>933</w:t>
            </w:r>
          </w:p>
        </w:tc>
        <w:tc>
          <w:tcPr>
            <w:tcW w:w="1036" w:type="dxa"/>
            <w:noWrap/>
            <w:hideMark/>
          </w:tcPr>
          <w:p w14:paraId="0E62B417" w14:textId="77777777" w:rsidR="008A10D9" w:rsidRPr="005F163B" w:rsidRDefault="008A10D9" w:rsidP="00AF6669">
            <w:pPr>
              <w:pStyle w:val="Tabletext"/>
              <w:cnfStyle w:val="000000000000" w:firstRow="0" w:lastRow="0" w:firstColumn="0" w:lastColumn="0" w:oddVBand="0" w:evenVBand="0" w:oddHBand="0" w:evenHBand="0" w:firstRowFirstColumn="0" w:firstRowLastColumn="0" w:lastRowFirstColumn="0" w:lastRowLastColumn="0"/>
            </w:pPr>
            <w:r w:rsidRPr="005F163B">
              <w:t>16,741</w:t>
            </w:r>
          </w:p>
        </w:tc>
        <w:tc>
          <w:tcPr>
            <w:tcW w:w="1036" w:type="dxa"/>
            <w:noWrap/>
            <w:hideMark/>
          </w:tcPr>
          <w:p w14:paraId="7BA38EA0" w14:textId="77777777" w:rsidR="008A10D9" w:rsidRPr="005F163B" w:rsidRDefault="008A10D9" w:rsidP="00AF6669">
            <w:pPr>
              <w:pStyle w:val="Tabletext"/>
              <w:cnfStyle w:val="000000000000" w:firstRow="0" w:lastRow="0" w:firstColumn="0" w:lastColumn="0" w:oddVBand="0" w:evenVBand="0" w:oddHBand="0" w:evenHBand="0" w:firstRowFirstColumn="0" w:firstRowLastColumn="0" w:lastRowFirstColumn="0" w:lastRowLastColumn="0"/>
            </w:pPr>
            <w:r w:rsidRPr="005F163B">
              <w:t>3,224</w:t>
            </w:r>
          </w:p>
        </w:tc>
        <w:tc>
          <w:tcPr>
            <w:tcW w:w="1036" w:type="dxa"/>
            <w:noWrap/>
            <w:hideMark/>
          </w:tcPr>
          <w:p w14:paraId="4CA38824" w14:textId="77777777" w:rsidR="008A10D9" w:rsidRPr="005F163B" w:rsidRDefault="008A10D9" w:rsidP="00AF6669">
            <w:pPr>
              <w:pStyle w:val="Tabletext"/>
              <w:cnfStyle w:val="000000000000" w:firstRow="0" w:lastRow="0" w:firstColumn="0" w:lastColumn="0" w:oddVBand="0" w:evenVBand="0" w:oddHBand="0" w:evenHBand="0" w:firstRowFirstColumn="0" w:firstRowLastColumn="0" w:lastRowFirstColumn="0" w:lastRowLastColumn="0"/>
            </w:pPr>
            <w:r w:rsidRPr="005F163B">
              <w:t>98</w:t>
            </w:r>
          </w:p>
        </w:tc>
        <w:tc>
          <w:tcPr>
            <w:tcW w:w="1036" w:type="dxa"/>
            <w:noWrap/>
            <w:hideMark/>
          </w:tcPr>
          <w:p w14:paraId="38AAAE69" w14:textId="77777777" w:rsidR="008A10D9" w:rsidRPr="005F163B" w:rsidRDefault="008A10D9" w:rsidP="00AF6669">
            <w:pPr>
              <w:pStyle w:val="Tabletext"/>
              <w:cnfStyle w:val="000000000000" w:firstRow="0" w:lastRow="0" w:firstColumn="0" w:lastColumn="0" w:oddVBand="0" w:evenVBand="0" w:oddHBand="0" w:evenHBand="0" w:firstRowFirstColumn="0" w:firstRowLastColumn="0" w:lastRowFirstColumn="0" w:lastRowLastColumn="0"/>
            </w:pPr>
            <w:r w:rsidRPr="005F163B">
              <w:t>20,996</w:t>
            </w:r>
          </w:p>
        </w:tc>
      </w:tr>
      <w:tr w:rsidR="008A10D9" w:rsidRPr="005F163B" w14:paraId="6BBD9DEE" w14:textId="77777777" w:rsidTr="008A10D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79" w:type="dxa"/>
            <w:noWrap/>
            <w:hideMark/>
          </w:tcPr>
          <w:p w14:paraId="04E37775" w14:textId="77777777" w:rsidR="008A10D9" w:rsidRPr="005F163B" w:rsidRDefault="008A10D9" w:rsidP="00AF6669">
            <w:pPr>
              <w:pStyle w:val="Tabletext"/>
            </w:pPr>
            <w:r w:rsidRPr="005F163B">
              <w:t>OUR</w:t>
            </w:r>
          </w:p>
        </w:tc>
        <w:tc>
          <w:tcPr>
            <w:tcW w:w="1036" w:type="dxa"/>
            <w:noWrap/>
            <w:hideMark/>
          </w:tcPr>
          <w:p w14:paraId="256A6A78" w14:textId="77777777" w:rsidR="008A10D9" w:rsidRPr="005F163B" w:rsidRDefault="008A10D9" w:rsidP="00AF6669">
            <w:pPr>
              <w:pStyle w:val="Tabletext"/>
              <w:cnfStyle w:val="000000010000" w:firstRow="0" w:lastRow="0" w:firstColumn="0" w:lastColumn="0" w:oddVBand="0" w:evenVBand="0" w:oddHBand="0" w:evenHBand="1" w:firstRowFirstColumn="0" w:firstRowLastColumn="0" w:lastRowFirstColumn="0" w:lastRowLastColumn="0"/>
            </w:pPr>
            <w:r w:rsidRPr="005F163B">
              <w:t>53%</w:t>
            </w:r>
          </w:p>
        </w:tc>
        <w:tc>
          <w:tcPr>
            <w:tcW w:w="1036" w:type="dxa"/>
            <w:noWrap/>
            <w:hideMark/>
          </w:tcPr>
          <w:p w14:paraId="7E834273" w14:textId="77777777" w:rsidR="008A10D9" w:rsidRPr="005F163B" w:rsidRDefault="008A10D9" w:rsidP="00AF6669">
            <w:pPr>
              <w:pStyle w:val="Tabletext"/>
              <w:cnfStyle w:val="000000010000" w:firstRow="0" w:lastRow="0" w:firstColumn="0" w:lastColumn="0" w:oddVBand="0" w:evenVBand="0" w:oddHBand="0" w:evenHBand="1" w:firstRowFirstColumn="0" w:firstRowLastColumn="0" w:lastRowFirstColumn="0" w:lastRowLastColumn="0"/>
            </w:pPr>
            <w:r w:rsidRPr="005F163B">
              <w:t>10%</w:t>
            </w:r>
          </w:p>
        </w:tc>
        <w:tc>
          <w:tcPr>
            <w:tcW w:w="1036" w:type="dxa"/>
            <w:noWrap/>
            <w:hideMark/>
          </w:tcPr>
          <w:p w14:paraId="0C993336" w14:textId="77777777" w:rsidR="008A10D9" w:rsidRPr="005F163B" w:rsidRDefault="008A10D9" w:rsidP="00AF6669">
            <w:pPr>
              <w:pStyle w:val="Tabletext"/>
              <w:cnfStyle w:val="000000010000" w:firstRow="0" w:lastRow="0" w:firstColumn="0" w:lastColumn="0" w:oddVBand="0" w:evenVBand="0" w:oddHBand="0" w:evenHBand="1" w:firstRowFirstColumn="0" w:firstRowLastColumn="0" w:lastRowFirstColumn="0" w:lastRowLastColumn="0"/>
            </w:pPr>
            <w:r w:rsidRPr="005F163B">
              <w:t>39%</w:t>
            </w:r>
          </w:p>
        </w:tc>
        <w:tc>
          <w:tcPr>
            <w:tcW w:w="1036" w:type="dxa"/>
            <w:noWrap/>
            <w:hideMark/>
          </w:tcPr>
          <w:p w14:paraId="6C4E54CA" w14:textId="77777777" w:rsidR="008A10D9" w:rsidRPr="005F163B" w:rsidRDefault="008A10D9" w:rsidP="00AF6669">
            <w:pPr>
              <w:pStyle w:val="Tabletext"/>
              <w:cnfStyle w:val="000000010000" w:firstRow="0" w:lastRow="0" w:firstColumn="0" w:lastColumn="0" w:oddVBand="0" w:evenVBand="0" w:oddHBand="0" w:evenHBand="1" w:firstRowFirstColumn="0" w:firstRowLastColumn="0" w:lastRowFirstColumn="0" w:lastRowLastColumn="0"/>
            </w:pPr>
            <w:r w:rsidRPr="005F163B">
              <w:t>80%</w:t>
            </w:r>
          </w:p>
        </w:tc>
        <w:tc>
          <w:tcPr>
            <w:tcW w:w="1036" w:type="dxa"/>
            <w:noWrap/>
            <w:hideMark/>
          </w:tcPr>
          <w:p w14:paraId="1417AFBD" w14:textId="77777777" w:rsidR="008A10D9" w:rsidRPr="005F163B" w:rsidRDefault="008A10D9" w:rsidP="00AF6669">
            <w:pPr>
              <w:pStyle w:val="Tabletext"/>
              <w:cnfStyle w:val="000000010000" w:firstRow="0" w:lastRow="0" w:firstColumn="0" w:lastColumn="0" w:oddVBand="0" w:evenVBand="0" w:oddHBand="0" w:evenHBand="1" w:firstRowFirstColumn="0" w:firstRowLastColumn="0" w:lastRowFirstColumn="0" w:lastRowLastColumn="0"/>
            </w:pPr>
          </w:p>
        </w:tc>
      </w:tr>
      <w:tr w:rsidR="008A10D9" w:rsidRPr="005F163B" w14:paraId="33F74B3F" w14:textId="77777777" w:rsidTr="008A10D9">
        <w:trPr>
          <w:trHeight w:val="285"/>
        </w:trPr>
        <w:tc>
          <w:tcPr>
            <w:cnfStyle w:val="001000000000" w:firstRow="0" w:lastRow="0" w:firstColumn="1" w:lastColumn="0" w:oddVBand="0" w:evenVBand="0" w:oddHBand="0" w:evenHBand="0" w:firstRowFirstColumn="0" w:firstRowLastColumn="0" w:lastRowFirstColumn="0" w:lastRowLastColumn="0"/>
            <w:tcW w:w="2379" w:type="dxa"/>
            <w:noWrap/>
            <w:hideMark/>
          </w:tcPr>
          <w:p w14:paraId="64609D1C" w14:textId="77777777" w:rsidR="008A10D9" w:rsidRPr="005F163B" w:rsidRDefault="008A10D9" w:rsidP="00AF6669">
            <w:pPr>
              <w:pStyle w:val="Tabletext"/>
            </w:pPr>
            <w:r w:rsidRPr="005F163B">
              <w:t xml:space="preserve">Estimated patient demand </w:t>
            </w:r>
          </w:p>
        </w:tc>
        <w:tc>
          <w:tcPr>
            <w:tcW w:w="1036" w:type="dxa"/>
            <w:noWrap/>
            <w:hideMark/>
          </w:tcPr>
          <w:p w14:paraId="69781981" w14:textId="77777777" w:rsidR="008A10D9" w:rsidRPr="005F163B" w:rsidRDefault="008A10D9" w:rsidP="00AF6669">
            <w:pPr>
              <w:pStyle w:val="Tabletext"/>
              <w:cnfStyle w:val="000000000000" w:firstRow="0" w:lastRow="0" w:firstColumn="0" w:lastColumn="0" w:oddVBand="0" w:evenVBand="0" w:oddHBand="0" w:evenHBand="0" w:firstRowFirstColumn="0" w:firstRowLastColumn="0" w:lastRowFirstColumn="0" w:lastRowLastColumn="0"/>
            </w:pPr>
            <w:r w:rsidRPr="005F163B">
              <w:t>494</w:t>
            </w:r>
          </w:p>
        </w:tc>
        <w:tc>
          <w:tcPr>
            <w:tcW w:w="1036" w:type="dxa"/>
            <w:noWrap/>
            <w:hideMark/>
          </w:tcPr>
          <w:p w14:paraId="3F775E01" w14:textId="77777777" w:rsidR="008A10D9" w:rsidRPr="005F163B" w:rsidRDefault="008A10D9" w:rsidP="00AF6669">
            <w:pPr>
              <w:pStyle w:val="Tabletext"/>
              <w:cnfStyle w:val="000000000000" w:firstRow="0" w:lastRow="0" w:firstColumn="0" w:lastColumn="0" w:oddVBand="0" w:evenVBand="0" w:oddHBand="0" w:evenHBand="0" w:firstRowFirstColumn="0" w:firstRowLastColumn="0" w:lastRowFirstColumn="0" w:lastRowLastColumn="0"/>
            </w:pPr>
            <w:r w:rsidRPr="005F163B">
              <w:t>1,641</w:t>
            </w:r>
          </w:p>
        </w:tc>
        <w:tc>
          <w:tcPr>
            <w:tcW w:w="1036" w:type="dxa"/>
            <w:noWrap/>
            <w:hideMark/>
          </w:tcPr>
          <w:p w14:paraId="615E14AB" w14:textId="77777777" w:rsidR="008A10D9" w:rsidRPr="005F163B" w:rsidRDefault="008A10D9" w:rsidP="00AF6669">
            <w:pPr>
              <w:pStyle w:val="Tabletext"/>
              <w:cnfStyle w:val="000000000000" w:firstRow="0" w:lastRow="0" w:firstColumn="0" w:lastColumn="0" w:oddVBand="0" w:evenVBand="0" w:oddHBand="0" w:evenHBand="0" w:firstRowFirstColumn="0" w:firstRowLastColumn="0" w:lastRowFirstColumn="0" w:lastRowLastColumn="0"/>
            </w:pPr>
            <w:r w:rsidRPr="005F163B">
              <w:t>1,257</w:t>
            </w:r>
          </w:p>
        </w:tc>
        <w:tc>
          <w:tcPr>
            <w:tcW w:w="1036" w:type="dxa"/>
            <w:noWrap/>
            <w:hideMark/>
          </w:tcPr>
          <w:p w14:paraId="714BC8D2" w14:textId="77777777" w:rsidR="008A10D9" w:rsidRPr="005F163B" w:rsidRDefault="008A10D9" w:rsidP="00AF6669">
            <w:pPr>
              <w:pStyle w:val="Tabletext"/>
              <w:cnfStyle w:val="000000000000" w:firstRow="0" w:lastRow="0" w:firstColumn="0" w:lastColumn="0" w:oddVBand="0" w:evenVBand="0" w:oddHBand="0" w:evenHBand="0" w:firstRowFirstColumn="0" w:firstRowLastColumn="0" w:lastRowFirstColumn="0" w:lastRowLastColumn="0"/>
            </w:pPr>
            <w:r w:rsidRPr="005F163B">
              <w:t>78</w:t>
            </w:r>
          </w:p>
        </w:tc>
        <w:tc>
          <w:tcPr>
            <w:tcW w:w="1036" w:type="dxa"/>
            <w:noWrap/>
            <w:hideMark/>
          </w:tcPr>
          <w:p w14:paraId="0364254A" w14:textId="178D7E50" w:rsidR="008A10D9" w:rsidRPr="005F163B" w:rsidRDefault="008A10D9" w:rsidP="00AF6669">
            <w:pPr>
              <w:pStyle w:val="Tabletext"/>
              <w:cnfStyle w:val="000000000000" w:firstRow="0" w:lastRow="0" w:firstColumn="0" w:lastColumn="0" w:oddVBand="0" w:evenVBand="0" w:oddHBand="0" w:evenHBand="0" w:firstRowFirstColumn="0" w:firstRowLastColumn="0" w:lastRowFirstColumn="0" w:lastRowLastColumn="0"/>
            </w:pPr>
            <w:r w:rsidRPr="005F163B">
              <w:t>3</w:t>
            </w:r>
            <w:r>
              <w:t>,</w:t>
            </w:r>
            <w:r w:rsidRPr="005F163B">
              <w:t>47</w:t>
            </w:r>
            <w:r w:rsidR="00D5112E">
              <w:t>0</w:t>
            </w:r>
          </w:p>
        </w:tc>
      </w:tr>
    </w:tbl>
    <w:p w14:paraId="46D07D1E" w14:textId="77777777" w:rsidR="00373EE3" w:rsidRDefault="008A10D9" w:rsidP="0079376F">
      <w:pPr>
        <w:pStyle w:val="TableNotes"/>
      </w:pPr>
      <w:r w:rsidRPr="005F163B">
        <w:t>Source: AIHW cancer incidence data and</w:t>
      </w:r>
      <w:r w:rsidR="007D5B1A">
        <w:t xml:space="preserve"> </w:t>
      </w:r>
      <w:r w:rsidR="007D5B1A" w:rsidRPr="007D5B1A">
        <w:t>Collaboration for Cancer Outcomes Research and Evaluation</w:t>
      </w:r>
      <w:r w:rsidR="007D5B1A">
        <w:t xml:space="preserve"> (</w:t>
      </w:r>
      <w:r w:rsidRPr="005F163B">
        <w:t>CCORE</w:t>
      </w:r>
      <w:r w:rsidR="007D5B1A">
        <w:t>)</w:t>
      </w:r>
      <w:r w:rsidRPr="005F163B">
        <w:t xml:space="preserve"> radiotherapy optimal utilisation rate estimates 2013.</w:t>
      </w:r>
    </w:p>
    <w:p w14:paraId="2CC897EF" w14:textId="0F328E9A" w:rsidR="00373EE3" w:rsidRDefault="00D200B1" w:rsidP="0001648A">
      <w:r w:rsidRPr="009B6AA8">
        <w:t>Brachytherapy is considered best practice treatment for cervical cancer</w:t>
      </w:r>
      <w:r w:rsidR="00B71E19" w:rsidRPr="009B6AA8">
        <w:t>s. External beam radiotherapy for cervical cancer has been shown to have poorer outcomes</w:t>
      </w:r>
      <w:r w:rsidR="00457248" w:rsidRPr="009B6AA8">
        <w:t xml:space="preserve"> </w:t>
      </w:r>
      <w:sdt>
        <w:sdtPr>
          <w:rPr>
            <w:rStyle w:val="FootnoteReference"/>
          </w:rPr>
          <w:id w:val="2145690130"/>
          <w:citation/>
        </w:sdtPr>
        <w:sdtContent>
          <w:r w:rsidR="00457248" w:rsidRPr="0001648A">
            <w:rPr>
              <w:rStyle w:val="FootnoteReference"/>
            </w:rPr>
            <w:fldChar w:fldCharType="begin"/>
          </w:r>
          <w:r w:rsidR="00457248" w:rsidRPr="0001648A">
            <w:rPr>
              <w:rStyle w:val="FootnoteReference"/>
            </w:rPr>
            <w:instrText xml:space="preserve"> CITATION Rob16 \l 2057 </w:instrText>
          </w:r>
          <w:r w:rsidR="00457248" w:rsidRPr="0001648A">
            <w:rPr>
              <w:rStyle w:val="FootnoteReference"/>
            </w:rPr>
            <w:fldChar w:fldCharType="separate"/>
          </w:r>
          <w:r w:rsidR="00264535" w:rsidRPr="00264535">
            <w:rPr>
              <w:noProof/>
            </w:rPr>
            <w:t>[36]</w:t>
          </w:r>
          <w:r w:rsidR="00457248" w:rsidRPr="0001648A">
            <w:rPr>
              <w:rStyle w:val="FootnoteReference"/>
            </w:rPr>
            <w:fldChar w:fldCharType="end"/>
          </w:r>
        </w:sdtContent>
      </w:sdt>
      <w:r w:rsidR="00457248" w:rsidRPr="0001648A">
        <w:rPr>
          <w:rStyle w:val="FootnoteReference"/>
        </w:rPr>
        <w:t xml:space="preserve"> </w:t>
      </w:r>
      <w:sdt>
        <w:sdtPr>
          <w:rPr>
            <w:rStyle w:val="FootnoteReference"/>
          </w:rPr>
          <w:id w:val="672535680"/>
          <w:citation/>
        </w:sdtPr>
        <w:sdtContent>
          <w:r w:rsidR="00457248" w:rsidRPr="0001648A">
            <w:rPr>
              <w:rStyle w:val="FootnoteReference"/>
            </w:rPr>
            <w:fldChar w:fldCharType="begin"/>
          </w:r>
          <w:r w:rsidR="00457248" w:rsidRPr="0001648A">
            <w:rPr>
              <w:rStyle w:val="FootnoteReference"/>
            </w:rPr>
            <w:instrText xml:space="preserve"> CITATION Hol18 \l 2057 </w:instrText>
          </w:r>
          <w:r w:rsidR="00457248" w:rsidRPr="0001648A">
            <w:rPr>
              <w:rStyle w:val="FootnoteReference"/>
            </w:rPr>
            <w:fldChar w:fldCharType="separate"/>
          </w:r>
          <w:r w:rsidR="00264535" w:rsidRPr="00264535">
            <w:rPr>
              <w:noProof/>
            </w:rPr>
            <w:t>[37]</w:t>
          </w:r>
          <w:r w:rsidR="00457248" w:rsidRPr="0001648A">
            <w:rPr>
              <w:rStyle w:val="FootnoteReference"/>
            </w:rPr>
            <w:fldChar w:fldCharType="end"/>
          </w:r>
        </w:sdtContent>
      </w:sdt>
      <w:r w:rsidR="00457248" w:rsidRPr="0001648A">
        <w:rPr>
          <w:rStyle w:val="FootnoteReference"/>
        </w:rPr>
        <w:t xml:space="preserve"> </w:t>
      </w:r>
      <w:sdt>
        <w:sdtPr>
          <w:rPr>
            <w:rStyle w:val="FootnoteReference"/>
          </w:rPr>
          <w:id w:val="-1243172975"/>
          <w:citation/>
        </w:sdtPr>
        <w:sdtContent>
          <w:r w:rsidR="00457248" w:rsidRPr="0001648A">
            <w:rPr>
              <w:rStyle w:val="FootnoteReference"/>
            </w:rPr>
            <w:fldChar w:fldCharType="begin"/>
          </w:r>
          <w:r w:rsidR="00457248" w:rsidRPr="0001648A">
            <w:rPr>
              <w:rStyle w:val="FootnoteReference"/>
            </w:rPr>
            <w:instrText xml:space="preserve"> CITATION Chi201 \l 2057 </w:instrText>
          </w:r>
          <w:r w:rsidR="00457248" w:rsidRPr="0001648A">
            <w:rPr>
              <w:rStyle w:val="FootnoteReference"/>
            </w:rPr>
            <w:fldChar w:fldCharType="separate"/>
          </w:r>
          <w:r w:rsidR="00264535" w:rsidRPr="00264535">
            <w:rPr>
              <w:noProof/>
            </w:rPr>
            <w:t>[38]</w:t>
          </w:r>
          <w:r w:rsidR="00457248" w:rsidRPr="0001648A">
            <w:rPr>
              <w:rStyle w:val="FootnoteReference"/>
            </w:rPr>
            <w:fldChar w:fldCharType="end"/>
          </w:r>
        </w:sdtContent>
      </w:sdt>
      <w:r w:rsidR="00457248" w:rsidRPr="00D65C79">
        <w:t>.</w:t>
      </w:r>
    </w:p>
    <w:p w14:paraId="1D071395" w14:textId="77777777" w:rsidR="00373EE3" w:rsidRDefault="004620F0" w:rsidP="00C82074">
      <w:r>
        <w:t>In 2019</w:t>
      </w:r>
      <w:r w:rsidR="00B54D2F">
        <w:t>–</w:t>
      </w:r>
      <w:r>
        <w:t>20</w:t>
      </w:r>
      <w:r w:rsidR="00017E3A">
        <w:t>,</w:t>
      </w:r>
      <w:r>
        <w:t xml:space="preserve"> there were 2,793 MBS services for brachytherapy, representing 12 services per 100,000 population, although this is likely to underestimate brachytherapy usage</w:t>
      </w:r>
      <w:r w:rsidR="00393E63">
        <w:t>,</w:t>
      </w:r>
      <w:r>
        <w:t xml:space="preserve"> as much cervical cancer use is performed as an inpatient procedure and therefore not recorded as </w:t>
      </w:r>
      <w:r w:rsidR="00EB6FB4">
        <w:t>an</w:t>
      </w:r>
      <w:r>
        <w:t xml:space="preserve"> MBS item.</w:t>
      </w:r>
    </w:p>
    <w:p w14:paraId="5BBB93A0" w14:textId="77777777" w:rsidR="00373EE3" w:rsidRDefault="004620F0" w:rsidP="00C82074">
      <w:r>
        <w:t>Analysis of MBS data indicated that brachytherapy usage had increased dramatically from 1994–95 when it was two services per 100,000 population to 12 services per 100,000 population in 2019–20. However, this was a slight decrease from a peak of 19 services per 100,000 population in 2008–09.</w:t>
      </w:r>
    </w:p>
    <w:p w14:paraId="1531B11E" w14:textId="2F4B41CE" w:rsidR="00373EE3" w:rsidRDefault="009F65FD" w:rsidP="002400CB">
      <w:r w:rsidRPr="009B6AA8">
        <w:t>The incidence rate of cervical cancer has declined since the introduction of the HPV</w:t>
      </w:r>
      <w:r w:rsidRPr="00D65C79">
        <w:rPr>
          <w:rStyle w:val="FootnoteReference"/>
        </w:rPr>
        <w:footnoteReference w:id="12"/>
      </w:r>
      <w:r w:rsidRPr="00D65C79">
        <w:t xml:space="preserve"> vaccine. However, the decline has plateaued and a small number of cases </w:t>
      </w:r>
      <w:r w:rsidR="0026791E" w:rsidRPr="009B6AA8">
        <w:t>still occur</w:t>
      </w:r>
      <w:r w:rsidRPr="009B6AA8">
        <w:t xml:space="preserve"> each year. </w:t>
      </w:r>
      <w:r w:rsidR="00C82074" w:rsidRPr="009B6AA8">
        <w:t>It is predicted that in 2020 there will have been 933 cases of cervical cancer and 238 deaths</w:t>
      </w:r>
      <w:r w:rsidR="005C4E9F" w:rsidRPr="009B6AA8">
        <w:t xml:space="preserve">, mostly among women between 35 and 50 years of age </w:t>
      </w:r>
      <w:sdt>
        <w:sdtPr>
          <w:rPr>
            <w:rStyle w:val="FootnoteReference"/>
          </w:rPr>
          <w:id w:val="921602367"/>
          <w:citation/>
        </w:sdtPr>
        <w:sdtEndPr>
          <w:rPr>
            <w:rStyle w:val="DefaultParagraphFont"/>
            <w:vertAlign w:val="baseline"/>
          </w:rPr>
        </w:sdtEndPr>
        <w:sdtContent>
          <w:r w:rsidR="005C4E9F" w:rsidRPr="0001648A">
            <w:rPr>
              <w:rStyle w:val="FootnoteReference"/>
            </w:rPr>
            <w:fldChar w:fldCharType="begin"/>
          </w:r>
          <w:r w:rsidR="005C4E9F" w:rsidRPr="0001648A">
            <w:rPr>
              <w:rStyle w:val="FootnoteReference"/>
            </w:rPr>
            <w:instrText xml:space="preserve"> CITATION AIH20 \l 2057 </w:instrText>
          </w:r>
          <w:r w:rsidR="005C4E9F" w:rsidRPr="0001648A">
            <w:rPr>
              <w:rStyle w:val="FootnoteReference"/>
            </w:rPr>
            <w:fldChar w:fldCharType="separate"/>
          </w:r>
          <w:r w:rsidR="00264535" w:rsidRPr="00264535">
            <w:rPr>
              <w:noProof/>
            </w:rPr>
            <w:t>[18]</w:t>
          </w:r>
          <w:r w:rsidR="005C4E9F" w:rsidRPr="0001648A">
            <w:rPr>
              <w:rStyle w:val="FootnoteReference"/>
            </w:rPr>
            <w:fldChar w:fldCharType="end"/>
          </w:r>
        </w:sdtContent>
      </w:sdt>
      <w:r w:rsidR="005C4E9F" w:rsidRPr="00D65C79">
        <w:t>.</w:t>
      </w:r>
    </w:p>
    <w:p w14:paraId="63EF8F95" w14:textId="77777777" w:rsidR="00373EE3" w:rsidRDefault="00F0339C" w:rsidP="002400CB">
      <w:r>
        <w:t>In 2019</w:t>
      </w:r>
      <w:r w:rsidR="00393E63">
        <w:t>–</w:t>
      </w:r>
      <w:r>
        <w:t>20 there were 23 facilities receiving ROHPG funding for brachytherapy equipment, 20 of which were funded for high dose-rate (HDR) brachytherapy equipment, six of these being private facilities.</w:t>
      </w:r>
    </w:p>
    <w:p w14:paraId="38E38721" w14:textId="77777777" w:rsidR="00373EE3" w:rsidRDefault="00023810" w:rsidP="00023810">
      <w:r>
        <w:t>However, not all facilities</w:t>
      </w:r>
      <w:r w:rsidR="008A10D9">
        <w:t xml:space="preserve"> providing brachytherapy will treat </w:t>
      </w:r>
      <w:r>
        <w:t>gynaecological cancers and within those facilities that do treat gynaecological cancers, only a few</w:t>
      </w:r>
      <w:r w:rsidR="008A10D9">
        <w:t xml:space="preserve"> treat </w:t>
      </w:r>
      <w:r>
        <w:t>cervical cancers (</w:t>
      </w:r>
      <w:r w:rsidR="008A10D9">
        <w:t xml:space="preserve">due to the level of </w:t>
      </w:r>
      <w:r>
        <w:t>expertise</w:t>
      </w:r>
      <w:r w:rsidR="008A10D9">
        <w:t xml:space="preserve"> required</w:t>
      </w:r>
      <w:r>
        <w:t>).</w:t>
      </w:r>
    </w:p>
    <w:p w14:paraId="74A202D6" w14:textId="77777777" w:rsidR="00373EE3" w:rsidRDefault="005C4E9F" w:rsidP="005C4E9F">
      <w:pPr>
        <w:keepNext/>
      </w:pPr>
      <w:r w:rsidRPr="00D65C79">
        <w:t>Brachytherapy equipment is not as expensive as external beam RT, but does have ongoing costs that accumulate, such as:</w:t>
      </w:r>
    </w:p>
    <w:p w14:paraId="0557D461" w14:textId="0BC3E12C" w:rsidR="00F0339C" w:rsidRDefault="005C4E9F" w:rsidP="005C4E9F">
      <w:pPr>
        <w:pStyle w:val="ListBullet"/>
      </w:pPr>
      <w:r w:rsidRPr="009B6AA8">
        <w:t xml:space="preserve">the brachytherapy unit </w:t>
      </w:r>
      <w:r w:rsidR="00F0339C">
        <w:t xml:space="preserve">(after-loader), approximately </w:t>
      </w:r>
      <w:r w:rsidR="00B10085">
        <w:t>$</w:t>
      </w:r>
      <w:r w:rsidR="00F0339C">
        <w:t xml:space="preserve">250,000 </w:t>
      </w:r>
      <w:r w:rsidR="00B10085">
        <w:t xml:space="preserve">to $400,000 </w:t>
      </w:r>
      <w:r w:rsidR="00F0339C">
        <w:t>with an estimated 10-year lifespan</w:t>
      </w:r>
    </w:p>
    <w:p w14:paraId="58B549CC" w14:textId="77777777" w:rsidR="00373EE3" w:rsidRDefault="005C4E9F" w:rsidP="005C4E9F">
      <w:pPr>
        <w:pStyle w:val="ListBullet"/>
      </w:pPr>
      <w:r w:rsidRPr="009B6AA8">
        <w:t>applicator, approximately $</w:t>
      </w:r>
      <w:r w:rsidR="00B10085">
        <w:t>75</w:t>
      </w:r>
      <w:r w:rsidRPr="009B6AA8">
        <w:t>,000</w:t>
      </w:r>
      <w:r w:rsidR="00F0339C">
        <w:t xml:space="preserve"> to $275,000 </w:t>
      </w:r>
      <w:r w:rsidRPr="009B6AA8">
        <w:t xml:space="preserve">outlay </w:t>
      </w:r>
      <w:r w:rsidR="00F0339C">
        <w:t>with an estimated three-year lifespan</w:t>
      </w:r>
    </w:p>
    <w:p w14:paraId="7DD13F27" w14:textId="0653D23E" w:rsidR="00F0339C" w:rsidRDefault="00F0339C" w:rsidP="005C4E9F">
      <w:pPr>
        <w:pStyle w:val="ListBullet"/>
      </w:pPr>
      <w:r>
        <w:t>cancer specific accessories</w:t>
      </w:r>
      <w:r w:rsidR="00393E63">
        <w:t>,</w:t>
      </w:r>
      <w:r>
        <w:t xml:space="preserve"> e.g. prostate stepper (approximately $5,500), breast CT/MRI template (approximately $48,000) and skin applicator set (approximately $19,000) each with </w:t>
      </w:r>
      <w:r w:rsidR="00393E63">
        <w:t xml:space="preserve">an </w:t>
      </w:r>
      <w:r>
        <w:t>estimated lifespan of three-years</w:t>
      </w:r>
    </w:p>
    <w:p w14:paraId="60EC0240" w14:textId="77777777" w:rsidR="00373EE3" w:rsidRDefault="005C4E9F" w:rsidP="00B10085">
      <w:pPr>
        <w:pStyle w:val="ListBullet"/>
      </w:pPr>
      <w:r w:rsidRPr="009B6AA8">
        <w:t>ongoing maintenance replacement of RT source</w:t>
      </w:r>
      <w:r w:rsidR="00B4068D" w:rsidRPr="009B6AA8">
        <w:t xml:space="preserve"> (a</w:t>
      </w:r>
      <w:r w:rsidRPr="009B6AA8">
        <w:t>pproximately $</w:t>
      </w:r>
      <w:r w:rsidR="00B10085">
        <w:t>125</w:t>
      </w:r>
      <w:r w:rsidRPr="009B6AA8">
        <w:t>,000 per annum</w:t>
      </w:r>
      <w:r w:rsidR="00B4068D" w:rsidRPr="009B6AA8">
        <w:t>)</w:t>
      </w:r>
      <w:r w:rsidRPr="009B6AA8">
        <w:t>, and</w:t>
      </w:r>
    </w:p>
    <w:p w14:paraId="1B60478E" w14:textId="77777777" w:rsidR="00373EE3" w:rsidRDefault="00B10085" w:rsidP="005C4E9F">
      <w:pPr>
        <w:pStyle w:val="ListBullet"/>
      </w:pPr>
      <w:proofErr w:type="gramStart"/>
      <w:r>
        <w:t>other</w:t>
      </w:r>
      <w:proofErr w:type="gramEnd"/>
      <w:r>
        <w:t xml:space="preserve"> </w:t>
      </w:r>
      <w:r w:rsidR="005C4E9F" w:rsidRPr="009B6AA8">
        <w:t>consumables</w:t>
      </w:r>
      <w:r>
        <w:t xml:space="preserve">, e.g. </w:t>
      </w:r>
      <w:r w:rsidR="005C4E9F" w:rsidRPr="009B6AA8">
        <w:t>needles</w:t>
      </w:r>
      <w:r>
        <w:t xml:space="preserve"> </w:t>
      </w:r>
      <w:r w:rsidR="00B4068D" w:rsidRPr="009B6AA8">
        <w:t>(</w:t>
      </w:r>
      <w:r w:rsidR="005C4E9F" w:rsidRPr="009B6AA8">
        <w:t>approximately $50,000 per annum</w:t>
      </w:r>
      <w:r w:rsidR="00B4068D" w:rsidRPr="009B6AA8">
        <w:t>)</w:t>
      </w:r>
      <w:r w:rsidR="005C4E9F" w:rsidRPr="009B6AA8">
        <w:t>.</w:t>
      </w:r>
    </w:p>
    <w:p w14:paraId="11F913F5" w14:textId="77777777" w:rsidR="00373EE3" w:rsidRDefault="005C4E9F" w:rsidP="00F0339C">
      <w:r w:rsidRPr="009B6AA8">
        <w:t xml:space="preserve">Brachytherapy was noted as a treatment that is not very profitable due to the time required compared to the MBS rebate available. </w:t>
      </w:r>
      <w:r w:rsidR="00B4068D" w:rsidRPr="009B6AA8">
        <w:t>This, c</w:t>
      </w:r>
      <w:r w:rsidRPr="009B6AA8">
        <w:t xml:space="preserve">ombined </w:t>
      </w:r>
      <w:r w:rsidR="00B4068D" w:rsidRPr="009B6AA8">
        <w:t xml:space="preserve">with the equipment and consumable costs listed, suggest </w:t>
      </w:r>
      <w:r w:rsidRPr="009B6AA8">
        <w:t>there is little financial incentive to offer this treatment option.</w:t>
      </w:r>
    </w:p>
    <w:p w14:paraId="7D829792" w14:textId="77777777" w:rsidR="00373EE3" w:rsidRDefault="005C4E9F" w:rsidP="005C4E9F">
      <w:r w:rsidRPr="009B6AA8">
        <w:t xml:space="preserve">There </w:t>
      </w:r>
      <w:r w:rsidR="002343A1">
        <w:t>was</w:t>
      </w:r>
      <w:r w:rsidR="002343A1" w:rsidRPr="009B6AA8">
        <w:t xml:space="preserve"> </w:t>
      </w:r>
      <w:r w:rsidRPr="009B6AA8">
        <w:t xml:space="preserve">concern among stakeholders, including clinicians, that removal of ROHPG funding for brachytherapy equipment will cause </w:t>
      </w:r>
      <w:r w:rsidR="007A75A8">
        <w:t>facilities</w:t>
      </w:r>
      <w:r w:rsidRPr="009B6AA8">
        <w:t xml:space="preserve"> to stop offering this treatment option.</w:t>
      </w:r>
    </w:p>
    <w:p w14:paraId="3F262B22" w14:textId="77777777" w:rsidR="00373EE3" w:rsidRDefault="005C4E9F" w:rsidP="00AF6669">
      <w:pPr>
        <w:pStyle w:val="Quote"/>
      </w:pPr>
      <w:r w:rsidRPr="009B6AA8">
        <w:t>‘</w:t>
      </w:r>
      <w:r w:rsidRPr="00AF6669">
        <w:t>There’s</w:t>
      </w:r>
      <w:r w:rsidRPr="009B6AA8">
        <w:t xml:space="preserve"> no incentive to provide it anymore</w:t>
      </w:r>
      <w:r w:rsidR="002343A1">
        <w:t>.</w:t>
      </w:r>
      <w:r w:rsidRPr="009B6AA8">
        <w:t xml:space="preserve">’ – </w:t>
      </w:r>
      <w:proofErr w:type="gramStart"/>
      <w:r w:rsidR="00C62BBC">
        <w:t>private</w:t>
      </w:r>
      <w:proofErr w:type="gramEnd"/>
      <w:r w:rsidR="00C62BBC">
        <w:t xml:space="preserve"> provider</w:t>
      </w:r>
    </w:p>
    <w:p w14:paraId="31B2AF41" w14:textId="15FDA817" w:rsidR="005C4E9F" w:rsidRPr="009B6AA8" w:rsidRDefault="005C4E9F" w:rsidP="005C4E9F">
      <w:pPr>
        <w:pStyle w:val="Quote"/>
      </w:pPr>
      <w:r w:rsidRPr="009B6AA8">
        <w:t xml:space="preserve">‘If capital costs are covered by ROHPG, it is easier for states to chip in for maintenance.’ – </w:t>
      </w:r>
      <w:proofErr w:type="gramStart"/>
      <w:r w:rsidRPr="009B6AA8">
        <w:t>peak</w:t>
      </w:r>
      <w:proofErr w:type="gramEnd"/>
      <w:r w:rsidRPr="009B6AA8">
        <w:t xml:space="preserve"> body representative and clinician (public and private)</w:t>
      </w:r>
    </w:p>
    <w:p w14:paraId="2EFA20A3" w14:textId="35F18AFB" w:rsidR="005C4E9F" w:rsidRPr="009B6AA8" w:rsidRDefault="005C4E9F" w:rsidP="005C4E9F">
      <w:pPr>
        <w:pStyle w:val="Finding"/>
      </w:pPr>
      <w:r w:rsidRPr="009B6AA8">
        <w:t xml:space="preserve">The removal of brachytherapy from the ROHPG </w:t>
      </w:r>
      <w:r w:rsidR="00FD606B">
        <w:t>Scheme</w:t>
      </w:r>
      <w:r w:rsidRPr="009B6AA8">
        <w:t xml:space="preserve"> </w:t>
      </w:r>
      <w:r w:rsidR="00F0339C">
        <w:t xml:space="preserve">may </w:t>
      </w:r>
      <w:r w:rsidRPr="009B6AA8">
        <w:t>unintentionally</w:t>
      </w:r>
      <w:r w:rsidR="00F0339C">
        <w:t xml:space="preserve"> result in fewer facilities offering this type of treatment</w:t>
      </w:r>
      <w:r w:rsidR="00B10085">
        <w:t xml:space="preserve"> in future</w:t>
      </w:r>
      <w:r w:rsidR="00F0339C">
        <w:t xml:space="preserve">. </w:t>
      </w:r>
      <w:r w:rsidR="004134C4">
        <w:t>However, the transition time (when grandfathered funding arrangements are available) provides time for alternative funding sources to be identified for public facilities.</w:t>
      </w:r>
    </w:p>
    <w:p w14:paraId="73A8E60C" w14:textId="11127939" w:rsidR="00373EE3" w:rsidRPr="00BC705E" w:rsidRDefault="00BB22E6" w:rsidP="009F3514">
      <w:pPr>
        <w:pStyle w:val="heading2numbered"/>
      </w:pPr>
      <w:bookmarkStart w:id="213" w:name="_Toc59198492"/>
      <w:bookmarkStart w:id="214" w:name="_Toc66193961"/>
      <w:bookmarkStart w:id="215" w:name="_Toc73696701"/>
      <w:r w:rsidRPr="00BC705E">
        <w:lastRenderedPageBreak/>
        <w:t>Effectiveness of annual payment cycles</w:t>
      </w:r>
      <w:bookmarkEnd w:id="213"/>
      <w:bookmarkEnd w:id="214"/>
      <w:bookmarkEnd w:id="215"/>
    </w:p>
    <w:p w14:paraId="3972234F" w14:textId="77777777" w:rsidR="00373EE3" w:rsidRDefault="004B551B" w:rsidP="00CE7446">
      <w:r w:rsidRPr="009B6AA8">
        <w:t>C</w:t>
      </w:r>
      <w:r w:rsidR="00CE7446" w:rsidRPr="009B6AA8">
        <w:t xml:space="preserve">hanges introduced to the ROHPG in 2017 </w:t>
      </w:r>
      <w:r w:rsidRPr="009B6AA8">
        <w:t xml:space="preserve">resulted in a </w:t>
      </w:r>
      <w:r w:rsidR="00CE7446" w:rsidRPr="009B6AA8">
        <w:t>move from monthly payments based on service use (determined by MBS claims) to annual payments of a set val</w:t>
      </w:r>
      <w:r w:rsidRPr="009B6AA8">
        <w:t>u</w:t>
      </w:r>
      <w:r w:rsidR="00CE7446" w:rsidRPr="009B6AA8">
        <w:t>e.</w:t>
      </w:r>
    </w:p>
    <w:p w14:paraId="18888C7D" w14:textId="77777777" w:rsidR="00373EE3" w:rsidRDefault="00CE7446" w:rsidP="00CE7446">
      <w:r w:rsidRPr="009B6AA8">
        <w:t xml:space="preserve">Both public and private </w:t>
      </w:r>
      <w:r w:rsidR="007A75A8">
        <w:t>facilities</w:t>
      </w:r>
      <w:r w:rsidRPr="009B6AA8">
        <w:t xml:space="preserve"> viewed the streamlined administrative processes for annual payments as beneficial. Stakeholders appreciated the reduced administrative burden and the set value of payments for planning purposes. The annual system was also considered more transparent and easier to verify compared to the varied monthly payments.</w:t>
      </w:r>
    </w:p>
    <w:p w14:paraId="28B5FEA9" w14:textId="77777777" w:rsidR="00373EE3" w:rsidRDefault="00B4068D" w:rsidP="004B551B">
      <w:pPr>
        <w:pStyle w:val="Finding"/>
      </w:pPr>
      <w:r w:rsidRPr="009B6AA8">
        <w:t>Introduction of a</w:t>
      </w:r>
      <w:r w:rsidR="004B551B" w:rsidRPr="009B6AA8">
        <w:t xml:space="preserve">n annual payment structure of set value per equipment piece was positively received by public and private </w:t>
      </w:r>
      <w:r w:rsidR="007A75A8">
        <w:t>facilities</w:t>
      </w:r>
      <w:r w:rsidR="004B551B" w:rsidRPr="009B6AA8">
        <w:t>.</w:t>
      </w:r>
    </w:p>
    <w:p w14:paraId="2AEF0C7C" w14:textId="2951C0AB" w:rsidR="00BB22E6" w:rsidRPr="00BC705E" w:rsidRDefault="00BB22E6" w:rsidP="009F3514">
      <w:pPr>
        <w:pStyle w:val="heading2numbered"/>
      </w:pPr>
      <w:bookmarkStart w:id="216" w:name="_Toc59198493"/>
      <w:bookmarkStart w:id="217" w:name="_Toc66193962"/>
      <w:bookmarkStart w:id="218" w:name="_Toc73696702"/>
      <w:r w:rsidRPr="00BC705E">
        <w:t>Impact of removing the link to MBS service volume</w:t>
      </w:r>
      <w:bookmarkEnd w:id="216"/>
      <w:bookmarkEnd w:id="217"/>
      <w:bookmarkEnd w:id="218"/>
    </w:p>
    <w:p w14:paraId="2C11D6B1" w14:textId="77777777" w:rsidR="00373EE3" w:rsidRDefault="004B551B" w:rsidP="00192CF6">
      <w:r w:rsidRPr="009B6AA8">
        <w:t xml:space="preserve">One of the most significant changes introduced to the </w:t>
      </w:r>
      <w:r w:rsidR="00D65C79">
        <w:t>ROHPG</w:t>
      </w:r>
      <w:r w:rsidR="00D65C79" w:rsidRPr="00D65C79">
        <w:t xml:space="preserve"> </w:t>
      </w:r>
      <w:r w:rsidRPr="00D65C79">
        <w:t>in 2017 was the removal of the linkage of payments to equipment use based on MBS service data.</w:t>
      </w:r>
    </w:p>
    <w:p w14:paraId="3CF8BB45" w14:textId="77777777" w:rsidR="00373EE3" w:rsidRDefault="004B551B" w:rsidP="00192CF6">
      <w:r w:rsidRPr="009B6AA8">
        <w:t xml:space="preserve">The result of the de-linking from </w:t>
      </w:r>
      <w:r w:rsidR="00B4068D" w:rsidRPr="009B6AA8">
        <w:t xml:space="preserve">the </w:t>
      </w:r>
      <w:r w:rsidRPr="009B6AA8">
        <w:t xml:space="preserve">MBS has streamlined the administrative processes considerably, especially for private </w:t>
      </w:r>
      <w:r w:rsidR="007A75A8">
        <w:t>facilities</w:t>
      </w:r>
      <w:r w:rsidRPr="009B6AA8">
        <w:t>. Prior to the change, private provide</w:t>
      </w:r>
      <w:r w:rsidR="00753ADA">
        <w:t>r</w:t>
      </w:r>
      <w:r w:rsidRPr="009B6AA8">
        <w:t xml:space="preserve">s would have to submit MBS claims data to the Department of Human Services monthly on a ‘floppy disk’. Public </w:t>
      </w:r>
      <w:r w:rsidR="00C62BBC">
        <w:t>facility</w:t>
      </w:r>
      <w:r w:rsidRPr="009B6AA8">
        <w:t xml:space="preserve"> data was extracted from MBS data directly.</w:t>
      </w:r>
    </w:p>
    <w:p w14:paraId="6C0A0273" w14:textId="77777777" w:rsidR="00373EE3" w:rsidRDefault="00B4068D" w:rsidP="00192CF6">
      <w:r w:rsidRPr="009B6AA8">
        <w:t>The a</w:t>
      </w:r>
      <w:r w:rsidR="0009192B" w:rsidRPr="009B6AA8">
        <w:t xml:space="preserve">dministrative burden </w:t>
      </w:r>
      <w:r w:rsidRPr="009B6AA8">
        <w:t xml:space="preserve">of this arrangement for </w:t>
      </w:r>
      <w:r w:rsidR="0009192B" w:rsidRPr="009B6AA8">
        <w:t xml:space="preserve">the </w:t>
      </w:r>
      <w:r w:rsidR="004B551B" w:rsidRPr="009B6AA8">
        <w:t xml:space="preserve">Department of Human Services </w:t>
      </w:r>
      <w:r w:rsidR="0009192B" w:rsidRPr="009B6AA8">
        <w:t>was also large</w:t>
      </w:r>
      <w:r w:rsidR="007547CA">
        <w:t>,</w:t>
      </w:r>
      <w:r w:rsidR="0009192B" w:rsidRPr="009B6AA8">
        <w:t xml:space="preserve"> with monthly analysis of </w:t>
      </w:r>
      <w:r w:rsidR="004B551B" w:rsidRPr="009B6AA8">
        <w:t xml:space="preserve">MBS claim data </w:t>
      </w:r>
      <w:r w:rsidRPr="009B6AA8">
        <w:t xml:space="preserve">required </w:t>
      </w:r>
      <w:r w:rsidR="004B551B" w:rsidRPr="009B6AA8">
        <w:t xml:space="preserve">for each </w:t>
      </w:r>
      <w:r w:rsidR="00C62BBC">
        <w:t>facility</w:t>
      </w:r>
      <w:r w:rsidR="004B551B" w:rsidRPr="009B6AA8">
        <w:t xml:space="preserve"> to determine the value of ROHPG payment</w:t>
      </w:r>
      <w:r w:rsidRPr="009B6AA8">
        <w:t>s</w:t>
      </w:r>
      <w:r w:rsidR="004B551B" w:rsidRPr="009B6AA8">
        <w:t xml:space="preserve">. </w:t>
      </w:r>
      <w:r w:rsidR="0009192B" w:rsidRPr="009B6AA8">
        <w:t>T</w:t>
      </w:r>
      <w:r w:rsidR="004B551B" w:rsidRPr="009B6AA8">
        <w:t>he complicated nature of the funding model left it more subject to error and reduced transparency.</w:t>
      </w:r>
    </w:p>
    <w:p w14:paraId="61791236" w14:textId="2D352CF2" w:rsidR="00261695" w:rsidRPr="009B6AA8" w:rsidRDefault="00261695" w:rsidP="00261695">
      <w:pPr>
        <w:pStyle w:val="Quote"/>
      </w:pPr>
      <w:r w:rsidRPr="009B6AA8">
        <w:t xml:space="preserve">‘Linking back to occasions of service would be a mistake.’ – </w:t>
      </w:r>
      <w:proofErr w:type="gramStart"/>
      <w:r w:rsidRPr="009B6AA8">
        <w:t>private</w:t>
      </w:r>
      <w:proofErr w:type="gramEnd"/>
      <w:r w:rsidRPr="009B6AA8">
        <w:t xml:space="preserve"> provider</w:t>
      </w:r>
    </w:p>
    <w:p w14:paraId="233A9E7D" w14:textId="77777777" w:rsidR="00373EE3" w:rsidRDefault="004B551B" w:rsidP="00192CF6">
      <w:r w:rsidRPr="009B6AA8">
        <w:t>De</w:t>
      </w:r>
      <w:r w:rsidR="007547CA">
        <w:t>-</w:t>
      </w:r>
      <w:r w:rsidRPr="009B6AA8">
        <w:t>linking from MBS claim data was also valued by low-throughput facilities that were disadvantaged by linking to service throughput.</w:t>
      </w:r>
    </w:p>
    <w:p w14:paraId="7670C265" w14:textId="77777777" w:rsidR="00373EE3" w:rsidRDefault="00261695" w:rsidP="00261695">
      <w:pPr>
        <w:pStyle w:val="Quote"/>
      </w:pPr>
      <w:r w:rsidRPr="009B6AA8">
        <w:t>‘For low throughput services [de</w:t>
      </w:r>
      <w:r w:rsidR="007547CA">
        <w:t>-</w:t>
      </w:r>
      <w:r w:rsidRPr="009B6AA8">
        <w:t xml:space="preserve">linking from MBS] is really good. But it will not have made a change in high throughput centres.’ – </w:t>
      </w:r>
      <w:proofErr w:type="gramStart"/>
      <w:r w:rsidRPr="009B6AA8">
        <w:t>private</w:t>
      </w:r>
      <w:proofErr w:type="gramEnd"/>
      <w:r w:rsidRPr="009B6AA8">
        <w:t xml:space="preserve"> provider</w:t>
      </w:r>
    </w:p>
    <w:p w14:paraId="1B6CC36E" w14:textId="77777777" w:rsidR="00373EE3" w:rsidRDefault="00261695" w:rsidP="00261695">
      <w:r w:rsidRPr="009B6AA8">
        <w:t xml:space="preserve">As </w:t>
      </w:r>
      <w:proofErr w:type="spellStart"/>
      <w:r w:rsidRPr="009B6AA8">
        <w:t>linac</w:t>
      </w:r>
      <w:proofErr w:type="spellEnd"/>
      <w:r w:rsidRPr="009B6AA8">
        <w:t xml:space="preserve"> lifespan is dependent on technology advances as well as actual wear and tear on the machine, low throughput centres were more at risk of not being able to turnover </w:t>
      </w:r>
      <w:proofErr w:type="spellStart"/>
      <w:r w:rsidRPr="009B6AA8">
        <w:t>linacs</w:t>
      </w:r>
      <w:proofErr w:type="spellEnd"/>
      <w:r w:rsidRPr="009B6AA8">
        <w:t xml:space="preserve"> in a timely fashion. Prior to the 2017 changes, some low throughput centres were already on a different payment process, adding further complexity to the previous funding model.</w:t>
      </w:r>
    </w:p>
    <w:p w14:paraId="1B7263D6" w14:textId="77777777" w:rsidR="00373EE3" w:rsidRDefault="00261695" w:rsidP="00261695">
      <w:pPr>
        <w:pStyle w:val="Finding"/>
      </w:pPr>
      <w:r w:rsidRPr="009B6AA8">
        <w:t xml:space="preserve">All stakeholders </w:t>
      </w:r>
      <w:r w:rsidR="00457248" w:rsidRPr="009B6AA8">
        <w:t xml:space="preserve">consulted </w:t>
      </w:r>
      <w:r w:rsidRPr="009B6AA8">
        <w:t xml:space="preserve">viewed the de-linking </w:t>
      </w:r>
      <w:r w:rsidR="00B4068D" w:rsidRPr="009B6AA8">
        <w:t xml:space="preserve">of ROHPG claims </w:t>
      </w:r>
      <w:r w:rsidRPr="009B6AA8">
        <w:t>from MBS to be beneficial.</w:t>
      </w:r>
    </w:p>
    <w:p w14:paraId="7DCDD2E2" w14:textId="77777777" w:rsidR="00373EE3" w:rsidRDefault="00261695" w:rsidP="009008D2">
      <w:pPr>
        <w:spacing w:before="240"/>
      </w:pPr>
      <w:r w:rsidRPr="009B6AA8">
        <w:t>However</w:t>
      </w:r>
      <w:r w:rsidR="00917939" w:rsidRPr="009B6AA8">
        <w:t>, i</w:t>
      </w:r>
      <w:r w:rsidRPr="009B6AA8">
        <w:t xml:space="preserve">t was noted by </w:t>
      </w:r>
      <w:r w:rsidR="007A75A8">
        <w:t>facilities</w:t>
      </w:r>
      <w:r w:rsidRPr="009B6AA8">
        <w:t xml:space="preserve"> and the Department that removal of MBS linkage also removed the only mechanism to monitor </w:t>
      </w:r>
      <w:r w:rsidR="007547CA">
        <w:t>whether</w:t>
      </w:r>
      <w:r w:rsidR="007547CA" w:rsidRPr="009B6AA8">
        <w:t xml:space="preserve"> </w:t>
      </w:r>
      <w:r w:rsidRPr="009B6AA8">
        <w:t>the funded equipment was actually in use.</w:t>
      </w:r>
    </w:p>
    <w:p w14:paraId="55615091" w14:textId="77777777" w:rsidR="00373EE3" w:rsidRDefault="009008D2" w:rsidP="009008D2">
      <w:r w:rsidRPr="009B6AA8">
        <w:t xml:space="preserve">When the changes were introduced, it was </w:t>
      </w:r>
      <w:r w:rsidR="00261695" w:rsidRPr="009B6AA8">
        <w:t xml:space="preserve">unknown to what degree </w:t>
      </w:r>
      <w:r w:rsidRPr="009B6AA8">
        <w:t>funded equipment was being utilised to o</w:t>
      </w:r>
      <w:r w:rsidR="00261695" w:rsidRPr="009B6AA8">
        <w:t>ptimal capacity</w:t>
      </w:r>
      <w:r w:rsidRPr="009B6AA8">
        <w:t>. T</w:t>
      </w:r>
      <w:r w:rsidR="00261695" w:rsidRPr="009B6AA8">
        <w:t xml:space="preserve">he Department </w:t>
      </w:r>
      <w:r w:rsidRPr="009B6AA8">
        <w:t xml:space="preserve">has mitigated this by introducing </w:t>
      </w:r>
      <w:r w:rsidR="00261695" w:rsidRPr="009B6AA8">
        <w:t xml:space="preserve">an annual declaration from facilities about which ROHPG funded equipment is still in use. </w:t>
      </w:r>
      <w:r w:rsidRPr="009B6AA8">
        <w:t>This provides the Department with visibility about which equipment is still operational. If grandfathered equipment is no longer operational, the Department can then stop funding it (even if the capital balance has not yet reached zero dollars).</w:t>
      </w:r>
    </w:p>
    <w:p w14:paraId="2B98BCAF" w14:textId="77777777" w:rsidR="00373EE3" w:rsidRDefault="009008D2" w:rsidP="003051E6">
      <w:r w:rsidRPr="009B6AA8">
        <w:t xml:space="preserve">It is important for the Department to monitor operational equipment to ensure </w:t>
      </w:r>
      <w:r w:rsidR="00D65C79">
        <w:t>ROHPG</w:t>
      </w:r>
      <w:r w:rsidR="00D65C79" w:rsidRPr="00D65C79">
        <w:t xml:space="preserve"> </w:t>
      </w:r>
      <w:r w:rsidRPr="00D65C79">
        <w:t xml:space="preserve">funds are being used appropriately. The annual declaration is a useful mechanism for this </w:t>
      </w:r>
      <w:r w:rsidR="00B4068D" w:rsidRPr="00D65C79">
        <w:t xml:space="preserve">assessment </w:t>
      </w:r>
      <w:r w:rsidRPr="00D65C79">
        <w:t xml:space="preserve">that does not place undue burden on either party. However, in its current format the declaration could be open to </w:t>
      </w:r>
      <w:r w:rsidR="00D65C79">
        <w:t>misrep</w:t>
      </w:r>
      <w:r w:rsidRPr="00D65C79">
        <w:t>resentation by funding recipients.</w:t>
      </w:r>
    </w:p>
    <w:p w14:paraId="10D5623E" w14:textId="115CAE55" w:rsidR="00192CF6" w:rsidRPr="009B6AA8" w:rsidRDefault="00917939" w:rsidP="00917939">
      <w:pPr>
        <w:pStyle w:val="Finding"/>
      </w:pPr>
      <w:r w:rsidRPr="009B6AA8">
        <w:t>De</w:t>
      </w:r>
      <w:r w:rsidR="007547CA">
        <w:t>-</w:t>
      </w:r>
      <w:r w:rsidRPr="009B6AA8">
        <w:t xml:space="preserve">linking ROHPG payments from MBS service data created a loss of visibility over utilisation of funded equipment. Measures to address this have </w:t>
      </w:r>
      <w:r w:rsidR="00B4068D" w:rsidRPr="009B6AA8">
        <w:t xml:space="preserve">subsequently </w:t>
      </w:r>
      <w:r w:rsidRPr="009B6AA8">
        <w:t>been implemented.</w:t>
      </w:r>
    </w:p>
    <w:p w14:paraId="065C9CBF" w14:textId="19104801" w:rsidR="00373EE3" w:rsidRPr="00BC705E" w:rsidRDefault="00BB22E6" w:rsidP="009F3514">
      <w:pPr>
        <w:pStyle w:val="heading2numbered"/>
      </w:pPr>
      <w:bookmarkStart w:id="219" w:name="_Ref56166154"/>
      <w:bookmarkStart w:id="220" w:name="_Toc59198494"/>
      <w:bookmarkStart w:id="221" w:name="_Toc66193963"/>
      <w:bookmarkStart w:id="222" w:name="_Toc73696703"/>
      <w:r w:rsidRPr="00BC705E">
        <w:t>Setting of priority areas</w:t>
      </w:r>
      <w:bookmarkEnd w:id="219"/>
      <w:bookmarkEnd w:id="220"/>
      <w:bookmarkEnd w:id="221"/>
      <w:bookmarkEnd w:id="222"/>
    </w:p>
    <w:p w14:paraId="2C53E529" w14:textId="3EAC6EEB" w:rsidR="00373EE3" w:rsidRDefault="00373D79" w:rsidP="00373D79">
      <w:r w:rsidRPr="009B6AA8">
        <w:t xml:space="preserve">Priority areas </w:t>
      </w:r>
      <w:r w:rsidR="00B4068D" w:rsidRPr="009B6AA8">
        <w:t xml:space="preserve">for </w:t>
      </w:r>
      <w:proofErr w:type="spellStart"/>
      <w:r w:rsidR="00B4068D" w:rsidRPr="009B6AA8">
        <w:t>linac</w:t>
      </w:r>
      <w:proofErr w:type="spellEnd"/>
      <w:r w:rsidR="00B4068D" w:rsidRPr="009B6AA8">
        <w:t xml:space="preserve"> services </w:t>
      </w:r>
      <w:r w:rsidRPr="009B6AA8">
        <w:t xml:space="preserve">are submitted by jurisdiction departments of health to the Department annually. Applications for a given priority area are open for </w:t>
      </w:r>
      <w:r w:rsidR="003051E6" w:rsidRPr="009B6AA8">
        <w:t xml:space="preserve">eight </w:t>
      </w:r>
      <w:r w:rsidRPr="009B6AA8">
        <w:t xml:space="preserve">weeks and then closed so all applications can be assessed and compared against each other. Prior to 2017, an undefined application period limited the Department’s capacity to assess the merit of each application against the other, making it difficult to prioritise based on localised need </w:t>
      </w:r>
      <w:sdt>
        <w:sdtPr>
          <w:rPr>
            <w:rStyle w:val="FootnoteReference"/>
          </w:rPr>
          <w:id w:val="474569104"/>
          <w:citation/>
        </w:sdtPr>
        <w:sdtContent>
          <w:r w:rsidRPr="00AF6669">
            <w:rPr>
              <w:rStyle w:val="FootnoteReference"/>
            </w:rPr>
            <w:fldChar w:fldCharType="begin"/>
          </w:r>
          <w:r w:rsidRPr="00AF6669">
            <w:rPr>
              <w:rStyle w:val="FootnoteReference"/>
            </w:rPr>
            <w:instrText xml:space="preserve"> CITATION MPC16 \l 1033 </w:instrText>
          </w:r>
          <w:r w:rsidRPr="00AF6669">
            <w:rPr>
              <w:rStyle w:val="FootnoteReference"/>
            </w:rPr>
            <w:fldChar w:fldCharType="separate"/>
          </w:r>
          <w:r w:rsidR="00264535" w:rsidRPr="00264535">
            <w:rPr>
              <w:noProof/>
            </w:rPr>
            <w:t>[1]</w:t>
          </w:r>
          <w:r w:rsidRPr="00AF6669">
            <w:rPr>
              <w:rStyle w:val="FootnoteReference"/>
            </w:rPr>
            <w:fldChar w:fldCharType="end"/>
          </w:r>
        </w:sdtContent>
      </w:sdt>
      <w:r w:rsidRPr="00D65C79">
        <w:t>.</w:t>
      </w:r>
    </w:p>
    <w:p w14:paraId="5C2EAB68" w14:textId="77777777" w:rsidR="00373EE3" w:rsidRDefault="00373D79" w:rsidP="00373D79">
      <w:r w:rsidRPr="009B6AA8">
        <w:t xml:space="preserve">Applications for the replacement of existing </w:t>
      </w:r>
      <w:proofErr w:type="spellStart"/>
      <w:r w:rsidRPr="009B6AA8">
        <w:t>linacs</w:t>
      </w:r>
      <w:proofErr w:type="spellEnd"/>
      <w:r w:rsidRPr="009B6AA8">
        <w:t xml:space="preserve"> continue to be submitted on a rolling basis. Additionally, facilities applying for new </w:t>
      </w:r>
      <w:proofErr w:type="spellStart"/>
      <w:r w:rsidRPr="009B6AA8">
        <w:t>linacs</w:t>
      </w:r>
      <w:proofErr w:type="spellEnd"/>
      <w:r w:rsidRPr="009B6AA8">
        <w:t xml:space="preserve"> outside of the identified priority areas may still do so. However, these applications are less likely to be successful than those from within ROHPG priority areas.</w:t>
      </w:r>
    </w:p>
    <w:p w14:paraId="18F582FE" w14:textId="77777777" w:rsidR="00373EE3" w:rsidRDefault="00373D79" w:rsidP="003051E6">
      <w:r w:rsidRPr="009B6AA8">
        <w:lastRenderedPageBreak/>
        <w:t xml:space="preserve">Prior to changes made in 2017, </w:t>
      </w:r>
      <w:r w:rsidR="003051E6" w:rsidRPr="009B6AA8">
        <w:t xml:space="preserve">when assessing funding applications for new facilities or additional </w:t>
      </w:r>
      <w:proofErr w:type="spellStart"/>
      <w:r w:rsidR="003051E6" w:rsidRPr="009B6AA8">
        <w:t>linacs</w:t>
      </w:r>
      <w:proofErr w:type="spellEnd"/>
      <w:r w:rsidR="007547CA">
        <w:t>,</w:t>
      </w:r>
      <w:r w:rsidR="003051E6" w:rsidRPr="009B6AA8">
        <w:t xml:space="preserve"> the Department</w:t>
      </w:r>
      <w:r w:rsidR="00F919D3" w:rsidRPr="009B6AA8">
        <w:t xml:space="preserve"> assessed</w:t>
      </w:r>
      <w:r w:rsidR="003051E6" w:rsidRPr="009B6AA8">
        <w:t xml:space="preserve"> the need for RT in</w:t>
      </w:r>
      <w:r w:rsidR="00F919D3" w:rsidRPr="009B6AA8">
        <w:t xml:space="preserve"> the proposed location of the </w:t>
      </w:r>
      <w:r w:rsidR="003051E6" w:rsidRPr="009B6AA8">
        <w:t xml:space="preserve">application based on cancer incidence, projected population data, OURs and the notional life and throughput capacity of the existing fleet of </w:t>
      </w:r>
      <w:proofErr w:type="spellStart"/>
      <w:r w:rsidR="003051E6" w:rsidRPr="009B6AA8">
        <w:t>linacs</w:t>
      </w:r>
      <w:proofErr w:type="spellEnd"/>
      <w:r w:rsidR="003051E6" w:rsidRPr="009B6AA8">
        <w:t xml:space="preserve">. This information was used to calculate the </w:t>
      </w:r>
      <w:r w:rsidR="00B4068D" w:rsidRPr="009B6AA8">
        <w:t xml:space="preserve">estimated </w:t>
      </w:r>
      <w:r w:rsidR="003051E6" w:rsidRPr="009B6AA8">
        <w:t xml:space="preserve">shortfall (or oversupply) of </w:t>
      </w:r>
      <w:proofErr w:type="spellStart"/>
      <w:r w:rsidR="003051E6" w:rsidRPr="009B6AA8">
        <w:t>linacs</w:t>
      </w:r>
      <w:proofErr w:type="spellEnd"/>
      <w:r w:rsidR="003051E6" w:rsidRPr="009B6AA8">
        <w:t xml:space="preserve"> in a given area.</w:t>
      </w:r>
    </w:p>
    <w:p w14:paraId="613A7307" w14:textId="77777777" w:rsidR="00373EE3" w:rsidRDefault="003051E6" w:rsidP="003051E6">
      <w:r w:rsidRPr="009B6AA8">
        <w:t>P</w:t>
      </w:r>
      <w:r w:rsidR="00373D79" w:rsidRPr="009B6AA8">
        <w:t>riority areas are now identified by relevant state and territory governments. The exact processes for this prioritisation, including the funding formula used</w:t>
      </w:r>
      <w:r w:rsidR="007547CA">
        <w:t>,</w:t>
      </w:r>
      <w:r w:rsidRPr="009B6AA8">
        <w:t xml:space="preserve"> vary between jurisdictions and are not transparent.</w:t>
      </w:r>
    </w:p>
    <w:p w14:paraId="37212B9E" w14:textId="1DAF180D" w:rsidR="006410DF" w:rsidRPr="009B6AA8" w:rsidRDefault="006410DF" w:rsidP="006410DF">
      <w:r w:rsidRPr="009B6AA8">
        <w:t xml:space="preserve">The </w:t>
      </w:r>
      <w:r w:rsidR="00B4068D" w:rsidRPr="009B6AA8">
        <w:t xml:space="preserve">revised </w:t>
      </w:r>
      <w:r w:rsidRPr="009B6AA8">
        <w:t xml:space="preserve">process for setting priority areas was seen as flawed by many stakeholders, especially private </w:t>
      </w:r>
      <w:r w:rsidR="007A75A8">
        <w:t>facilities</w:t>
      </w:r>
      <w:r w:rsidRPr="009B6AA8">
        <w:t xml:space="preserve">. Although publishing of priority areas on the Department’s website was considered beneficial by those </w:t>
      </w:r>
      <w:r w:rsidR="007547CA">
        <w:t>who</w:t>
      </w:r>
      <w:r w:rsidR="007547CA" w:rsidRPr="009B6AA8">
        <w:t xml:space="preserve"> </w:t>
      </w:r>
      <w:r w:rsidRPr="009B6AA8">
        <w:t>were aware of this, the process in which priority areas were determined by jurisdictions was not considered transparent and differed across the country.</w:t>
      </w:r>
    </w:p>
    <w:p w14:paraId="4BB82785" w14:textId="77777777" w:rsidR="00373EE3" w:rsidRDefault="006410DF" w:rsidP="006410DF">
      <w:pPr>
        <w:pStyle w:val="Quote"/>
      </w:pPr>
      <w:r w:rsidRPr="009B6AA8">
        <w:t xml:space="preserve">‘The idea was probably supposed to promote private and public to talk and work together with a broader view about state planning. But it’s not working and not reciprocated. State </w:t>
      </w:r>
      <w:r w:rsidR="00ED3765">
        <w:t>g</w:t>
      </w:r>
      <w:r w:rsidR="00ED3765" w:rsidRPr="009B6AA8">
        <w:t xml:space="preserve">overnments </w:t>
      </w:r>
      <w:r w:rsidRPr="009B6AA8">
        <w:t xml:space="preserve">have cancer master plans that stretch out over many years…but they may never do </w:t>
      </w:r>
      <w:r w:rsidR="00B4068D" w:rsidRPr="009B6AA8">
        <w:t>[</w:t>
      </w:r>
      <w:r w:rsidR="00457248" w:rsidRPr="009B6AA8">
        <w:t>i</w:t>
      </w:r>
      <w:r w:rsidR="00B4068D" w:rsidRPr="009B6AA8">
        <w:t>mplement the plan]</w:t>
      </w:r>
      <w:r w:rsidRPr="009B6AA8">
        <w:t xml:space="preserve">. Meanwhile they won’t support privates coming into the space.’ – </w:t>
      </w:r>
      <w:proofErr w:type="gramStart"/>
      <w:r w:rsidRPr="009B6AA8">
        <w:t>private</w:t>
      </w:r>
      <w:proofErr w:type="gramEnd"/>
      <w:r w:rsidRPr="009B6AA8">
        <w:t xml:space="preserve"> provider</w:t>
      </w:r>
    </w:p>
    <w:p w14:paraId="576B9BEA" w14:textId="77777777" w:rsidR="00373EE3" w:rsidRDefault="00BE3832" w:rsidP="00BE3832">
      <w:pPr>
        <w:pStyle w:val="Finding"/>
      </w:pPr>
      <w:r w:rsidRPr="009B6AA8">
        <w:t xml:space="preserve">The setting of priority areas </w:t>
      </w:r>
      <w:r w:rsidR="00023810">
        <w:t xml:space="preserve">is </w:t>
      </w:r>
      <w:r w:rsidRPr="009B6AA8">
        <w:t xml:space="preserve">not working optimally and </w:t>
      </w:r>
      <w:r w:rsidR="00B4068D" w:rsidRPr="009B6AA8">
        <w:t>would benefit from refinements.</w:t>
      </w:r>
    </w:p>
    <w:p w14:paraId="541A3609" w14:textId="77777777" w:rsidR="00373EE3" w:rsidRDefault="006410DF" w:rsidP="00BE3832">
      <w:pPr>
        <w:spacing w:before="240"/>
      </w:pPr>
      <w:r w:rsidRPr="009B6AA8">
        <w:t xml:space="preserve">The consultation process identified that in larger states, RT planning occurred more systematically and the setting of priority areas for the ROHPG was the responsibility of the state government. In smaller jurisdictions however, RT planning was less structured, and assessment of priority areas </w:t>
      </w:r>
      <w:r w:rsidR="00B4068D" w:rsidRPr="009B6AA8">
        <w:t xml:space="preserve">largely </w:t>
      </w:r>
      <w:r w:rsidRPr="009B6AA8">
        <w:t xml:space="preserve">fell to </w:t>
      </w:r>
      <w:r w:rsidR="00B4068D" w:rsidRPr="009B6AA8">
        <w:t xml:space="preserve">individual </w:t>
      </w:r>
      <w:r w:rsidRPr="009B6AA8">
        <w:t xml:space="preserve">public </w:t>
      </w:r>
      <w:r w:rsidR="007A75A8">
        <w:t>facilities</w:t>
      </w:r>
      <w:r w:rsidRPr="009B6AA8">
        <w:t xml:space="preserve"> to determine.</w:t>
      </w:r>
    </w:p>
    <w:p w14:paraId="3823E680" w14:textId="77777777" w:rsidR="00373EE3" w:rsidRDefault="006410DF" w:rsidP="00BE3832">
      <w:r w:rsidRPr="009B6AA8">
        <w:t xml:space="preserve">All jurisdictions </w:t>
      </w:r>
      <w:r w:rsidR="00B4068D" w:rsidRPr="009B6AA8">
        <w:t>said they</w:t>
      </w:r>
      <w:r w:rsidRPr="009B6AA8">
        <w:t xml:space="preserve"> us</w:t>
      </w:r>
      <w:r w:rsidR="00B4068D" w:rsidRPr="009B6AA8">
        <w:t>ed</w:t>
      </w:r>
      <w:r w:rsidRPr="009B6AA8">
        <w:t xml:space="preserve"> cancer incidence projections, radiotherapy utilisation rates and nominal rate</w:t>
      </w:r>
      <w:r w:rsidR="00B4068D" w:rsidRPr="009B6AA8">
        <w:t>s</w:t>
      </w:r>
      <w:r w:rsidRPr="009B6AA8">
        <w:t xml:space="preserve"> of re-treatment and non-cancer related radiotherapy </w:t>
      </w:r>
      <w:r w:rsidR="00BE3832" w:rsidRPr="009B6AA8">
        <w:t xml:space="preserve">to determine a population-based demand for </w:t>
      </w:r>
      <w:proofErr w:type="spellStart"/>
      <w:r w:rsidR="00BE3832" w:rsidRPr="009B6AA8">
        <w:t>linacs</w:t>
      </w:r>
      <w:proofErr w:type="spellEnd"/>
      <w:r w:rsidR="00BE3832" w:rsidRPr="009B6AA8">
        <w:t xml:space="preserve"> by area. However</w:t>
      </w:r>
      <w:r w:rsidR="00B4068D" w:rsidRPr="009B6AA8">
        <w:t>,</w:t>
      </w:r>
      <w:r w:rsidR="00BE3832" w:rsidRPr="009B6AA8">
        <w:t xml:space="preserve"> the utilisation rates, and percentages of re-treatment and non-cancer relative activity</w:t>
      </w:r>
      <w:r w:rsidR="007547CA">
        <w:t>,</w:t>
      </w:r>
      <w:r w:rsidR="00BE3832" w:rsidRPr="009B6AA8">
        <w:t xml:space="preserve"> varied across jurisdictions for which this information was made available, as shown in </w:t>
      </w:r>
      <w:r w:rsidR="00BE3832" w:rsidRPr="00D65C79">
        <w:fldChar w:fldCharType="begin"/>
      </w:r>
      <w:r w:rsidR="00BE3832" w:rsidRPr="009B6AA8">
        <w:instrText xml:space="preserve"> REF _Ref56353195 \h </w:instrText>
      </w:r>
      <w:r w:rsidR="00BE3832" w:rsidRPr="00D65C79">
        <w:fldChar w:fldCharType="separate"/>
      </w:r>
      <w:r w:rsidR="007C0448" w:rsidRPr="00D65C79">
        <w:t xml:space="preserve">Table </w:t>
      </w:r>
      <w:r w:rsidR="007C0448">
        <w:rPr>
          <w:rFonts w:hint="cs"/>
          <w:noProof/>
          <w:cs/>
        </w:rPr>
        <w:t>‎</w:t>
      </w:r>
      <w:r w:rsidR="007C0448">
        <w:rPr>
          <w:noProof/>
        </w:rPr>
        <w:t>6</w:t>
      </w:r>
      <w:r w:rsidR="007C0448">
        <w:t>.</w:t>
      </w:r>
      <w:r w:rsidR="007C0448">
        <w:rPr>
          <w:noProof/>
        </w:rPr>
        <w:t>2</w:t>
      </w:r>
      <w:r w:rsidR="00BE3832" w:rsidRPr="00D65C79">
        <w:fldChar w:fldCharType="end"/>
      </w:r>
      <w:r w:rsidR="00BE3832" w:rsidRPr="00D65C79">
        <w:t>.</w:t>
      </w:r>
    </w:p>
    <w:p w14:paraId="6CB91750" w14:textId="0C97D71B" w:rsidR="00BE3832" w:rsidRPr="00E06173" w:rsidRDefault="00BE3832" w:rsidP="00BE3832">
      <w:pPr>
        <w:pStyle w:val="Caption"/>
      </w:pPr>
      <w:bookmarkStart w:id="223" w:name="_Ref56353195"/>
      <w:r w:rsidRPr="00D65C79">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6</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2</w:t>
      </w:r>
      <w:r w:rsidR="004B24F3">
        <w:rPr>
          <w:noProof/>
        </w:rPr>
        <w:fldChar w:fldCharType="end"/>
      </w:r>
      <w:bookmarkEnd w:id="223"/>
      <w:r w:rsidRPr="00D65C79">
        <w:t xml:space="preserve">: </w:t>
      </w:r>
      <w:r w:rsidRPr="00E06173">
        <w:t xml:space="preserve">Radiotherapy planning formula variations used by jurisdictions </w:t>
      </w:r>
      <w:r w:rsidR="00B4068D" w:rsidRPr="00E06173">
        <w:t>(where available)</w:t>
      </w:r>
    </w:p>
    <w:tbl>
      <w:tblPr>
        <w:tblStyle w:val="HMATableA"/>
        <w:tblW w:w="0" w:type="auto"/>
        <w:tblInd w:w="-5" w:type="dxa"/>
        <w:tblLook w:val="04A0" w:firstRow="1" w:lastRow="0" w:firstColumn="1" w:lastColumn="0" w:noHBand="0" w:noVBand="1"/>
        <w:tblCaption w:val="Table 6.2 Radiotherapy planning formula variations used by jurisdictions (where available)"/>
        <w:tblDescription w:val="Table showing UR, re-treatment rate and non-cancer treatment rate by state, expressed as percentages."/>
      </w:tblPr>
      <w:tblGrid>
        <w:gridCol w:w="1761"/>
        <w:gridCol w:w="1761"/>
        <w:gridCol w:w="1761"/>
        <w:gridCol w:w="1761"/>
      </w:tblGrid>
      <w:tr w:rsidR="00BE3832" w:rsidRPr="009B6AA8" w14:paraId="2D694456" w14:textId="77777777" w:rsidTr="006232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1" w:type="dxa"/>
          </w:tcPr>
          <w:p w14:paraId="770D4002" w14:textId="362D58B6" w:rsidR="00BE3832" w:rsidRPr="009B6AA8" w:rsidRDefault="00BE3832" w:rsidP="00F97C6A">
            <w:pPr>
              <w:pStyle w:val="TableHeading"/>
            </w:pPr>
            <w:r w:rsidRPr="009B6AA8">
              <w:t xml:space="preserve">Jurisdiction </w:t>
            </w:r>
          </w:p>
        </w:tc>
        <w:tc>
          <w:tcPr>
            <w:tcW w:w="1761" w:type="dxa"/>
          </w:tcPr>
          <w:p w14:paraId="525D922C" w14:textId="4B586389" w:rsidR="00BE3832" w:rsidRPr="009B6AA8" w:rsidRDefault="00BE3832" w:rsidP="00F97C6A">
            <w:pPr>
              <w:pStyle w:val="TableHeading"/>
              <w:cnfStyle w:val="100000000000" w:firstRow="1" w:lastRow="0" w:firstColumn="0" w:lastColumn="0" w:oddVBand="0" w:evenVBand="0" w:oddHBand="0" w:evenHBand="0" w:firstRowFirstColumn="0" w:firstRowLastColumn="0" w:lastRowFirstColumn="0" w:lastRowLastColumn="0"/>
            </w:pPr>
            <w:r w:rsidRPr="009B6AA8">
              <w:t>Utilisation rate</w:t>
            </w:r>
          </w:p>
        </w:tc>
        <w:tc>
          <w:tcPr>
            <w:tcW w:w="1761" w:type="dxa"/>
          </w:tcPr>
          <w:p w14:paraId="6ABD8F27" w14:textId="18EF6B45" w:rsidR="00BE3832" w:rsidRPr="009B6AA8" w:rsidRDefault="00BE3832" w:rsidP="00F97C6A">
            <w:pPr>
              <w:pStyle w:val="TableHeading"/>
              <w:cnfStyle w:val="100000000000" w:firstRow="1" w:lastRow="0" w:firstColumn="0" w:lastColumn="0" w:oddVBand="0" w:evenVBand="0" w:oddHBand="0" w:evenHBand="0" w:firstRowFirstColumn="0" w:firstRowLastColumn="0" w:lastRowFirstColumn="0" w:lastRowLastColumn="0"/>
            </w:pPr>
            <w:r w:rsidRPr="009B6AA8">
              <w:t>Re-treatment rate</w:t>
            </w:r>
          </w:p>
        </w:tc>
        <w:tc>
          <w:tcPr>
            <w:tcW w:w="1761" w:type="dxa"/>
          </w:tcPr>
          <w:p w14:paraId="0529BDF6" w14:textId="33F2EA25" w:rsidR="00BE3832" w:rsidRPr="009B6AA8" w:rsidRDefault="00BE3832" w:rsidP="00F97C6A">
            <w:pPr>
              <w:pStyle w:val="TableHeading"/>
              <w:cnfStyle w:val="100000000000" w:firstRow="1" w:lastRow="0" w:firstColumn="0" w:lastColumn="0" w:oddVBand="0" w:evenVBand="0" w:oddHBand="0" w:evenHBand="0" w:firstRowFirstColumn="0" w:firstRowLastColumn="0" w:lastRowFirstColumn="0" w:lastRowLastColumn="0"/>
            </w:pPr>
            <w:r w:rsidRPr="009B6AA8">
              <w:t>Non cancer treatment rate</w:t>
            </w:r>
          </w:p>
        </w:tc>
      </w:tr>
      <w:tr w:rsidR="00BE3832" w:rsidRPr="009B6AA8" w14:paraId="6EFDB8DF" w14:textId="77777777" w:rsidTr="00BE3832">
        <w:tc>
          <w:tcPr>
            <w:cnfStyle w:val="001000000000" w:firstRow="0" w:lastRow="0" w:firstColumn="1" w:lastColumn="0" w:oddVBand="0" w:evenVBand="0" w:oddHBand="0" w:evenHBand="0" w:firstRowFirstColumn="0" w:firstRowLastColumn="0" w:lastRowFirstColumn="0" w:lastRowLastColumn="0"/>
            <w:tcW w:w="1761" w:type="dxa"/>
          </w:tcPr>
          <w:p w14:paraId="3A6F5309" w14:textId="267DB52D" w:rsidR="00BE3832" w:rsidRPr="009B6AA8" w:rsidRDefault="00BE3832" w:rsidP="00AF6669">
            <w:pPr>
              <w:pStyle w:val="Tabletext"/>
            </w:pPr>
            <w:r w:rsidRPr="009B6AA8">
              <w:t>NSW</w:t>
            </w:r>
          </w:p>
        </w:tc>
        <w:tc>
          <w:tcPr>
            <w:tcW w:w="1761" w:type="dxa"/>
          </w:tcPr>
          <w:p w14:paraId="5BD15829" w14:textId="7610D4BE" w:rsidR="00BE3832" w:rsidRPr="009B6AA8" w:rsidRDefault="00BE3832" w:rsidP="00AF6669">
            <w:pPr>
              <w:pStyle w:val="Tabletext"/>
              <w:cnfStyle w:val="000000000000" w:firstRow="0" w:lastRow="0" w:firstColumn="0" w:lastColumn="0" w:oddVBand="0" w:evenVBand="0" w:oddHBand="0" w:evenHBand="0" w:firstRowFirstColumn="0" w:firstRowLastColumn="0" w:lastRowFirstColumn="0" w:lastRowLastColumn="0"/>
            </w:pPr>
            <w:r w:rsidRPr="009B6AA8">
              <w:t>48.3%</w:t>
            </w:r>
          </w:p>
        </w:tc>
        <w:tc>
          <w:tcPr>
            <w:tcW w:w="1761" w:type="dxa"/>
          </w:tcPr>
          <w:p w14:paraId="092FF936" w14:textId="7579D87B" w:rsidR="00BE3832" w:rsidRPr="009B6AA8" w:rsidRDefault="00BE3832" w:rsidP="00AF6669">
            <w:pPr>
              <w:pStyle w:val="Tabletext"/>
              <w:cnfStyle w:val="000000000000" w:firstRow="0" w:lastRow="0" w:firstColumn="0" w:lastColumn="0" w:oddVBand="0" w:evenVBand="0" w:oddHBand="0" w:evenHBand="0" w:firstRowFirstColumn="0" w:firstRowLastColumn="0" w:lastRowFirstColumn="0" w:lastRowLastColumn="0"/>
            </w:pPr>
            <w:r w:rsidRPr="009B6AA8">
              <w:t>25%</w:t>
            </w:r>
          </w:p>
        </w:tc>
        <w:tc>
          <w:tcPr>
            <w:tcW w:w="1761" w:type="dxa"/>
          </w:tcPr>
          <w:p w14:paraId="107837B4" w14:textId="25FAEB02" w:rsidR="00BE3832" w:rsidRPr="009B6AA8" w:rsidRDefault="00BE3832" w:rsidP="00AF6669">
            <w:pPr>
              <w:pStyle w:val="Tabletext"/>
              <w:cnfStyle w:val="000000000000" w:firstRow="0" w:lastRow="0" w:firstColumn="0" w:lastColumn="0" w:oddVBand="0" w:evenVBand="0" w:oddHBand="0" w:evenHBand="0" w:firstRowFirstColumn="0" w:firstRowLastColumn="0" w:lastRowFirstColumn="0" w:lastRowLastColumn="0"/>
            </w:pPr>
            <w:r w:rsidRPr="009B6AA8">
              <w:t>-</w:t>
            </w:r>
          </w:p>
        </w:tc>
      </w:tr>
      <w:tr w:rsidR="00BE3832" w:rsidRPr="009B6AA8" w14:paraId="1255097F" w14:textId="77777777" w:rsidTr="00BE3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tcPr>
          <w:p w14:paraId="16AA43F7" w14:textId="0279658C" w:rsidR="00BE3832" w:rsidRPr="009B6AA8" w:rsidRDefault="00BE3832" w:rsidP="00AF6669">
            <w:pPr>
              <w:pStyle w:val="Tabletext"/>
            </w:pPr>
            <w:r w:rsidRPr="009B6AA8">
              <w:t>QLD</w:t>
            </w:r>
          </w:p>
        </w:tc>
        <w:tc>
          <w:tcPr>
            <w:tcW w:w="1761" w:type="dxa"/>
          </w:tcPr>
          <w:p w14:paraId="1CFE2570" w14:textId="335F60C3" w:rsidR="00BE3832" w:rsidRPr="009B6AA8" w:rsidRDefault="00457248" w:rsidP="00AF6669">
            <w:pPr>
              <w:pStyle w:val="Tabletext"/>
              <w:cnfStyle w:val="000000010000" w:firstRow="0" w:lastRow="0" w:firstColumn="0" w:lastColumn="0" w:oddVBand="0" w:evenVBand="0" w:oddHBand="0" w:evenHBand="1" w:firstRowFirstColumn="0" w:firstRowLastColumn="0" w:lastRowFirstColumn="0" w:lastRowLastColumn="0"/>
            </w:pPr>
            <w:r w:rsidRPr="009B6AA8">
              <w:t>45.9</w:t>
            </w:r>
            <w:r w:rsidR="00BE3832" w:rsidRPr="009B6AA8">
              <w:t>%</w:t>
            </w:r>
          </w:p>
        </w:tc>
        <w:tc>
          <w:tcPr>
            <w:tcW w:w="1761" w:type="dxa"/>
          </w:tcPr>
          <w:p w14:paraId="5CEEF0D5" w14:textId="41733914" w:rsidR="00BE3832" w:rsidRPr="009B6AA8" w:rsidRDefault="00BE3832" w:rsidP="00AF6669">
            <w:pPr>
              <w:pStyle w:val="Tabletext"/>
              <w:cnfStyle w:val="000000010000" w:firstRow="0" w:lastRow="0" w:firstColumn="0" w:lastColumn="0" w:oddVBand="0" w:evenVBand="0" w:oddHBand="0" w:evenHBand="1" w:firstRowFirstColumn="0" w:firstRowLastColumn="0" w:lastRowFirstColumn="0" w:lastRowLastColumn="0"/>
            </w:pPr>
            <w:r w:rsidRPr="009B6AA8">
              <w:t>25%</w:t>
            </w:r>
          </w:p>
        </w:tc>
        <w:tc>
          <w:tcPr>
            <w:tcW w:w="1761" w:type="dxa"/>
          </w:tcPr>
          <w:p w14:paraId="559A0F97" w14:textId="426B9E0C" w:rsidR="00BE3832" w:rsidRPr="009B6AA8" w:rsidRDefault="00BE3832" w:rsidP="00AF6669">
            <w:pPr>
              <w:pStyle w:val="Tabletext"/>
              <w:cnfStyle w:val="000000010000" w:firstRow="0" w:lastRow="0" w:firstColumn="0" w:lastColumn="0" w:oddVBand="0" w:evenVBand="0" w:oddHBand="0" w:evenHBand="1" w:firstRowFirstColumn="0" w:firstRowLastColumn="0" w:lastRowFirstColumn="0" w:lastRowLastColumn="0"/>
            </w:pPr>
            <w:r w:rsidRPr="009B6AA8">
              <w:t>10%</w:t>
            </w:r>
          </w:p>
        </w:tc>
      </w:tr>
      <w:tr w:rsidR="00BE3832" w:rsidRPr="009B6AA8" w14:paraId="61B9B115" w14:textId="77777777" w:rsidTr="00BE3832">
        <w:tc>
          <w:tcPr>
            <w:cnfStyle w:val="001000000000" w:firstRow="0" w:lastRow="0" w:firstColumn="1" w:lastColumn="0" w:oddVBand="0" w:evenVBand="0" w:oddHBand="0" w:evenHBand="0" w:firstRowFirstColumn="0" w:firstRowLastColumn="0" w:lastRowFirstColumn="0" w:lastRowLastColumn="0"/>
            <w:tcW w:w="1761" w:type="dxa"/>
          </w:tcPr>
          <w:p w14:paraId="635A075B" w14:textId="5DD4FB96" w:rsidR="00BE3832" w:rsidRPr="009B6AA8" w:rsidRDefault="00BE3832" w:rsidP="00AF6669">
            <w:pPr>
              <w:pStyle w:val="Tabletext"/>
            </w:pPr>
            <w:r w:rsidRPr="009B6AA8">
              <w:t>VIC</w:t>
            </w:r>
          </w:p>
        </w:tc>
        <w:tc>
          <w:tcPr>
            <w:tcW w:w="1761" w:type="dxa"/>
          </w:tcPr>
          <w:p w14:paraId="0FD90D12" w14:textId="6E5677CA" w:rsidR="00BE3832" w:rsidRPr="009B6AA8" w:rsidRDefault="00BE3832" w:rsidP="00AF6669">
            <w:pPr>
              <w:pStyle w:val="Tabletext"/>
              <w:cnfStyle w:val="000000000000" w:firstRow="0" w:lastRow="0" w:firstColumn="0" w:lastColumn="0" w:oddVBand="0" w:evenVBand="0" w:oddHBand="0" w:evenHBand="0" w:firstRowFirstColumn="0" w:firstRowLastColumn="0" w:lastRowFirstColumn="0" w:lastRowLastColumn="0"/>
            </w:pPr>
            <w:r w:rsidRPr="009B6AA8">
              <w:t>38</w:t>
            </w:r>
            <w:r w:rsidR="00B7122A" w:rsidRPr="009B6AA8">
              <w:t>.0</w:t>
            </w:r>
            <w:r w:rsidRPr="009B6AA8">
              <w:t>%</w:t>
            </w:r>
          </w:p>
        </w:tc>
        <w:tc>
          <w:tcPr>
            <w:tcW w:w="1761" w:type="dxa"/>
          </w:tcPr>
          <w:p w14:paraId="14D72B4E" w14:textId="66CB84D0" w:rsidR="00BE3832" w:rsidRPr="009B6AA8" w:rsidRDefault="00BE3832" w:rsidP="00AF6669">
            <w:pPr>
              <w:pStyle w:val="Tabletext"/>
              <w:cnfStyle w:val="000000000000" w:firstRow="0" w:lastRow="0" w:firstColumn="0" w:lastColumn="0" w:oddVBand="0" w:evenVBand="0" w:oddHBand="0" w:evenHBand="0" w:firstRowFirstColumn="0" w:firstRowLastColumn="0" w:lastRowFirstColumn="0" w:lastRowLastColumn="0"/>
            </w:pPr>
            <w:r w:rsidRPr="009B6AA8">
              <w:t>20%</w:t>
            </w:r>
          </w:p>
        </w:tc>
        <w:tc>
          <w:tcPr>
            <w:tcW w:w="1761" w:type="dxa"/>
          </w:tcPr>
          <w:p w14:paraId="1DA518EB" w14:textId="4F822D2D" w:rsidR="00BE3832" w:rsidRPr="009B6AA8" w:rsidRDefault="00BE3832" w:rsidP="00AF6669">
            <w:pPr>
              <w:pStyle w:val="Tabletext"/>
              <w:cnfStyle w:val="000000000000" w:firstRow="0" w:lastRow="0" w:firstColumn="0" w:lastColumn="0" w:oddVBand="0" w:evenVBand="0" w:oddHBand="0" w:evenHBand="0" w:firstRowFirstColumn="0" w:firstRowLastColumn="0" w:lastRowFirstColumn="0" w:lastRowLastColumn="0"/>
            </w:pPr>
            <w:r w:rsidRPr="009B6AA8">
              <w:t>6%</w:t>
            </w:r>
          </w:p>
        </w:tc>
      </w:tr>
      <w:tr w:rsidR="00BE3832" w:rsidRPr="009B6AA8" w14:paraId="2E32BC20" w14:textId="77777777" w:rsidTr="00BE3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tcPr>
          <w:p w14:paraId="2BCB57EF" w14:textId="17C89F3B" w:rsidR="00BE3832" w:rsidRPr="009B6AA8" w:rsidRDefault="00BE3832" w:rsidP="00AF6669">
            <w:pPr>
              <w:pStyle w:val="Tabletext"/>
            </w:pPr>
            <w:r w:rsidRPr="009B6AA8">
              <w:t>WA</w:t>
            </w:r>
          </w:p>
        </w:tc>
        <w:tc>
          <w:tcPr>
            <w:tcW w:w="1761" w:type="dxa"/>
          </w:tcPr>
          <w:p w14:paraId="32F9357B" w14:textId="2AE35C6A" w:rsidR="00BE3832" w:rsidRPr="009B6AA8" w:rsidRDefault="00BE3832" w:rsidP="00AF6669">
            <w:pPr>
              <w:pStyle w:val="Tabletext"/>
              <w:cnfStyle w:val="000000010000" w:firstRow="0" w:lastRow="0" w:firstColumn="0" w:lastColumn="0" w:oddVBand="0" w:evenVBand="0" w:oddHBand="0" w:evenHBand="1" w:firstRowFirstColumn="0" w:firstRowLastColumn="0" w:lastRowFirstColumn="0" w:lastRowLastColumn="0"/>
            </w:pPr>
            <w:r w:rsidRPr="009B6AA8">
              <w:t>49.2%</w:t>
            </w:r>
          </w:p>
        </w:tc>
        <w:tc>
          <w:tcPr>
            <w:tcW w:w="1761" w:type="dxa"/>
          </w:tcPr>
          <w:p w14:paraId="1D85785E" w14:textId="13E6408D" w:rsidR="00BE3832" w:rsidRPr="009B6AA8" w:rsidRDefault="00BE3832" w:rsidP="00AF6669">
            <w:pPr>
              <w:pStyle w:val="Tabletext"/>
              <w:cnfStyle w:val="000000010000" w:firstRow="0" w:lastRow="0" w:firstColumn="0" w:lastColumn="0" w:oddVBand="0" w:evenVBand="0" w:oddHBand="0" w:evenHBand="1" w:firstRowFirstColumn="0" w:firstRowLastColumn="0" w:lastRowFirstColumn="0" w:lastRowLastColumn="0"/>
            </w:pPr>
            <w:r w:rsidRPr="009B6AA8">
              <w:t>25%</w:t>
            </w:r>
          </w:p>
        </w:tc>
        <w:tc>
          <w:tcPr>
            <w:tcW w:w="1761" w:type="dxa"/>
          </w:tcPr>
          <w:p w14:paraId="246768F8" w14:textId="6D8EE6CC" w:rsidR="00BE3832" w:rsidRPr="009B6AA8" w:rsidRDefault="00BE3832" w:rsidP="00AF6669">
            <w:pPr>
              <w:pStyle w:val="Tabletext"/>
              <w:cnfStyle w:val="000000010000" w:firstRow="0" w:lastRow="0" w:firstColumn="0" w:lastColumn="0" w:oddVBand="0" w:evenVBand="0" w:oddHBand="0" w:evenHBand="1" w:firstRowFirstColumn="0" w:firstRowLastColumn="0" w:lastRowFirstColumn="0" w:lastRowLastColumn="0"/>
            </w:pPr>
            <w:r w:rsidRPr="009B6AA8">
              <w:t>6%</w:t>
            </w:r>
          </w:p>
        </w:tc>
      </w:tr>
    </w:tbl>
    <w:p w14:paraId="6E6CD05E" w14:textId="77777777" w:rsidR="00373EE3" w:rsidRDefault="00B96CC6" w:rsidP="00F766B0">
      <w:pPr>
        <w:spacing w:before="240"/>
      </w:pPr>
      <w:r>
        <w:t xml:space="preserve">Planning of future RT facilities requires an understanding of the current </w:t>
      </w:r>
      <w:proofErr w:type="spellStart"/>
      <w:r>
        <w:t>linac</w:t>
      </w:r>
      <w:proofErr w:type="spellEnd"/>
      <w:r>
        <w:t xml:space="preserve"> availability and locations of the </w:t>
      </w:r>
      <w:proofErr w:type="spellStart"/>
      <w:r>
        <w:t>linacs</w:t>
      </w:r>
      <w:proofErr w:type="spellEnd"/>
      <w:r>
        <w:t xml:space="preserve">. This information is not available in the public domain and relies on sector / industry knowledge of individuals. The Department maintains information on all ROHPG funded </w:t>
      </w:r>
      <w:proofErr w:type="spellStart"/>
      <w:r>
        <w:t>linacs</w:t>
      </w:r>
      <w:proofErr w:type="spellEnd"/>
      <w:r>
        <w:t xml:space="preserve">, but information on non-ROHPG funded </w:t>
      </w:r>
      <w:proofErr w:type="spellStart"/>
      <w:r>
        <w:t>linacs</w:t>
      </w:r>
      <w:proofErr w:type="spellEnd"/>
      <w:r>
        <w:t xml:space="preserve"> is not routinely collected. </w:t>
      </w:r>
      <w:r w:rsidR="00E06335">
        <w:t>Collection of this information would rely on the good-will of facilities with non-ROHPG funded equipment and could be collected via an annual survey, managed at the individual jurisdiction level.</w:t>
      </w:r>
      <w:r w:rsidR="0055526B">
        <w:t xml:space="preserve"> </w:t>
      </w:r>
      <w:r w:rsidR="00B30B07">
        <w:t xml:space="preserve">At minimum, this should include the number of </w:t>
      </w:r>
      <w:proofErr w:type="spellStart"/>
      <w:r w:rsidR="00B30B07">
        <w:t>linacs</w:t>
      </w:r>
      <w:proofErr w:type="spellEnd"/>
      <w:r w:rsidR="00B30B07">
        <w:t xml:space="preserve"> and commencement date if possible. </w:t>
      </w:r>
      <w:r w:rsidR="0055526B">
        <w:t>The information</w:t>
      </w:r>
      <w:r w:rsidR="00393E63">
        <w:t>,</w:t>
      </w:r>
      <w:r w:rsidR="0055526B">
        <w:t xml:space="preserve"> along with relevant ROHPG information</w:t>
      </w:r>
      <w:r w:rsidR="00393E63">
        <w:t>,</w:t>
      </w:r>
      <w:r w:rsidR="0055526B">
        <w:t xml:space="preserve"> could be made available on the Departmental website to facilitate planning processes.</w:t>
      </w:r>
    </w:p>
    <w:p w14:paraId="52EBA0F0" w14:textId="5D43003B" w:rsidR="00B96CC6" w:rsidRDefault="00B96CC6" w:rsidP="00B30B07">
      <w:pPr>
        <w:pStyle w:val="Finding"/>
      </w:pPr>
      <w:r>
        <w:t xml:space="preserve">There is limited publicly accessible information on the number of existing </w:t>
      </w:r>
      <w:proofErr w:type="spellStart"/>
      <w:r>
        <w:t>linacs</w:t>
      </w:r>
      <w:proofErr w:type="spellEnd"/>
      <w:r>
        <w:t xml:space="preserve"> and bunker capacity across Australia</w:t>
      </w:r>
      <w:r w:rsidR="0055526B">
        <w:t xml:space="preserve"> for RT planning purposes.</w:t>
      </w:r>
    </w:p>
    <w:p w14:paraId="2D6C1389" w14:textId="77777777" w:rsidR="00373EE3" w:rsidRDefault="00B7122A" w:rsidP="00F766B0">
      <w:pPr>
        <w:spacing w:before="240"/>
      </w:pPr>
      <w:r w:rsidRPr="009B6AA8">
        <w:t xml:space="preserve">In planning for RT, each jurisdiction needs to take into consideration their local needs and projected </w:t>
      </w:r>
      <w:r w:rsidR="00D65C79" w:rsidRPr="009B6AA8">
        <w:t>case mix</w:t>
      </w:r>
      <w:r w:rsidRPr="009B6AA8">
        <w:t>, so it is appropriate that the formula may vary. However, there is no transparency in the current process of how priority areas are set</w:t>
      </w:r>
      <w:r w:rsidR="00B4068D" w:rsidRPr="009B6AA8">
        <w:t xml:space="preserve"> within jurisdictions</w:t>
      </w:r>
      <w:r w:rsidRPr="009B6AA8">
        <w:t xml:space="preserve">, and what (if any) other considerations are made by </w:t>
      </w:r>
      <w:r w:rsidR="00F766B0" w:rsidRPr="009B6AA8">
        <w:t>jurisdictions.</w:t>
      </w:r>
    </w:p>
    <w:p w14:paraId="0B27BEE0" w14:textId="77777777" w:rsidR="00373EE3" w:rsidRDefault="00F766B0" w:rsidP="00F766B0">
      <w:pPr>
        <w:pStyle w:val="Finding"/>
      </w:pPr>
      <w:r w:rsidRPr="009B6AA8">
        <w:t>There i</w:t>
      </w:r>
      <w:r w:rsidR="00B4068D" w:rsidRPr="009B6AA8">
        <w:t xml:space="preserve">s a need for greater </w:t>
      </w:r>
      <w:r w:rsidRPr="009B6AA8">
        <w:t xml:space="preserve">transparency of </w:t>
      </w:r>
      <w:r w:rsidR="00B4068D" w:rsidRPr="009B6AA8">
        <w:t xml:space="preserve">jurisdiction-based </w:t>
      </w:r>
      <w:r w:rsidRPr="009B6AA8">
        <w:t>formulae used to set priority areas for the ROHPG.</w:t>
      </w:r>
    </w:p>
    <w:p w14:paraId="331B8F8D" w14:textId="77777777" w:rsidR="00373EE3" w:rsidRDefault="00404AF8" w:rsidP="00404AF8">
      <w:pPr>
        <w:spacing w:before="240"/>
      </w:pPr>
      <w:r w:rsidRPr="009B6AA8">
        <w:t>The shift in determining priority areas from the Australian Government</w:t>
      </w:r>
      <w:r w:rsidR="00B4068D" w:rsidRPr="009B6AA8">
        <w:t xml:space="preserve"> Department of Health</w:t>
      </w:r>
      <w:r w:rsidRPr="009B6AA8">
        <w:t xml:space="preserve"> to the state</w:t>
      </w:r>
      <w:r w:rsidR="00B4068D" w:rsidRPr="009B6AA8">
        <w:t xml:space="preserve">s and </w:t>
      </w:r>
      <w:r w:rsidRPr="009B6AA8">
        <w:t xml:space="preserve">territories has created the potential for conflict of interest </w:t>
      </w:r>
      <w:r w:rsidR="00B4068D" w:rsidRPr="009B6AA8">
        <w:t>f</w:t>
      </w:r>
      <w:r w:rsidRPr="009B6AA8">
        <w:t xml:space="preserve">or public </w:t>
      </w:r>
      <w:r w:rsidR="007A75A8">
        <w:t>facilities</w:t>
      </w:r>
      <w:r w:rsidRPr="009B6AA8">
        <w:t xml:space="preserve">. </w:t>
      </w:r>
      <w:r w:rsidR="00FB314A" w:rsidRPr="009B6AA8">
        <w:t xml:space="preserve">Private </w:t>
      </w:r>
      <w:r w:rsidR="007A75A8">
        <w:t>facilities</w:t>
      </w:r>
      <w:r w:rsidR="00FB314A" w:rsidRPr="009B6AA8">
        <w:t xml:space="preserve"> were cautious of the potential </w:t>
      </w:r>
      <w:r w:rsidR="00D65C79" w:rsidRPr="009B6AA8">
        <w:t>conflict and</w:t>
      </w:r>
      <w:r w:rsidR="00FB314A" w:rsidRPr="009B6AA8">
        <w:t xml:space="preserve"> felt the responsibility should be shifted back to the Australian Government. </w:t>
      </w:r>
      <w:r w:rsidR="00B4068D" w:rsidRPr="009B6AA8">
        <w:t>In contrast, j</w:t>
      </w:r>
      <w:r w:rsidR="00FB314A" w:rsidRPr="009B6AA8">
        <w:t xml:space="preserve">urisdiction </w:t>
      </w:r>
      <w:r w:rsidR="00B4068D" w:rsidRPr="009B6AA8">
        <w:t xml:space="preserve">consultees </w:t>
      </w:r>
      <w:r w:rsidR="00FB314A" w:rsidRPr="009B6AA8">
        <w:t>felt they were well placed to indicate priority areas given their responsibility for RT planning.</w:t>
      </w:r>
    </w:p>
    <w:p w14:paraId="2AFC97B4" w14:textId="77777777" w:rsidR="00373EE3" w:rsidRDefault="00FB314A" w:rsidP="00FB314A">
      <w:r w:rsidRPr="009B6AA8">
        <w:t xml:space="preserve">The set timeframe for new applications within priority areas (eight weeks) has also had some unintended consequences. The new process has highlighted the different approaches taken by public and private </w:t>
      </w:r>
      <w:r w:rsidR="007A75A8">
        <w:t>facilities</w:t>
      </w:r>
      <w:r w:rsidRPr="009B6AA8">
        <w:t xml:space="preserve"> in submitting applications.</w:t>
      </w:r>
    </w:p>
    <w:p w14:paraId="0011577D" w14:textId="435EE824" w:rsidR="00FB314A" w:rsidRPr="009B6AA8" w:rsidRDefault="00FB314A" w:rsidP="00FB314A">
      <w:r w:rsidRPr="009B6AA8">
        <w:lastRenderedPageBreak/>
        <w:t xml:space="preserve">Before an application can be made, public </w:t>
      </w:r>
      <w:r w:rsidR="007A75A8">
        <w:t>facilities</w:t>
      </w:r>
      <w:r w:rsidRPr="009B6AA8">
        <w:t xml:space="preserve"> need to get approval from multiple levels of governance, secure additional funding required for non-funded RT equipment/shortfall for the </w:t>
      </w:r>
      <w:proofErr w:type="spellStart"/>
      <w:r w:rsidR="00D65C79" w:rsidRPr="009B6AA8">
        <w:t>linac</w:t>
      </w:r>
      <w:proofErr w:type="spellEnd"/>
      <w:r w:rsidR="00D65C79" w:rsidRPr="009B6AA8">
        <w:t xml:space="preserve"> and</w:t>
      </w:r>
      <w:r w:rsidRPr="009B6AA8">
        <w:t xml:space="preserve"> be granted approval to submit the application. Conversely, private </w:t>
      </w:r>
      <w:r w:rsidR="007A75A8">
        <w:t>facilities</w:t>
      </w:r>
      <w:r w:rsidRPr="009B6AA8">
        <w:t xml:space="preserve"> are perceived to be more agile and can prepare a business case/application for funding in the allocated timeframe.</w:t>
      </w:r>
    </w:p>
    <w:p w14:paraId="168DEAFD" w14:textId="64050E22" w:rsidR="00606E26" w:rsidRPr="009B6AA8" w:rsidRDefault="00FB314A" w:rsidP="00FB314A">
      <w:r w:rsidRPr="009B6AA8">
        <w:t xml:space="preserve">It has been suggested that some jurisdictions may withhold announcing priority areas until such time as they are ready to submit an application for funding. </w:t>
      </w:r>
      <w:r w:rsidR="00606E26" w:rsidRPr="009B6AA8">
        <w:t xml:space="preserve">The lack of transparency on how priority areas are selected </w:t>
      </w:r>
      <w:r w:rsidR="00006249" w:rsidRPr="009B6AA8">
        <w:t>prevents scrutiny of this.</w:t>
      </w:r>
    </w:p>
    <w:p w14:paraId="2B581A87" w14:textId="1CC194F8" w:rsidR="00E36D7D" w:rsidRPr="009B6AA8" w:rsidRDefault="00E36D7D" w:rsidP="00E36D7D">
      <w:pPr>
        <w:pStyle w:val="Finding"/>
      </w:pPr>
      <w:r w:rsidRPr="009B6AA8">
        <w:t>The current lack of transparency on how priority areas are set has created a perceived conflict of interest for jurisdictions.</w:t>
      </w:r>
    </w:p>
    <w:p w14:paraId="3C61759F" w14:textId="77777777" w:rsidR="00226482" w:rsidRPr="009B6AA8" w:rsidRDefault="00226482" w:rsidP="00226482">
      <w:pPr>
        <w:spacing w:before="240"/>
      </w:pPr>
      <w:r w:rsidRPr="009B6AA8">
        <w:t xml:space="preserve">It was also suggested that priority areas need to be able </w:t>
      </w:r>
      <w:r>
        <w:t xml:space="preserve">to </w:t>
      </w:r>
      <w:r w:rsidRPr="009B6AA8">
        <w:t>take in several years of planning</w:t>
      </w:r>
      <w:r>
        <w:t>,</w:t>
      </w:r>
      <w:r w:rsidRPr="009B6AA8">
        <w:t xml:space="preserve"> not just the immediate year</w:t>
      </w:r>
      <w:r>
        <w:t>.</w:t>
      </w:r>
    </w:p>
    <w:p w14:paraId="01EA28E9" w14:textId="77777777" w:rsidR="00226482" w:rsidRPr="009B6AA8" w:rsidRDefault="00226482" w:rsidP="00226482">
      <w:pPr>
        <w:pStyle w:val="Quote"/>
      </w:pPr>
      <w:r w:rsidRPr="009B6AA8">
        <w:t xml:space="preserve">‘It takes years to set up a service so it should take into account future service need rather than the time window provided by the ROHPG.’ – </w:t>
      </w:r>
      <w:proofErr w:type="gramStart"/>
      <w:r w:rsidRPr="009B6AA8">
        <w:t>jurisdiction</w:t>
      </w:r>
      <w:proofErr w:type="gramEnd"/>
    </w:p>
    <w:p w14:paraId="43A7A1E5" w14:textId="77777777" w:rsidR="00373EE3" w:rsidRDefault="00226482" w:rsidP="00226482">
      <w:pPr>
        <w:pStyle w:val="Finding"/>
      </w:pPr>
      <w:r w:rsidRPr="009B6AA8">
        <w:t>The one-year timeframe for priority area setting does not allow sufficient forward planning.</w:t>
      </w:r>
    </w:p>
    <w:p w14:paraId="7A637434" w14:textId="77777777" w:rsidR="00373EE3" w:rsidRDefault="00FB314A" w:rsidP="00B96CC6">
      <w:pPr>
        <w:spacing w:before="240"/>
      </w:pPr>
      <w:r w:rsidRPr="009B6AA8">
        <w:t xml:space="preserve">Although private </w:t>
      </w:r>
      <w:r w:rsidR="007A75A8">
        <w:t>facilities</w:t>
      </w:r>
      <w:r w:rsidRPr="009B6AA8">
        <w:t xml:space="preserve"> can submit </w:t>
      </w:r>
      <w:r w:rsidR="00606E26" w:rsidRPr="009B6AA8">
        <w:t>applications</w:t>
      </w:r>
      <w:r w:rsidRPr="009B6AA8">
        <w:t xml:space="preserve"> for non-</w:t>
      </w:r>
      <w:r w:rsidR="00606E26" w:rsidRPr="009B6AA8">
        <w:t>priority</w:t>
      </w:r>
      <w:r w:rsidRPr="009B6AA8">
        <w:t xml:space="preserve"> </w:t>
      </w:r>
      <w:r w:rsidR="00606E26" w:rsidRPr="009B6AA8">
        <w:t>areas</w:t>
      </w:r>
      <w:r w:rsidRPr="009B6AA8">
        <w:t>, these are unlikely to be funded</w:t>
      </w:r>
      <w:r w:rsidR="00606E26" w:rsidRPr="009B6AA8">
        <w:t xml:space="preserve"> if the need has not been demonstrated (by not being listed as a priority area) and because other </w:t>
      </w:r>
      <w:r w:rsidR="007A75A8">
        <w:t>facilities</w:t>
      </w:r>
      <w:r w:rsidR="00606E26" w:rsidRPr="009B6AA8">
        <w:t xml:space="preserve"> will not have had opportunity to bid.</w:t>
      </w:r>
    </w:p>
    <w:p w14:paraId="1A5A47F2" w14:textId="77777777" w:rsidR="00373EE3" w:rsidRDefault="00E36D7D" w:rsidP="00EE6090">
      <w:pPr>
        <w:pStyle w:val="Finding"/>
        <w:keepLines/>
      </w:pPr>
      <w:r w:rsidRPr="009B6AA8">
        <w:t xml:space="preserve">The option to apply for non-priority areas has created confusion among </w:t>
      </w:r>
      <w:r w:rsidR="007A75A8">
        <w:t>facilities</w:t>
      </w:r>
      <w:r w:rsidRPr="009B6AA8">
        <w:t xml:space="preserve"> and jurisdictions. </w:t>
      </w:r>
      <w:r w:rsidR="00606E26" w:rsidRPr="009B6AA8">
        <w:t xml:space="preserve">This option provides conflicting messages to </w:t>
      </w:r>
      <w:r w:rsidR="007A75A8">
        <w:t>facilities</w:t>
      </w:r>
      <w:r w:rsidR="00606E26" w:rsidRPr="009B6AA8">
        <w:t xml:space="preserve"> an</w:t>
      </w:r>
      <w:r w:rsidR="00FA10F2" w:rsidRPr="009B6AA8">
        <w:t>d its</w:t>
      </w:r>
      <w:r w:rsidR="00606E26" w:rsidRPr="009B6AA8">
        <w:t xml:space="preserve"> remov</w:t>
      </w:r>
      <w:r w:rsidR="00FA10F2" w:rsidRPr="009B6AA8">
        <w:t xml:space="preserve">al </w:t>
      </w:r>
      <w:r w:rsidR="00457248" w:rsidRPr="009B6AA8">
        <w:t xml:space="preserve">should be </w:t>
      </w:r>
      <w:r w:rsidR="00FA10F2" w:rsidRPr="009B6AA8">
        <w:t>consider</w:t>
      </w:r>
      <w:r w:rsidR="00457248" w:rsidRPr="009B6AA8">
        <w:t>ed</w:t>
      </w:r>
      <w:r w:rsidR="00606E26" w:rsidRPr="009B6AA8">
        <w:t xml:space="preserve"> to av</w:t>
      </w:r>
      <w:r w:rsidRPr="009B6AA8">
        <w:t>o</w:t>
      </w:r>
      <w:r w:rsidR="00606E26" w:rsidRPr="009B6AA8">
        <w:t>id confusion.</w:t>
      </w:r>
    </w:p>
    <w:p w14:paraId="133ACCB7" w14:textId="1A18E8A7" w:rsidR="00373EE3" w:rsidRPr="00BC705E" w:rsidRDefault="000E1CD0" w:rsidP="009F3514">
      <w:pPr>
        <w:pStyle w:val="heading2numbered"/>
      </w:pPr>
      <w:bookmarkStart w:id="224" w:name="_Toc59198495"/>
      <w:bookmarkStart w:id="225" w:name="_Toc66193964"/>
      <w:bookmarkStart w:id="226" w:name="_Toc73696704"/>
      <w:bookmarkStart w:id="227" w:name="_Toc54688803"/>
      <w:r w:rsidRPr="00BC705E">
        <w:t>Timeframes for new services to become operational</w:t>
      </w:r>
      <w:bookmarkEnd w:id="224"/>
      <w:bookmarkEnd w:id="225"/>
      <w:bookmarkEnd w:id="226"/>
    </w:p>
    <w:bookmarkEnd w:id="227"/>
    <w:p w14:paraId="18CDD539" w14:textId="1486D234" w:rsidR="00917939" w:rsidRPr="009B6AA8" w:rsidRDefault="00917939" w:rsidP="009D09DE">
      <w:r w:rsidRPr="009B6AA8">
        <w:t xml:space="preserve">Under the new funding structure of </w:t>
      </w:r>
      <w:r w:rsidR="00D65C79">
        <w:t>ROHPG</w:t>
      </w:r>
      <w:r w:rsidRPr="00D65C79">
        <w:t xml:space="preserve">, approved new facilities (or additional </w:t>
      </w:r>
      <w:proofErr w:type="spellStart"/>
      <w:r w:rsidRPr="00D65C79">
        <w:t>linacs</w:t>
      </w:r>
      <w:proofErr w:type="spellEnd"/>
      <w:r w:rsidRPr="00D65C79">
        <w:t>) need to</w:t>
      </w:r>
      <w:r w:rsidRPr="009B6AA8">
        <w:t xml:space="preserve"> be operational within two years of approval.</w:t>
      </w:r>
    </w:p>
    <w:p w14:paraId="4C2EEF6D" w14:textId="77777777" w:rsidR="00373EE3" w:rsidRDefault="00917939" w:rsidP="009D09DE">
      <w:r w:rsidRPr="009B6AA8">
        <w:t xml:space="preserve">The need for the time-limit for new or additional </w:t>
      </w:r>
      <w:proofErr w:type="spellStart"/>
      <w:r w:rsidRPr="009B6AA8">
        <w:t>linacs</w:t>
      </w:r>
      <w:proofErr w:type="spellEnd"/>
      <w:r w:rsidRPr="009B6AA8">
        <w:t xml:space="preserve"> arose when a number of approved </w:t>
      </w:r>
      <w:proofErr w:type="spellStart"/>
      <w:r w:rsidRPr="009B6AA8">
        <w:t>linacs</w:t>
      </w:r>
      <w:proofErr w:type="spellEnd"/>
      <w:r w:rsidR="005E658D" w:rsidRPr="009B6AA8">
        <w:t xml:space="preserve"> </w:t>
      </w:r>
      <w:r w:rsidRPr="009B6AA8">
        <w:t>were taking many years to become operation</w:t>
      </w:r>
      <w:r w:rsidR="005E658D" w:rsidRPr="009B6AA8">
        <w:t xml:space="preserve">al. This is referred to as ‘warehousing’ of locations that prevents other </w:t>
      </w:r>
      <w:r w:rsidR="007A75A8">
        <w:t>facilities</w:t>
      </w:r>
      <w:r w:rsidR="005E658D" w:rsidRPr="009B6AA8">
        <w:t xml:space="preserve"> from accessing ROHPG funding to establish a service in a location that is also not yet being serviced. </w:t>
      </w:r>
      <w:r w:rsidR="00FA10F2" w:rsidRPr="009B6AA8">
        <w:t>An</w:t>
      </w:r>
      <w:r w:rsidR="005E658D" w:rsidRPr="009B6AA8">
        <w:t xml:space="preserve"> example of this was an application approved in 2013 that is still not operational</w:t>
      </w:r>
      <w:r w:rsidR="00FA10F2" w:rsidRPr="009B6AA8">
        <w:t xml:space="preserve"> at the time of reporting</w:t>
      </w:r>
      <w:r w:rsidR="005E658D" w:rsidRPr="009B6AA8">
        <w:t>.</w:t>
      </w:r>
    </w:p>
    <w:p w14:paraId="112C7E3A" w14:textId="602A2734" w:rsidR="000E1CD0" w:rsidRPr="009B6AA8" w:rsidRDefault="005E658D" w:rsidP="005E658D">
      <w:pPr>
        <w:pStyle w:val="Finding"/>
      </w:pPr>
      <w:r w:rsidRPr="009B6AA8">
        <w:t>There are currently seven approv</w:t>
      </w:r>
      <w:r w:rsidR="00017E3A">
        <w:t>ed</w:t>
      </w:r>
      <w:r w:rsidRPr="009B6AA8">
        <w:t xml:space="preserve"> locations that have taken more than two</w:t>
      </w:r>
      <w:r w:rsidR="00E61AD5" w:rsidRPr="009B6AA8">
        <w:t xml:space="preserve"> </w:t>
      </w:r>
      <w:r w:rsidRPr="009B6AA8">
        <w:t>years to become operational.</w:t>
      </w:r>
    </w:p>
    <w:p w14:paraId="0FD0AD74" w14:textId="77777777" w:rsidR="00373EE3" w:rsidRDefault="005E658D" w:rsidP="005E658D">
      <w:pPr>
        <w:spacing w:before="240"/>
      </w:pPr>
      <w:r w:rsidRPr="009B6AA8">
        <w:t xml:space="preserve">Stakeholders did not raise concerns with the two-year timeframe to establish a new centre and peak bodies felt this was an appropriate timeframe. One jurisdiction also commented that establishing a new </w:t>
      </w:r>
      <w:proofErr w:type="spellStart"/>
      <w:r w:rsidRPr="009B6AA8">
        <w:t>linac</w:t>
      </w:r>
      <w:proofErr w:type="spellEnd"/>
      <w:r w:rsidRPr="009B6AA8">
        <w:t xml:space="preserve"> in an existing bunker is relatively quick to do. Conversely, concerns were raised by public </w:t>
      </w:r>
      <w:r w:rsidR="007A75A8">
        <w:t>facilities</w:t>
      </w:r>
      <w:r w:rsidRPr="009B6AA8">
        <w:t xml:space="preserve"> and jurisdiction</w:t>
      </w:r>
      <w:r w:rsidR="00FA10F2" w:rsidRPr="009B6AA8">
        <w:t>s</w:t>
      </w:r>
      <w:r w:rsidRPr="009B6AA8">
        <w:t xml:space="preserve"> about the delays in the opening of new centres under the old </w:t>
      </w:r>
      <w:r w:rsidR="00FD606B">
        <w:t>Scheme</w:t>
      </w:r>
      <w:r w:rsidRPr="009B6AA8">
        <w:t xml:space="preserve"> rules.</w:t>
      </w:r>
    </w:p>
    <w:p w14:paraId="78C40073" w14:textId="77777777" w:rsidR="00373EE3" w:rsidRDefault="005E658D" w:rsidP="005E658D">
      <w:pPr>
        <w:pStyle w:val="Quote"/>
      </w:pPr>
      <w:r w:rsidRPr="009B6AA8">
        <w:t xml:space="preserve">‘There was a big issue with private providers </w:t>
      </w:r>
      <w:r w:rsidR="007B4ED4" w:rsidRPr="009B6AA8">
        <w:t>“</w:t>
      </w:r>
      <w:r w:rsidRPr="009B6AA8">
        <w:t>warehousing</w:t>
      </w:r>
      <w:r w:rsidR="007B4ED4" w:rsidRPr="009B6AA8">
        <w:t>”</w:t>
      </w:r>
      <w:r w:rsidRPr="009B6AA8">
        <w:t xml:space="preserve"> locations where they applied for and had a facility approved but have not yet developed the service.’ – </w:t>
      </w:r>
      <w:proofErr w:type="gramStart"/>
      <w:r w:rsidRPr="009B6AA8">
        <w:t>jurisdiction</w:t>
      </w:r>
      <w:proofErr w:type="gramEnd"/>
    </w:p>
    <w:p w14:paraId="749DC2EA" w14:textId="77777777" w:rsidR="00373EE3" w:rsidRDefault="005E658D" w:rsidP="005E658D">
      <w:r w:rsidRPr="009B6AA8">
        <w:t xml:space="preserve">To date, only two new facilities have been approved since the two-year rule was applicable. Both of these facilities were approved in 2020 and are scheduled for opening in 2021. This </w:t>
      </w:r>
      <w:r w:rsidR="00FA10F2" w:rsidRPr="009B6AA8">
        <w:t>suggest</w:t>
      </w:r>
      <w:r w:rsidR="00D87A09">
        <w:t>s</w:t>
      </w:r>
      <w:r w:rsidR="00FA10F2" w:rsidRPr="009B6AA8">
        <w:t xml:space="preserve"> </w:t>
      </w:r>
      <w:r w:rsidRPr="009B6AA8">
        <w:t xml:space="preserve">that </w:t>
      </w:r>
      <w:r w:rsidR="00FA10F2" w:rsidRPr="009B6AA8">
        <w:t xml:space="preserve">a </w:t>
      </w:r>
      <w:r w:rsidRPr="009B6AA8">
        <w:t>two-year</w:t>
      </w:r>
      <w:r w:rsidR="00FA10F2" w:rsidRPr="009B6AA8">
        <w:t xml:space="preserve"> timeframe </w:t>
      </w:r>
      <w:r w:rsidRPr="009B6AA8">
        <w:t xml:space="preserve">is </w:t>
      </w:r>
      <w:r w:rsidR="005C5E7D" w:rsidRPr="009B6AA8">
        <w:t>sufficient</w:t>
      </w:r>
      <w:r w:rsidRPr="009B6AA8">
        <w:t xml:space="preserve">, although </w:t>
      </w:r>
      <w:r w:rsidR="005C5E7D" w:rsidRPr="009B6AA8">
        <w:t xml:space="preserve">the effectiveness of the new rule </w:t>
      </w:r>
      <w:r w:rsidR="00FA10F2" w:rsidRPr="009B6AA8">
        <w:t xml:space="preserve">in </w:t>
      </w:r>
      <w:r w:rsidR="005C5E7D" w:rsidRPr="009B6AA8">
        <w:t>prevent</w:t>
      </w:r>
      <w:r w:rsidR="00FA10F2" w:rsidRPr="009B6AA8">
        <w:t>ing</w:t>
      </w:r>
      <w:r w:rsidR="005C5E7D" w:rsidRPr="009B6AA8">
        <w:t xml:space="preserve"> warehousing of locations ha</w:t>
      </w:r>
      <w:r w:rsidR="00FA10F2" w:rsidRPr="009B6AA8">
        <w:t>s</w:t>
      </w:r>
      <w:r w:rsidR="005C5E7D" w:rsidRPr="009B6AA8">
        <w:t xml:space="preserve"> not had sufficient time to be tested.</w:t>
      </w:r>
    </w:p>
    <w:p w14:paraId="638A4F66" w14:textId="77777777" w:rsidR="00373EE3" w:rsidRDefault="005C5E7D" w:rsidP="005C5E7D">
      <w:pPr>
        <w:pStyle w:val="Finding"/>
      </w:pPr>
      <w:r w:rsidRPr="009B6AA8">
        <w:t>Two</w:t>
      </w:r>
      <w:r w:rsidR="00E61AD5" w:rsidRPr="009B6AA8">
        <w:t xml:space="preserve"> </w:t>
      </w:r>
      <w:r w:rsidRPr="009B6AA8">
        <w:t>years was considered adequate time to establish a new facility.</w:t>
      </w:r>
    </w:p>
    <w:p w14:paraId="084510EA" w14:textId="1F535099" w:rsidR="00373EE3" w:rsidRPr="00BC705E" w:rsidRDefault="00BB22E6" w:rsidP="009F3514">
      <w:pPr>
        <w:pStyle w:val="heading2numbered"/>
      </w:pPr>
      <w:bookmarkStart w:id="228" w:name="_Toc59198496"/>
      <w:bookmarkStart w:id="229" w:name="_Toc66193965"/>
      <w:bookmarkStart w:id="230" w:name="_Toc73696705"/>
      <w:r w:rsidRPr="00BC705E">
        <w:t>Transparency of new approved ROHPG service locations</w:t>
      </w:r>
      <w:bookmarkEnd w:id="228"/>
      <w:bookmarkEnd w:id="229"/>
      <w:bookmarkEnd w:id="230"/>
    </w:p>
    <w:p w14:paraId="7A4134F4" w14:textId="15D43013" w:rsidR="00BB1635" w:rsidRPr="009B6AA8" w:rsidRDefault="00BB1635" w:rsidP="00BB1635">
      <w:r w:rsidRPr="009B6AA8">
        <w:t>Stakeholder</w:t>
      </w:r>
      <w:r w:rsidR="00FF5D1F">
        <w:t>s</w:t>
      </w:r>
      <w:r w:rsidRPr="009B6AA8">
        <w:t xml:space="preserve"> were supportive of the Department listing the approved </w:t>
      </w:r>
      <w:r w:rsidR="007A75A8">
        <w:t>facilities</w:t>
      </w:r>
      <w:r w:rsidRPr="009B6AA8">
        <w:t xml:space="preserve"> on their website. Some stakeholders felt this </w:t>
      </w:r>
      <w:r w:rsidR="00FA10F2" w:rsidRPr="009B6AA8">
        <w:t xml:space="preserve">process </w:t>
      </w:r>
      <w:r w:rsidRPr="009B6AA8">
        <w:t>would be improved if it included up</w:t>
      </w:r>
      <w:r w:rsidR="00FA10F2" w:rsidRPr="009B6AA8">
        <w:t>-</w:t>
      </w:r>
      <w:r w:rsidRPr="009B6AA8">
        <w:t>to</w:t>
      </w:r>
      <w:r w:rsidR="00FA10F2" w:rsidRPr="009B6AA8">
        <w:t>-</w:t>
      </w:r>
      <w:r w:rsidRPr="009B6AA8">
        <w:t>date timeframes for when new centres would open.</w:t>
      </w:r>
    </w:p>
    <w:p w14:paraId="7B0EA813" w14:textId="77777777" w:rsidR="00373EE3" w:rsidRDefault="00BB1635" w:rsidP="00BB1635">
      <w:r w:rsidRPr="009B6AA8">
        <w:t xml:space="preserve">Although stakeholders generally approved of the application criteria for new facilities, the transparency on how the applications were assessed was considered limited. </w:t>
      </w:r>
      <w:r w:rsidR="005565B4" w:rsidRPr="009B6AA8">
        <w:t xml:space="preserve">This is discussed further in section </w:t>
      </w:r>
      <w:r w:rsidR="00752F4A" w:rsidRPr="00D65C79">
        <w:fldChar w:fldCharType="begin"/>
      </w:r>
      <w:r w:rsidR="00752F4A" w:rsidRPr="009B6AA8">
        <w:instrText xml:space="preserve"> REF _Ref56357788 \r \h  \* MERGEFORMAT </w:instrText>
      </w:r>
      <w:r w:rsidR="00752F4A" w:rsidRPr="00D65C79">
        <w:fldChar w:fldCharType="separate"/>
      </w:r>
      <w:r w:rsidR="007C0448">
        <w:rPr>
          <w:rFonts w:hint="cs"/>
          <w:cs/>
        </w:rPr>
        <w:t>‎</w:t>
      </w:r>
      <w:r w:rsidR="007C0448">
        <w:t>7.2</w:t>
      </w:r>
      <w:r w:rsidR="00752F4A" w:rsidRPr="00D65C79">
        <w:fldChar w:fldCharType="end"/>
      </w:r>
      <w:r w:rsidR="00752F4A" w:rsidRPr="00D65C79">
        <w:t>.</w:t>
      </w:r>
    </w:p>
    <w:p w14:paraId="161DC17D" w14:textId="47530F22" w:rsidR="00373EE3" w:rsidRPr="00BC705E" w:rsidRDefault="00BB22E6" w:rsidP="009F3514">
      <w:pPr>
        <w:pStyle w:val="heading2numbered"/>
      </w:pPr>
      <w:bookmarkStart w:id="231" w:name="_Toc59198497"/>
      <w:bookmarkStart w:id="232" w:name="_Toc66193966"/>
      <w:bookmarkStart w:id="233" w:name="_Toc73696706"/>
      <w:r w:rsidRPr="00BC705E">
        <w:lastRenderedPageBreak/>
        <w:t>Impact of the dosimetry audits</w:t>
      </w:r>
      <w:bookmarkEnd w:id="231"/>
      <w:bookmarkEnd w:id="232"/>
      <w:bookmarkEnd w:id="233"/>
    </w:p>
    <w:p w14:paraId="742ED07A" w14:textId="77777777" w:rsidR="00373EE3" w:rsidRDefault="0009192B" w:rsidP="000E1CD0">
      <w:r w:rsidRPr="009B6AA8">
        <w:t>As discussed earlier, stakeholder</w:t>
      </w:r>
      <w:r w:rsidR="00972358" w:rsidRPr="009B6AA8">
        <w:t>s</w:t>
      </w:r>
      <w:r w:rsidRPr="009B6AA8">
        <w:t xml:space="preserve"> were supportive of the inclusion of dosimetry monitoring as a condition of funding under the ROHPG</w:t>
      </w:r>
      <w:r w:rsidR="004325D6" w:rsidRPr="009B6AA8">
        <w:t>, a</w:t>
      </w:r>
      <w:r w:rsidRPr="009B6AA8">
        <w:t>s the national provider</w:t>
      </w:r>
      <w:r w:rsidR="00FF5D1F">
        <w:t>,</w:t>
      </w:r>
      <w:r w:rsidRPr="009B6AA8">
        <w:t xml:space="preserve"> the ACDS</w:t>
      </w:r>
      <w:r w:rsidR="00FF5D1F">
        <w:t>,</w:t>
      </w:r>
      <w:r w:rsidRPr="009B6AA8">
        <w:t xml:space="preserve"> has a large database of information that allows </w:t>
      </w:r>
      <w:r w:rsidR="00972358" w:rsidRPr="009B6AA8">
        <w:t>participating services to monitor themselves and benchmark against national averages.</w:t>
      </w:r>
    </w:p>
    <w:p w14:paraId="13319669" w14:textId="77777777" w:rsidR="00373EE3" w:rsidRDefault="00972358" w:rsidP="00972358">
      <w:r w:rsidRPr="009B6AA8">
        <w:t>ACDS audits are able to identify various types of issues relating to</w:t>
      </w:r>
      <w:r w:rsidR="00FD606B">
        <w:t xml:space="preserve"> ageing</w:t>
      </w:r>
      <w:r w:rsidRPr="009B6AA8">
        <w:t xml:space="preserve"> equipment, to equipment </w:t>
      </w:r>
      <w:r w:rsidR="004325D6" w:rsidRPr="009B6AA8">
        <w:t xml:space="preserve">usage, and </w:t>
      </w:r>
      <w:r w:rsidRPr="009B6AA8">
        <w:t>planning issues. The extent to which dosimetry auditing resulted in facilities making adjustments</w:t>
      </w:r>
      <w:r w:rsidR="004325D6" w:rsidRPr="009B6AA8">
        <w:t xml:space="preserve"> to their operations</w:t>
      </w:r>
      <w:r w:rsidRPr="009B6AA8">
        <w:t xml:space="preserve"> was not considered in th</w:t>
      </w:r>
      <w:r w:rsidR="004325D6" w:rsidRPr="009B6AA8">
        <w:t>e</w:t>
      </w:r>
      <w:r w:rsidRPr="009B6AA8">
        <w:t xml:space="preserve"> review. However, without submission of a certificate of currency, ROHPG payments will not be made. This provides a valid</w:t>
      </w:r>
      <w:r w:rsidR="004325D6" w:rsidRPr="009B6AA8">
        <w:t xml:space="preserve"> ‘</w:t>
      </w:r>
      <w:proofErr w:type="spellStart"/>
      <w:r w:rsidR="004325D6" w:rsidRPr="009B6AA8">
        <w:t>topline</w:t>
      </w:r>
      <w:proofErr w:type="spellEnd"/>
      <w:r w:rsidR="004325D6" w:rsidRPr="009B6AA8">
        <w:t>’</w:t>
      </w:r>
      <w:r w:rsidRPr="009B6AA8">
        <w:t xml:space="preserve"> measure of the safety of the </w:t>
      </w:r>
      <w:proofErr w:type="spellStart"/>
      <w:r w:rsidRPr="009B6AA8">
        <w:t>linac</w:t>
      </w:r>
      <w:proofErr w:type="spellEnd"/>
      <w:r w:rsidRPr="009B6AA8">
        <w:t xml:space="preserve"> </w:t>
      </w:r>
      <w:r w:rsidR="004325D6" w:rsidRPr="009B6AA8">
        <w:t xml:space="preserve">(because a </w:t>
      </w:r>
      <w:r w:rsidR="00C62BBC">
        <w:t>facility</w:t>
      </w:r>
      <w:r w:rsidR="004325D6" w:rsidRPr="009B6AA8">
        <w:t xml:space="preserve"> should be accountable for this representation), </w:t>
      </w:r>
      <w:r w:rsidRPr="009B6AA8">
        <w:t xml:space="preserve">and hence goes </w:t>
      </w:r>
      <w:r w:rsidR="004325D6" w:rsidRPr="009B6AA8">
        <w:t>some</w:t>
      </w:r>
      <w:r w:rsidRPr="009B6AA8">
        <w:t xml:space="preserve"> way to</w:t>
      </w:r>
      <w:r w:rsidR="004325D6" w:rsidRPr="009B6AA8">
        <w:t xml:space="preserve"> providing a degree of accountability for</w:t>
      </w:r>
      <w:r w:rsidRPr="009B6AA8">
        <w:t xml:space="preserve"> the safety of the RT delivered.</w:t>
      </w:r>
    </w:p>
    <w:p w14:paraId="478DFCAE" w14:textId="77777777" w:rsidR="00373EE3" w:rsidRDefault="00972358" w:rsidP="00972358">
      <w:pPr>
        <w:pStyle w:val="Finding"/>
      </w:pPr>
      <w:r w:rsidRPr="009B6AA8">
        <w:t xml:space="preserve">Dosimetry monitoring ensures </w:t>
      </w:r>
      <w:proofErr w:type="spellStart"/>
      <w:r w:rsidRPr="009B6AA8">
        <w:t>linacs</w:t>
      </w:r>
      <w:proofErr w:type="spellEnd"/>
      <w:r w:rsidRPr="009B6AA8">
        <w:t xml:space="preserve"> deliver the expected dose of RT, which is one important aspect in ensuring safety and quality in RT service delivery.</w:t>
      </w:r>
    </w:p>
    <w:p w14:paraId="0B9ABECD" w14:textId="26385594" w:rsidR="00373EE3" w:rsidRPr="00BC705E" w:rsidRDefault="00BB22E6" w:rsidP="00461590">
      <w:pPr>
        <w:pStyle w:val="heading2numbered"/>
        <w:pageBreakBefore/>
      </w:pPr>
      <w:bookmarkStart w:id="234" w:name="_Toc59198498"/>
      <w:bookmarkStart w:id="235" w:name="_Toc66193967"/>
      <w:bookmarkStart w:id="236" w:name="_Toc73696707"/>
      <w:r w:rsidRPr="00BC705E">
        <w:lastRenderedPageBreak/>
        <w:t>Conclusion</w:t>
      </w:r>
      <w:bookmarkEnd w:id="234"/>
      <w:bookmarkEnd w:id="235"/>
      <w:bookmarkEnd w:id="236"/>
    </w:p>
    <w:p w14:paraId="07E6513B" w14:textId="77777777" w:rsidR="00373EE3" w:rsidRPr="00BC705E" w:rsidRDefault="00CD1915" w:rsidP="00461590">
      <w:pPr>
        <w:pStyle w:val="Heading3numbered"/>
      </w:pPr>
      <w:bookmarkStart w:id="237" w:name="_Toc66193968"/>
      <w:r w:rsidRPr="00BC705E">
        <w:t xml:space="preserve">Effectiveness of capital </w:t>
      </w:r>
      <w:r w:rsidRPr="007A1E2C">
        <w:t>contributions</w:t>
      </w:r>
      <w:bookmarkEnd w:id="237"/>
    </w:p>
    <w:p w14:paraId="5058405E" w14:textId="77777777" w:rsidR="00373EE3" w:rsidRDefault="00B86740" w:rsidP="007A1E2C">
      <w:r w:rsidRPr="009B6AA8">
        <w:t xml:space="preserve">The </w:t>
      </w:r>
      <w:r w:rsidR="00D65C79">
        <w:t>ROHPG</w:t>
      </w:r>
      <w:r w:rsidR="00D65C79" w:rsidRPr="00D65C79">
        <w:t xml:space="preserve"> </w:t>
      </w:r>
      <w:r w:rsidR="004325D6" w:rsidRPr="00D65C79">
        <w:t xml:space="preserve">provides a </w:t>
      </w:r>
      <w:r w:rsidR="005875E8" w:rsidRPr="00D65C79">
        <w:t>mechanism</w:t>
      </w:r>
      <w:r w:rsidRPr="00D65C79">
        <w:t xml:space="preserve"> to assist the increased provision of RT across Austral</w:t>
      </w:r>
      <w:r w:rsidRPr="009B6AA8">
        <w:t xml:space="preserve">ia. The high upfront costs of RT that are not reimbursed through the main funding source (MBS) can be a barrier to establishing RT services, especially in areas where throughput is expected to be low. Provision of a capital contribution to the </w:t>
      </w:r>
      <w:r w:rsidR="00FF5D1F" w:rsidRPr="009B6AA8">
        <w:t>high</w:t>
      </w:r>
      <w:r w:rsidR="00FF5D1F">
        <w:t>-</w:t>
      </w:r>
      <w:r w:rsidRPr="009B6AA8">
        <w:t xml:space="preserve">cost equipment provides incentives for </w:t>
      </w:r>
      <w:r w:rsidR="007A75A8">
        <w:t>facilities</w:t>
      </w:r>
      <w:r w:rsidRPr="009B6AA8">
        <w:t xml:space="preserve"> to establish new facilities and to ensure concessional patients are bulk-billed</w:t>
      </w:r>
      <w:r w:rsidR="004325D6" w:rsidRPr="009B6AA8">
        <w:t>,</w:t>
      </w:r>
      <w:r w:rsidRPr="009B6AA8">
        <w:t xml:space="preserve"> thus ensuring </w:t>
      </w:r>
      <w:r w:rsidR="004325D6" w:rsidRPr="009B6AA8">
        <w:t xml:space="preserve">greater </w:t>
      </w:r>
      <w:r w:rsidRPr="009B6AA8">
        <w:t xml:space="preserve">access for </w:t>
      </w:r>
      <w:r w:rsidR="00FF5D1F" w:rsidRPr="009B6AA8">
        <w:t>at</w:t>
      </w:r>
      <w:r w:rsidR="00FF5D1F">
        <w:t>-</w:t>
      </w:r>
      <w:r w:rsidR="004325D6" w:rsidRPr="009B6AA8">
        <w:t>risk</w:t>
      </w:r>
      <w:r w:rsidRPr="009B6AA8">
        <w:t xml:space="preserve"> population groups.</w:t>
      </w:r>
    </w:p>
    <w:p w14:paraId="72EB2CF4" w14:textId="77777777" w:rsidR="00373EE3" w:rsidRDefault="00B86740" w:rsidP="007A1E2C">
      <w:r w:rsidRPr="009B6AA8">
        <w:t xml:space="preserve">However, stakeholders raised concerns about the </w:t>
      </w:r>
      <w:r w:rsidR="005875E8" w:rsidRPr="009B6AA8">
        <w:t xml:space="preserve">capping of </w:t>
      </w:r>
      <w:r w:rsidRPr="009B6AA8">
        <w:t xml:space="preserve">funding for </w:t>
      </w:r>
      <w:proofErr w:type="spellStart"/>
      <w:r w:rsidRPr="009B6AA8">
        <w:t>linacs</w:t>
      </w:r>
      <w:proofErr w:type="spellEnd"/>
      <w:r w:rsidRPr="009B6AA8">
        <w:t xml:space="preserve"> and removal</w:t>
      </w:r>
      <w:r w:rsidR="005875E8" w:rsidRPr="009B6AA8">
        <w:t xml:space="preserve"> of funding for other </w:t>
      </w:r>
      <w:r w:rsidRPr="009B6AA8">
        <w:t xml:space="preserve">RT equipment from the ROHPG. The ROHPG </w:t>
      </w:r>
      <w:r w:rsidR="00FD606B">
        <w:t>Scheme</w:t>
      </w:r>
      <w:r w:rsidRPr="009B6AA8">
        <w:t xml:space="preserve"> has been in place for over </w:t>
      </w:r>
      <w:r w:rsidR="00753ADA">
        <w:t>30</w:t>
      </w:r>
      <w:r w:rsidRPr="009B6AA8">
        <w:t xml:space="preserve"> years and </w:t>
      </w:r>
      <w:r w:rsidR="004325D6" w:rsidRPr="009B6AA8">
        <w:t xml:space="preserve">this has probably contributed to the situation where </w:t>
      </w:r>
      <w:r w:rsidRPr="009B6AA8">
        <w:t>there are limited</w:t>
      </w:r>
      <w:r w:rsidR="004325D6" w:rsidRPr="009B6AA8">
        <w:t xml:space="preserve"> capital</w:t>
      </w:r>
      <w:r w:rsidRPr="009B6AA8">
        <w:t xml:space="preserve"> funding streams available to public </w:t>
      </w:r>
      <w:r w:rsidR="007A75A8">
        <w:t>facilities</w:t>
      </w:r>
      <w:r w:rsidRPr="009B6AA8">
        <w:t xml:space="preserve">. Hospitals and health services have not historically had to fund RT equipment, and public </w:t>
      </w:r>
      <w:r w:rsidR="007A75A8">
        <w:t>facilities</w:t>
      </w:r>
      <w:r w:rsidRPr="009B6AA8">
        <w:t xml:space="preserve"> are concerned that without quarantined funding, the need for replacement equipment will be lost in the mix of competing priorities.</w:t>
      </w:r>
    </w:p>
    <w:p w14:paraId="06064857" w14:textId="77777777" w:rsidR="00373EE3" w:rsidRDefault="00B86740" w:rsidP="007A1E2C">
      <w:r w:rsidRPr="009B6AA8">
        <w:t xml:space="preserve">The impact of the </w:t>
      </w:r>
      <w:r w:rsidR="005875E8" w:rsidRPr="009B6AA8">
        <w:t>revised</w:t>
      </w:r>
      <w:r w:rsidRPr="009B6AA8">
        <w:t xml:space="preserve"> </w:t>
      </w:r>
      <w:r w:rsidR="00D65C79">
        <w:t>ROHPG</w:t>
      </w:r>
      <w:r w:rsidR="00D65C79" w:rsidRPr="00D65C79">
        <w:t xml:space="preserve"> </w:t>
      </w:r>
      <w:r w:rsidRPr="00D65C79">
        <w:t xml:space="preserve">funding will not be evident until </w:t>
      </w:r>
      <w:proofErr w:type="spellStart"/>
      <w:r w:rsidRPr="00D65C79">
        <w:t>linacs</w:t>
      </w:r>
      <w:proofErr w:type="spellEnd"/>
      <w:r w:rsidRPr="00D65C79">
        <w:t xml:space="preserve"> funded under the new arrangements require replacement. This lead</w:t>
      </w:r>
      <w:r w:rsidR="00D243E3" w:rsidRPr="009B6AA8">
        <w:t>-</w:t>
      </w:r>
      <w:r w:rsidRPr="009B6AA8">
        <w:t xml:space="preserve">in time provides an </w:t>
      </w:r>
      <w:r w:rsidR="00D243E3" w:rsidRPr="009B6AA8">
        <w:t>opportunity</w:t>
      </w:r>
      <w:r w:rsidRPr="009B6AA8">
        <w:t xml:space="preserve"> </w:t>
      </w:r>
      <w:r w:rsidR="00D243E3" w:rsidRPr="009B6AA8">
        <w:t>for jurisdictions to understand the upcoming impacts and prepare accordingly, including negotiating additional provisions in future NHAs to accommodate the additional cost for capital that will be required.</w:t>
      </w:r>
    </w:p>
    <w:p w14:paraId="5B408BCB" w14:textId="77777777" w:rsidR="00373EE3" w:rsidRDefault="00D243E3" w:rsidP="007A1E2C">
      <w:r w:rsidRPr="009B6AA8">
        <w:t xml:space="preserve">One area of concern among all stakeholders was the loss of ROHPG funding for brachytherapy equipment. This type of radiotherapy </w:t>
      </w:r>
      <w:r w:rsidR="004325D6" w:rsidRPr="009B6AA8">
        <w:t xml:space="preserve">is </w:t>
      </w:r>
      <w:r w:rsidRPr="009B6AA8">
        <w:t>best practice for treatment of cervical cancers</w:t>
      </w:r>
      <w:r w:rsidR="00226482">
        <w:t xml:space="preserve"> and recommended for a </w:t>
      </w:r>
      <w:r w:rsidR="00B30B07">
        <w:t>selection</w:t>
      </w:r>
      <w:r w:rsidR="00226482">
        <w:t xml:space="preserve"> of </w:t>
      </w:r>
      <w:r w:rsidR="00B30B07">
        <w:t>other</w:t>
      </w:r>
      <w:r w:rsidR="00226482">
        <w:t xml:space="preserve"> cancer</w:t>
      </w:r>
      <w:r w:rsidR="00B30B07">
        <w:t>s</w:t>
      </w:r>
      <w:r w:rsidR="00226482">
        <w:t xml:space="preserve"> including vaginal cancer, uterine cancer and prostate cancer</w:t>
      </w:r>
      <w:r w:rsidRPr="009B6AA8">
        <w:t xml:space="preserve">. </w:t>
      </w:r>
      <w:r w:rsidR="00CD1915" w:rsidRPr="009B6AA8">
        <w:t xml:space="preserve">As a non-profitable treatment modality, loss of ROHPG funding may </w:t>
      </w:r>
      <w:r w:rsidR="00226482">
        <w:t xml:space="preserve">unintentionally </w:t>
      </w:r>
      <w:r w:rsidR="00CD1915" w:rsidRPr="009B6AA8">
        <w:t xml:space="preserve">result in </w:t>
      </w:r>
      <w:r w:rsidR="007A75A8">
        <w:t>facilities</w:t>
      </w:r>
      <w:r w:rsidR="00CD1915" w:rsidRPr="009B6AA8">
        <w:t xml:space="preserve"> </w:t>
      </w:r>
      <w:r w:rsidR="00226482">
        <w:t xml:space="preserve">that currently provide brachytherapy services </w:t>
      </w:r>
      <w:r w:rsidR="00CD1915" w:rsidRPr="009B6AA8">
        <w:t>(n=23) opting to not continue this treatment modality in future.</w:t>
      </w:r>
    </w:p>
    <w:p w14:paraId="66C1A789" w14:textId="77777777" w:rsidR="00373EE3" w:rsidRDefault="00226482" w:rsidP="007A1E2C">
      <w:pPr>
        <w:pStyle w:val="Recommendations"/>
      </w:pPr>
      <w:r w:rsidRPr="00226482">
        <w:t xml:space="preserve">$3 million makes a significant contribution to the current costs of a base level </w:t>
      </w:r>
      <w:proofErr w:type="spellStart"/>
      <w:r w:rsidRPr="00226482">
        <w:t>linac</w:t>
      </w:r>
      <w:proofErr w:type="spellEnd"/>
      <w:r>
        <w:t>.</w:t>
      </w:r>
      <w:r w:rsidRPr="009B6AA8">
        <w:t xml:space="preserve"> </w:t>
      </w:r>
      <w:r w:rsidRPr="00226482">
        <w:t>The capital contribution should be reviewed periodically (nominally every four years) to ensure it remains an appropriate value.</w:t>
      </w:r>
    </w:p>
    <w:p w14:paraId="550EC2E0" w14:textId="563FC050" w:rsidR="002C618F" w:rsidRPr="007A1E2C" w:rsidRDefault="002C618F" w:rsidP="00461590">
      <w:pPr>
        <w:pStyle w:val="Heading3numbered"/>
      </w:pPr>
      <w:bookmarkStart w:id="238" w:name="_Toc66193969"/>
      <w:r w:rsidRPr="009F3514">
        <w:t>Unintended</w:t>
      </w:r>
      <w:r w:rsidRPr="00BC705E">
        <w:t xml:space="preserve"> consequences</w:t>
      </w:r>
      <w:bookmarkEnd w:id="238"/>
    </w:p>
    <w:p w14:paraId="2AA566F9" w14:textId="77777777" w:rsidR="00373EE3" w:rsidRDefault="00CD1915" w:rsidP="007A1E2C">
      <w:r w:rsidRPr="009B6AA8">
        <w:t>The annual payments for the ROHPG are preferred by stakeholder</w:t>
      </w:r>
      <w:r w:rsidR="004325D6" w:rsidRPr="009B6AA8">
        <w:t>s</w:t>
      </w:r>
      <w:r w:rsidRPr="009B6AA8">
        <w:t>. However</w:t>
      </w:r>
      <w:r w:rsidR="004325D6" w:rsidRPr="009B6AA8">
        <w:t>,</w:t>
      </w:r>
      <w:r w:rsidRPr="009B6AA8">
        <w:t xml:space="preserve"> de-linking payments from MBS service use created a loss of visibility for the Department about </w:t>
      </w:r>
      <w:r w:rsidR="002C618F" w:rsidRPr="009B6AA8">
        <w:t>utilisation</w:t>
      </w:r>
      <w:r w:rsidRPr="009B6AA8">
        <w:t xml:space="preserve"> of funded equipment. The Department has implemented </w:t>
      </w:r>
      <w:r w:rsidR="004325D6" w:rsidRPr="009B6AA8">
        <w:t xml:space="preserve">a </w:t>
      </w:r>
      <w:r w:rsidRPr="009B6AA8">
        <w:t>suitable strategy to address this</w:t>
      </w:r>
      <w:r w:rsidR="002627F6" w:rsidRPr="009B6AA8">
        <w:t xml:space="preserve">. </w:t>
      </w:r>
      <w:r w:rsidR="00226482">
        <w:t xml:space="preserve">Further discussion on administrative processes is provided in section </w:t>
      </w:r>
      <w:r w:rsidR="00226482">
        <w:fldChar w:fldCharType="begin"/>
      </w:r>
      <w:r w:rsidR="00226482">
        <w:instrText xml:space="preserve"> REF _Ref57630704 \r \h </w:instrText>
      </w:r>
      <w:r w:rsidR="00226482">
        <w:fldChar w:fldCharType="separate"/>
      </w:r>
      <w:r w:rsidR="007C0448">
        <w:rPr>
          <w:rFonts w:hint="cs"/>
          <w:cs/>
        </w:rPr>
        <w:t>‎</w:t>
      </w:r>
      <w:r w:rsidR="007C0448">
        <w:t>7.1</w:t>
      </w:r>
      <w:r w:rsidR="00226482">
        <w:fldChar w:fldCharType="end"/>
      </w:r>
      <w:r w:rsidR="00226482">
        <w:t>.</w:t>
      </w:r>
    </w:p>
    <w:p w14:paraId="4A7A774D" w14:textId="2E4510E2" w:rsidR="002C618F" w:rsidRPr="009F3514" w:rsidRDefault="002C618F" w:rsidP="00461590">
      <w:pPr>
        <w:pStyle w:val="Heading3numbered"/>
      </w:pPr>
      <w:bookmarkStart w:id="239" w:name="_Toc66193970"/>
      <w:r w:rsidRPr="00BC705E">
        <w:t>Effectiveness of setting priority areas</w:t>
      </w:r>
      <w:bookmarkEnd w:id="239"/>
    </w:p>
    <w:p w14:paraId="1FF23635" w14:textId="77777777" w:rsidR="00373EE3" w:rsidRDefault="002C618F" w:rsidP="007A1E2C">
      <w:r w:rsidRPr="009B6AA8">
        <w:t xml:space="preserve">The setting of priority areas and </w:t>
      </w:r>
      <w:r w:rsidR="00FF5D1F">
        <w:t xml:space="preserve">a </w:t>
      </w:r>
      <w:r w:rsidRPr="009B6AA8">
        <w:t xml:space="preserve">set timeframe for new applications in priority area locations has not worked as intended. Instead of promoting dialogue between public and private </w:t>
      </w:r>
      <w:r w:rsidR="007A75A8">
        <w:t>facilities</w:t>
      </w:r>
      <w:r w:rsidRPr="009B6AA8">
        <w:t xml:space="preserve"> it ha</w:t>
      </w:r>
      <w:r w:rsidR="004325D6" w:rsidRPr="009B6AA8">
        <w:t>s</w:t>
      </w:r>
      <w:r w:rsidRPr="009B6AA8">
        <w:t xml:space="preserve"> created more competition and a perception of conflict of interests. The different approaches to business development of the public and private sectors creates uneven playing fields under the current arrangements.</w:t>
      </w:r>
    </w:p>
    <w:p w14:paraId="35581718" w14:textId="77777777" w:rsidR="00373EE3" w:rsidRDefault="002C618F" w:rsidP="007A1E2C">
      <w:r w:rsidRPr="009B6AA8">
        <w:t xml:space="preserve">At </w:t>
      </w:r>
      <w:r w:rsidR="004325D6" w:rsidRPr="009B6AA8">
        <w:t xml:space="preserve">a </w:t>
      </w:r>
      <w:r w:rsidRPr="009B6AA8">
        <w:t>minimum, more transparency is required about how the priority areas are identified</w:t>
      </w:r>
      <w:r w:rsidR="004325D6" w:rsidRPr="009B6AA8">
        <w:t xml:space="preserve"> by jurisdictions</w:t>
      </w:r>
      <w:r w:rsidRPr="009B6AA8">
        <w:t>, with a longer-term view of upcoming priority areas.</w:t>
      </w:r>
    </w:p>
    <w:p w14:paraId="7CF6A3F1" w14:textId="4A4BE5AC" w:rsidR="00373EE3" w:rsidRDefault="00E6752E" w:rsidP="00461590">
      <w:r>
        <w:t>If there is an appetite for significant adjustment to radiotherapy planning by the sector, r</w:t>
      </w:r>
      <w:r w:rsidR="00365296" w:rsidRPr="009B6AA8">
        <w:t>estructur</w:t>
      </w:r>
      <w:r w:rsidR="004325D6" w:rsidRPr="009B6AA8">
        <w:t xml:space="preserve">ing the </w:t>
      </w:r>
      <w:r w:rsidR="005875E8" w:rsidRPr="009B6AA8">
        <w:t>priority</w:t>
      </w:r>
      <w:r w:rsidR="004325D6" w:rsidRPr="009B6AA8">
        <w:t xml:space="preserve"> setting process</w:t>
      </w:r>
      <w:r w:rsidR="00365296" w:rsidRPr="009B6AA8">
        <w:t xml:space="preserve"> could b</w:t>
      </w:r>
      <w:r w:rsidR="004325D6" w:rsidRPr="009B6AA8">
        <w:t xml:space="preserve">e </w:t>
      </w:r>
      <w:r w:rsidR="00365296" w:rsidRPr="009B6AA8">
        <w:t>integrated with greater national planning for radiotherapy</w:t>
      </w:r>
      <w:r w:rsidR="00FF5D1F">
        <w:t>.</w:t>
      </w:r>
      <w:r w:rsidR="00365296" w:rsidRPr="009B6AA8">
        <w:t xml:space="preserve"> </w:t>
      </w:r>
      <w:r w:rsidR="00FF5D1F">
        <w:t>This would take</w:t>
      </w:r>
      <w:r w:rsidR="00365296" w:rsidRPr="009B6AA8">
        <w:t xml:space="preserve"> into consideration other necessary factors </w:t>
      </w:r>
      <w:r w:rsidR="004325D6" w:rsidRPr="009B6AA8">
        <w:t xml:space="preserve">that affect take-up of RT </w:t>
      </w:r>
      <w:r w:rsidR="00365296" w:rsidRPr="009B6AA8">
        <w:t>such as workforce</w:t>
      </w:r>
      <w:r w:rsidR="004325D6" w:rsidRPr="009B6AA8">
        <w:t xml:space="preserve"> avai</w:t>
      </w:r>
      <w:r w:rsidR="00266A1B" w:rsidRPr="009B6AA8">
        <w:t>l</w:t>
      </w:r>
      <w:r w:rsidR="004325D6" w:rsidRPr="009B6AA8">
        <w:t>ability</w:t>
      </w:r>
      <w:r w:rsidR="00365296" w:rsidRPr="009B6AA8">
        <w:t>, service integration and referral pathways.</w:t>
      </w:r>
      <w:r>
        <w:t xml:space="preserve"> See Chapter 8 for further </w:t>
      </w:r>
      <w:proofErr w:type="spellStart"/>
      <w:r>
        <w:t>detail.</w:t>
      </w:r>
      <w:r w:rsidR="00365296" w:rsidRPr="009B6AA8">
        <w:t>The</w:t>
      </w:r>
      <w:proofErr w:type="spellEnd"/>
      <w:r w:rsidR="00365296" w:rsidRPr="009B6AA8">
        <w:t xml:space="preserve"> formula used for setting priority areas in each jurisdiction should be made available, along with the estimated demand</w:t>
      </w:r>
      <w:r w:rsidR="004325D6" w:rsidRPr="009B6AA8">
        <w:t xml:space="preserve"> (including both</w:t>
      </w:r>
      <w:r w:rsidR="00365296" w:rsidRPr="009B6AA8">
        <w:t xml:space="preserve"> met and unmet need</w:t>
      </w:r>
      <w:r w:rsidR="004325D6" w:rsidRPr="009B6AA8">
        <w:t>)</w:t>
      </w:r>
      <w:r w:rsidR="00365296" w:rsidRPr="009B6AA8">
        <w:t xml:space="preserve"> for each planning region. </w:t>
      </w:r>
      <w:r w:rsidR="004325D6" w:rsidRPr="009B6AA8">
        <w:t>L</w:t>
      </w:r>
      <w:r w:rsidR="00365296" w:rsidRPr="009B6AA8">
        <w:t>onger-term projections should also be presented (e.g. upcoming five years), even if these areas cannot be applied for until future years. This will enable forward planning by providers.</w:t>
      </w:r>
    </w:p>
    <w:p w14:paraId="186BB4EE" w14:textId="77777777" w:rsidR="00373EE3" w:rsidRDefault="00A3666D" w:rsidP="007A1E2C">
      <w:pPr>
        <w:pStyle w:val="Recommendations"/>
      </w:pPr>
      <w:r w:rsidRPr="009B6AA8">
        <w:t>The Department</w:t>
      </w:r>
      <w:r w:rsidR="00B30B07">
        <w:t>, in conjunction with jurisdictional departments of health,</w:t>
      </w:r>
      <w:r w:rsidRPr="009B6AA8">
        <w:t xml:space="preserve"> </w:t>
      </w:r>
      <w:r w:rsidR="00B30B07">
        <w:t xml:space="preserve">could </w:t>
      </w:r>
      <w:r w:rsidRPr="009B6AA8">
        <w:t xml:space="preserve">consider establishment of a national register of all </w:t>
      </w:r>
      <w:proofErr w:type="spellStart"/>
      <w:r w:rsidRPr="009B6AA8">
        <w:t>linacs</w:t>
      </w:r>
      <w:proofErr w:type="spellEnd"/>
      <w:r w:rsidR="00B30B07">
        <w:t xml:space="preserve"> </w:t>
      </w:r>
      <w:r w:rsidRPr="009B6AA8">
        <w:t>to support planning processes.</w:t>
      </w:r>
    </w:p>
    <w:p w14:paraId="5E9FAA90" w14:textId="1CFC5C40" w:rsidR="00365296" w:rsidRPr="009B6AA8" w:rsidRDefault="00EE0B7E" w:rsidP="007A1E2C">
      <w:pPr>
        <w:pStyle w:val="Recommendations"/>
      </w:pPr>
      <w:r w:rsidRPr="009B6AA8">
        <w:t>The Department may wish to consider expanding the setting of priority area</w:t>
      </w:r>
      <w:r>
        <w:t>s</w:t>
      </w:r>
      <w:r w:rsidRPr="009B6AA8">
        <w:t xml:space="preserve"> to include broader radiotherapy planning at a national level, with input from jurisdiction</w:t>
      </w:r>
      <w:r>
        <w:t>s</w:t>
      </w:r>
      <w:r w:rsidRPr="009B6AA8">
        <w:t xml:space="preserve"> and </w:t>
      </w:r>
      <w:r w:rsidR="007A75A8">
        <w:t>facilities</w:t>
      </w:r>
      <w:r w:rsidRPr="009B6AA8">
        <w:t>.</w:t>
      </w:r>
    </w:p>
    <w:p w14:paraId="287A698A" w14:textId="77777777" w:rsidR="00373EE3" w:rsidRPr="007A1E2C" w:rsidRDefault="002C618F" w:rsidP="00461590">
      <w:pPr>
        <w:pStyle w:val="Heading3numbered"/>
      </w:pPr>
      <w:bookmarkStart w:id="240" w:name="_Toc66193971"/>
      <w:r w:rsidRPr="00BC705E">
        <w:lastRenderedPageBreak/>
        <w:t>Effectiveness of other changes</w:t>
      </w:r>
      <w:bookmarkEnd w:id="240"/>
    </w:p>
    <w:p w14:paraId="6BF80190" w14:textId="77777777" w:rsidR="00373EE3" w:rsidRDefault="00913093" w:rsidP="00B86740">
      <w:r w:rsidRPr="009B6AA8">
        <w:t xml:space="preserve">A two-year timeframe for the establishing of new RT facilities was considered adequate and welcomed by stakeholders to prevent ‘warehousing’ of ROHPG </w:t>
      </w:r>
      <w:r w:rsidR="004325D6" w:rsidRPr="009B6AA8">
        <w:t xml:space="preserve">approved </w:t>
      </w:r>
      <w:r w:rsidRPr="009B6AA8">
        <w:t xml:space="preserve">locations. However, there are still seven </w:t>
      </w:r>
      <w:r w:rsidR="007A75A8">
        <w:t>facilities</w:t>
      </w:r>
      <w:r w:rsidRPr="009B6AA8">
        <w:t xml:space="preserve"> with ROHPG funds </w:t>
      </w:r>
      <w:r w:rsidR="002C618F" w:rsidRPr="009B6AA8">
        <w:t>approved prior</w:t>
      </w:r>
      <w:r w:rsidR="00863AEB">
        <w:t xml:space="preserve"> to</w:t>
      </w:r>
      <w:r w:rsidR="002C618F" w:rsidRPr="009B6AA8">
        <w:t xml:space="preserve"> the 2017 changes that are not yet operational.</w:t>
      </w:r>
    </w:p>
    <w:p w14:paraId="73A8AF14" w14:textId="7B2F9870" w:rsidR="00913093" w:rsidRPr="009B6AA8" w:rsidRDefault="00913093" w:rsidP="00913093">
      <w:pPr>
        <w:pStyle w:val="Recommendations"/>
      </w:pPr>
      <w:r w:rsidRPr="009B6AA8">
        <w:t xml:space="preserve">The Department should maintain the two-year timeframe for establishing new facilities. </w:t>
      </w:r>
      <w:r w:rsidR="002C618F" w:rsidRPr="009B6AA8">
        <w:t>New timeframes (no longer than two</w:t>
      </w:r>
      <w:r w:rsidR="00E61AD5" w:rsidRPr="009B6AA8">
        <w:t xml:space="preserve"> </w:t>
      </w:r>
      <w:r w:rsidR="002C618F" w:rsidRPr="009B6AA8">
        <w:t>years) should be negotiated with the grandfathered non-operational facilities.</w:t>
      </w:r>
    </w:p>
    <w:p w14:paraId="15A1994A" w14:textId="0B449D6B" w:rsidR="00913093" w:rsidRPr="009B6AA8" w:rsidRDefault="002C618F" w:rsidP="00B86740">
      <w:r w:rsidRPr="009B6AA8">
        <w:t>T</w:t>
      </w:r>
      <w:r w:rsidR="00913093" w:rsidRPr="009B6AA8">
        <w:t>he inclusion of dosimetry monitoring as a condition of ROHPG funding was consider</w:t>
      </w:r>
      <w:r w:rsidR="00753ADA">
        <w:t>ed</w:t>
      </w:r>
      <w:r w:rsidR="00913093" w:rsidRPr="009B6AA8">
        <w:t xml:space="preserve"> beneficial and supported by stakeholders.</w:t>
      </w:r>
    </w:p>
    <w:p w14:paraId="32CB4CFB" w14:textId="77777777" w:rsidR="00373EE3" w:rsidRDefault="002C618F" w:rsidP="002C618F">
      <w:pPr>
        <w:pStyle w:val="Recommendations"/>
      </w:pPr>
      <w:r w:rsidRPr="009B6AA8">
        <w:t>The Department should maintain the inclusion of dosimetry monitoring.</w:t>
      </w:r>
    </w:p>
    <w:p w14:paraId="0E1D7427" w14:textId="229EFFC4" w:rsidR="00AA5B17" w:rsidRPr="00785F73" w:rsidRDefault="00AA5B17" w:rsidP="009F3514">
      <w:pPr>
        <w:pStyle w:val="Heading1numbered"/>
        <w:pageBreakBefore/>
      </w:pPr>
      <w:bookmarkStart w:id="241" w:name="_Toc59198499"/>
      <w:bookmarkStart w:id="242" w:name="_Toc66193972"/>
      <w:bookmarkStart w:id="243" w:name="_Toc73696708"/>
      <w:r w:rsidRPr="00785F73">
        <w:lastRenderedPageBreak/>
        <w:t xml:space="preserve">Key Review Area D: </w:t>
      </w:r>
      <w:r w:rsidR="00375E68" w:rsidRPr="00785F73">
        <w:t>A</w:t>
      </w:r>
      <w:r w:rsidR="00DD41BA" w:rsidRPr="00785F73">
        <w:t>ppropriate accountability</w:t>
      </w:r>
      <w:bookmarkEnd w:id="241"/>
      <w:bookmarkEnd w:id="242"/>
      <w:bookmarkEnd w:id="243"/>
    </w:p>
    <w:p w14:paraId="2696C10D" w14:textId="4A294CFC" w:rsidR="00373EE3" w:rsidRDefault="0027365A" w:rsidP="009F3514">
      <w:pPr>
        <w:pStyle w:val="Heading2"/>
        <w:pageBreakBefore w:val="0"/>
      </w:pPr>
      <w:bookmarkStart w:id="244" w:name="_Toc59198500"/>
      <w:bookmarkStart w:id="245" w:name="_Toc66193973"/>
      <w:bookmarkStart w:id="246" w:name="_Toc73696709"/>
      <w:r w:rsidRPr="009B6AA8">
        <w:t>Summary of recommendations</w:t>
      </w:r>
      <w:bookmarkEnd w:id="244"/>
      <w:bookmarkEnd w:id="245"/>
      <w:bookmarkEnd w:id="246"/>
    </w:p>
    <w:p w14:paraId="447596C1" w14:textId="77777777" w:rsidR="00461590" w:rsidRDefault="00CF6A00" w:rsidP="00CF6A00">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Recommendation 1</w:t>
      </w:r>
      <w:r w:rsidR="00753ADA">
        <w:rPr>
          <w:b/>
          <w:bCs/>
        </w:rPr>
        <w:t>1</w:t>
      </w:r>
      <w:r w:rsidRPr="009B6AA8">
        <w:rPr>
          <w:b/>
          <w:bCs/>
        </w:rPr>
        <w:t xml:space="preserve">. </w:t>
      </w:r>
      <w:r w:rsidR="00F40F72" w:rsidRPr="009B6AA8">
        <w:t>The Department should strengthen the ROHPG application process by:</w:t>
      </w:r>
    </w:p>
    <w:p w14:paraId="55C2DB83" w14:textId="77777777" w:rsidR="00461590" w:rsidRDefault="00F40F72" w:rsidP="00CF6A00">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t xml:space="preserve">1. Making the ROHPG guidelines </w:t>
      </w:r>
      <w:r>
        <w:t xml:space="preserve">and/or application form </w:t>
      </w:r>
      <w:r w:rsidRPr="009B6AA8">
        <w:t>more explicit about what information should be presented for the patient access criterion, even in priority area locations.</w:t>
      </w:r>
    </w:p>
    <w:p w14:paraId="16EC55FA" w14:textId="77777777" w:rsidR="00461590" w:rsidRDefault="00F40F72" w:rsidP="00CF6A00">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t>2. For the affordable service criterion</w:t>
      </w:r>
      <w:r>
        <w:t>,</w:t>
      </w:r>
      <w:r w:rsidRPr="009B6AA8">
        <w:t xml:space="preserve"> seeking additional information about the proximity of </w:t>
      </w:r>
      <w:r>
        <w:t>facilities</w:t>
      </w:r>
      <w:r w:rsidRPr="009B6AA8">
        <w:t xml:space="preserve"> that have 100% bulk-billing processes (e.g. public </w:t>
      </w:r>
      <w:r>
        <w:t>facilities</w:t>
      </w:r>
      <w:r w:rsidRPr="009B6AA8">
        <w:t>) and include a description of how additional billing information (e.g. fee schedules) will be scored</w:t>
      </w:r>
      <w:r w:rsidR="00461590">
        <w:t xml:space="preserve"> and compared.</w:t>
      </w:r>
    </w:p>
    <w:p w14:paraId="3CB0E0B2" w14:textId="7468D505" w:rsidR="00461590" w:rsidRDefault="00F40F72" w:rsidP="00CF6A00">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t xml:space="preserve">3. Requesting the provision of evidence (letters or email exchange) of stated relationships for the multidisciplinary and </w:t>
      </w:r>
      <w:r w:rsidR="00461590">
        <w:t>patient centred care criterion.</w:t>
      </w:r>
    </w:p>
    <w:p w14:paraId="6AA3DCC6" w14:textId="358B510B" w:rsidR="00CF6A00" w:rsidRPr="009B6AA8" w:rsidRDefault="00F40F72" w:rsidP="00CF6A00">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t>4. Including a scoring matrix for all criteria to enable a transparent assessment process.</w:t>
      </w:r>
    </w:p>
    <w:p w14:paraId="2B598926" w14:textId="42096A3E" w:rsidR="00CF6A00" w:rsidRPr="009B6AA8" w:rsidRDefault="00CF6A00" w:rsidP="00CF6A00">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Recommendation 1</w:t>
      </w:r>
      <w:r w:rsidR="00753ADA">
        <w:rPr>
          <w:b/>
          <w:bCs/>
        </w:rPr>
        <w:t>2</w:t>
      </w:r>
      <w:r w:rsidRPr="009B6AA8">
        <w:rPr>
          <w:b/>
          <w:bCs/>
        </w:rPr>
        <w:t xml:space="preserve">. </w:t>
      </w:r>
      <w:r w:rsidR="00F40F72" w:rsidRPr="009B6AA8">
        <w:t xml:space="preserve">The ROHPG instrument should be updated to reflect all relevant assessment criteria and the </w:t>
      </w:r>
      <w:r w:rsidR="00F40F72">
        <w:t>facility</w:t>
      </w:r>
      <w:r w:rsidR="00F40F72" w:rsidRPr="009B6AA8">
        <w:t xml:space="preserve"> declaration expanded to include additional conditions.</w:t>
      </w:r>
    </w:p>
    <w:p w14:paraId="42A41CEA" w14:textId="1BFC284A" w:rsidR="009D09DE" w:rsidRPr="009B6AA8" w:rsidRDefault="00CF6A00" w:rsidP="00F40F72">
      <w:pPr>
        <w:pBdr>
          <w:top w:val="single" w:sz="4" w:space="1" w:color="auto"/>
          <w:left w:val="single" w:sz="4" w:space="4" w:color="auto"/>
          <w:bottom w:val="single" w:sz="4" w:space="1" w:color="auto"/>
          <w:right w:val="single" w:sz="4" w:space="4" w:color="auto"/>
        </w:pBdr>
        <w:shd w:val="clear" w:color="auto" w:fill="FFFCCC" w:themeFill="background2" w:themeFillTint="33"/>
      </w:pPr>
      <w:r w:rsidRPr="009B6AA8">
        <w:rPr>
          <w:b/>
          <w:bCs/>
        </w:rPr>
        <w:t>Recommendation 1</w:t>
      </w:r>
      <w:r w:rsidR="00753ADA">
        <w:rPr>
          <w:b/>
          <w:bCs/>
        </w:rPr>
        <w:t>3</w:t>
      </w:r>
      <w:r w:rsidRPr="009B6AA8">
        <w:rPr>
          <w:b/>
          <w:bCs/>
        </w:rPr>
        <w:t xml:space="preserve">. </w:t>
      </w:r>
      <w:r w:rsidR="00F40F72" w:rsidRPr="009B6AA8">
        <w:t xml:space="preserve">The Department should </w:t>
      </w:r>
      <w:r w:rsidR="00F40F72">
        <w:t xml:space="preserve">continue </w:t>
      </w:r>
      <w:r w:rsidR="00F40F72" w:rsidRPr="009B6AA8">
        <w:t>pausing ROHPG payments if necessary certificates of currency have not been provided</w:t>
      </w:r>
      <w:r w:rsidR="00F40F72">
        <w:t xml:space="preserve"> and could consider pausing payments if</w:t>
      </w:r>
      <w:r w:rsidR="00F40F72" w:rsidRPr="009B6AA8">
        <w:t xml:space="preserve"> equipment has not been used </w:t>
      </w:r>
      <w:r w:rsidR="00F40F72">
        <w:t xml:space="preserve">within a </w:t>
      </w:r>
      <w:r w:rsidR="00F40F72" w:rsidRPr="009B6AA8">
        <w:t>financial year</w:t>
      </w:r>
      <w:r w:rsidR="00F40F72">
        <w:t xml:space="preserve">. Similarly, </w:t>
      </w:r>
      <w:r w:rsidR="00F40F72" w:rsidRPr="009B6AA8">
        <w:t xml:space="preserve">additional penalties </w:t>
      </w:r>
      <w:r w:rsidR="00F40F72">
        <w:t xml:space="preserve">could be considered </w:t>
      </w:r>
      <w:r w:rsidR="00F40F72" w:rsidRPr="009B6AA8">
        <w:t>such as reduced payments if other funding conditions are not met</w:t>
      </w:r>
      <w:r w:rsidR="00F40F72">
        <w:t>. However</w:t>
      </w:r>
      <w:r w:rsidR="0001065C">
        <w:t>,</w:t>
      </w:r>
      <w:r w:rsidR="00F40F72">
        <w:t xml:space="preserve"> the exact nature of appropriate penalties would need to be developed in consultation with the sector to ensure patients would not be adversely affected</w:t>
      </w:r>
      <w:r w:rsidR="00F40F72" w:rsidRPr="009B6AA8">
        <w:t>.</w:t>
      </w:r>
    </w:p>
    <w:p w14:paraId="3893F745" w14:textId="1D6DE388" w:rsidR="00373EE3" w:rsidRDefault="009D09DE" w:rsidP="009F3514">
      <w:pPr>
        <w:pStyle w:val="Heading2"/>
        <w:pageBreakBefore w:val="0"/>
      </w:pPr>
      <w:bookmarkStart w:id="247" w:name="_Toc59198501"/>
      <w:bookmarkStart w:id="248" w:name="_Toc66193974"/>
      <w:bookmarkStart w:id="249" w:name="_Toc73696710"/>
      <w:r w:rsidRPr="009B6AA8">
        <w:t>Review questions</w:t>
      </w:r>
      <w:bookmarkEnd w:id="247"/>
      <w:bookmarkEnd w:id="248"/>
      <w:bookmarkEnd w:id="249"/>
    </w:p>
    <w:p w14:paraId="5760939D" w14:textId="77777777" w:rsidR="00373EE3" w:rsidRDefault="00DD41BA" w:rsidP="009D09DE">
      <w:pPr>
        <w:spacing w:before="240" w:after="160" w:line="259" w:lineRule="auto"/>
      </w:pPr>
      <w:r w:rsidRPr="009B6AA8">
        <w:t xml:space="preserve">The ROHPG Review sought to assess if the </w:t>
      </w:r>
      <w:r w:rsidR="00FD606B">
        <w:t>Scheme</w:t>
      </w:r>
      <w:r w:rsidRPr="009B6AA8">
        <w:t xml:space="preserve"> funding has been appropriately and transparently allocated, given the program’s objectives and grant criteria. Key review questions were:</w:t>
      </w:r>
    </w:p>
    <w:p w14:paraId="7E8A2EC8" w14:textId="1F81F354" w:rsidR="00DD41BA" w:rsidRPr="009B6AA8" w:rsidRDefault="00DD41BA" w:rsidP="00DD41BA">
      <w:pPr>
        <w:pStyle w:val="Quote"/>
      </w:pPr>
      <w:r w:rsidRPr="009B6AA8">
        <w:t>1. Are program administration arrangements effective in ensuring appropriate safeguards, accountability, and transparency of decision-making of grant funds?</w:t>
      </w:r>
    </w:p>
    <w:p w14:paraId="1631AEC9" w14:textId="1ED55E09" w:rsidR="00DD41BA" w:rsidRPr="009B6AA8" w:rsidRDefault="00DD41BA" w:rsidP="00DD41BA">
      <w:pPr>
        <w:pStyle w:val="Quote"/>
      </w:pPr>
      <w:r w:rsidRPr="009B6AA8">
        <w:t>2. Do the conditions of funding promote the objectives of the ROHPG Scheme and provide assurance of probity?</w:t>
      </w:r>
    </w:p>
    <w:p w14:paraId="0B0B1FE0" w14:textId="72CEAFDD" w:rsidR="00DD41BA" w:rsidRPr="009B6AA8" w:rsidRDefault="00DD41BA" w:rsidP="00DD41BA">
      <w:pPr>
        <w:pStyle w:val="Quote"/>
      </w:pPr>
      <w:r w:rsidRPr="009B6AA8">
        <w:t>3. What performance indicators should be used to assess the Scheme against its objectives?</w:t>
      </w:r>
    </w:p>
    <w:p w14:paraId="35040DD5" w14:textId="77777777" w:rsidR="00DD41BA" w:rsidRPr="009B6AA8" w:rsidRDefault="00DD41BA" w:rsidP="00461590">
      <w:r w:rsidRPr="009B6AA8">
        <w:t>The following more detailed review questions were considered:</w:t>
      </w:r>
    </w:p>
    <w:p w14:paraId="1E729903" w14:textId="77777777" w:rsidR="00DD41BA" w:rsidRPr="009B6AA8" w:rsidRDefault="00DD41BA" w:rsidP="00AC5BA9">
      <w:pPr>
        <w:pStyle w:val="ListBullet"/>
      </w:pPr>
      <w:r w:rsidRPr="009B6AA8">
        <w:t>Are the assessment criteria for applications appropriate?</w:t>
      </w:r>
    </w:p>
    <w:p w14:paraId="72D46479" w14:textId="77777777" w:rsidR="00373EE3" w:rsidRDefault="00DD41BA" w:rsidP="00AC5BA9">
      <w:pPr>
        <w:pStyle w:val="ListBullet"/>
      </w:pPr>
      <w:r w:rsidRPr="009B6AA8">
        <w:t>Are the processes and criteria to compare and assess competing applications adequate and transparent?</w:t>
      </w:r>
    </w:p>
    <w:p w14:paraId="0FDAD48E" w14:textId="2F0BCD6C" w:rsidR="00DD41BA" w:rsidRPr="009B6AA8" w:rsidRDefault="00DD41BA" w:rsidP="00AC5BA9">
      <w:pPr>
        <w:pStyle w:val="ListBullet"/>
      </w:pPr>
      <w:r w:rsidRPr="009B6AA8">
        <w:t>Are there additional considerations for comparison of public and private applications?</w:t>
      </w:r>
    </w:p>
    <w:p w14:paraId="5918F5EB" w14:textId="7154B0EC" w:rsidR="00DD41BA" w:rsidRPr="009B6AA8" w:rsidRDefault="00DD41BA" w:rsidP="00AC5BA9">
      <w:pPr>
        <w:pStyle w:val="ListBullet"/>
      </w:pPr>
      <w:r w:rsidRPr="009B6AA8">
        <w:t>What are the processes for facility payment and are these appropriate?</w:t>
      </w:r>
    </w:p>
    <w:p w14:paraId="2D9F2A43" w14:textId="18808A97" w:rsidR="00DD41BA" w:rsidRPr="009B6AA8" w:rsidRDefault="00DD41BA" w:rsidP="00AC5BA9">
      <w:pPr>
        <w:pStyle w:val="ListBullet"/>
      </w:pPr>
      <w:r w:rsidRPr="009B6AA8">
        <w:t>To what extent are the Department of Health records of application and approval processes adequate?</w:t>
      </w:r>
    </w:p>
    <w:p w14:paraId="4E2529C6" w14:textId="16F50596" w:rsidR="00DD41BA" w:rsidRPr="009B6AA8" w:rsidRDefault="00DD41BA" w:rsidP="00AC5BA9">
      <w:pPr>
        <w:pStyle w:val="ListBullet"/>
      </w:pPr>
      <w:r w:rsidRPr="009B6AA8">
        <w:t>To what extent are the Department of Health records of facility compliance adequate?</w:t>
      </w:r>
    </w:p>
    <w:p w14:paraId="31FDD06E" w14:textId="6C370CBA" w:rsidR="008700A0" w:rsidRPr="009B6AA8" w:rsidRDefault="00DD41BA" w:rsidP="00AC5BA9">
      <w:pPr>
        <w:pStyle w:val="ListBullet"/>
      </w:pPr>
      <w:r w:rsidRPr="009B6AA8">
        <w:t>How does non-compliance impact on payments?</w:t>
      </w:r>
    </w:p>
    <w:p w14:paraId="273E520E" w14:textId="3C30A497" w:rsidR="00373EE3" w:rsidRDefault="00AC5BA9" w:rsidP="009F3514">
      <w:pPr>
        <w:pStyle w:val="Heading2"/>
        <w:pageBreakBefore w:val="0"/>
      </w:pPr>
      <w:bookmarkStart w:id="250" w:name="_Toc59198502"/>
      <w:bookmarkStart w:id="251" w:name="_Toc66193975"/>
      <w:bookmarkStart w:id="252" w:name="_Toc73696711"/>
      <w:r w:rsidRPr="009B6AA8">
        <w:t>Analysis and findings</w:t>
      </w:r>
      <w:bookmarkEnd w:id="250"/>
      <w:bookmarkEnd w:id="251"/>
      <w:bookmarkEnd w:id="252"/>
    </w:p>
    <w:p w14:paraId="004EA4C0" w14:textId="100528F3" w:rsidR="00AC5BA9" w:rsidRPr="00BC705E" w:rsidRDefault="00375E68" w:rsidP="009F3514">
      <w:pPr>
        <w:pStyle w:val="heading2numbered"/>
      </w:pPr>
      <w:bookmarkStart w:id="253" w:name="_Ref57630704"/>
      <w:bookmarkStart w:id="254" w:name="_Toc59198503"/>
      <w:bookmarkStart w:id="255" w:name="_Toc66193976"/>
      <w:bookmarkStart w:id="256" w:name="_Toc73696712"/>
      <w:r w:rsidRPr="00BC705E">
        <w:t>P</w:t>
      </w:r>
      <w:r w:rsidR="00AC5BA9" w:rsidRPr="00BC705E">
        <w:t>rogram administration arrangements</w:t>
      </w:r>
      <w:bookmarkEnd w:id="253"/>
      <w:bookmarkEnd w:id="254"/>
      <w:bookmarkEnd w:id="255"/>
      <w:bookmarkEnd w:id="256"/>
    </w:p>
    <w:p w14:paraId="74A774BC" w14:textId="4232C8F0" w:rsidR="00D24992" w:rsidRPr="009B6AA8" w:rsidRDefault="00D24992" w:rsidP="00E06173">
      <w:r w:rsidRPr="009B6AA8">
        <w:t xml:space="preserve">The ROHPG </w:t>
      </w:r>
      <w:r w:rsidR="00FD606B">
        <w:t>Scheme</w:t>
      </w:r>
      <w:r w:rsidRPr="009B6AA8">
        <w:t xml:space="preserve"> requires RT </w:t>
      </w:r>
      <w:r w:rsidR="007A75A8">
        <w:t>facilities</w:t>
      </w:r>
      <w:r w:rsidRPr="009B6AA8">
        <w:t xml:space="preserve"> to complete an application form when seeking Australian Government funding towards the capital cost of </w:t>
      </w:r>
      <w:r w:rsidR="00541647" w:rsidRPr="009B6AA8">
        <w:t>high</w:t>
      </w:r>
      <w:r w:rsidR="00541647">
        <w:t>-</w:t>
      </w:r>
      <w:r w:rsidRPr="009B6AA8">
        <w:t>cost equipment (</w:t>
      </w:r>
      <w:proofErr w:type="spellStart"/>
      <w:r w:rsidRPr="009B6AA8">
        <w:t>linacs</w:t>
      </w:r>
      <w:proofErr w:type="spellEnd"/>
      <w:r w:rsidRPr="009B6AA8">
        <w:t>). Applications can be for:</w:t>
      </w:r>
    </w:p>
    <w:p w14:paraId="57364615" w14:textId="29336F96" w:rsidR="00D24992" w:rsidRPr="00461590" w:rsidRDefault="00D24992" w:rsidP="00461590">
      <w:pPr>
        <w:pStyle w:val="ListBullet"/>
      </w:pPr>
      <w:r w:rsidRPr="009B6AA8">
        <w:t xml:space="preserve">a new </w:t>
      </w:r>
      <w:r w:rsidR="007D37F3">
        <w:t>health service (</w:t>
      </w:r>
      <w:r w:rsidRPr="009B6AA8">
        <w:t>facility</w:t>
      </w:r>
      <w:r w:rsidR="007D37F3" w:rsidRPr="00461590">
        <w:t>)</w:t>
      </w:r>
    </w:p>
    <w:p w14:paraId="0EB6A2E5" w14:textId="77777777" w:rsidR="00373EE3" w:rsidRPr="00461590" w:rsidRDefault="00D24992" w:rsidP="00461590">
      <w:pPr>
        <w:pStyle w:val="ListBullet"/>
      </w:pPr>
      <w:r w:rsidRPr="00461590">
        <w:t>expansion in capacity of an existing facility</w:t>
      </w:r>
    </w:p>
    <w:p w14:paraId="182CC293" w14:textId="6E6408E8" w:rsidR="00D24992" w:rsidRPr="00461590" w:rsidRDefault="00D24992" w:rsidP="00461590">
      <w:pPr>
        <w:pStyle w:val="ListBullet"/>
      </w:pPr>
      <w:r w:rsidRPr="00461590">
        <w:t>relocation of an existing</w:t>
      </w:r>
      <w:r w:rsidR="007D37F3" w:rsidRPr="00461590">
        <w:t xml:space="preserve"> health service</w:t>
      </w:r>
      <w:r w:rsidRPr="00461590">
        <w:t>, or</w:t>
      </w:r>
    </w:p>
    <w:p w14:paraId="39EB741A" w14:textId="77777777" w:rsidR="00373EE3" w:rsidRDefault="00D24992" w:rsidP="00461590">
      <w:pPr>
        <w:pStyle w:val="ListBullet"/>
      </w:pPr>
      <w:proofErr w:type="gramStart"/>
      <w:r w:rsidRPr="00461590">
        <w:t>replacement</w:t>
      </w:r>
      <w:proofErr w:type="gramEnd"/>
      <w:r w:rsidRPr="00461590">
        <w:t xml:space="preserve"> of existing equipment.</w:t>
      </w:r>
    </w:p>
    <w:p w14:paraId="433DA4E7" w14:textId="77777777" w:rsidR="00373EE3" w:rsidRDefault="00D24992" w:rsidP="00E06173">
      <w:r w:rsidRPr="009B6AA8">
        <w:lastRenderedPageBreak/>
        <w:t xml:space="preserve">The application form is supported by the ROHPG </w:t>
      </w:r>
      <w:r w:rsidR="00FD606B">
        <w:t>Scheme</w:t>
      </w:r>
      <w:r w:rsidRPr="009B6AA8">
        <w:t xml:space="preserve"> administrative guidelines</w:t>
      </w:r>
      <w:r w:rsidR="00541647">
        <w:t>,</w:t>
      </w:r>
      <w:r w:rsidRPr="009B6AA8">
        <w:t xml:space="preserve"> which detail information on the </w:t>
      </w:r>
      <w:r w:rsidR="00FD606B">
        <w:t>Scheme</w:t>
      </w:r>
      <w:r w:rsidRPr="009B6AA8">
        <w:t xml:space="preserve"> and the five criteria that need to be addressed. The five criteria </w:t>
      </w:r>
      <w:r w:rsidR="00BA5D7E">
        <w:t xml:space="preserve">(as described in more detail in </w:t>
      </w:r>
      <w:r w:rsidR="00BA5D7E">
        <w:fldChar w:fldCharType="begin"/>
      </w:r>
      <w:r w:rsidR="00BA5D7E">
        <w:instrText xml:space="preserve"> REF _Ref57635722 \h </w:instrText>
      </w:r>
      <w:r w:rsidR="00BA5D7E">
        <w:fldChar w:fldCharType="separate"/>
      </w:r>
      <w:r w:rsidR="007C0448">
        <w:t xml:space="preserve">Table </w:t>
      </w:r>
      <w:r w:rsidR="007C0448">
        <w:rPr>
          <w:rFonts w:hint="cs"/>
          <w:noProof/>
          <w:cs/>
        </w:rPr>
        <w:t>‎</w:t>
      </w:r>
      <w:r w:rsidR="007C0448">
        <w:rPr>
          <w:noProof/>
        </w:rPr>
        <w:t>7</w:t>
      </w:r>
      <w:r w:rsidR="007C0448">
        <w:t>.</w:t>
      </w:r>
      <w:r w:rsidR="007C0448">
        <w:rPr>
          <w:noProof/>
        </w:rPr>
        <w:t>1</w:t>
      </w:r>
      <w:r w:rsidR="00BA5D7E">
        <w:fldChar w:fldCharType="end"/>
      </w:r>
      <w:r w:rsidR="00BA5D7E">
        <w:t xml:space="preserve">) </w:t>
      </w:r>
      <w:r w:rsidRPr="009B6AA8">
        <w:t>are:</w:t>
      </w:r>
    </w:p>
    <w:p w14:paraId="1C503106" w14:textId="77777777" w:rsidR="00461590" w:rsidRDefault="00D24992" w:rsidP="00461590">
      <w:pPr>
        <w:pStyle w:val="List"/>
        <w:numPr>
          <w:ilvl w:val="0"/>
          <w:numId w:val="23"/>
        </w:numPr>
      </w:pPr>
      <w:r w:rsidRPr="00BA5D7E">
        <w:t>Eligible equipment</w:t>
      </w:r>
    </w:p>
    <w:p w14:paraId="2FC8D1A3" w14:textId="77777777" w:rsidR="00461590" w:rsidRDefault="00D24992" w:rsidP="00461590">
      <w:pPr>
        <w:pStyle w:val="List"/>
        <w:numPr>
          <w:ilvl w:val="0"/>
          <w:numId w:val="23"/>
        </w:numPr>
      </w:pPr>
      <w:r w:rsidRPr="00BA5D7E">
        <w:t>Patient access</w:t>
      </w:r>
    </w:p>
    <w:p w14:paraId="120CB89F" w14:textId="77777777" w:rsidR="00461590" w:rsidRDefault="00D24992" w:rsidP="00461590">
      <w:pPr>
        <w:pStyle w:val="List"/>
        <w:numPr>
          <w:ilvl w:val="0"/>
          <w:numId w:val="23"/>
        </w:numPr>
      </w:pPr>
      <w:r w:rsidRPr="00BA5D7E">
        <w:t>Services must be affordable</w:t>
      </w:r>
    </w:p>
    <w:p w14:paraId="6A1751A6" w14:textId="77777777" w:rsidR="00461590" w:rsidRDefault="00D24992" w:rsidP="00461590">
      <w:pPr>
        <w:pStyle w:val="List"/>
        <w:numPr>
          <w:ilvl w:val="0"/>
          <w:numId w:val="23"/>
        </w:numPr>
      </w:pPr>
      <w:r w:rsidRPr="00BA5D7E">
        <w:t>Multidisciplinary and patient centred care</w:t>
      </w:r>
      <w:r w:rsidR="00BA5D7E" w:rsidRPr="00BA5D7E">
        <w:t>, and</w:t>
      </w:r>
    </w:p>
    <w:p w14:paraId="05ABF068" w14:textId="2606B33F" w:rsidR="00D24992" w:rsidRPr="00BA5D7E" w:rsidRDefault="00D24992" w:rsidP="00461590">
      <w:pPr>
        <w:pStyle w:val="List"/>
        <w:numPr>
          <w:ilvl w:val="0"/>
          <w:numId w:val="23"/>
        </w:numPr>
      </w:pPr>
      <w:r w:rsidRPr="00BA5D7E">
        <w:t>Commencement date</w:t>
      </w:r>
      <w:r w:rsidR="00BA5D7E" w:rsidRPr="00BA5D7E">
        <w:t>.</w:t>
      </w:r>
    </w:p>
    <w:p w14:paraId="1B9BB3DD" w14:textId="47DCA55E" w:rsidR="00BA5D7E" w:rsidRPr="00E06173" w:rsidRDefault="00BA5D7E" w:rsidP="00BA5D7E">
      <w:pPr>
        <w:pStyle w:val="Caption"/>
      </w:pPr>
      <w:bookmarkStart w:id="257" w:name="_Ref57635722"/>
      <w:r>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7</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1</w:t>
      </w:r>
      <w:r w:rsidR="004B24F3">
        <w:rPr>
          <w:noProof/>
        </w:rPr>
        <w:fldChar w:fldCharType="end"/>
      </w:r>
      <w:bookmarkEnd w:id="257"/>
      <w:r>
        <w:t xml:space="preserve">: </w:t>
      </w:r>
      <w:r w:rsidRPr="00E06173">
        <w:t>ROHPG criteria and application requirements</w:t>
      </w:r>
    </w:p>
    <w:tbl>
      <w:tblPr>
        <w:tblStyle w:val="HMATableA"/>
        <w:tblW w:w="0" w:type="auto"/>
        <w:tblInd w:w="-5" w:type="dxa"/>
        <w:tblLook w:val="0620" w:firstRow="1" w:lastRow="0" w:firstColumn="0" w:lastColumn="0" w:noHBand="1" w:noVBand="1"/>
        <w:tblCaption w:val="Table 7.1 ROHPG criteria and application requirements"/>
        <w:tblDescription w:val="Table showing the application requirements for five ROHPG criteria: eligible equipment, patient access, affordable services, multidisciplinary and patient-centred care, and commencement date."/>
      </w:tblPr>
      <w:tblGrid>
        <w:gridCol w:w="6158"/>
        <w:gridCol w:w="3882"/>
      </w:tblGrid>
      <w:tr w:rsidR="00B30B07" w14:paraId="37753CF7" w14:textId="77777777" w:rsidTr="00461590">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311DB61B" w14:textId="682A7FC5" w:rsidR="00B30B07" w:rsidRDefault="00B30B07" w:rsidP="00B30B07">
            <w:bookmarkStart w:id="258" w:name="_Hlk57636172"/>
            <w:r>
              <w:t>Criterion</w:t>
            </w:r>
          </w:p>
        </w:tc>
        <w:tc>
          <w:tcPr>
            <w:tcW w:w="0" w:type="auto"/>
          </w:tcPr>
          <w:p w14:paraId="5BDFE586" w14:textId="2274EC2F" w:rsidR="00B30B07" w:rsidRDefault="00B30B07" w:rsidP="00B30B07">
            <w:r>
              <w:t>Application requirements</w:t>
            </w:r>
          </w:p>
        </w:tc>
      </w:tr>
      <w:tr w:rsidR="00220513" w14:paraId="32DCE0E3" w14:textId="77777777" w:rsidTr="00461590">
        <w:trPr>
          <w:cantSplit/>
        </w:trPr>
        <w:tc>
          <w:tcPr>
            <w:tcW w:w="0" w:type="auto"/>
            <w:shd w:val="clear" w:color="auto" w:fill="BEBEBE" w:themeFill="accent5"/>
          </w:tcPr>
          <w:p w14:paraId="37D1EF2E" w14:textId="10D438AB" w:rsidR="00220513" w:rsidRPr="00B30B07" w:rsidRDefault="00220513" w:rsidP="00B30B07">
            <w:pPr>
              <w:rPr>
                <w:b/>
                <w:bCs/>
              </w:rPr>
            </w:pPr>
            <w:r w:rsidRPr="00B30B07">
              <w:rPr>
                <w:b/>
                <w:bCs/>
              </w:rPr>
              <w:t>Criterion 1:</w:t>
            </w:r>
            <w:r w:rsidR="00373EE3">
              <w:rPr>
                <w:b/>
                <w:bCs/>
              </w:rPr>
              <w:t xml:space="preserve"> </w:t>
            </w:r>
            <w:r w:rsidRPr="00B30B07">
              <w:rPr>
                <w:b/>
                <w:bCs/>
              </w:rPr>
              <w:t>Eligible equipment</w:t>
            </w:r>
          </w:p>
        </w:tc>
        <w:tc>
          <w:tcPr>
            <w:tcW w:w="0" w:type="auto"/>
            <w:shd w:val="clear" w:color="auto" w:fill="BEBEBE" w:themeFill="accent5"/>
          </w:tcPr>
          <w:p w14:paraId="40630C55" w14:textId="6D2B791B" w:rsidR="00220513" w:rsidRPr="00B30B07" w:rsidRDefault="00220513" w:rsidP="00B30B07">
            <w:pPr>
              <w:rPr>
                <w:b/>
                <w:bCs/>
              </w:rPr>
            </w:pPr>
          </w:p>
        </w:tc>
      </w:tr>
      <w:tr w:rsidR="00B30B07" w14:paraId="0ED328F0" w14:textId="77777777" w:rsidTr="00461590">
        <w:trPr>
          <w:cantSplit/>
        </w:trPr>
        <w:tc>
          <w:tcPr>
            <w:tcW w:w="0" w:type="auto"/>
          </w:tcPr>
          <w:p w14:paraId="2489036F" w14:textId="77777777" w:rsidR="00B30B07" w:rsidRDefault="00B30B07" w:rsidP="00461590">
            <w:pPr>
              <w:pStyle w:val="Tabletext"/>
            </w:pPr>
            <w:r>
              <w:t>The Minister will consider whether the equipment covered by the application is within the scope of the ROHPG Scheme. This means:</w:t>
            </w:r>
          </w:p>
          <w:p w14:paraId="63190962" w14:textId="77777777" w:rsidR="00373EE3" w:rsidRDefault="00B30B07" w:rsidP="00592036">
            <w:pPr>
              <w:pStyle w:val="TableBullets1"/>
            </w:pPr>
            <w:r>
              <w:t xml:space="preserve">it must be a </w:t>
            </w:r>
            <w:proofErr w:type="spellStart"/>
            <w:r>
              <w:t>linac</w:t>
            </w:r>
            <w:proofErr w:type="spellEnd"/>
            <w:r>
              <w:t>; and</w:t>
            </w:r>
          </w:p>
          <w:p w14:paraId="5EAC2D4B" w14:textId="6084D62B" w:rsidR="00B30B07" w:rsidRDefault="00B30B07" w:rsidP="00592036">
            <w:pPr>
              <w:pStyle w:val="TableBullets1"/>
            </w:pPr>
            <w:proofErr w:type="gramStart"/>
            <w:r>
              <w:t>it</w:t>
            </w:r>
            <w:proofErr w:type="gramEnd"/>
            <w:r>
              <w:t xml:space="preserve"> must not have been funded through other Commonwealth budget measures for external beam radiotherapy.</w:t>
            </w:r>
          </w:p>
        </w:tc>
        <w:tc>
          <w:tcPr>
            <w:tcW w:w="0" w:type="auto"/>
          </w:tcPr>
          <w:p w14:paraId="0E52855E" w14:textId="6C39E5BE" w:rsidR="00B30B07" w:rsidRDefault="00B30B07" w:rsidP="00461590">
            <w:pPr>
              <w:pStyle w:val="Tabletext"/>
            </w:pPr>
            <w:proofErr w:type="spellStart"/>
            <w:r w:rsidRPr="009B6AA8">
              <w:t>Linac</w:t>
            </w:r>
            <w:proofErr w:type="spellEnd"/>
            <w:r w:rsidRPr="009B6AA8">
              <w:t xml:space="preserve"> manufacturer, model, serial number, and Location Specific Practice Number (LSPN) of premises at which the </w:t>
            </w:r>
            <w:proofErr w:type="spellStart"/>
            <w:r w:rsidRPr="009B6AA8">
              <w:t>linac</w:t>
            </w:r>
            <w:proofErr w:type="spellEnd"/>
            <w:r w:rsidRPr="009B6AA8">
              <w:t xml:space="preserve"> is, or will be, located.</w:t>
            </w:r>
          </w:p>
        </w:tc>
      </w:tr>
      <w:tr w:rsidR="00220513" w14:paraId="74E99773" w14:textId="77777777" w:rsidTr="00461590">
        <w:trPr>
          <w:cantSplit/>
        </w:trPr>
        <w:tc>
          <w:tcPr>
            <w:tcW w:w="0" w:type="auto"/>
            <w:shd w:val="clear" w:color="auto" w:fill="BEBEBE" w:themeFill="accent5"/>
          </w:tcPr>
          <w:p w14:paraId="265549F5" w14:textId="53E6E36D" w:rsidR="00220513" w:rsidRPr="00B30B07" w:rsidRDefault="00220513" w:rsidP="00B30B07">
            <w:pPr>
              <w:keepNext/>
              <w:rPr>
                <w:b/>
                <w:bCs/>
              </w:rPr>
            </w:pPr>
            <w:r w:rsidRPr="00B30B07">
              <w:rPr>
                <w:b/>
                <w:bCs/>
              </w:rPr>
              <w:t>Criterion 2:</w:t>
            </w:r>
            <w:r w:rsidR="00373EE3">
              <w:rPr>
                <w:b/>
                <w:bCs/>
              </w:rPr>
              <w:t xml:space="preserve"> </w:t>
            </w:r>
            <w:r w:rsidRPr="00B30B07">
              <w:rPr>
                <w:b/>
                <w:bCs/>
              </w:rPr>
              <w:t>Patient access</w:t>
            </w:r>
          </w:p>
        </w:tc>
        <w:tc>
          <w:tcPr>
            <w:tcW w:w="0" w:type="auto"/>
            <w:shd w:val="clear" w:color="auto" w:fill="BEBEBE" w:themeFill="accent5"/>
          </w:tcPr>
          <w:p w14:paraId="1825959E" w14:textId="4D8C9C4E" w:rsidR="00220513" w:rsidRPr="00B30B07" w:rsidRDefault="00220513" w:rsidP="00461590">
            <w:pPr>
              <w:pStyle w:val="Tabletext"/>
              <w:rPr>
                <w:b/>
                <w:bCs/>
              </w:rPr>
            </w:pPr>
          </w:p>
        </w:tc>
      </w:tr>
      <w:tr w:rsidR="00B30B07" w14:paraId="4DB3BF1D" w14:textId="77777777" w:rsidTr="00461590">
        <w:trPr>
          <w:cantSplit/>
        </w:trPr>
        <w:tc>
          <w:tcPr>
            <w:tcW w:w="0" w:type="auto"/>
          </w:tcPr>
          <w:p w14:paraId="0F3CAEA3" w14:textId="77777777" w:rsidR="00373EE3" w:rsidRDefault="00B30B07" w:rsidP="00461590">
            <w:pPr>
              <w:pStyle w:val="Tabletext"/>
            </w:pPr>
            <w:r>
              <w:t>The Minister will consider whether the service locations covered by the application are consistent with supporting patient access to radiation oncology services, based on identified priority areas.</w:t>
            </w:r>
          </w:p>
          <w:p w14:paraId="40641ACD" w14:textId="5289E5AB" w:rsidR="00B30B07" w:rsidRDefault="00B30B07" w:rsidP="00461590">
            <w:pPr>
              <w:pStyle w:val="Tabletext"/>
            </w:pPr>
            <w:r>
              <w:t xml:space="preserve">Applications for a new health service, expansion of service or relocation where the health service will not be located in an identified priority area may be considered but must provide evidence of need and have the support of the relevant </w:t>
            </w:r>
            <w:r w:rsidR="009A3D17">
              <w:t>state</w:t>
            </w:r>
            <w:r>
              <w:t>/</w:t>
            </w:r>
            <w:r w:rsidR="009A3D17">
              <w:t>territory</w:t>
            </w:r>
            <w:r>
              <w:t>.</w:t>
            </w:r>
          </w:p>
        </w:tc>
        <w:tc>
          <w:tcPr>
            <w:tcW w:w="0" w:type="auto"/>
          </w:tcPr>
          <w:p w14:paraId="5B650669" w14:textId="5B3472EB" w:rsidR="00B30B07" w:rsidRDefault="00B30B07" w:rsidP="00461590">
            <w:pPr>
              <w:pStyle w:val="Tabletext"/>
            </w:pPr>
            <w:r w:rsidRPr="009B6AA8">
              <w:t xml:space="preserve">Information that demonstrates notification of the relevant </w:t>
            </w:r>
            <w:r w:rsidR="00ED3765">
              <w:t>s</w:t>
            </w:r>
            <w:r w:rsidR="00ED3765" w:rsidRPr="009B6AA8">
              <w:t xml:space="preserve">tate </w:t>
            </w:r>
            <w:r w:rsidRPr="009B6AA8">
              <w:t xml:space="preserve">and/or </w:t>
            </w:r>
            <w:r w:rsidR="00ED3765">
              <w:t>t</w:t>
            </w:r>
            <w:r w:rsidR="00ED3765" w:rsidRPr="009B6AA8">
              <w:t xml:space="preserve">erritory </w:t>
            </w:r>
            <w:r w:rsidR="00ED3765">
              <w:t>g</w:t>
            </w:r>
            <w:r w:rsidR="00ED3765" w:rsidRPr="009B6AA8">
              <w:t>overnments</w:t>
            </w:r>
            <w:r w:rsidRPr="009B6AA8">
              <w:t>, and that the proposed service locations are consistent with supporting patient access based on identified priority areas.</w:t>
            </w:r>
          </w:p>
        </w:tc>
      </w:tr>
      <w:tr w:rsidR="00220513" w14:paraId="4E209257" w14:textId="77777777" w:rsidTr="00461590">
        <w:trPr>
          <w:cantSplit/>
        </w:trPr>
        <w:tc>
          <w:tcPr>
            <w:tcW w:w="0" w:type="auto"/>
            <w:shd w:val="clear" w:color="auto" w:fill="BEBEBE" w:themeFill="accent5"/>
          </w:tcPr>
          <w:p w14:paraId="32DFA888" w14:textId="7E349579" w:rsidR="00220513" w:rsidRPr="00B30B07" w:rsidRDefault="00220513" w:rsidP="00B30B07">
            <w:pPr>
              <w:rPr>
                <w:b/>
                <w:bCs/>
              </w:rPr>
            </w:pPr>
            <w:r w:rsidRPr="00B30B07">
              <w:rPr>
                <w:b/>
                <w:bCs/>
              </w:rPr>
              <w:t>Criterion 3:</w:t>
            </w:r>
            <w:r w:rsidR="00373EE3">
              <w:rPr>
                <w:b/>
                <w:bCs/>
              </w:rPr>
              <w:t xml:space="preserve"> </w:t>
            </w:r>
            <w:r w:rsidRPr="00B30B07">
              <w:rPr>
                <w:b/>
                <w:bCs/>
              </w:rPr>
              <w:t>Services must be affordable</w:t>
            </w:r>
          </w:p>
        </w:tc>
        <w:tc>
          <w:tcPr>
            <w:tcW w:w="0" w:type="auto"/>
            <w:shd w:val="clear" w:color="auto" w:fill="BEBEBE" w:themeFill="accent5"/>
          </w:tcPr>
          <w:p w14:paraId="34CD96D7" w14:textId="5731F70E" w:rsidR="00220513" w:rsidRPr="00B30B07" w:rsidRDefault="00220513" w:rsidP="00461590">
            <w:pPr>
              <w:pStyle w:val="Tabletext"/>
              <w:rPr>
                <w:b/>
                <w:bCs/>
              </w:rPr>
            </w:pPr>
          </w:p>
        </w:tc>
      </w:tr>
      <w:tr w:rsidR="00B30B07" w14:paraId="334521D1" w14:textId="77777777" w:rsidTr="00461590">
        <w:trPr>
          <w:cantSplit/>
        </w:trPr>
        <w:tc>
          <w:tcPr>
            <w:tcW w:w="0" w:type="auto"/>
          </w:tcPr>
          <w:p w14:paraId="01547B51" w14:textId="77777777" w:rsidR="00B30B07" w:rsidRDefault="00B30B07" w:rsidP="00461590">
            <w:pPr>
              <w:pStyle w:val="Tabletext"/>
            </w:pPr>
            <w:r>
              <w:t>The Minister will consider whether the services which will constitute the approved health service are affordable, having regard to billing practices and the extent of out-of-pocket costs.</w:t>
            </w:r>
          </w:p>
          <w:p w14:paraId="50E6658E" w14:textId="0B056DFE" w:rsidR="00B30B07" w:rsidRDefault="00B30B07" w:rsidP="00461590">
            <w:pPr>
              <w:pStyle w:val="Tabletext"/>
            </w:pPr>
            <w:r>
              <w:t>The minimum requirement under ROHPG conditions of funding is that the approved organisation must offer Medicare bulk-billing arrangements for concessional patients.</w:t>
            </w:r>
          </w:p>
          <w:p w14:paraId="529B0472" w14:textId="31D2CCD8" w:rsidR="00B30B07" w:rsidRDefault="00B30B07" w:rsidP="00461590">
            <w:pPr>
              <w:pStyle w:val="Tabletext"/>
            </w:pPr>
            <w:r>
              <w:t>To support their application, applicants are required to provide information demonstrating that the fees charged for services that form part of the approved health service will not result in substantial out-of-pocket costs that may affect patient access to radiation oncology services.</w:t>
            </w:r>
          </w:p>
        </w:tc>
        <w:tc>
          <w:tcPr>
            <w:tcW w:w="0" w:type="auto"/>
          </w:tcPr>
          <w:p w14:paraId="20067863" w14:textId="2443725F" w:rsidR="00B30B07" w:rsidRDefault="00B30B07" w:rsidP="00461590">
            <w:pPr>
              <w:pStyle w:val="Tabletext"/>
            </w:pPr>
            <w:r w:rsidRPr="009B6AA8">
              <w:t>Information to show that the intended fees for services will not result in out-of-pocket costs that may affect patient access. This should include information about offering Medicare bulk-billing arrangements for concessional patients.</w:t>
            </w:r>
          </w:p>
        </w:tc>
      </w:tr>
      <w:tr w:rsidR="00220513" w14:paraId="4547BBF9" w14:textId="77777777" w:rsidTr="00461590">
        <w:trPr>
          <w:cantSplit/>
        </w:trPr>
        <w:tc>
          <w:tcPr>
            <w:tcW w:w="0" w:type="auto"/>
            <w:shd w:val="clear" w:color="auto" w:fill="BEBEBE" w:themeFill="accent5"/>
          </w:tcPr>
          <w:p w14:paraId="2980E91B" w14:textId="2A78B978" w:rsidR="00220513" w:rsidRPr="00B30B07" w:rsidRDefault="00220513" w:rsidP="00BA5D7E">
            <w:pPr>
              <w:keepNext/>
              <w:rPr>
                <w:b/>
                <w:bCs/>
              </w:rPr>
            </w:pPr>
            <w:r w:rsidRPr="00B30B07">
              <w:rPr>
                <w:b/>
                <w:bCs/>
              </w:rPr>
              <w:t>Criterion 4:</w:t>
            </w:r>
            <w:r w:rsidR="00373EE3">
              <w:rPr>
                <w:b/>
                <w:bCs/>
              </w:rPr>
              <w:t xml:space="preserve"> </w:t>
            </w:r>
            <w:r w:rsidRPr="00B30B07">
              <w:rPr>
                <w:b/>
                <w:bCs/>
              </w:rPr>
              <w:t>Multidisciplinary and patient-centred care</w:t>
            </w:r>
          </w:p>
        </w:tc>
        <w:tc>
          <w:tcPr>
            <w:tcW w:w="0" w:type="auto"/>
            <w:shd w:val="clear" w:color="auto" w:fill="BEBEBE" w:themeFill="accent5"/>
          </w:tcPr>
          <w:p w14:paraId="707B4D0C" w14:textId="779851A4" w:rsidR="00220513" w:rsidRPr="00B30B07" w:rsidRDefault="00220513" w:rsidP="00461590">
            <w:pPr>
              <w:pStyle w:val="Tabletext"/>
              <w:rPr>
                <w:b/>
                <w:bCs/>
              </w:rPr>
            </w:pPr>
          </w:p>
        </w:tc>
      </w:tr>
      <w:tr w:rsidR="00B30B07" w14:paraId="77BA1C94" w14:textId="77777777" w:rsidTr="00461590">
        <w:trPr>
          <w:cantSplit/>
        </w:trPr>
        <w:tc>
          <w:tcPr>
            <w:tcW w:w="0" w:type="auto"/>
          </w:tcPr>
          <w:p w14:paraId="0C7E5E9E" w14:textId="05EBDCED" w:rsidR="00B30B07" w:rsidRDefault="00B30B07" w:rsidP="00461590">
            <w:pPr>
              <w:pStyle w:val="Tabletext"/>
            </w:pPr>
            <w:r>
              <w:t>The Minister will consider whether the radiation oncology services to be provided as part of the approved health service are integrated with other cancer treatments and other medical services.</w:t>
            </w:r>
            <w:r w:rsidR="00373EE3">
              <w:t xml:space="preserve"> </w:t>
            </w:r>
            <w:r>
              <w:t>This will help ensure the best possible treatment for patients.</w:t>
            </w:r>
          </w:p>
          <w:p w14:paraId="19433C8F" w14:textId="6D78F8FE" w:rsidR="00B30B07" w:rsidRDefault="00B30B07" w:rsidP="00461590">
            <w:pPr>
              <w:pStyle w:val="Tabletext"/>
            </w:pPr>
            <w:r>
              <w:t>Applicants will be required to provide information demonstrating that the proposed approved health service will form part of an integrated cancer management system including, but not limited to, medical oncology, surgery and allied health services</w:t>
            </w:r>
            <w:r w:rsidR="00FF14A6">
              <w:t>,</w:t>
            </w:r>
            <w:r>
              <w:t xml:space="preserve"> i.e. multidisciplinary care. This includes information regarding:</w:t>
            </w:r>
          </w:p>
          <w:p w14:paraId="4377027B" w14:textId="35F89F55" w:rsidR="00B30B07" w:rsidRDefault="00B30B07" w:rsidP="00592036">
            <w:pPr>
              <w:pStyle w:val="TableBullets1"/>
            </w:pPr>
            <w:r>
              <w:t>arrangements and referral basis, if any, with the relevant specialists;</w:t>
            </w:r>
          </w:p>
          <w:p w14:paraId="47A6FBEE" w14:textId="40F14D27" w:rsidR="00B30B07" w:rsidRDefault="00B30B07" w:rsidP="00592036">
            <w:pPr>
              <w:pStyle w:val="TableBullets1"/>
            </w:pPr>
            <w:r>
              <w:t>clinical oncologists and surgeons networked into services;</w:t>
            </w:r>
          </w:p>
          <w:p w14:paraId="6C1BABBB" w14:textId="582698F6" w:rsidR="00B30B07" w:rsidRDefault="00B30B07" w:rsidP="00592036">
            <w:pPr>
              <w:pStyle w:val="TableBullets1"/>
            </w:pPr>
            <w:r>
              <w:t>details of links to other centres, particularly for on-referral or discussion on complex cases;</w:t>
            </w:r>
          </w:p>
          <w:p w14:paraId="7C980FB4" w14:textId="5170F1B3" w:rsidR="00B30B07" w:rsidRDefault="00B30B07" w:rsidP="00592036">
            <w:pPr>
              <w:pStyle w:val="TableBullets1"/>
            </w:pPr>
            <w:r>
              <w:t>access to in-patient care; and</w:t>
            </w:r>
          </w:p>
          <w:p w14:paraId="6640EF5C" w14:textId="4177BC3F" w:rsidR="00B30B07" w:rsidRDefault="00B30B07" w:rsidP="00592036">
            <w:pPr>
              <w:pStyle w:val="TableBullets1"/>
            </w:pPr>
            <w:proofErr w:type="gramStart"/>
            <w:r>
              <w:t>access</w:t>
            </w:r>
            <w:proofErr w:type="gramEnd"/>
            <w:r>
              <w:t xml:space="preserve"> to other associated follow-up care for patients.</w:t>
            </w:r>
          </w:p>
        </w:tc>
        <w:tc>
          <w:tcPr>
            <w:tcW w:w="0" w:type="auto"/>
          </w:tcPr>
          <w:p w14:paraId="642B99DA" w14:textId="5816574C" w:rsidR="00B30B07" w:rsidRDefault="00B30B07" w:rsidP="00461590">
            <w:pPr>
              <w:pStyle w:val="Tabletext"/>
            </w:pPr>
            <w:r w:rsidRPr="009B6AA8">
              <w:t>Information to demonstrate that the proposed service will form part of an integrated cancer management system</w:t>
            </w:r>
            <w:r>
              <w:t>,</w:t>
            </w:r>
            <w:r w:rsidRPr="009B6AA8">
              <w:t xml:space="preserve"> including, but not limited to, medical oncology, surgery and allied health services</w:t>
            </w:r>
            <w:r>
              <w:t>,</w:t>
            </w:r>
            <w:r w:rsidRPr="009B6AA8">
              <w:t xml:space="preserve"> i.e. multidisciplinary care.</w:t>
            </w:r>
          </w:p>
        </w:tc>
      </w:tr>
      <w:tr w:rsidR="00220513" w14:paraId="441584F9" w14:textId="77777777" w:rsidTr="00461590">
        <w:trPr>
          <w:cantSplit/>
        </w:trPr>
        <w:tc>
          <w:tcPr>
            <w:tcW w:w="0" w:type="auto"/>
            <w:shd w:val="clear" w:color="auto" w:fill="BEBEBE" w:themeFill="accent5"/>
          </w:tcPr>
          <w:p w14:paraId="3FAB5A75" w14:textId="1149BA9C" w:rsidR="00220513" w:rsidRPr="00B30B07" w:rsidRDefault="00220513" w:rsidP="00B30B07">
            <w:pPr>
              <w:keepNext/>
              <w:rPr>
                <w:b/>
                <w:bCs/>
              </w:rPr>
            </w:pPr>
            <w:r w:rsidRPr="00B30B07">
              <w:rPr>
                <w:b/>
                <w:bCs/>
              </w:rPr>
              <w:t>Criterion 5:</w:t>
            </w:r>
            <w:r w:rsidR="00373EE3">
              <w:rPr>
                <w:b/>
                <w:bCs/>
              </w:rPr>
              <w:t xml:space="preserve"> </w:t>
            </w:r>
            <w:r w:rsidRPr="00B30B07">
              <w:rPr>
                <w:b/>
                <w:bCs/>
              </w:rPr>
              <w:t xml:space="preserve">Commencement </w:t>
            </w:r>
            <w:r>
              <w:rPr>
                <w:b/>
                <w:bCs/>
              </w:rPr>
              <w:t>d</w:t>
            </w:r>
            <w:r w:rsidRPr="00B30B07">
              <w:rPr>
                <w:b/>
                <w:bCs/>
              </w:rPr>
              <w:t>ate</w:t>
            </w:r>
          </w:p>
        </w:tc>
        <w:tc>
          <w:tcPr>
            <w:tcW w:w="0" w:type="auto"/>
            <w:shd w:val="clear" w:color="auto" w:fill="BEBEBE" w:themeFill="accent5"/>
          </w:tcPr>
          <w:p w14:paraId="029FB5FE" w14:textId="6650AA8A" w:rsidR="00220513" w:rsidRPr="00B30B07" w:rsidRDefault="00220513" w:rsidP="00B30B07">
            <w:pPr>
              <w:keepNext/>
              <w:rPr>
                <w:b/>
                <w:bCs/>
              </w:rPr>
            </w:pPr>
          </w:p>
        </w:tc>
      </w:tr>
      <w:tr w:rsidR="00B30B07" w14:paraId="06CEA77B" w14:textId="77777777" w:rsidTr="00461590">
        <w:trPr>
          <w:cantSplit/>
        </w:trPr>
        <w:tc>
          <w:tcPr>
            <w:tcW w:w="0" w:type="auto"/>
          </w:tcPr>
          <w:p w14:paraId="6B367E7B" w14:textId="1F3F264F" w:rsidR="00B30B07" w:rsidRDefault="00B30B07" w:rsidP="00461590">
            <w:pPr>
              <w:pStyle w:val="Tabletext"/>
            </w:pPr>
            <w:r>
              <w:t xml:space="preserve">The Minister will consider the proposed commencement date for treating patients under the approved health service, and whether this timeframe is realistic and reasonable. The maximum period within which the Department would expect facilities and equipment which form part of an approved health service to become operational is within two years from the date of the approval under Part IV of the Act. The Minister may revoke an approval of a facility or equipment if it does not become operational within </w:t>
            </w:r>
            <w:r w:rsidR="00FE5414">
              <w:t xml:space="preserve">two </w:t>
            </w:r>
            <w:r>
              <w:t>years.</w:t>
            </w:r>
          </w:p>
        </w:tc>
        <w:tc>
          <w:tcPr>
            <w:tcW w:w="0" w:type="auto"/>
          </w:tcPr>
          <w:p w14:paraId="249F1AAA" w14:textId="2A1F134A" w:rsidR="00B30B07" w:rsidRDefault="00B30B07" w:rsidP="00461590">
            <w:pPr>
              <w:pStyle w:val="Tabletext"/>
            </w:pPr>
            <w:r w:rsidRPr="009B6AA8">
              <w:t>Proposed date by which service locations and specified equipment will be operational. For a new facility, this should be no later than two years from the date of approval.</w:t>
            </w:r>
          </w:p>
        </w:tc>
      </w:tr>
    </w:tbl>
    <w:bookmarkEnd w:id="258"/>
    <w:p w14:paraId="31C41022" w14:textId="77777777" w:rsidR="00373EE3" w:rsidRDefault="009949D6" w:rsidP="00BA5D7E">
      <w:pPr>
        <w:spacing w:before="240"/>
      </w:pPr>
      <w:r w:rsidRPr="009B6AA8">
        <w:t>In general</w:t>
      </w:r>
      <w:r w:rsidR="00541647">
        <w:t>,</w:t>
      </w:r>
      <w:r w:rsidRPr="009B6AA8">
        <w:t xml:space="preserve"> stakeholders felt the application criteria were necessary and suitable. </w:t>
      </w:r>
      <w:r w:rsidR="00E67E24" w:rsidRPr="009B6AA8">
        <w:t>No concerns were raised with criterion 1 (eligible equipment information) or criterion 5 (commencement date).</w:t>
      </w:r>
    </w:p>
    <w:p w14:paraId="59C7ABB1" w14:textId="77777777" w:rsidR="00373EE3" w:rsidRDefault="00E67E24" w:rsidP="00BA5D7E">
      <w:pPr>
        <w:spacing w:before="240"/>
      </w:pPr>
      <w:r w:rsidRPr="009B6AA8">
        <w:lastRenderedPageBreak/>
        <w:t>Comments on the remaining criteria were as follows:</w:t>
      </w:r>
    </w:p>
    <w:p w14:paraId="0BF10FF3" w14:textId="49ABAAE3" w:rsidR="00E67E24" w:rsidRPr="009B6AA8" w:rsidRDefault="00E67E24" w:rsidP="00E67E24">
      <w:pPr>
        <w:pStyle w:val="ListBullet"/>
      </w:pPr>
      <w:r w:rsidRPr="009B6AA8">
        <w:rPr>
          <w:b/>
          <w:bCs/>
        </w:rPr>
        <w:t>Criterion 2 (patient access):</w:t>
      </w:r>
      <w:r w:rsidRPr="009B6AA8">
        <w:t xml:space="preserve"> Public </w:t>
      </w:r>
      <w:r w:rsidR="007A75A8">
        <w:t>facilities</w:t>
      </w:r>
      <w:r w:rsidRPr="009B6AA8">
        <w:t xml:space="preserve">/jurisdictions felt that in areas where services already exist, the number of existing but not used bunkers should also be taken into consideration. </w:t>
      </w:r>
      <w:r w:rsidR="00057E71" w:rsidRPr="009B6AA8">
        <w:t xml:space="preserve">In addition, patient travel time was raised by many stakeholders and </w:t>
      </w:r>
      <w:r w:rsidR="00266A1B" w:rsidRPr="009B6AA8">
        <w:t xml:space="preserve">is </w:t>
      </w:r>
      <w:r w:rsidR="00057E71" w:rsidRPr="009B6AA8">
        <w:t>an important consideration for access.</w:t>
      </w:r>
    </w:p>
    <w:p w14:paraId="4EEBDF7F" w14:textId="77777777" w:rsidR="00373EE3" w:rsidRDefault="00E67E24" w:rsidP="00E67E24">
      <w:pPr>
        <w:pStyle w:val="ListBullet"/>
      </w:pPr>
      <w:r w:rsidRPr="009B6AA8">
        <w:rPr>
          <w:b/>
          <w:bCs/>
        </w:rPr>
        <w:t>Criterion 3 (affordable services):</w:t>
      </w:r>
      <w:r w:rsidRPr="009B6AA8">
        <w:t xml:space="preserve"> Public </w:t>
      </w:r>
      <w:r w:rsidR="007A75A8">
        <w:t>facilities</w:t>
      </w:r>
      <w:r w:rsidRPr="009B6AA8">
        <w:t xml:space="preserve"> and jurisdictions raised concerns over the out-of-pocket costs to patients in the private setting.</w:t>
      </w:r>
    </w:p>
    <w:p w14:paraId="2E0D7077" w14:textId="77777777" w:rsidR="00373EE3" w:rsidRDefault="00E67E24" w:rsidP="00E67E24">
      <w:pPr>
        <w:pStyle w:val="ListBullet"/>
      </w:pPr>
      <w:r w:rsidRPr="009B6AA8">
        <w:rPr>
          <w:b/>
          <w:bCs/>
        </w:rPr>
        <w:t>C</w:t>
      </w:r>
      <w:r w:rsidR="009949D6" w:rsidRPr="009B6AA8">
        <w:rPr>
          <w:b/>
          <w:bCs/>
        </w:rPr>
        <w:t>riterion 4</w:t>
      </w:r>
      <w:r w:rsidRPr="009B6AA8">
        <w:rPr>
          <w:b/>
          <w:bCs/>
        </w:rPr>
        <w:t xml:space="preserve"> (</w:t>
      </w:r>
      <w:r w:rsidR="009949D6" w:rsidRPr="009B6AA8">
        <w:rPr>
          <w:b/>
          <w:bCs/>
        </w:rPr>
        <w:t>multidisciplinary care</w:t>
      </w:r>
      <w:r w:rsidRPr="009B6AA8">
        <w:rPr>
          <w:b/>
          <w:bCs/>
        </w:rPr>
        <w:t>):</w:t>
      </w:r>
      <w:r w:rsidRPr="009B6AA8">
        <w:t xml:space="preserve"> </w:t>
      </w:r>
      <w:r w:rsidR="006D6FD7" w:rsidRPr="009B6AA8">
        <w:t xml:space="preserve">Public </w:t>
      </w:r>
      <w:r w:rsidR="007A75A8">
        <w:t>facilities</w:t>
      </w:r>
      <w:r w:rsidR="006D6FD7" w:rsidRPr="009B6AA8">
        <w:t xml:space="preserve"> </w:t>
      </w:r>
      <w:r w:rsidRPr="009B6AA8">
        <w:t xml:space="preserve">emphasised the importance for </w:t>
      </w:r>
      <w:r w:rsidR="009949D6" w:rsidRPr="009B6AA8">
        <w:t>integration with cancer care services and multidisciplinary teams a</w:t>
      </w:r>
      <w:r w:rsidR="006D6FD7" w:rsidRPr="009B6AA8">
        <w:t xml:space="preserve">s well as the </w:t>
      </w:r>
      <w:r w:rsidR="009949D6" w:rsidRPr="009B6AA8">
        <w:t xml:space="preserve">availability of support services </w:t>
      </w:r>
      <w:r w:rsidR="006D6FD7" w:rsidRPr="009B6AA8">
        <w:t>in the community</w:t>
      </w:r>
      <w:r w:rsidR="00541647">
        <w:t>,</w:t>
      </w:r>
      <w:r w:rsidR="006D6FD7" w:rsidRPr="009B6AA8">
        <w:t xml:space="preserve"> </w:t>
      </w:r>
      <w:r w:rsidR="009949D6" w:rsidRPr="009B6AA8">
        <w:t xml:space="preserve">including allied health providers and GPs capable of managing RT side-effects. </w:t>
      </w:r>
      <w:r w:rsidR="006D6FD7" w:rsidRPr="009B6AA8">
        <w:t xml:space="preserve">Peak bodies / </w:t>
      </w:r>
      <w:r w:rsidR="00A92CDD">
        <w:t>C</w:t>
      </w:r>
      <w:r w:rsidR="00541647" w:rsidRPr="009B6AA8">
        <w:t xml:space="preserve">olleges </w:t>
      </w:r>
      <w:r w:rsidR="009949D6" w:rsidRPr="009B6AA8">
        <w:t xml:space="preserve">commented that networking was </w:t>
      </w:r>
      <w:r w:rsidR="006D6FD7" w:rsidRPr="009B6AA8">
        <w:t>especially important so that centres were not isolated. Stand</w:t>
      </w:r>
      <w:r w:rsidRPr="009B6AA8">
        <w:t>-</w:t>
      </w:r>
      <w:r w:rsidR="006D6FD7" w:rsidRPr="009B6AA8">
        <w:t>alone centres need to be connected for professional development</w:t>
      </w:r>
      <w:r w:rsidR="00C71FC2" w:rsidRPr="009B6AA8">
        <w:t xml:space="preserve"> and quality and safety </w:t>
      </w:r>
      <w:r w:rsidR="006D6FD7" w:rsidRPr="009B6AA8">
        <w:t>purposes.</w:t>
      </w:r>
    </w:p>
    <w:p w14:paraId="5E110731" w14:textId="49E9EBF2" w:rsidR="009949D6" w:rsidRPr="009B6AA8" w:rsidRDefault="00E67E24" w:rsidP="00E67E24">
      <w:pPr>
        <w:pStyle w:val="Finding"/>
      </w:pPr>
      <w:r w:rsidRPr="009B6AA8">
        <w:t xml:space="preserve">ROHPG assessment criteria are </w:t>
      </w:r>
      <w:r w:rsidR="00D65C79" w:rsidRPr="009B6AA8">
        <w:t>appropriate but</w:t>
      </w:r>
      <w:r w:rsidR="00C71FC2" w:rsidRPr="009B6AA8">
        <w:t xml:space="preserve"> could be strengthened in </w:t>
      </w:r>
      <w:r w:rsidR="00266A1B" w:rsidRPr="009B6AA8">
        <w:t xml:space="preserve">several </w:t>
      </w:r>
      <w:r w:rsidR="00C71FC2" w:rsidRPr="009B6AA8">
        <w:t>areas</w:t>
      </w:r>
      <w:r w:rsidR="00266A1B" w:rsidRPr="009B6AA8">
        <w:t xml:space="preserve"> relating to patient access, affordability and ensuring multidisciplinary care.</w:t>
      </w:r>
    </w:p>
    <w:p w14:paraId="27692758" w14:textId="77777777" w:rsidR="00373EE3" w:rsidRDefault="00E67E24" w:rsidP="003F1EA3">
      <w:pPr>
        <w:spacing w:before="240"/>
      </w:pPr>
      <w:r w:rsidRPr="009B6AA8">
        <w:t xml:space="preserve">The </w:t>
      </w:r>
      <w:r w:rsidR="00266A1B" w:rsidRPr="009B6AA8">
        <w:t>r</w:t>
      </w:r>
      <w:r w:rsidRPr="009B6AA8">
        <w:t xml:space="preserve">eview sought to assess the suitability of information provided in ROHPG applications and the transparency of the Department’s assessment for approval (or otherwise). To do so, HMA reviewed example application forms submitted by </w:t>
      </w:r>
      <w:r w:rsidR="001950FD" w:rsidRPr="009B6AA8">
        <w:t>two different provider</w:t>
      </w:r>
      <w:r w:rsidR="009522CF" w:rsidRPr="009B6AA8">
        <w:t xml:space="preserve">s (one for a new facility and one for a replacement </w:t>
      </w:r>
      <w:proofErr w:type="spellStart"/>
      <w:r w:rsidR="009522CF" w:rsidRPr="009B6AA8">
        <w:t>linac</w:t>
      </w:r>
      <w:proofErr w:type="spellEnd"/>
      <w:r w:rsidR="009522CF" w:rsidRPr="009B6AA8">
        <w:t>)</w:t>
      </w:r>
      <w:r w:rsidR="001950FD" w:rsidRPr="009B6AA8">
        <w:t xml:space="preserve">, and examples of Departmental letters of approval. </w:t>
      </w:r>
      <w:r w:rsidR="009522CF" w:rsidRPr="009B6AA8">
        <w:t>The analysis is presented below.</w:t>
      </w:r>
    </w:p>
    <w:p w14:paraId="6C3CCD68" w14:textId="54A05EFE" w:rsidR="009522CF" w:rsidRPr="00BC705E" w:rsidRDefault="009522CF" w:rsidP="00DF2D1F">
      <w:pPr>
        <w:pStyle w:val="Heading4"/>
      </w:pPr>
      <w:bookmarkStart w:id="259" w:name="_Toc66193977"/>
      <w:r w:rsidRPr="00BC705E">
        <w:t>Criterion 1: Eligible equipment</w:t>
      </w:r>
      <w:bookmarkEnd w:id="259"/>
    </w:p>
    <w:p w14:paraId="781ED6BF" w14:textId="77777777" w:rsidR="00373EE3" w:rsidRDefault="009522CF" w:rsidP="00057E71">
      <w:r w:rsidRPr="009B6AA8">
        <w:t xml:space="preserve">The information provided for this criterion is </w:t>
      </w:r>
      <w:r w:rsidR="00266A1B" w:rsidRPr="009B6AA8">
        <w:t>adequate</w:t>
      </w:r>
      <w:r w:rsidRPr="009B6AA8">
        <w:t xml:space="preserve">. Since the funding amounts for </w:t>
      </w:r>
      <w:proofErr w:type="spellStart"/>
      <w:r w:rsidRPr="009B6AA8">
        <w:t>linacs</w:t>
      </w:r>
      <w:proofErr w:type="spellEnd"/>
      <w:r w:rsidRPr="009B6AA8">
        <w:t xml:space="preserve"> are now set at $3</w:t>
      </w:r>
      <w:r w:rsidR="00D65C79">
        <w:t xml:space="preserve"> </w:t>
      </w:r>
      <w:r w:rsidRPr="00D65C79">
        <w:t>m</w:t>
      </w:r>
      <w:r w:rsidR="0066465D">
        <w:t>illion</w:t>
      </w:r>
      <w:r w:rsidRPr="00D65C79">
        <w:t xml:space="preserve"> regardless of actual machine cost, this information is m</w:t>
      </w:r>
      <w:r w:rsidR="00266A1B" w:rsidRPr="009B6AA8">
        <w:t>ainly collected</w:t>
      </w:r>
      <w:r w:rsidRPr="009B6AA8">
        <w:t xml:space="preserve"> for record keeping</w:t>
      </w:r>
      <w:r w:rsidR="00266A1B" w:rsidRPr="009B6AA8">
        <w:t xml:space="preserve"> purposes</w:t>
      </w:r>
      <w:r w:rsidRPr="009B6AA8">
        <w:t>.</w:t>
      </w:r>
    </w:p>
    <w:p w14:paraId="637AEDE9" w14:textId="77777777" w:rsidR="00373EE3" w:rsidRDefault="009522CF" w:rsidP="00057E71">
      <w:r w:rsidRPr="009B6AA8">
        <w:t xml:space="preserve">However, there is no process with which to compare one type of </w:t>
      </w:r>
      <w:proofErr w:type="spellStart"/>
      <w:r w:rsidRPr="009B6AA8">
        <w:t>linac</w:t>
      </w:r>
      <w:proofErr w:type="spellEnd"/>
      <w:r w:rsidRPr="009B6AA8">
        <w:t xml:space="preserve"> to another should competing applications be submitted. The difference in treatment capabilities of different </w:t>
      </w:r>
      <w:proofErr w:type="spellStart"/>
      <w:r w:rsidRPr="009B6AA8">
        <w:t>li</w:t>
      </w:r>
      <w:r w:rsidR="00057E71" w:rsidRPr="009B6AA8">
        <w:t>nacs</w:t>
      </w:r>
      <w:proofErr w:type="spellEnd"/>
      <w:r w:rsidRPr="009B6AA8">
        <w:t xml:space="preserve"> is not requested. Nor does the application request information on the necessity of more advanced treatments for the cancer incidence of the cohort population, or the existing availability of these treatments within the region.</w:t>
      </w:r>
    </w:p>
    <w:p w14:paraId="4CADACAE" w14:textId="52215306" w:rsidR="009522CF" w:rsidRPr="00BC705E" w:rsidRDefault="009522CF" w:rsidP="00DF2D1F">
      <w:pPr>
        <w:pStyle w:val="Heading4"/>
      </w:pPr>
      <w:bookmarkStart w:id="260" w:name="_Toc66193978"/>
      <w:r w:rsidRPr="00BC705E">
        <w:t xml:space="preserve">Criterion 2: Patient </w:t>
      </w:r>
      <w:r w:rsidRPr="00DF2D1F">
        <w:t>access</w:t>
      </w:r>
      <w:bookmarkEnd w:id="260"/>
    </w:p>
    <w:p w14:paraId="66BF0986" w14:textId="02652BA7" w:rsidR="00057E71" w:rsidRPr="009B6AA8" w:rsidRDefault="009522CF" w:rsidP="00057E71">
      <w:r w:rsidRPr="009B6AA8">
        <w:t xml:space="preserve">Acknowledging that the review only analysed </w:t>
      </w:r>
      <w:r w:rsidR="00266A1B" w:rsidRPr="009B6AA8">
        <w:t>two</w:t>
      </w:r>
      <w:r w:rsidRPr="009B6AA8">
        <w:t xml:space="preserve"> applications, it appeared that the replacement </w:t>
      </w:r>
      <w:r w:rsidR="00057E71" w:rsidRPr="009B6AA8">
        <w:t>application</w:t>
      </w:r>
      <w:r w:rsidRPr="009B6AA8">
        <w:t xml:space="preserve"> provided more detail about RT demand/need in the region compared to the new application. The new application was in an identified </w:t>
      </w:r>
      <w:r w:rsidR="00057E71" w:rsidRPr="009B6AA8">
        <w:t>priority</w:t>
      </w:r>
      <w:r w:rsidRPr="009B6AA8">
        <w:t xml:space="preserve"> area</w:t>
      </w:r>
      <w:r w:rsidR="00057E71" w:rsidRPr="009B6AA8">
        <w:t>, which was the extent of information provided about patient need or access.</w:t>
      </w:r>
    </w:p>
    <w:p w14:paraId="44EBAEBE" w14:textId="77777777" w:rsidR="00373EE3" w:rsidRDefault="00DF1E09" w:rsidP="00057E71">
      <w:r w:rsidRPr="009B6AA8">
        <w:t xml:space="preserve">Listing as a priority area demonstrates the need for RT services based on cancer incidence rates and </w:t>
      </w:r>
      <w:proofErr w:type="gramStart"/>
      <w:r w:rsidRPr="009B6AA8">
        <w:t>OURs</w:t>
      </w:r>
      <w:proofErr w:type="gramEnd"/>
      <w:r w:rsidRPr="009B6AA8">
        <w:t>. However, it does not facto</w:t>
      </w:r>
      <w:r w:rsidR="00266A1B" w:rsidRPr="009B6AA8">
        <w:t>r-in</w:t>
      </w:r>
      <w:r w:rsidRPr="009B6AA8">
        <w:t xml:space="preserve"> </w:t>
      </w:r>
      <w:r w:rsidR="00266A1B" w:rsidRPr="009B6AA8">
        <w:t xml:space="preserve">patient </w:t>
      </w:r>
      <w:r w:rsidRPr="009B6AA8">
        <w:t xml:space="preserve">in/out flow </w:t>
      </w:r>
      <w:r w:rsidR="00266A1B" w:rsidRPr="009B6AA8">
        <w:t xml:space="preserve">to </w:t>
      </w:r>
      <w:r w:rsidRPr="009B6AA8">
        <w:t>the region for health services</w:t>
      </w:r>
      <w:r w:rsidR="00266A1B" w:rsidRPr="009B6AA8">
        <w:t>, the</w:t>
      </w:r>
      <w:r w:rsidRPr="009B6AA8">
        <w:t xml:space="preserve"> impact on patient travel times expected </w:t>
      </w:r>
      <w:r w:rsidR="00266A1B" w:rsidRPr="009B6AA8">
        <w:t xml:space="preserve">as a result of implementation, </w:t>
      </w:r>
      <w:r w:rsidRPr="009B6AA8">
        <w:t xml:space="preserve">or the </w:t>
      </w:r>
      <w:r w:rsidR="00D65C79" w:rsidRPr="009B6AA8">
        <w:t>case mix</w:t>
      </w:r>
      <w:r w:rsidRPr="009B6AA8">
        <w:t xml:space="preserve"> of the patient cohort. In addition, priority areas are large geographic regions, and the placement of a new service within the priority area should be considered.</w:t>
      </w:r>
    </w:p>
    <w:p w14:paraId="078E329A" w14:textId="77777777" w:rsidR="00373EE3" w:rsidRDefault="00DF1E09" w:rsidP="00DF1E09">
      <w:r w:rsidRPr="009B6AA8">
        <w:t>Although no competing application</w:t>
      </w:r>
      <w:r w:rsidR="00266A1B" w:rsidRPr="009B6AA8">
        <w:t>s</w:t>
      </w:r>
      <w:r w:rsidRPr="009B6AA8">
        <w:t xml:space="preserve"> for an identified priority area have been received to date, the Department will need to be prepared for this occur</w:t>
      </w:r>
      <w:r w:rsidR="00266A1B" w:rsidRPr="009B6AA8">
        <w:t>rence</w:t>
      </w:r>
      <w:r w:rsidRPr="009B6AA8">
        <w:t xml:space="preserve"> in future. At present, the existing approval process does not have a mechanism to score the relative merits of competing applications.</w:t>
      </w:r>
    </w:p>
    <w:p w14:paraId="7EE20625" w14:textId="77777777" w:rsidR="00373EE3" w:rsidRDefault="00DF1E09" w:rsidP="00057E71">
      <w:r w:rsidRPr="009B6AA8">
        <w:t xml:space="preserve">In addition, it is plausible that within a priority area one application may be for a new facility, and another for expansion of an existing service. The Department will need to introduce </w:t>
      </w:r>
      <w:r w:rsidR="00266A1B" w:rsidRPr="009B6AA8">
        <w:t xml:space="preserve">a </w:t>
      </w:r>
      <w:r w:rsidRPr="009B6AA8">
        <w:t xml:space="preserve">transparent scoring matrix to weigh up the pros and cons </w:t>
      </w:r>
      <w:r w:rsidR="00266A1B" w:rsidRPr="009B6AA8">
        <w:t xml:space="preserve">of </w:t>
      </w:r>
      <w:r w:rsidR="00395929" w:rsidRPr="009B6AA8">
        <w:t>competing applications such as:</w:t>
      </w:r>
    </w:p>
    <w:p w14:paraId="26CDDEB2" w14:textId="77777777" w:rsidR="00373EE3" w:rsidRDefault="00395929" w:rsidP="00395929">
      <w:pPr>
        <w:pStyle w:val="ListBullet"/>
      </w:pPr>
      <w:r w:rsidRPr="009B6AA8">
        <w:t>expansion and existing efficiencies versus a new facility and patient choice of provider, and</w:t>
      </w:r>
    </w:p>
    <w:p w14:paraId="67B07EAB" w14:textId="77777777" w:rsidR="00373EE3" w:rsidRDefault="00395929" w:rsidP="00395929">
      <w:pPr>
        <w:pStyle w:val="ListBullet"/>
      </w:pPr>
      <w:proofErr w:type="gramStart"/>
      <w:r w:rsidRPr="009B6AA8">
        <w:t>public</w:t>
      </w:r>
      <w:proofErr w:type="gramEnd"/>
      <w:r w:rsidRPr="009B6AA8">
        <w:t xml:space="preserve"> services versus private service and potential out-of-pocket costs for some patients.</w:t>
      </w:r>
    </w:p>
    <w:p w14:paraId="6C2133D5" w14:textId="77777777" w:rsidR="00373EE3" w:rsidRDefault="00395929" w:rsidP="00395929">
      <w:r w:rsidRPr="009B6AA8">
        <w:t>Additional information that would encourage transparency includes:</w:t>
      </w:r>
    </w:p>
    <w:p w14:paraId="0C508F87" w14:textId="78F863FF" w:rsidR="00395929" w:rsidRPr="009B6AA8" w:rsidRDefault="00395929" w:rsidP="00395929">
      <w:pPr>
        <w:pStyle w:val="ListBullet"/>
      </w:pPr>
      <w:r w:rsidRPr="009B6AA8">
        <w:t>current patient throughput per month (last 12 months) for existing services to determine if enhanced patient access could be achieved through efficiency gains (e.g. increased operational hours), and</w:t>
      </w:r>
    </w:p>
    <w:p w14:paraId="17263CE2" w14:textId="77777777" w:rsidR="00373EE3" w:rsidRDefault="00395929" w:rsidP="00395929">
      <w:pPr>
        <w:pStyle w:val="ListBullet"/>
      </w:pPr>
      <w:proofErr w:type="gramStart"/>
      <w:r w:rsidRPr="009B6AA8">
        <w:t>demonstration</w:t>
      </w:r>
      <w:proofErr w:type="gramEnd"/>
      <w:r w:rsidRPr="009B6AA8">
        <w:t xml:space="preserve"> that any new location is in an optimal geographic area to enhance access and reduce patient travel times.</w:t>
      </w:r>
    </w:p>
    <w:p w14:paraId="131243D7" w14:textId="77777777" w:rsidR="00373EE3" w:rsidRDefault="00395929" w:rsidP="00395929">
      <w:pPr>
        <w:pStyle w:val="Finding"/>
      </w:pPr>
      <w:r w:rsidRPr="009B6AA8">
        <w:t xml:space="preserve">The level of detail for patient access in priority area locations is insufficient for </w:t>
      </w:r>
      <w:r w:rsidR="00266A1B" w:rsidRPr="009B6AA8">
        <w:t xml:space="preserve">comprehensive </w:t>
      </w:r>
      <w:r w:rsidRPr="009B6AA8">
        <w:t xml:space="preserve">comparison of applications. The ROHPG guidelines should be more explicit about what information </w:t>
      </w:r>
      <w:r w:rsidR="00541647">
        <w:t>is</w:t>
      </w:r>
      <w:r w:rsidRPr="009B6AA8">
        <w:t xml:space="preserve"> presented in this criterion, even in priority area locations.</w:t>
      </w:r>
    </w:p>
    <w:p w14:paraId="1FB1722C" w14:textId="30FA72C9" w:rsidR="001950FD" w:rsidRPr="00BC705E" w:rsidRDefault="009522CF" w:rsidP="00DF2D1F">
      <w:pPr>
        <w:pStyle w:val="Heading4"/>
      </w:pPr>
      <w:bookmarkStart w:id="261" w:name="_Toc66193979"/>
      <w:r w:rsidRPr="00BC705E">
        <w:t>Criterion 3: Services must be affordable</w:t>
      </w:r>
      <w:bookmarkEnd w:id="261"/>
    </w:p>
    <w:p w14:paraId="429D14D5" w14:textId="7AABAD4A" w:rsidR="00ED5B22" w:rsidRPr="009B6AA8" w:rsidRDefault="00ED5B22" w:rsidP="00ED5B22">
      <w:r w:rsidRPr="009B6AA8">
        <w:t xml:space="preserve">The phrasing of the </w:t>
      </w:r>
      <w:r w:rsidR="00541647" w:rsidRPr="009B6AA8">
        <w:t>criteri</w:t>
      </w:r>
      <w:r w:rsidR="00541647">
        <w:t>on</w:t>
      </w:r>
      <w:r w:rsidR="00541647" w:rsidRPr="009B6AA8">
        <w:t xml:space="preserve"> </w:t>
      </w:r>
      <w:r w:rsidRPr="009B6AA8">
        <w:t>is vague and left up to interpretation by respondents.</w:t>
      </w:r>
      <w:r w:rsidR="00266A1B" w:rsidRPr="009B6AA8">
        <w:t xml:space="preserve"> It currently states that applications</w:t>
      </w:r>
    </w:p>
    <w:p w14:paraId="1A8558E0" w14:textId="77777777" w:rsidR="00373EE3" w:rsidRDefault="00ED5B22" w:rsidP="00ED5B22">
      <w:pPr>
        <w:pStyle w:val="Quote"/>
      </w:pPr>
      <w:r w:rsidRPr="009B6AA8">
        <w:lastRenderedPageBreak/>
        <w:t>‘</w:t>
      </w:r>
      <w:r w:rsidR="00F12D59" w:rsidRPr="009B6AA8">
        <w:t>…</w:t>
      </w:r>
      <w:r w:rsidRPr="009B6AA8">
        <w:t>will not result in out-of-pocket costs that may affect patient access to radiation oncology services</w:t>
      </w:r>
      <w:r w:rsidR="00F12D59" w:rsidRPr="009B6AA8">
        <w:t>.</w:t>
      </w:r>
      <w:r w:rsidRPr="009B6AA8">
        <w:t>’</w:t>
      </w:r>
    </w:p>
    <w:p w14:paraId="49813D8B" w14:textId="77777777" w:rsidR="00373EE3" w:rsidRDefault="00266A1B" w:rsidP="00057E71">
      <w:r w:rsidRPr="009B6AA8">
        <w:t>Our review of two applications found that p</w:t>
      </w:r>
      <w:r w:rsidR="009A6AB9" w:rsidRPr="009B6AA8">
        <w:t>rivate providers provide</w:t>
      </w:r>
      <w:r w:rsidR="00541647">
        <w:t>d</w:t>
      </w:r>
      <w:r w:rsidR="009A6AB9" w:rsidRPr="009B6AA8">
        <w:t xml:space="preserve"> mixed levels of information about out-of-pocket costs. </w:t>
      </w:r>
      <w:r w:rsidR="00ED5B22" w:rsidRPr="009B6AA8">
        <w:t xml:space="preserve">Private </w:t>
      </w:r>
      <w:r w:rsidR="009A6AB9" w:rsidRPr="009B6AA8">
        <w:t>providers indicated that the concessional patients will be bulk-billed, which is the minimum requested by the ROHPG.</w:t>
      </w:r>
    </w:p>
    <w:p w14:paraId="56B35F9D" w14:textId="08AF55F5" w:rsidR="009A6AB9" w:rsidRPr="009B6AA8" w:rsidRDefault="009A6AB9" w:rsidP="00057E71">
      <w:r w:rsidRPr="009B6AA8">
        <w:t xml:space="preserve">Other information provided </w:t>
      </w:r>
      <w:r w:rsidR="00ED5B22" w:rsidRPr="009B6AA8">
        <w:t>i</w:t>
      </w:r>
      <w:r w:rsidRPr="009B6AA8">
        <w:t>nclude</w:t>
      </w:r>
      <w:r w:rsidR="00ED5B22" w:rsidRPr="009B6AA8">
        <w:t>d</w:t>
      </w:r>
      <w:r w:rsidRPr="009B6AA8">
        <w:t>:</w:t>
      </w:r>
    </w:p>
    <w:p w14:paraId="19AEAFCA" w14:textId="77777777" w:rsidR="00373EE3" w:rsidRDefault="009A6AB9" w:rsidP="009A6AB9">
      <w:pPr>
        <w:pStyle w:val="ListBullet"/>
      </w:pPr>
      <w:r w:rsidRPr="009B6AA8">
        <w:t>bulk-billing options for Department of Veterans’ Affairs (DVA) patients or palliative treatments</w:t>
      </w:r>
    </w:p>
    <w:p w14:paraId="0C47D05B" w14:textId="77777777" w:rsidR="00373EE3" w:rsidRDefault="009A6AB9" w:rsidP="009A6AB9">
      <w:pPr>
        <w:pStyle w:val="ListBullet"/>
      </w:pPr>
      <w:r w:rsidRPr="009B6AA8">
        <w:t>capping of fees at a set proportion of the Medicare schedule fee, or</w:t>
      </w:r>
    </w:p>
    <w:p w14:paraId="37E70ABB" w14:textId="77777777" w:rsidR="00373EE3" w:rsidRDefault="009A6AB9" w:rsidP="009A6AB9">
      <w:pPr>
        <w:pStyle w:val="ListBullet"/>
      </w:pPr>
      <w:proofErr w:type="gramStart"/>
      <w:r w:rsidRPr="009B6AA8">
        <w:t>availability</w:t>
      </w:r>
      <w:proofErr w:type="gramEnd"/>
      <w:r w:rsidRPr="009B6AA8">
        <w:t xml:space="preserve"> of payment plans.</w:t>
      </w:r>
    </w:p>
    <w:p w14:paraId="77B55149" w14:textId="77777777" w:rsidR="00373EE3" w:rsidRDefault="009A6AB9" w:rsidP="00057E71">
      <w:r w:rsidRPr="009B6AA8">
        <w:t>This information is not explicitly sought from the ROHPG application and the impact on the assessment process is not transparent.</w:t>
      </w:r>
    </w:p>
    <w:p w14:paraId="4EE82B20" w14:textId="3593872B" w:rsidR="009A6AB9" w:rsidRPr="009B6AA8" w:rsidRDefault="009A6AB9" w:rsidP="00A22314">
      <w:pPr>
        <w:keepNext/>
      </w:pPr>
      <w:r w:rsidRPr="009B6AA8">
        <w:t>For example, for two competing applications:</w:t>
      </w:r>
    </w:p>
    <w:p w14:paraId="4B1A0324" w14:textId="77777777" w:rsidR="00373EE3" w:rsidRDefault="009A6AB9" w:rsidP="00A22314">
      <w:pPr>
        <w:pStyle w:val="ListBullet"/>
      </w:pPr>
      <w:proofErr w:type="gramStart"/>
      <w:r w:rsidRPr="009B6AA8">
        <w:t>would</w:t>
      </w:r>
      <w:proofErr w:type="gramEnd"/>
      <w:r w:rsidRPr="009B6AA8">
        <w:t xml:space="preserve"> the indication of 100% bulk-billing score more favourably than bulk-billing only concessional patients?</w:t>
      </w:r>
      <w:r w:rsidR="00A22314" w:rsidRPr="009B6AA8">
        <w:t xml:space="preserve"> or</w:t>
      </w:r>
    </w:p>
    <w:p w14:paraId="4B704007" w14:textId="01FC6777" w:rsidR="009A6AB9" w:rsidRPr="009B6AA8" w:rsidRDefault="00A22314" w:rsidP="00A22314">
      <w:pPr>
        <w:pStyle w:val="ListBullet"/>
      </w:pPr>
      <w:proofErr w:type="gramStart"/>
      <w:r w:rsidRPr="009B6AA8">
        <w:t>w</w:t>
      </w:r>
      <w:r w:rsidR="009A6AB9" w:rsidRPr="009B6AA8">
        <w:t>ould</w:t>
      </w:r>
      <w:proofErr w:type="gramEnd"/>
      <w:r w:rsidR="009A6AB9" w:rsidRPr="009B6AA8">
        <w:t xml:space="preserve"> </w:t>
      </w:r>
      <w:r w:rsidR="00B67B8C" w:rsidRPr="009B6AA8">
        <w:t>a capped service fee for non-concessional patients score more favourably than a payment plan or a higher capped fee?</w:t>
      </w:r>
    </w:p>
    <w:p w14:paraId="0FD5D378" w14:textId="77777777" w:rsidR="00373EE3" w:rsidRDefault="00BA5D7E" w:rsidP="00ED5B22">
      <w:r>
        <w:t>The additional</w:t>
      </w:r>
      <w:r w:rsidR="00ED5B22" w:rsidRPr="009B6AA8">
        <w:t xml:space="preserve"> context </w:t>
      </w:r>
      <w:r>
        <w:t xml:space="preserve">of the proposed location for </w:t>
      </w:r>
      <w:r w:rsidR="00ED5B22" w:rsidRPr="009B6AA8">
        <w:t>services</w:t>
      </w:r>
      <w:r w:rsidR="00541647">
        <w:t xml:space="preserve"> </w:t>
      </w:r>
      <w:r w:rsidR="00ED5B22" w:rsidRPr="009B6AA8">
        <w:t xml:space="preserve">is not considered within the criterion. For example, the availability of bulk-billed services to non-concessional patients </w:t>
      </w:r>
      <w:r w:rsidR="00266A1B" w:rsidRPr="009B6AA8">
        <w:t>could be</w:t>
      </w:r>
      <w:r w:rsidR="00ED5B22" w:rsidRPr="009B6AA8">
        <w:t xml:space="preserve"> considered of more importance in areas with no public alternatives nearby.</w:t>
      </w:r>
    </w:p>
    <w:p w14:paraId="3E9062EA" w14:textId="77777777" w:rsidR="00373EE3" w:rsidRDefault="00B67B8C" w:rsidP="00A22314">
      <w:pPr>
        <w:pStyle w:val="Finding"/>
      </w:pPr>
      <w:r w:rsidRPr="009B6AA8">
        <w:t>An indication of bulk-billing for concessional patients</w:t>
      </w:r>
      <w:r w:rsidR="00ED5B22" w:rsidRPr="009B6AA8">
        <w:t xml:space="preserve"> </w:t>
      </w:r>
      <w:r w:rsidRPr="009B6AA8">
        <w:t>is essential</w:t>
      </w:r>
      <w:r w:rsidR="00ED5B22" w:rsidRPr="009B6AA8">
        <w:t>.</w:t>
      </w:r>
    </w:p>
    <w:p w14:paraId="79F01D13" w14:textId="191E6834" w:rsidR="00517A17" w:rsidRPr="009B6AA8" w:rsidRDefault="00517A17" w:rsidP="00A22314">
      <w:pPr>
        <w:pStyle w:val="Finding"/>
      </w:pPr>
      <w:r w:rsidRPr="009B6AA8">
        <w:t>The criterion should also seek a</w:t>
      </w:r>
      <w:r w:rsidR="00ED5B22" w:rsidRPr="009B6AA8">
        <w:t xml:space="preserve">dditional information </w:t>
      </w:r>
      <w:r w:rsidRPr="009B6AA8">
        <w:t xml:space="preserve">about the </w:t>
      </w:r>
      <w:r w:rsidR="00ED5B22" w:rsidRPr="009B6AA8">
        <w:t xml:space="preserve">proximity of </w:t>
      </w:r>
      <w:r w:rsidRPr="009B6AA8">
        <w:t xml:space="preserve">100% bulk-billed </w:t>
      </w:r>
      <w:r w:rsidR="00ED5B22" w:rsidRPr="009B6AA8">
        <w:t>services</w:t>
      </w:r>
      <w:r w:rsidRPr="009B6AA8">
        <w:t xml:space="preserve"> (e.g. public </w:t>
      </w:r>
      <w:r w:rsidR="007A75A8">
        <w:t>facilities</w:t>
      </w:r>
      <w:r w:rsidRPr="009B6AA8">
        <w:t>).</w:t>
      </w:r>
    </w:p>
    <w:p w14:paraId="60642BEC" w14:textId="266B175A" w:rsidR="00B67B8C" w:rsidRPr="009B6AA8" w:rsidRDefault="00517A17" w:rsidP="00A22314">
      <w:pPr>
        <w:pStyle w:val="Finding"/>
      </w:pPr>
      <w:r w:rsidRPr="009B6AA8">
        <w:t xml:space="preserve">The criterion should include a description of how additional </w:t>
      </w:r>
      <w:r w:rsidR="00B67B8C" w:rsidRPr="009B6AA8">
        <w:t>billing information</w:t>
      </w:r>
      <w:r w:rsidRPr="009B6AA8">
        <w:t xml:space="preserve"> (e.g. fee schedules) will be scored and compared.</w:t>
      </w:r>
    </w:p>
    <w:p w14:paraId="6DFCCB05" w14:textId="77777777" w:rsidR="00373EE3" w:rsidRDefault="00FA68FE" w:rsidP="00766E08">
      <w:pPr>
        <w:spacing w:before="240"/>
      </w:pPr>
      <w:r w:rsidRPr="009B6AA8">
        <w:t xml:space="preserve">Public </w:t>
      </w:r>
      <w:r w:rsidR="007A75A8">
        <w:t>facilities</w:t>
      </w:r>
      <w:r w:rsidRPr="009B6AA8">
        <w:t xml:space="preserve"> raised concerns about out-of-pocket costs to </w:t>
      </w:r>
      <w:r w:rsidR="0025791C" w:rsidRPr="009B6AA8">
        <w:t>patients</w:t>
      </w:r>
      <w:r w:rsidRPr="009B6AA8">
        <w:t xml:space="preserve"> in the private system. However, analysis of MBS bulk-billing data showed that in 2019</w:t>
      </w:r>
      <w:r w:rsidR="00E61AD5" w:rsidRPr="009B6AA8">
        <w:t>–</w:t>
      </w:r>
      <w:r w:rsidRPr="009B6AA8">
        <w:t>20</w:t>
      </w:r>
      <w:r w:rsidR="0025791C" w:rsidRPr="009B6AA8">
        <w:t xml:space="preserve"> an average of 66% of </w:t>
      </w:r>
      <w:r w:rsidRPr="009B6AA8">
        <w:t xml:space="preserve">private </w:t>
      </w:r>
      <w:r w:rsidR="0025791C" w:rsidRPr="009B6AA8">
        <w:t xml:space="preserve">patients were bulk-billed. Bulk-billing rates were higher in regional areas (an average of 74%) and rural areas (an average of 73%) compared to major cities (an average of 54%). Rates of </w:t>
      </w:r>
      <w:r w:rsidR="00DD4335" w:rsidRPr="009B6AA8">
        <w:t>b</w:t>
      </w:r>
      <w:r w:rsidR="00DD4335">
        <w:t>u</w:t>
      </w:r>
      <w:r w:rsidR="00DD4335" w:rsidRPr="009B6AA8">
        <w:t>lk</w:t>
      </w:r>
      <w:r w:rsidR="0025791C" w:rsidRPr="009B6AA8">
        <w:t>-billing also varied depending on the type of treatment, with IMRT treatments showing the lowest bulk-billing rate in major cit</w:t>
      </w:r>
      <w:r w:rsidR="0027365A" w:rsidRPr="009B6AA8">
        <w:t>i</w:t>
      </w:r>
      <w:r w:rsidR="0025791C" w:rsidRPr="009B6AA8">
        <w:t xml:space="preserve">es (36%) and rural areas (54%). Further detail is provided in </w:t>
      </w:r>
      <w:r w:rsidR="0025791C" w:rsidRPr="00D65C79">
        <w:fldChar w:fldCharType="begin"/>
      </w:r>
      <w:r w:rsidR="0025791C" w:rsidRPr="009B6AA8">
        <w:instrText xml:space="preserve"> REF _Ref56338501 \r \h  \* MERGEFORMAT </w:instrText>
      </w:r>
      <w:r w:rsidR="0025791C" w:rsidRPr="00D65C79">
        <w:fldChar w:fldCharType="separate"/>
      </w:r>
      <w:r w:rsidR="007C0448">
        <w:rPr>
          <w:rFonts w:hint="cs"/>
          <w:cs/>
        </w:rPr>
        <w:t>‎</w:t>
      </w:r>
      <w:r w:rsidR="007C0448">
        <w:t>Appendix F</w:t>
      </w:r>
      <w:r w:rsidR="0025791C" w:rsidRPr="00D65C79">
        <w:fldChar w:fldCharType="end"/>
      </w:r>
      <w:r w:rsidR="0025791C" w:rsidRPr="00D65C79">
        <w:t>.</w:t>
      </w:r>
    </w:p>
    <w:p w14:paraId="69702CCB" w14:textId="442F848C" w:rsidR="009522CF" w:rsidRPr="00BC705E" w:rsidRDefault="009522CF" w:rsidP="00DF2D1F">
      <w:pPr>
        <w:pStyle w:val="Heading4"/>
      </w:pPr>
      <w:bookmarkStart w:id="262" w:name="_Toc66193980"/>
      <w:r w:rsidRPr="00BC705E">
        <w:t>Criterion 4: Multidisciplinary and patient centred care</w:t>
      </w:r>
      <w:bookmarkEnd w:id="262"/>
    </w:p>
    <w:p w14:paraId="688E1B1A" w14:textId="77777777" w:rsidR="00373EE3" w:rsidRDefault="00F12D59" w:rsidP="00F12D59">
      <w:r w:rsidRPr="009B6AA8">
        <w:t>Within this criterion, applicants are asked to provide details regarding:</w:t>
      </w:r>
    </w:p>
    <w:p w14:paraId="5A7F72A8" w14:textId="160568B1" w:rsidR="00F12D59" w:rsidRPr="009B6AA8" w:rsidRDefault="00F12D59" w:rsidP="006504B1">
      <w:pPr>
        <w:pStyle w:val="ListBullet"/>
      </w:pPr>
      <w:r w:rsidRPr="009B6AA8">
        <w:t>arrangements and referral basis, if any, with the relevant specialists</w:t>
      </w:r>
    </w:p>
    <w:p w14:paraId="665E6E2C" w14:textId="2907EF7B" w:rsidR="00F12D59" w:rsidRPr="009B6AA8" w:rsidRDefault="00F12D59" w:rsidP="006504B1">
      <w:pPr>
        <w:pStyle w:val="ListBullet"/>
      </w:pPr>
      <w:r w:rsidRPr="009B6AA8">
        <w:t>clinical oncologists and surgeons networked into services</w:t>
      </w:r>
    </w:p>
    <w:p w14:paraId="4FB57157" w14:textId="1C79CC43" w:rsidR="00F12D59" w:rsidRPr="009B6AA8" w:rsidRDefault="00F12D59" w:rsidP="006504B1">
      <w:pPr>
        <w:pStyle w:val="ListBullet"/>
      </w:pPr>
      <w:r w:rsidRPr="009B6AA8">
        <w:t>details of links to other centres, particularly for on-referral or discussion on complex case</w:t>
      </w:r>
      <w:r w:rsidR="006504B1" w:rsidRPr="009B6AA8">
        <w:t>s</w:t>
      </w:r>
    </w:p>
    <w:p w14:paraId="1414AC2B" w14:textId="77777777" w:rsidR="00373EE3" w:rsidRDefault="00F12D59" w:rsidP="006504B1">
      <w:pPr>
        <w:pStyle w:val="ListBullet"/>
      </w:pPr>
      <w:r w:rsidRPr="009B6AA8">
        <w:t>access to in-patient care</w:t>
      </w:r>
      <w:r w:rsidR="006504B1" w:rsidRPr="009B6AA8">
        <w:t>, and</w:t>
      </w:r>
    </w:p>
    <w:p w14:paraId="234560A8" w14:textId="2EB29541" w:rsidR="00F12D59" w:rsidRPr="009B6AA8" w:rsidRDefault="00F12D59" w:rsidP="006504B1">
      <w:pPr>
        <w:pStyle w:val="ListBullet"/>
      </w:pPr>
      <w:proofErr w:type="gramStart"/>
      <w:r w:rsidRPr="009B6AA8">
        <w:t>access</w:t>
      </w:r>
      <w:proofErr w:type="gramEnd"/>
      <w:r w:rsidRPr="009B6AA8">
        <w:t xml:space="preserve"> to other associated follow-up care for patients.</w:t>
      </w:r>
    </w:p>
    <w:p w14:paraId="23B72DE3" w14:textId="77777777" w:rsidR="00373EE3" w:rsidRDefault="00F12D59" w:rsidP="00057E71">
      <w:r w:rsidRPr="009B6AA8">
        <w:t>Providers</w:t>
      </w:r>
      <w:r w:rsidR="00266A1B" w:rsidRPr="009B6AA8">
        <w:t xml:space="preserve"> in the applications we reviewed</w:t>
      </w:r>
      <w:r w:rsidRPr="009B6AA8">
        <w:t xml:space="preserve"> included substantive detail of local </w:t>
      </w:r>
      <w:r w:rsidR="006504B1" w:rsidRPr="009B6AA8">
        <w:t>arrangement</w:t>
      </w:r>
      <w:r w:rsidR="00266A1B" w:rsidRPr="009B6AA8">
        <w:t>s</w:t>
      </w:r>
      <w:r w:rsidRPr="009B6AA8">
        <w:t xml:space="preserve"> and relationships. However, a more structured template that specifically requests information on each of</w:t>
      </w:r>
      <w:r w:rsidR="006504B1" w:rsidRPr="009B6AA8">
        <w:t xml:space="preserve"> </w:t>
      </w:r>
      <w:r w:rsidR="00266A1B" w:rsidRPr="009B6AA8">
        <w:t xml:space="preserve">the </w:t>
      </w:r>
      <w:r w:rsidR="006504B1" w:rsidRPr="009B6AA8">
        <w:t xml:space="preserve">itemised considerations </w:t>
      </w:r>
      <w:r w:rsidRPr="009B6AA8">
        <w:t xml:space="preserve">could </w:t>
      </w:r>
      <w:r w:rsidR="006504B1" w:rsidRPr="009B6AA8">
        <w:t xml:space="preserve">provide </w:t>
      </w:r>
      <w:r w:rsidRPr="009B6AA8">
        <w:t>better guidance for appl</w:t>
      </w:r>
      <w:r w:rsidR="006504B1" w:rsidRPr="009B6AA8">
        <w:t xml:space="preserve">icants </w:t>
      </w:r>
      <w:r w:rsidRPr="009B6AA8">
        <w:t xml:space="preserve">and </w:t>
      </w:r>
      <w:r w:rsidR="006504B1" w:rsidRPr="009B6AA8">
        <w:t xml:space="preserve">more </w:t>
      </w:r>
      <w:r w:rsidRPr="009B6AA8">
        <w:t>consisten</w:t>
      </w:r>
      <w:r w:rsidR="006504B1" w:rsidRPr="009B6AA8">
        <w:t>cy in the type of information provided</w:t>
      </w:r>
      <w:r w:rsidR="00DD4335">
        <w:t>,</w:t>
      </w:r>
      <w:r w:rsidR="006504B1" w:rsidRPr="009B6AA8">
        <w:t xml:space="preserve"> which </w:t>
      </w:r>
      <w:r w:rsidRPr="009B6AA8">
        <w:t>will assist</w:t>
      </w:r>
      <w:r w:rsidR="006504B1" w:rsidRPr="009B6AA8">
        <w:t xml:space="preserve"> the comparison of applications</w:t>
      </w:r>
      <w:r w:rsidRPr="009B6AA8">
        <w:t>.</w:t>
      </w:r>
    </w:p>
    <w:p w14:paraId="44EE78C2" w14:textId="77777777" w:rsidR="00373EE3" w:rsidRDefault="006504B1" w:rsidP="006504B1">
      <w:r w:rsidRPr="009B6AA8">
        <w:t xml:space="preserve">Although detailed information was provided from applications, evidence of the stated relationships was not sought nor provided. Assessment of this criterion could be strengthened with provision of such evidence by applicants. Evidentiary requirements should be kept simple to minimise administrative </w:t>
      </w:r>
      <w:r w:rsidR="00D65C79" w:rsidRPr="009B6AA8">
        <w:t>burden but</w:t>
      </w:r>
      <w:r w:rsidRPr="009B6AA8">
        <w:t xml:space="preserve"> could include a letter of support or email correspondence.</w:t>
      </w:r>
    </w:p>
    <w:p w14:paraId="65FC8272" w14:textId="77777777" w:rsidR="00373EE3" w:rsidRDefault="006504B1" w:rsidP="00F12D59">
      <w:r w:rsidRPr="009B6AA8">
        <w:t xml:space="preserve">For new services, this criterion could also be expanded to include information on how the facility will </w:t>
      </w:r>
      <w:r w:rsidR="005C1E44" w:rsidRPr="009B6AA8">
        <w:t>connect with other facilities, especially those to be located in regional/rural areas.</w:t>
      </w:r>
    </w:p>
    <w:p w14:paraId="63EBB170" w14:textId="77777777" w:rsidR="00373EE3" w:rsidRDefault="005C1E44" w:rsidP="005C1E44">
      <w:pPr>
        <w:pStyle w:val="Finding"/>
      </w:pPr>
      <w:r w:rsidRPr="009B6AA8">
        <w:t>Integration of RT with other cancer services and allied health is extremely important. The criterion could be strengthened through provision of evidence of stated relationships.</w:t>
      </w:r>
    </w:p>
    <w:p w14:paraId="32F32F60" w14:textId="23252AE7" w:rsidR="009522CF" w:rsidRPr="00BC705E" w:rsidRDefault="009522CF" w:rsidP="00461590">
      <w:pPr>
        <w:pStyle w:val="Heading4"/>
        <w:keepNext/>
      </w:pPr>
      <w:bookmarkStart w:id="263" w:name="_Toc66193981"/>
      <w:r w:rsidRPr="00BC705E">
        <w:lastRenderedPageBreak/>
        <w:t>Criterion 5. Commencement date</w:t>
      </w:r>
      <w:bookmarkEnd w:id="263"/>
    </w:p>
    <w:p w14:paraId="6343B654" w14:textId="77777777" w:rsidR="00373EE3" w:rsidRDefault="003F1EA3" w:rsidP="003F1EA3">
      <w:pPr>
        <w:spacing w:before="240"/>
      </w:pPr>
      <w:r w:rsidRPr="009B6AA8">
        <w:t>The inclusion of a specified timeframe for new facilities is beneficial and will prevent providers from ‘warehousing’ locations. This criterion was supported by all stakeholders and could be further strengthened in new facility applications through inclusion of a Gantt chart of activities to be undertaken.</w:t>
      </w:r>
    </w:p>
    <w:p w14:paraId="32F959DE" w14:textId="64030780" w:rsidR="00D24992" w:rsidRPr="00BC705E" w:rsidRDefault="003F1EA3" w:rsidP="00DF2D1F">
      <w:pPr>
        <w:pStyle w:val="Heading4"/>
      </w:pPr>
      <w:bookmarkStart w:id="264" w:name="_Toc66193982"/>
      <w:r w:rsidRPr="00DF2D1F">
        <w:t>Comparison</w:t>
      </w:r>
      <w:r w:rsidRPr="00BC705E">
        <w:t xml:space="preserve"> between competing applications</w:t>
      </w:r>
      <w:bookmarkEnd w:id="264"/>
    </w:p>
    <w:p w14:paraId="799E212D" w14:textId="1F72F026" w:rsidR="003F1EA3" w:rsidRPr="009B6AA8" w:rsidRDefault="003F1EA3" w:rsidP="00E06173">
      <w:r w:rsidRPr="009B6AA8">
        <w:t xml:space="preserve">The ROHPG guidelines do not include a scoring matrix for included criteria. </w:t>
      </w:r>
      <w:r w:rsidR="00266A1B" w:rsidRPr="009B6AA8">
        <w:t>A</w:t>
      </w:r>
      <w:r w:rsidRPr="009B6AA8">
        <w:t xml:space="preserve"> scoring matrix would enable a transparent mechanism to determine application eligibility and compare competing applications. As an example</w:t>
      </w:r>
      <w:r w:rsidR="0061508B" w:rsidRPr="009B6AA8">
        <w:t>,</w:t>
      </w:r>
      <w:r w:rsidRPr="009B6AA8">
        <w:t xml:space="preserve"> a score for each criteri</w:t>
      </w:r>
      <w:r w:rsidR="0061508B" w:rsidRPr="009B6AA8">
        <w:t>on</w:t>
      </w:r>
      <w:r w:rsidRPr="009B6AA8">
        <w:t xml:space="preserve"> could be:</w:t>
      </w:r>
    </w:p>
    <w:p w14:paraId="2B276900" w14:textId="2910A54F" w:rsidR="003F1EA3" w:rsidRPr="009B6AA8" w:rsidRDefault="003F1EA3" w:rsidP="003F1EA3">
      <w:pPr>
        <w:pStyle w:val="ListBullet"/>
      </w:pPr>
      <w:bookmarkStart w:id="265" w:name="_Hlk57636219"/>
      <w:r w:rsidRPr="009B6AA8">
        <w:t>0 = Criterion not met</w:t>
      </w:r>
    </w:p>
    <w:p w14:paraId="5352CA1D" w14:textId="095305B3" w:rsidR="003F1EA3" w:rsidRPr="009B6AA8" w:rsidRDefault="003F1EA3" w:rsidP="003F1EA3">
      <w:pPr>
        <w:pStyle w:val="ListBullet"/>
      </w:pPr>
      <w:r w:rsidRPr="009B6AA8">
        <w:t>1 = Criterion partially met</w:t>
      </w:r>
    </w:p>
    <w:p w14:paraId="24A57B63" w14:textId="783D0BB3" w:rsidR="003F1EA3" w:rsidRPr="009B6AA8" w:rsidRDefault="003F1EA3" w:rsidP="003F1EA3">
      <w:pPr>
        <w:pStyle w:val="ListBullet"/>
      </w:pPr>
      <w:r w:rsidRPr="009B6AA8">
        <w:t>2 = Criterion met</w:t>
      </w:r>
    </w:p>
    <w:p w14:paraId="7506A21F" w14:textId="77777777" w:rsidR="00373EE3" w:rsidRDefault="003F1EA3" w:rsidP="003F1EA3">
      <w:pPr>
        <w:pStyle w:val="ListBullet"/>
      </w:pPr>
      <w:r w:rsidRPr="009B6AA8">
        <w:t>3 = Criterion met and exceeded.</w:t>
      </w:r>
    </w:p>
    <w:p w14:paraId="5A558629" w14:textId="37B6A5E2" w:rsidR="004E4ADE" w:rsidRPr="009B6AA8" w:rsidRDefault="004E4ADE" w:rsidP="004E4ADE">
      <w:r>
        <w:t xml:space="preserve">Further information on the scoring matrix with suggested scoring rationale is provided in </w:t>
      </w:r>
      <w:r>
        <w:fldChar w:fldCharType="begin"/>
      </w:r>
      <w:r>
        <w:instrText xml:space="preserve"> REF _Ref57638983 \r \h </w:instrText>
      </w:r>
      <w:r>
        <w:fldChar w:fldCharType="separate"/>
      </w:r>
      <w:r w:rsidR="007C0448">
        <w:rPr>
          <w:rFonts w:hint="cs"/>
          <w:cs/>
        </w:rPr>
        <w:t>‎</w:t>
      </w:r>
      <w:r w:rsidR="007C0448">
        <w:t>Appendix G</w:t>
      </w:r>
      <w:r>
        <w:fldChar w:fldCharType="end"/>
      </w:r>
      <w:r>
        <w:t>.</w:t>
      </w:r>
    </w:p>
    <w:bookmarkEnd w:id="265"/>
    <w:p w14:paraId="6058386F" w14:textId="77777777" w:rsidR="00373EE3" w:rsidRDefault="003F1EA3" w:rsidP="003F1EA3">
      <w:pPr>
        <w:pStyle w:val="Finding"/>
      </w:pPr>
      <w:r w:rsidRPr="009B6AA8">
        <w:t>ROHPG guidelines should introduce a scoring matrix for all listed assessment criteria.</w:t>
      </w:r>
    </w:p>
    <w:p w14:paraId="6412FC37" w14:textId="78EB6241" w:rsidR="00AC5BA9" w:rsidRPr="00BC705E" w:rsidRDefault="00375E68" w:rsidP="00DF2D1F">
      <w:pPr>
        <w:pStyle w:val="heading2numbered"/>
      </w:pPr>
      <w:bookmarkStart w:id="266" w:name="_Ref56357784"/>
      <w:bookmarkStart w:id="267" w:name="_Ref56357788"/>
      <w:bookmarkStart w:id="268" w:name="_Toc59198504"/>
      <w:bookmarkStart w:id="269" w:name="_Toc66193983"/>
      <w:bookmarkStart w:id="270" w:name="_Toc73696713"/>
      <w:r w:rsidRPr="00BC705E">
        <w:t>C</w:t>
      </w:r>
      <w:r w:rsidR="00AC5BA9" w:rsidRPr="00BC705E">
        <w:t>onditions of funding</w:t>
      </w:r>
      <w:bookmarkEnd w:id="266"/>
      <w:bookmarkEnd w:id="267"/>
      <w:bookmarkEnd w:id="268"/>
      <w:bookmarkEnd w:id="269"/>
      <w:bookmarkEnd w:id="270"/>
    </w:p>
    <w:p w14:paraId="7B36AC4E" w14:textId="7BC1DE3F" w:rsidR="00AB37DA" w:rsidRPr="009B6AA8" w:rsidRDefault="007D37F3" w:rsidP="00AC5BA9">
      <w:r>
        <w:t>ROHPG funding to providers is authorised by legal instrument that lists the conditions of funding and specifies all ROHPG funded equipment of the provider by location.</w:t>
      </w:r>
    </w:p>
    <w:p w14:paraId="5C5565AA" w14:textId="77777777" w:rsidR="00373EE3" w:rsidRDefault="00AB37DA" w:rsidP="002B1D32">
      <w:r w:rsidRPr="009B6AA8">
        <w:t>Review of the instrument highlighted that not all assessment criteria are reflected in the conditions of instrument. Included conditions are:</w:t>
      </w:r>
    </w:p>
    <w:p w14:paraId="79AA1722" w14:textId="5A1E6D56" w:rsidR="00AB37DA" w:rsidRPr="009B6AA8" w:rsidRDefault="00514635" w:rsidP="00514635">
      <w:pPr>
        <w:pStyle w:val="ListBullet"/>
      </w:pPr>
      <w:r w:rsidRPr="009B6AA8">
        <w:t>u</w:t>
      </w:r>
      <w:r w:rsidR="00AB37DA" w:rsidRPr="009B6AA8">
        <w:t>se of funded equipment in the financial year for which payments are being made</w:t>
      </w:r>
    </w:p>
    <w:p w14:paraId="1143ADA0" w14:textId="77777777" w:rsidR="00373EE3" w:rsidRDefault="00514635" w:rsidP="00514635">
      <w:pPr>
        <w:pStyle w:val="ListBullet"/>
      </w:pPr>
      <w:r w:rsidRPr="009B6AA8">
        <w:t>b</w:t>
      </w:r>
      <w:r w:rsidR="00AB37DA" w:rsidRPr="009B6AA8">
        <w:t>ulk-billing of concessional patients</w:t>
      </w:r>
      <w:r w:rsidR="00266A1B" w:rsidRPr="009B6AA8">
        <w:t>, and</w:t>
      </w:r>
    </w:p>
    <w:p w14:paraId="7F710597" w14:textId="77777777" w:rsidR="00373EE3" w:rsidRDefault="00514635" w:rsidP="00514635">
      <w:pPr>
        <w:pStyle w:val="ListBullet"/>
      </w:pPr>
      <w:proofErr w:type="gramStart"/>
      <w:r w:rsidRPr="009B6AA8">
        <w:t>p</w:t>
      </w:r>
      <w:r w:rsidR="00AB37DA" w:rsidRPr="009B6AA8">
        <w:t>articipation</w:t>
      </w:r>
      <w:proofErr w:type="gramEnd"/>
      <w:r w:rsidR="00AB37DA" w:rsidRPr="009B6AA8">
        <w:t xml:space="preserve"> in a dosimetry monitoring </w:t>
      </w:r>
      <w:r w:rsidR="00FD606B">
        <w:t>Scheme</w:t>
      </w:r>
      <w:r w:rsidR="00AB37DA" w:rsidRPr="009B6AA8">
        <w:t>.</w:t>
      </w:r>
    </w:p>
    <w:p w14:paraId="22EC0CF1" w14:textId="6C687C2F" w:rsidR="00AB37DA" w:rsidRPr="009B6AA8" w:rsidRDefault="00AB37DA" w:rsidP="00AC5BA9">
      <w:r w:rsidRPr="009B6AA8">
        <w:t>The instrument does not currently include:</w:t>
      </w:r>
    </w:p>
    <w:p w14:paraId="7BE1805E" w14:textId="77777777" w:rsidR="00373EE3" w:rsidRDefault="00AB37DA" w:rsidP="00514635">
      <w:pPr>
        <w:pStyle w:val="ListBullet"/>
      </w:pPr>
      <w:r w:rsidRPr="009B6AA8">
        <w:t>specifications of the two-year timeframe to establish new facilities</w:t>
      </w:r>
      <w:r w:rsidR="00514635" w:rsidRPr="009B6AA8">
        <w:t>, or</w:t>
      </w:r>
    </w:p>
    <w:p w14:paraId="1661C8C2" w14:textId="2DF06F10" w:rsidR="00AB37DA" w:rsidRPr="009B6AA8" w:rsidRDefault="00514635" w:rsidP="00514635">
      <w:pPr>
        <w:pStyle w:val="ListBullet"/>
      </w:pPr>
      <w:proofErr w:type="gramStart"/>
      <w:r w:rsidRPr="009B6AA8">
        <w:t>c</w:t>
      </w:r>
      <w:r w:rsidR="00AB37DA" w:rsidRPr="009B6AA8">
        <w:t>ommitment</w:t>
      </w:r>
      <w:proofErr w:type="gramEnd"/>
      <w:r w:rsidR="00AB37DA" w:rsidRPr="009B6AA8">
        <w:t xml:space="preserve"> to provide an integrated service with other cancer care/</w:t>
      </w:r>
      <w:r w:rsidRPr="009B6AA8">
        <w:t>multidisciplinary</w:t>
      </w:r>
      <w:r w:rsidR="00AB37DA" w:rsidRPr="009B6AA8">
        <w:t xml:space="preserve"> team care</w:t>
      </w:r>
      <w:r w:rsidRPr="009B6AA8">
        <w:t>.</w:t>
      </w:r>
    </w:p>
    <w:p w14:paraId="35B20FD3" w14:textId="77777777" w:rsidR="00373EE3" w:rsidRDefault="00514635" w:rsidP="00514635">
      <w:r w:rsidRPr="009B6AA8">
        <w:t xml:space="preserve">In addition, with the exception of the dosimetry auditing certificate of currency, there is no requirement for </w:t>
      </w:r>
      <w:r w:rsidR="007A75A8">
        <w:t>facilities</w:t>
      </w:r>
      <w:r w:rsidRPr="009B6AA8">
        <w:t xml:space="preserve"> to supply evidence of conditions of funding.</w:t>
      </w:r>
    </w:p>
    <w:p w14:paraId="611DC7C8" w14:textId="77777777" w:rsidR="00373EE3" w:rsidRDefault="00514635" w:rsidP="00514635">
      <w:r w:rsidRPr="009B6AA8">
        <w:t xml:space="preserve">The introduction of the declaration of equipment use by the Department is appropriate to increase accountability of the </w:t>
      </w:r>
      <w:r w:rsidR="00FD606B">
        <w:t>Scheme</w:t>
      </w:r>
      <w:r w:rsidRPr="009B6AA8">
        <w:t>. The declaration could be extended to include other criteria such as an indication of the number of patients bulk-billed (as a percentage of concessional patients and all patients).</w:t>
      </w:r>
    </w:p>
    <w:p w14:paraId="0E3F939C" w14:textId="77777777" w:rsidR="00373EE3" w:rsidRDefault="00266A1B" w:rsidP="002B1D32">
      <w:r w:rsidRPr="009B6AA8">
        <w:t>T</w:t>
      </w:r>
      <w:r w:rsidR="00514635" w:rsidRPr="009B6AA8">
        <w:t>o verify the declarations,</w:t>
      </w:r>
      <w:r w:rsidR="002B1D32" w:rsidRPr="009B6AA8">
        <w:t xml:space="preserve"> facilities could be requested to periodically provide evidence of equipment usage in the previous year and accounting information regarding patient billing.</w:t>
      </w:r>
    </w:p>
    <w:p w14:paraId="1D526118" w14:textId="77777777" w:rsidR="00373EE3" w:rsidRDefault="00AC530C" w:rsidP="002B1D32">
      <w:r w:rsidRPr="009B6AA8">
        <w:t xml:space="preserve">Regarding the timing of </w:t>
      </w:r>
      <w:r w:rsidR="007B72F4" w:rsidRPr="009B6AA8">
        <w:t xml:space="preserve">commencement for new facilities, annual updates on the expected commencement date with updated </w:t>
      </w:r>
      <w:r w:rsidR="00266A1B" w:rsidRPr="009B6AA8">
        <w:t xml:space="preserve">implementation </w:t>
      </w:r>
      <w:r w:rsidR="007B72F4" w:rsidRPr="009B6AA8">
        <w:t xml:space="preserve">Gantt charts to document progress should be supplied by </w:t>
      </w:r>
      <w:r w:rsidR="007A75A8">
        <w:t>facilities</w:t>
      </w:r>
      <w:r w:rsidR="007B72F4" w:rsidRPr="009B6AA8">
        <w:t>.</w:t>
      </w:r>
    </w:p>
    <w:p w14:paraId="4B551B2A" w14:textId="380E72AE" w:rsidR="00AC530C" w:rsidRPr="009B6AA8" w:rsidRDefault="00AC530C" w:rsidP="002B1D32">
      <w:r w:rsidRPr="009B6AA8">
        <w:t>Other conditions of funding that could be considered to enhance the quality and safety of RT are:</w:t>
      </w:r>
    </w:p>
    <w:p w14:paraId="4D2EDAFC" w14:textId="36AF67A8" w:rsidR="00AC530C" w:rsidRPr="009B6AA8" w:rsidRDefault="00DD4335" w:rsidP="00AC530C">
      <w:pPr>
        <w:pStyle w:val="ListBullet"/>
      </w:pPr>
      <w:r>
        <w:t>p</w:t>
      </w:r>
      <w:r w:rsidRPr="009B6AA8">
        <w:t xml:space="preserve">articipation </w:t>
      </w:r>
      <w:r w:rsidR="00AC530C" w:rsidRPr="009B6AA8">
        <w:t>in the incident and near-miss register once operational</w:t>
      </w:r>
      <w:r w:rsidR="00266A1B" w:rsidRPr="009B6AA8">
        <w:t>, and</w:t>
      </w:r>
    </w:p>
    <w:p w14:paraId="124DEC6F" w14:textId="77777777" w:rsidR="00373EE3" w:rsidRDefault="00DD4335" w:rsidP="00AC530C">
      <w:pPr>
        <w:pStyle w:val="ListBullet"/>
      </w:pPr>
      <w:proofErr w:type="gramStart"/>
      <w:r>
        <w:t>c</w:t>
      </w:r>
      <w:r w:rsidRPr="009B6AA8">
        <w:t>ertificate</w:t>
      </w:r>
      <w:proofErr w:type="gramEnd"/>
      <w:r w:rsidRPr="009B6AA8">
        <w:t xml:space="preserve"> </w:t>
      </w:r>
      <w:r w:rsidR="00AC530C" w:rsidRPr="009B6AA8">
        <w:t xml:space="preserve">of compliance </w:t>
      </w:r>
      <w:r>
        <w:t>with</w:t>
      </w:r>
      <w:r w:rsidRPr="009B6AA8">
        <w:t xml:space="preserve"> </w:t>
      </w:r>
      <w:r w:rsidR="00AC530C" w:rsidRPr="009B6AA8">
        <w:t>the Radiation Oncology Standards.</w:t>
      </w:r>
    </w:p>
    <w:p w14:paraId="49E736A0" w14:textId="77777777" w:rsidR="00373EE3" w:rsidRDefault="00AC530C" w:rsidP="00AC5BA9">
      <w:r w:rsidRPr="009B6AA8">
        <w:t xml:space="preserve">The appetite for </w:t>
      </w:r>
      <w:r w:rsidR="007A75A8">
        <w:t>facilities</w:t>
      </w:r>
      <w:r w:rsidRPr="009B6AA8">
        <w:t xml:space="preserve"> to participate in the above programs, as well as the financial impacts of participation</w:t>
      </w:r>
      <w:r w:rsidR="00DD4335">
        <w:t>,</w:t>
      </w:r>
      <w:r w:rsidRPr="009B6AA8">
        <w:t xml:space="preserve"> should be investigated through stakeholder consultation before being implemented.</w:t>
      </w:r>
    </w:p>
    <w:p w14:paraId="7581FD6A" w14:textId="77777777" w:rsidR="00373EE3" w:rsidRDefault="007B72F4" w:rsidP="00DF2D1F">
      <w:pPr>
        <w:pStyle w:val="Heading4"/>
      </w:pPr>
      <w:r w:rsidRPr="009B6AA8">
        <w:t>Compliance</w:t>
      </w:r>
    </w:p>
    <w:p w14:paraId="37D2077E" w14:textId="77777777" w:rsidR="00373EE3" w:rsidRDefault="007B72F4" w:rsidP="007B72F4">
      <w:r w:rsidRPr="009B6AA8">
        <w:t xml:space="preserve">The ROHPG instrument </w:t>
      </w:r>
      <w:r w:rsidR="00266A1B" w:rsidRPr="009B6AA8">
        <w:t>states</w:t>
      </w:r>
      <w:r w:rsidRPr="009B6AA8">
        <w:t xml:space="preserve"> that failure to meet any of the ROHPG conditions could result in </w:t>
      </w:r>
      <w:r w:rsidR="00B20592" w:rsidRPr="009B6AA8">
        <w:t>cessation of funding.</w:t>
      </w:r>
    </w:p>
    <w:p w14:paraId="27557A30" w14:textId="16E3AF8A" w:rsidR="00B20592" w:rsidRPr="009B6AA8" w:rsidRDefault="00B20592" w:rsidP="007B72F4">
      <w:r w:rsidRPr="009B6AA8">
        <w:t xml:space="preserve">In </w:t>
      </w:r>
      <w:r w:rsidR="007B72F4" w:rsidRPr="009B6AA8">
        <w:t>practice</w:t>
      </w:r>
      <w:r w:rsidRPr="009B6AA8">
        <w:t>, only failure to comply with the ACDS audit is monitored and payments paused if the certificate of currency is not provided annually.</w:t>
      </w:r>
    </w:p>
    <w:p w14:paraId="44F903CE" w14:textId="77777777" w:rsidR="00373EE3" w:rsidRDefault="00B20592" w:rsidP="007B72F4">
      <w:r w:rsidRPr="009B6AA8">
        <w:t xml:space="preserve">In order to provide good accountability and probity, it is essential that the ROHPG monitors the conditions of funding and ceases or pauses funding for non-compliance. </w:t>
      </w:r>
      <w:r w:rsidR="007D37F3">
        <w:t xml:space="preserve">However, non-payment also potentially impacts treatment for cancer patients. </w:t>
      </w:r>
      <w:r w:rsidRPr="009B6AA8">
        <w:t xml:space="preserve">A pause to payments should be adhered to if equipment has not been used in the previous financial year or if </w:t>
      </w:r>
      <w:r w:rsidR="009A1E98" w:rsidRPr="009B6AA8">
        <w:t xml:space="preserve">necessary </w:t>
      </w:r>
      <w:r w:rsidRPr="009B6AA8">
        <w:t>certificates of currency have not been provided. A</w:t>
      </w:r>
      <w:r w:rsidR="00266A1B" w:rsidRPr="009B6AA8">
        <w:t xml:space="preserve"> </w:t>
      </w:r>
      <w:r w:rsidRPr="009B6AA8">
        <w:t xml:space="preserve">grace period of one month may </w:t>
      </w:r>
      <w:r w:rsidRPr="009B6AA8">
        <w:lastRenderedPageBreak/>
        <w:t>alleviate administrative stress in having audits undertaken by external parties (the availability of audits is at the discretion of the external party, not the facility).</w:t>
      </w:r>
    </w:p>
    <w:p w14:paraId="33FBC70C" w14:textId="77777777" w:rsidR="00373EE3" w:rsidRDefault="009A1E98" w:rsidP="00605C7E">
      <w:r w:rsidRPr="009B6AA8">
        <w:t xml:space="preserve">Failure to meet other conditions of </w:t>
      </w:r>
      <w:r w:rsidR="00DD4335" w:rsidRPr="009B6AA8">
        <w:t>fund</w:t>
      </w:r>
      <w:r w:rsidR="00DD4335">
        <w:t>ing,</w:t>
      </w:r>
      <w:r w:rsidR="00DD4335" w:rsidRPr="009B6AA8">
        <w:t xml:space="preserve"> </w:t>
      </w:r>
      <w:r w:rsidRPr="009B6AA8">
        <w:t xml:space="preserve">e.g. bulk-billing of concessional patients, integration with cancer services and multidisciplinary team, could incur other penalties depending on the severity and circumstance. </w:t>
      </w:r>
      <w:r w:rsidR="00266A1B" w:rsidRPr="009B6AA8">
        <w:t>Consequences of non-compliance</w:t>
      </w:r>
      <w:r w:rsidRPr="009B6AA8">
        <w:t xml:space="preserve"> could include reduced payment for minor </w:t>
      </w:r>
      <w:r w:rsidR="00D65C79" w:rsidRPr="009B6AA8">
        <w:t>offences or</w:t>
      </w:r>
      <w:r w:rsidRPr="009B6AA8">
        <w:t xml:space="preserve"> ban from renewal of ROHPG funding for major breeches. </w:t>
      </w:r>
      <w:r w:rsidR="004E4ADE">
        <w:t>In setting any penalties, due care must be taken to ensure that the impact will not have adverse effects on patients or the ability of patients to pay for services.</w:t>
      </w:r>
      <w:r w:rsidR="00605C7E">
        <w:t xml:space="preserve"> Therefore, specific details of any such penalties </w:t>
      </w:r>
      <w:r w:rsidRPr="009B6AA8">
        <w:t xml:space="preserve">should be developed in consultation with public and private </w:t>
      </w:r>
      <w:r w:rsidR="007A75A8">
        <w:t>facilities</w:t>
      </w:r>
      <w:r w:rsidRPr="009B6AA8">
        <w:t xml:space="preserve">, jurisdictions, </w:t>
      </w:r>
      <w:r w:rsidR="00DD1631" w:rsidRPr="009B6AA8">
        <w:t>colleges,</w:t>
      </w:r>
      <w:r w:rsidRPr="009B6AA8">
        <w:t xml:space="preserve"> and peak bodies to ensure the penalty matches the level of </w:t>
      </w:r>
      <w:r w:rsidR="00266A1B" w:rsidRPr="009B6AA8">
        <w:t>non-compliance</w:t>
      </w:r>
      <w:r w:rsidR="00605C7E">
        <w:t>, patients will not be adversely affected</w:t>
      </w:r>
      <w:r w:rsidR="00266A1B" w:rsidRPr="009B6AA8">
        <w:t xml:space="preserve"> </w:t>
      </w:r>
      <w:r w:rsidRPr="009B6AA8">
        <w:t xml:space="preserve">and that the </w:t>
      </w:r>
      <w:r w:rsidR="00266A1B" w:rsidRPr="009B6AA8">
        <w:t xml:space="preserve">routine </w:t>
      </w:r>
      <w:r w:rsidRPr="009B6AA8">
        <w:t xml:space="preserve">provision of evidence for compliance is not unduly burdensome on </w:t>
      </w:r>
      <w:r w:rsidR="007A75A8">
        <w:t>facilities</w:t>
      </w:r>
      <w:r w:rsidRPr="009B6AA8">
        <w:t>.</w:t>
      </w:r>
    </w:p>
    <w:p w14:paraId="08A4C368" w14:textId="3684B3CE" w:rsidR="00373EE3" w:rsidRPr="00BC705E" w:rsidRDefault="00375E68" w:rsidP="00DF2D1F">
      <w:pPr>
        <w:pStyle w:val="heading2numbered"/>
      </w:pPr>
      <w:bookmarkStart w:id="271" w:name="_Toc59198505"/>
      <w:bookmarkStart w:id="272" w:name="_Toc66193984"/>
      <w:bookmarkStart w:id="273" w:name="_Toc73696714"/>
      <w:r w:rsidRPr="00BC705E">
        <w:t>P</w:t>
      </w:r>
      <w:r w:rsidR="00AC5BA9" w:rsidRPr="00BC705E">
        <w:t>erformance indicators</w:t>
      </w:r>
      <w:bookmarkEnd w:id="271"/>
      <w:bookmarkEnd w:id="272"/>
      <w:bookmarkEnd w:id="273"/>
    </w:p>
    <w:p w14:paraId="4A40B73F" w14:textId="693DF31E" w:rsidR="00DD1631" w:rsidRPr="009B6AA8" w:rsidRDefault="00605C7E" w:rsidP="009A1E98">
      <w:r>
        <w:t>T</w:t>
      </w:r>
      <w:r w:rsidR="00B96899">
        <w:t>he</w:t>
      </w:r>
      <w:r w:rsidR="00B96899" w:rsidRPr="009B6AA8">
        <w:t xml:space="preserve"> </w:t>
      </w:r>
      <w:r w:rsidR="009A1E98" w:rsidRPr="009B6AA8">
        <w:t xml:space="preserve">ROHPG </w:t>
      </w:r>
      <w:r w:rsidR="00FD606B">
        <w:t>Scheme</w:t>
      </w:r>
      <w:r w:rsidR="009A1E98" w:rsidRPr="009B6AA8">
        <w:t xml:space="preserve"> </w:t>
      </w:r>
      <w:r w:rsidR="00DD1631" w:rsidRPr="009B6AA8">
        <w:t xml:space="preserve">provides capital contributions for </w:t>
      </w:r>
      <w:r w:rsidR="00DD4335" w:rsidRPr="009B6AA8">
        <w:t>high</w:t>
      </w:r>
      <w:r w:rsidR="00DD4335">
        <w:t>-</w:t>
      </w:r>
      <w:r w:rsidR="009A1E98" w:rsidRPr="009B6AA8">
        <w:t>cost RT equipment</w:t>
      </w:r>
      <w:r>
        <w:t>. C</w:t>
      </w:r>
      <w:r w:rsidR="00DD1631" w:rsidRPr="009B6AA8">
        <w:t xml:space="preserve">hanges to radiotherapy utilisation cannot solely be attributed to the ROHPG, but it is obviously a key component of increasing RT use in Australia. As such, key performance indicators that should be routinely monitored to assess the ROHPG </w:t>
      </w:r>
      <w:r w:rsidR="00FD606B">
        <w:t>Scheme</w:t>
      </w:r>
      <w:r w:rsidR="00DD1631" w:rsidRPr="009B6AA8">
        <w:t xml:space="preserve"> against its objectives are:</w:t>
      </w:r>
    </w:p>
    <w:p w14:paraId="19DA6393" w14:textId="3D831E0A" w:rsidR="00DD1631" w:rsidRPr="009B6AA8" w:rsidRDefault="00B96899" w:rsidP="00DD1631">
      <w:pPr>
        <w:pStyle w:val="ListBullet"/>
      </w:pPr>
      <w:r>
        <w:t>t</w:t>
      </w:r>
      <w:r w:rsidRPr="009B6AA8">
        <w:t xml:space="preserve">rends </w:t>
      </w:r>
      <w:r w:rsidR="00DD1631" w:rsidRPr="009B6AA8">
        <w:t>in RT utilisation rates by jurisdiction and by remoteness (MMM)</w:t>
      </w:r>
    </w:p>
    <w:p w14:paraId="235AE03F" w14:textId="5A292B15" w:rsidR="00DD1631" w:rsidRPr="009B6AA8" w:rsidRDefault="00B96899" w:rsidP="00DD1631">
      <w:pPr>
        <w:pStyle w:val="ListBullet"/>
      </w:pPr>
      <w:r>
        <w:t>n</w:t>
      </w:r>
      <w:r w:rsidRPr="009B6AA8">
        <w:t xml:space="preserve">umber </w:t>
      </w:r>
      <w:r w:rsidR="00DD1631" w:rsidRPr="009B6AA8">
        <w:t xml:space="preserve">and distribution of external beam RT (e.g. </w:t>
      </w:r>
      <w:proofErr w:type="spellStart"/>
      <w:r w:rsidR="00DD1631" w:rsidRPr="009B6AA8">
        <w:t>linacs</w:t>
      </w:r>
      <w:proofErr w:type="spellEnd"/>
      <w:r w:rsidR="00DD1631" w:rsidRPr="009B6AA8">
        <w:t>) across Australia, both ROHPG funded and non-ROHPG funded</w:t>
      </w:r>
    </w:p>
    <w:p w14:paraId="7C5CDD4E" w14:textId="50C05EE2" w:rsidR="00DD1631" w:rsidRPr="009B6AA8" w:rsidRDefault="00B96899" w:rsidP="00F919D3">
      <w:pPr>
        <w:pStyle w:val="ListBullet"/>
      </w:pPr>
      <w:r>
        <w:t>m</w:t>
      </w:r>
      <w:r w:rsidRPr="009B6AA8">
        <w:t xml:space="preserve">edian </w:t>
      </w:r>
      <w:r w:rsidR="00DD1631" w:rsidRPr="009B6AA8">
        <w:t>age of external beam RT across Australia</w:t>
      </w:r>
      <w:r>
        <w:t>,</w:t>
      </w:r>
      <w:r w:rsidR="00DD1631" w:rsidRPr="009B6AA8">
        <w:t xml:space="preserve"> both ROHPG funded and non-ROHPG funded</w:t>
      </w:r>
    </w:p>
    <w:p w14:paraId="12F4653A" w14:textId="77777777" w:rsidR="00373EE3" w:rsidRDefault="00B96899" w:rsidP="00DD1631">
      <w:pPr>
        <w:pStyle w:val="ListBullet"/>
      </w:pPr>
      <w:r>
        <w:t>t</w:t>
      </w:r>
      <w:r w:rsidRPr="009B6AA8">
        <w:t xml:space="preserve">rends </w:t>
      </w:r>
      <w:r w:rsidR="00DD1631" w:rsidRPr="009B6AA8">
        <w:t>in radiotherapy waiting times, and</w:t>
      </w:r>
    </w:p>
    <w:p w14:paraId="4C3036A4" w14:textId="77777777" w:rsidR="00373EE3" w:rsidRDefault="00B96899" w:rsidP="00DD1631">
      <w:pPr>
        <w:pStyle w:val="ListBullet"/>
      </w:pPr>
      <w:proofErr w:type="gramStart"/>
      <w:r>
        <w:t>p</w:t>
      </w:r>
      <w:r w:rsidRPr="009B6AA8">
        <w:t>roportion</w:t>
      </w:r>
      <w:proofErr w:type="gramEnd"/>
      <w:r w:rsidRPr="009B6AA8">
        <w:t xml:space="preserve"> </w:t>
      </w:r>
      <w:r w:rsidR="00DD1631" w:rsidRPr="009B6AA8">
        <w:t>of bulk-billed radiotherapy provided by jurisdiction and by remoteness (MMM).</w:t>
      </w:r>
    </w:p>
    <w:p w14:paraId="186AAA96" w14:textId="7CC2DFFA" w:rsidR="00373EE3" w:rsidRPr="00BC705E" w:rsidRDefault="00AC5BA9" w:rsidP="00DF2D1F">
      <w:pPr>
        <w:pStyle w:val="heading2numbered"/>
      </w:pPr>
      <w:bookmarkStart w:id="274" w:name="_Toc59198506"/>
      <w:bookmarkStart w:id="275" w:name="_Toc66193985"/>
      <w:bookmarkStart w:id="276" w:name="_Toc73696715"/>
      <w:r w:rsidRPr="00BC705E">
        <w:t>Conclusion</w:t>
      </w:r>
      <w:bookmarkEnd w:id="274"/>
      <w:bookmarkEnd w:id="275"/>
      <w:bookmarkEnd w:id="276"/>
    </w:p>
    <w:p w14:paraId="72CBB909" w14:textId="77777777" w:rsidR="00373EE3" w:rsidRDefault="0027365A" w:rsidP="00CF6A00">
      <w:r w:rsidRPr="009B6AA8">
        <w:t xml:space="preserve">There are several areas where the ROHPG </w:t>
      </w:r>
      <w:r w:rsidR="00FD606B">
        <w:t>Scheme</w:t>
      </w:r>
      <w:r w:rsidRPr="009B6AA8">
        <w:t xml:space="preserve"> administration could be strengthened to increase transparency and provide assurance of the appropriate use of Australian Government funds.</w:t>
      </w:r>
    </w:p>
    <w:p w14:paraId="20BE4D96" w14:textId="77777777" w:rsidR="00373EE3" w:rsidRDefault="00E961AE" w:rsidP="00CF6A00">
      <w:pPr>
        <w:pStyle w:val="Recommendations"/>
        <w:keepNext/>
        <w:keepLines/>
      </w:pPr>
      <w:r w:rsidRPr="009B6AA8">
        <w:t>The Department should s</w:t>
      </w:r>
      <w:r w:rsidR="00CF6A00" w:rsidRPr="009B6AA8">
        <w:t>trengthen the ROHPG application process by</w:t>
      </w:r>
      <w:proofErr w:type="gramStart"/>
      <w:r w:rsidR="00CF6A00" w:rsidRPr="009B6AA8">
        <w:t>:</w:t>
      </w:r>
      <w:proofErr w:type="gramEnd"/>
      <w:r w:rsidR="00CF6A00" w:rsidRPr="009B6AA8">
        <w:br/>
        <w:t xml:space="preserve">1. </w:t>
      </w:r>
      <w:r w:rsidR="00766E08" w:rsidRPr="009B6AA8">
        <w:t xml:space="preserve">Making the ROHPG guidelines </w:t>
      </w:r>
      <w:r w:rsidR="007D37F3">
        <w:t xml:space="preserve">and/or application form </w:t>
      </w:r>
      <w:r w:rsidR="00766E08" w:rsidRPr="009B6AA8">
        <w:t>more explicit about what information should be presented for the patient access criterion, even in priority area locations.</w:t>
      </w:r>
      <w:r w:rsidR="00CF6A00" w:rsidRPr="009B6AA8">
        <w:br/>
        <w:t xml:space="preserve">2. </w:t>
      </w:r>
      <w:r w:rsidR="00766E08" w:rsidRPr="009B6AA8">
        <w:t>For the affordable service criterion</w:t>
      </w:r>
      <w:r w:rsidR="00B96899">
        <w:t>,</w:t>
      </w:r>
      <w:r w:rsidR="00766E08" w:rsidRPr="009B6AA8">
        <w:t xml:space="preserve"> seeking additional information about the proximity of </w:t>
      </w:r>
      <w:r w:rsidR="007A75A8">
        <w:t>facilities</w:t>
      </w:r>
      <w:r w:rsidR="00766E08" w:rsidRPr="009B6AA8">
        <w:t xml:space="preserve"> that have 100% bulk-billing processes (e.g. </w:t>
      </w:r>
      <w:r w:rsidR="00CF6A00" w:rsidRPr="009B6AA8">
        <w:t>public</w:t>
      </w:r>
      <w:r w:rsidR="00766E08" w:rsidRPr="009B6AA8">
        <w:t xml:space="preserve"> </w:t>
      </w:r>
      <w:r w:rsidR="007A75A8">
        <w:t>facilities</w:t>
      </w:r>
      <w:r w:rsidR="00D65C79" w:rsidRPr="009B6AA8">
        <w:t>) and</w:t>
      </w:r>
      <w:r w:rsidR="00766E08" w:rsidRPr="009B6AA8">
        <w:t xml:space="preserve"> include a description of how additional billing information (e.g. fee schedules) will be scored and compared. </w:t>
      </w:r>
      <w:r w:rsidR="00CF6A00" w:rsidRPr="009B6AA8">
        <w:br/>
        <w:t xml:space="preserve">3. </w:t>
      </w:r>
      <w:r w:rsidR="00766E08" w:rsidRPr="009B6AA8">
        <w:t>Requesting the provision of evidence (letters or email exchange) of stated relationship</w:t>
      </w:r>
      <w:r w:rsidR="00266A1B" w:rsidRPr="009B6AA8">
        <w:t>s</w:t>
      </w:r>
      <w:r w:rsidR="00766E08" w:rsidRPr="009B6AA8">
        <w:t xml:space="preserve"> for the multidisciplinary and patient </w:t>
      </w:r>
      <w:r w:rsidR="00CF6A00" w:rsidRPr="009B6AA8">
        <w:t>centred</w:t>
      </w:r>
      <w:r w:rsidR="00766E08" w:rsidRPr="009B6AA8">
        <w:t xml:space="preserve"> care criterion. </w:t>
      </w:r>
      <w:r w:rsidR="00CF6A00" w:rsidRPr="009B6AA8">
        <w:br/>
        <w:t xml:space="preserve">4. </w:t>
      </w:r>
      <w:r w:rsidR="00766E08" w:rsidRPr="009B6AA8">
        <w:t>Including a scoring matrix for all criteria to enable a transparent assessment process.</w:t>
      </w:r>
    </w:p>
    <w:p w14:paraId="592C8FC5" w14:textId="77777777" w:rsidR="00373EE3" w:rsidRDefault="00CF6A00" w:rsidP="00CF6A00">
      <w:pPr>
        <w:pStyle w:val="Recommendations"/>
      </w:pPr>
      <w:r w:rsidRPr="009B6AA8">
        <w:t xml:space="preserve">The ROHPG instrument should be updated to reflect all relevant assessment criteria and the </w:t>
      </w:r>
      <w:r w:rsidR="00C62BBC">
        <w:t>facility</w:t>
      </w:r>
      <w:r w:rsidRPr="009B6AA8">
        <w:t xml:space="preserve"> declaration expanded to include additional conditions.</w:t>
      </w:r>
    </w:p>
    <w:p w14:paraId="490087F8" w14:textId="3FB33607" w:rsidR="00CF6A00" w:rsidRPr="009B6AA8" w:rsidRDefault="00E961AE" w:rsidP="0094300D">
      <w:pPr>
        <w:pStyle w:val="Recommendations"/>
      </w:pPr>
      <w:bookmarkStart w:id="277" w:name="_Hlk57642259"/>
      <w:r w:rsidRPr="009B6AA8">
        <w:t xml:space="preserve">The Department should </w:t>
      </w:r>
      <w:r w:rsidR="0094300D">
        <w:t xml:space="preserve">continue </w:t>
      </w:r>
      <w:r w:rsidR="00CF6A00" w:rsidRPr="009B6AA8">
        <w:t>paus</w:t>
      </w:r>
      <w:r w:rsidR="00266A1B" w:rsidRPr="009B6AA8">
        <w:t>ing</w:t>
      </w:r>
      <w:r w:rsidR="00CF6A00" w:rsidRPr="009B6AA8">
        <w:t xml:space="preserve"> ROHPG payments if necessary certificates of currency have not been provided</w:t>
      </w:r>
      <w:r w:rsidR="0094300D">
        <w:t xml:space="preserve"> and could consider pausing payments if</w:t>
      </w:r>
      <w:r w:rsidR="0094300D" w:rsidRPr="009B6AA8">
        <w:t xml:space="preserve"> equipment has not been used </w:t>
      </w:r>
      <w:r w:rsidR="0094300D">
        <w:t xml:space="preserve">within a </w:t>
      </w:r>
      <w:r w:rsidR="0094300D" w:rsidRPr="009B6AA8">
        <w:t>financial year</w:t>
      </w:r>
      <w:r w:rsidR="0094300D">
        <w:t xml:space="preserve">. Similarly, </w:t>
      </w:r>
      <w:r w:rsidR="00EE0B7E" w:rsidRPr="009B6AA8">
        <w:t xml:space="preserve">additional penalties </w:t>
      </w:r>
      <w:r w:rsidR="0094300D">
        <w:t>could be considered</w:t>
      </w:r>
      <w:r w:rsidR="001552A7">
        <w:t>,</w:t>
      </w:r>
      <w:r w:rsidR="0094300D">
        <w:t xml:space="preserve"> </w:t>
      </w:r>
      <w:r w:rsidR="00EE0B7E" w:rsidRPr="009B6AA8">
        <w:t>such as reduced payments if other funding conditions are not met</w:t>
      </w:r>
      <w:r w:rsidR="00605C7E">
        <w:t>. However</w:t>
      </w:r>
      <w:r w:rsidR="0001065C">
        <w:t>,</w:t>
      </w:r>
      <w:r w:rsidR="00605C7E">
        <w:t xml:space="preserve"> the exact nature of appropriate penalties would need to be developed in consultation with the sector to ensure patient</w:t>
      </w:r>
      <w:r w:rsidR="0094300D">
        <w:t>s</w:t>
      </w:r>
      <w:r w:rsidR="00605C7E">
        <w:t xml:space="preserve"> would not be adversely affected</w:t>
      </w:r>
      <w:bookmarkEnd w:id="277"/>
      <w:r w:rsidR="00EE0B7E" w:rsidRPr="009B6AA8">
        <w:t>.</w:t>
      </w:r>
    </w:p>
    <w:p w14:paraId="20D35906" w14:textId="55E11E5D" w:rsidR="00AC5BA9" w:rsidRPr="00461590" w:rsidRDefault="00AC5BA9" w:rsidP="00977A8E">
      <w:pPr>
        <w:pStyle w:val="Header"/>
        <w:rPr>
          <w:u w:val="none"/>
        </w:rPr>
      </w:pPr>
      <w:bookmarkStart w:id="278" w:name="_Toc59198507"/>
      <w:bookmarkStart w:id="279" w:name="_Toc66193986"/>
      <w:bookmarkStart w:id="280" w:name="_Toc73696716"/>
      <w:r w:rsidRPr="00461590">
        <w:rPr>
          <w:u w:val="none"/>
        </w:rPr>
        <w:lastRenderedPageBreak/>
        <w:t>Future directions</w:t>
      </w:r>
      <w:bookmarkEnd w:id="278"/>
      <w:bookmarkEnd w:id="279"/>
      <w:bookmarkEnd w:id="280"/>
    </w:p>
    <w:p w14:paraId="341AAF2A" w14:textId="362697F7" w:rsidR="00373EE3" w:rsidRPr="00785F73" w:rsidRDefault="00E76A66" w:rsidP="00DF2D1F">
      <w:pPr>
        <w:pStyle w:val="Heading1numbered"/>
        <w:pageBreakBefore/>
      </w:pPr>
      <w:bookmarkStart w:id="281" w:name="_Toc59198508"/>
      <w:bookmarkStart w:id="282" w:name="_Toc66193987"/>
      <w:bookmarkStart w:id="283" w:name="_Toc73696717"/>
      <w:r w:rsidRPr="00785F73">
        <w:lastRenderedPageBreak/>
        <w:t>Future directions</w:t>
      </w:r>
      <w:bookmarkEnd w:id="281"/>
      <w:bookmarkEnd w:id="282"/>
      <w:bookmarkEnd w:id="283"/>
    </w:p>
    <w:p w14:paraId="721751E0" w14:textId="77777777" w:rsidR="00373EE3" w:rsidRDefault="00E961AE" w:rsidP="00E06173">
      <w:r w:rsidRPr="009B6AA8">
        <w:t xml:space="preserve">Based on the assessment of the appropriateness, effectiveness, effective and efficient administration and appropriate accountability of the ROHPG </w:t>
      </w:r>
      <w:r w:rsidR="00FD606B">
        <w:t>Scheme</w:t>
      </w:r>
      <w:r w:rsidRPr="009B6AA8">
        <w:t xml:space="preserve"> (as discussed in Part B), HMA identified mechanisms to strengthen the </w:t>
      </w:r>
      <w:r w:rsidR="00FD606B">
        <w:t>Scheme</w:t>
      </w:r>
      <w:r w:rsidRPr="009B6AA8">
        <w:t xml:space="preserve"> in the future.</w:t>
      </w:r>
    </w:p>
    <w:p w14:paraId="0B7FC940" w14:textId="478A811F" w:rsidR="00373EE3" w:rsidRPr="00BC705E" w:rsidRDefault="00E961AE" w:rsidP="00DF2D1F">
      <w:pPr>
        <w:pStyle w:val="heading2numbered"/>
      </w:pPr>
      <w:bookmarkStart w:id="284" w:name="_Toc10547223"/>
      <w:bookmarkStart w:id="285" w:name="_Toc19097789"/>
      <w:bookmarkStart w:id="286" w:name="_Toc25860661"/>
      <w:bookmarkStart w:id="287" w:name="_Toc59198509"/>
      <w:bookmarkStart w:id="288" w:name="_Toc66193988"/>
      <w:bookmarkStart w:id="289" w:name="_Toc73696718"/>
      <w:r w:rsidRPr="00BC705E">
        <w:t>Issue</w:t>
      </w:r>
      <w:bookmarkEnd w:id="284"/>
      <w:bookmarkEnd w:id="285"/>
      <w:bookmarkEnd w:id="286"/>
      <w:r w:rsidR="00A70151" w:rsidRPr="00BC705E">
        <w:t xml:space="preserve"> and rationale</w:t>
      </w:r>
      <w:bookmarkEnd w:id="287"/>
      <w:bookmarkEnd w:id="288"/>
      <w:bookmarkEnd w:id="289"/>
    </w:p>
    <w:p w14:paraId="18A0D11B" w14:textId="77777777" w:rsidR="00373EE3" w:rsidRDefault="00A07149" w:rsidP="00A07149">
      <w:r w:rsidRPr="009B6AA8">
        <w:t xml:space="preserve">When the ROHPG commenced in 1988, there were approximately 46 </w:t>
      </w:r>
      <w:proofErr w:type="spellStart"/>
      <w:r w:rsidRPr="009B6AA8">
        <w:t>linacs</w:t>
      </w:r>
      <w:proofErr w:type="spellEnd"/>
      <w:r w:rsidRPr="009B6AA8">
        <w:t xml:space="preserve"> in Australia. Today there are approximately 20</w:t>
      </w:r>
      <w:r w:rsidR="00890F29">
        <w:t>0</w:t>
      </w:r>
      <w:r w:rsidRPr="009B6AA8">
        <w:t xml:space="preserve"> </w:t>
      </w:r>
      <w:proofErr w:type="spellStart"/>
      <w:r w:rsidRPr="009B6AA8">
        <w:t>linacs</w:t>
      </w:r>
      <w:proofErr w:type="spellEnd"/>
      <w:r w:rsidRPr="009B6AA8">
        <w:t xml:space="preserve"> available across Australia in a mix of major cities, regional areas and rural areas.</w:t>
      </w:r>
    </w:p>
    <w:p w14:paraId="6C9C783D" w14:textId="77777777" w:rsidR="00373EE3" w:rsidRDefault="00A07149" w:rsidP="00A07149">
      <w:r w:rsidRPr="009B6AA8">
        <w:t xml:space="preserve">The exponential growth in the number of </w:t>
      </w:r>
      <w:proofErr w:type="spellStart"/>
      <w:r w:rsidRPr="009B6AA8">
        <w:t>linacs</w:t>
      </w:r>
      <w:proofErr w:type="spellEnd"/>
      <w:r w:rsidRPr="009B6AA8">
        <w:t xml:space="preserve"> in Australia over the last </w:t>
      </w:r>
      <w:r w:rsidR="00753ADA">
        <w:t>three</w:t>
      </w:r>
      <w:r w:rsidRPr="009B6AA8">
        <w:t xml:space="preserve"> decades cannot solely be attributed to the capital contributions from the ROHPG </w:t>
      </w:r>
      <w:r w:rsidR="00FD606B">
        <w:t>Scheme</w:t>
      </w:r>
      <w:r w:rsidRPr="009B6AA8">
        <w:t xml:space="preserve">. But considering the large initial outlay required to establish an RT facility (i.e. development of the concrete bunker, expensive equipment, and software), it is reasonable to assume </w:t>
      </w:r>
      <w:r w:rsidR="00266A1B" w:rsidRPr="009B6AA8">
        <w:t>ROHPG</w:t>
      </w:r>
      <w:r w:rsidRPr="009B6AA8">
        <w:t xml:space="preserve"> has made a significant contribution</w:t>
      </w:r>
      <w:r w:rsidR="00266A1B" w:rsidRPr="009B6AA8">
        <w:t xml:space="preserve"> to the overall increase in RT availability</w:t>
      </w:r>
      <w:r w:rsidRPr="009B6AA8">
        <w:t>.</w:t>
      </w:r>
    </w:p>
    <w:p w14:paraId="0F350A6E" w14:textId="77777777" w:rsidR="00373EE3" w:rsidRDefault="00A07149" w:rsidP="00E06173">
      <w:r w:rsidRPr="009B6AA8">
        <w:t xml:space="preserve">However, increasing radiotherapy utilisation rates across Australia is not simply a matter of placing more </w:t>
      </w:r>
      <w:proofErr w:type="spellStart"/>
      <w:r w:rsidRPr="009B6AA8">
        <w:t>linacs</w:t>
      </w:r>
      <w:proofErr w:type="spellEnd"/>
      <w:r w:rsidRPr="009B6AA8">
        <w:t xml:space="preserve"> in areas of unmet met. Radiotherapy planning </w:t>
      </w:r>
      <w:r w:rsidR="00266A1B" w:rsidRPr="009B6AA8">
        <w:t xml:space="preserve">requires </w:t>
      </w:r>
      <w:r w:rsidRPr="009B6AA8">
        <w:t>a complex assessment of demand, workforce planning, linkage with other cancer services</w:t>
      </w:r>
      <w:r w:rsidR="00B96899">
        <w:t>,</w:t>
      </w:r>
      <w:r w:rsidRPr="009B6AA8">
        <w:t xml:space="preserve"> and safety and quality considerations. Adding to the challenge is the high costs of radiotherapy equipment, regular turnover </w:t>
      </w:r>
      <w:r w:rsidR="00266A1B" w:rsidRPr="009B6AA8">
        <w:t xml:space="preserve">of equipment </w:t>
      </w:r>
      <w:r w:rsidRPr="009B6AA8">
        <w:t>required (nominally every 10</w:t>
      </w:r>
      <w:r w:rsidR="002175BE" w:rsidRPr="009B6AA8">
        <w:t> </w:t>
      </w:r>
      <w:r w:rsidRPr="009B6AA8">
        <w:t>years)</w:t>
      </w:r>
      <w:r w:rsidR="00266A1B" w:rsidRPr="009B6AA8">
        <w:t>,</w:t>
      </w:r>
      <w:r w:rsidRPr="009B6AA8">
        <w:t xml:space="preserve"> and expensive building </w:t>
      </w:r>
      <w:r w:rsidR="00266A1B" w:rsidRPr="009B6AA8">
        <w:t>set-up and</w:t>
      </w:r>
      <w:r w:rsidRPr="009B6AA8">
        <w:t xml:space="preserve"> refurbishment requirements.</w:t>
      </w:r>
    </w:p>
    <w:p w14:paraId="5C1F802C" w14:textId="77777777" w:rsidR="00373EE3" w:rsidRDefault="00A07149" w:rsidP="00E06173">
      <w:r w:rsidRPr="009B6AA8">
        <w:t xml:space="preserve">There is a conflict </w:t>
      </w:r>
      <w:r w:rsidR="00DE37A2">
        <w:t xml:space="preserve">between </w:t>
      </w:r>
      <w:r w:rsidRPr="009B6AA8">
        <w:t>the</w:t>
      </w:r>
      <w:r w:rsidR="00266A1B" w:rsidRPr="009B6AA8">
        <w:t xml:space="preserve"> policy objective of seeking to </w:t>
      </w:r>
      <w:r w:rsidRPr="009B6AA8">
        <w:t xml:space="preserve">provide treatment close to </w:t>
      </w:r>
      <w:r w:rsidR="00266A1B" w:rsidRPr="009B6AA8">
        <w:t>patients</w:t>
      </w:r>
      <w:r w:rsidR="00B96899">
        <w:t>’</w:t>
      </w:r>
      <w:r w:rsidR="00266A1B" w:rsidRPr="009B6AA8">
        <w:t xml:space="preserve"> primary residence </w:t>
      </w:r>
      <w:r w:rsidR="00B96899">
        <w:t xml:space="preserve">and </w:t>
      </w:r>
      <w:r w:rsidRPr="009B6AA8">
        <w:t xml:space="preserve">the practical challenges presented by </w:t>
      </w:r>
      <w:r w:rsidR="00266A1B" w:rsidRPr="009B6AA8">
        <w:t xml:space="preserve">sophisticated treatment regimens required by </w:t>
      </w:r>
      <w:r w:rsidRPr="009B6AA8">
        <w:t>radiotherapy.</w:t>
      </w:r>
    </w:p>
    <w:p w14:paraId="6CC4CBB0" w14:textId="77777777" w:rsidR="00373EE3" w:rsidRDefault="003E57A0" w:rsidP="00E06173">
      <w:r w:rsidRPr="009B6AA8">
        <w:t>In 20</w:t>
      </w:r>
      <w:r w:rsidR="00017E3A">
        <w:t>02</w:t>
      </w:r>
      <w:r w:rsidRPr="009B6AA8">
        <w:t xml:space="preserve"> </w:t>
      </w:r>
      <w:r w:rsidR="00B96899">
        <w:t xml:space="preserve">the </w:t>
      </w:r>
      <w:r w:rsidRPr="009B6AA8">
        <w:t>Baume Inquiry into radiation oncology indicated that there should be a national body mandated to:</w:t>
      </w:r>
    </w:p>
    <w:p w14:paraId="064188AF" w14:textId="3F8502AF" w:rsidR="003E57A0" w:rsidRPr="009B6AA8" w:rsidRDefault="003E57A0" w:rsidP="003E57A0">
      <w:pPr>
        <w:pStyle w:val="ListBullet"/>
      </w:pPr>
      <w:r w:rsidRPr="009B6AA8">
        <w:t>draw together state and territory plans to establish and maintain a national plan for radiation therapy, including the location of new facilities and equipment upgrading and replacement</w:t>
      </w:r>
    </w:p>
    <w:p w14:paraId="73C393B0" w14:textId="77777777" w:rsidR="00373EE3" w:rsidRDefault="003E57A0" w:rsidP="003E57A0">
      <w:pPr>
        <w:pStyle w:val="ListBullet"/>
      </w:pPr>
      <w:r w:rsidRPr="009B6AA8">
        <w:t>approving new or expanded facilities for capital reimbursement</w:t>
      </w:r>
    </w:p>
    <w:p w14:paraId="43B8B8CA" w14:textId="77777777" w:rsidR="00373EE3" w:rsidRDefault="003E57A0" w:rsidP="003E57A0">
      <w:pPr>
        <w:pStyle w:val="ListBullet"/>
      </w:pPr>
      <w:r w:rsidRPr="009B6AA8">
        <w:t>overseeing technology and other standards such as minimum equipment requirements or staffing benchmarks in conjunction with the appropriate professional organisations</w:t>
      </w:r>
    </w:p>
    <w:p w14:paraId="36539F32" w14:textId="77777777" w:rsidR="00373EE3" w:rsidRDefault="003E57A0" w:rsidP="003E57A0">
      <w:pPr>
        <w:pStyle w:val="ListBullet"/>
      </w:pPr>
      <w:r w:rsidRPr="009B6AA8">
        <w:t>establishing and disseminating best-practice guidelines, including the promotion of multidisciplinary team care and oncology</w:t>
      </w:r>
    </w:p>
    <w:p w14:paraId="0694AC2C" w14:textId="2096053C" w:rsidR="003E57A0" w:rsidRPr="009B6AA8" w:rsidRDefault="003E57A0" w:rsidP="003E57A0">
      <w:pPr>
        <w:pStyle w:val="ListBullet"/>
      </w:pPr>
      <w:r w:rsidRPr="009B6AA8">
        <w:t>developing measures of productivity and benchmarking facilities against them</w:t>
      </w:r>
    </w:p>
    <w:p w14:paraId="09C9A446" w14:textId="2D0D7C28" w:rsidR="003E57A0" w:rsidRPr="009B6AA8" w:rsidRDefault="003E57A0" w:rsidP="003E57A0">
      <w:pPr>
        <w:pStyle w:val="ListBullet"/>
      </w:pPr>
      <w:r w:rsidRPr="009B6AA8">
        <w:t>monitoring the radiation therapy workforces and undertaking forward planning to ensure sufficient numbers, in conjunction with appropriate bodies</w:t>
      </w:r>
    </w:p>
    <w:p w14:paraId="56DA94F1" w14:textId="6013F7EF" w:rsidR="003E57A0" w:rsidRPr="009B6AA8" w:rsidRDefault="003E57A0" w:rsidP="003E57A0">
      <w:pPr>
        <w:pStyle w:val="ListBullet"/>
      </w:pPr>
      <w:r w:rsidRPr="009B6AA8">
        <w:t>establishing a national dataset for planning which unites data collected on the different streams of care</w:t>
      </w:r>
    </w:p>
    <w:p w14:paraId="77426BDB" w14:textId="5AA33B32" w:rsidR="003E57A0" w:rsidRPr="009B6AA8" w:rsidRDefault="003E57A0" w:rsidP="003E57A0">
      <w:pPr>
        <w:pStyle w:val="ListBullet"/>
      </w:pPr>
      <w:r w:rsidRPr="009B6AA8">
        <w:t>overseeing a national accreditation program, including a dosimetry program and an adverse incident monitoring program, in consultation with the professions, and</w:t>
      </w:r>
    </w:p>
    <w:p w14:paraId="0E30906F" w14:textId="36319474" w:rsidR="00373EE3" w:rsidRDefault="003E57A0" w:rsidP="003E57A0">
      <w:pPr>
        <w:pStyle w:val="ListBullet"/>
      </w:pPr>
      <w:proofErr w:type="gramStart"/>
      <w:r w:rsidRPr="009B6AA8">
        <w:t>horizon</w:t>
      </w:r>
      <w:proofErr w:type="gramEnd"/>
      <w:r w:rsidRPr="009B6AA8">
        <w:t xml:space="preserve"> scanning and referring new technology to the Medical Services Advisory Committee for timely assessment</w:t>
      </w:r>
      <w:sdt>
        <w:sdtPr>
          <w:id w:val="383845191"/>
          <w:citation/>
        </w:sdtPr>
        <w:sdtContent>
          <w:r w:rsidRPr="00D65C79">
            <w:fldChar w:fldCharType="begin"/>
          </w:r>
          <w:r w:rsidRPr="009B6AA8">
            <w:instrText xml:space="preserve"> CITATION Rad02 \l 2057 </w:instrText>
          </w:r>
          <w:r w:rsidRPr="00D65C79">
            <w:fldChar w:fldCharType="separate"/>
          </w:r>
          <w:r w:rsidR="00264535">
            <w:rPr>
              <w:noProof/>
            </w:rPr>
            <w:t xml:space="preserve"> </w:t>
          </w:r>
          <w:r w:rsidR="00264535" w:rsidRPr="00264535">
            <w:rPr>
              <w:noProof/>
            </w:rPr>
            <w:t>[27]</w:t>
          </w:r>
          <w:r w:rsidRPr="00D65C79">
            <w:fldChar w:fldCharType="end"/>
          </w:r>
        </w:sdtContent>
      </w:sdt>
      <w:r w:rsidRPr="00D65C79">
        <w:t>.</w:t>
      </w:r>
    </w:p>
    <w:p w14:paraId="3C08307C" w14:textId="77777777" w:rsidR="00373EE3" w:rsidRDefault="003E57A0" w:rsidP="003E57A0">
      <w:r w:rsidRPr="009B6AA8">
        <w:t xml:space="preserve">In 2020 such a body does not exist and many of the challenges highlighted in the Baume </w:t>
      </w:r>
      <w:r w:rsidR="00B96899">
        <w:t>I</w:t>
      </w:r>
      <w:r w:rsidR="00B96899" w:rsidRPr="009B6AA8">
        <w:t xml:space="preserve">nquiry </w:t>
      </w:r>
      <w:r w:rsidRPr="009B6AA8">
        <w:t>remain</w:t>
      </w:r>
      <w:r w:rsidR="00266A1B" w:rsidRPr="009B6AA8">
        <w:t>.</w:t>
      </w:r>
      <w:r w:rsidR="003B7833" w:rsidRPr="009B6AA8">
        <w:t xml:space="preserve"> </w:t>
      </w:r>
      <w:r w:rsidR="00266A1B" w:rsidRPr="009B6AA8">
        <w:t>F</w:t>
      </w:r>
      <w:r w:rsidR="003B7833" w:rsidRPr="009B6AA8">
        <w:t>or example:</w:t>
      </w:r>
    </w:p>
    <w:p w14:paraId="00F6AD69" w14:textId="7821996F" w:rsidR="003B7833" w:rsidRPr="009B6AA8" w:rsidRDefault="003B7833" w:rsidP="003B7833">
      <w:pPr>
        <w:pStyle w:val="ListBullet"/>
      </w:pPr>
      <w:r w:rsidRPr="009B6AA8">
        <w:t>t</w:t>
      </w:r>
      <w:r w:rsidR="003E57A0" w:rsidRPr="009B6AA8">
        <w:t>here is a disconnection between state and territory planning and national contributions to radiotherapy investmen</w:t>
      </w:r>
      <w:r w:rsidRPr="009B6AA8">
        <w:t>t</w:t>
      </w:r>
    </w:p>
    <w:p w14:paraId="12B179E0" w14:textId="77777777" w:rsidR="003B7833" w:rsidRPr="009B6AA8" w:rsidRDefault="003E57A0" w:rsidP="003B7833">
      <w:pPr>
        <w:pStyle w:val="ListBullet"/>
      </w:pPr>
      <w:r w:rsidRPr="009B6AA8">
        <w:t>Radiation Oncology Standards are not universally mandated across Australia</w:t>
      </w:r>
    </w:p>
    <w:p w14:paraId="39D3ABF7" w14:textId="0CE6A77E" w:rsidR="003E57A0" w:rsidRPr="009B6AA8" w:rsidRDefault="003E57A0" w:rsidP="003B7833">
      <w:pPr>
        <w:pStyle w:val="ListBullet"/>
      </w:pPr>
      <w:r w:rsidRPr="009B6AA8">
        <w:t>th</w:t>
      </w:r>
      <w:r w:rsidR="003B7833" w:rsidRPr="009B6AA8">
        <w:t>ere</w:t>
      </w:r>
      <w:r w:rsidRPr="009B6AA8">
        <w:t xml:space="preserve"> is no </w:t>
      </w:r>
      <w:r w:rsidR="003B7833" w:rsidRPr="009B6AA8">
        <w:t>uniform</w:t>
      </w:r>
      <w:r w:rsidRPr="009B6AA8">
        <w:t xml:space="preserve"> </w:t>
      </w:r>
      <w:r w:rsidR="003B7833" w:rsidRPr="009B6AA8">
        <w:t>m</w:t>
      </w:r>
      <w:r w:rsidRPr="009B6AA8">
        <w:t xml:space="preserve">ethod for </w:t>
      </w:r>
      <w:r w:rsidR="003B7833" w:rsidRPr="009B6AA8">
        <w:t xml:space="preserve">estimated radiotherapy demand and number of </w:t>
      </w:r>
      <w:proofErr w:type="spellStart"/>
      <w:r w:rsidR="003B7833" w:rsidRPr="009B6AA8">
        <w:t>linacs</w:t>
      </w:r>
      <w:proofErr w:type="spellEnd"/>
      <w:r w:rsidR="003B7833" w:rsidRPr="009B6AA8">
        <w:t xml:space="preserve"> required</w:t>
      </w:r>
    </w:p>
    <w:p w14:paraId="57FFD2B7" w14:textId="54FC3225" w:rsidR="003B7833" w:rsidRPr="009B6AA8" w:rsidRDefault="003B7833" w:rsidP="003B7833">
      <w:pPr>
        <w:pStyle w:val="ListBullet"/>
      </w:pPr>
      <w:r w:rsidRPr="009B6AA8">
        <w:t>advances in RT technology and trends in best practice are not routinely nor consistently monitored by Australian or state/territory governments</w:t>
      </w:r>
      <w:r w:rsidR="00266A1B" w:rsidRPr="009B6AA8">
        <w:t>, and</w:t>
      </w:r>
    </w:p>
    <w:p w14:paraId="1C27CF05" w14:textId="77777777" w:rsidR="00373EE3" w:rsidRDefault="003B7833" w:rsidP="003B7833">
      <w:pPr>
        <w:pStyle w:val="ListBullet"/>
      </w:pPr>
      <w:proofErr w:type="gramStart"/>
      <w:r w:rsidRPr="009B6AA8">
        <w:t>in</w:t>
      </w:r>
      <w:proofErr w:type="gramEnd"/>
      <w:r w:rsidRPr="009B6AA8">
        <w:t xml:space="preserve"> the absence of </w:t>
      </w:r>
      <w:r w:rsidR="00266A1B" w:rsidRPr="009B6AA8">
        <w:t>other</w:t>
      </w:r>
      <w:r w:rsidRPr="009B6AA8">
        <w:t xml:space="preserve"> mechanism</w:t>
      </w:r>
      <w:r w:rsidR="00266A1B" w:rsidRPr="009B6AA8">
        <w:t>s</w:t>
      </w:r>
      <w:r w:rsidRPr="009B6AA8">
        <w:t xml:space="preserve">, a capital funding program is </w:t>
      </w:r>
      <w:r w:rsidR="00266A1B" w:rsidRPr="009B6AA8">
        <w:t xml:space="preserve">used </w:t>
      </w:r>
      <w:r w:rsidRPr="009B6AA8">
        <w:t>to drive consistency and best practice in radiotherapy across Australia.</w:t>
      </w:r>
    </w:p>
    <w:p w14:paraId="61FE306E" w14:textId="77777777" w:rsidR="00373EE3" w:rsidRDefault="003B7833" w:rsidP="00E06173">
      <w:r w:rsidRPr="009B6AA8">
        <w:t xml:space="preserve">Admittedly, the issues raised </w:t>
      </w:r>
      <w:r w:rsidR="00266A1B" w:rsidRPr="009B6AA8">
        <w:t xml:space="preserve">above </w:t>
      </w:r>
      <w:r w:rsidRPr="009B6AA8">
        <w:t xml:space="preserve">go well beyond the scope of the existing ROHPG </w:t>
      </w:r>
      <w:r w:rsidR="00FD606B">
        <w:t>Scheme</w:t>
      </w:r>
      <w:r w:rsidR="00266A1B" w:rsidRPr="009B6AA8">
        <w:t xml:space="preserve">. Arguably </w:t>
      </w:r>
      <w:r w:rsidRPr="009B6AA8">
        <w:t xml:space="preserve">it is inappropriate for a capital funding scheme to be the </w:t>
      </w:r>
      <w:r w:rsidR="00266A1B" w:rsidRPr="009B6AA8">
        <w:t xml:space="preserve">sole </w:t>
      </w:r>
      <w:r w:rsidRPr="009B6AA8">
        <w:t xml:space="preserve">driver of change in </w:t>
      </w:r>
      <w:r w:rsidR="00A945C8" w:rsidRPr="009B6AA8">
        <w:t>radiotherapy</w:t>
      </w:r>
      <w:r w:rsidRPr="009B6AA8">
        <w:t xml:space="preserve">. However, </w:t>
      </w:r>
      <w:r w:rsidR="008E392A" w:rsidRPr="009B6AA8">
        <w:t>without change, there</w:t>
      </w:r>
      <w:r w:rsidR="00710922" w:rsidRPr="009B6AA8">
        <w:t xml:space="preserve"> are limitations</w:t>
      </w:r>
      <w:r w:rsidR="008E392A" w:rsidRPr="009B6AA8">
        <w:t xml:space="preserve"> to what a </w:t>
      </w:r>
      <w:r w:rsidRPr="009B6AA8">
        <w:t xml:space="preserve">capital funding scheme </w:t>
      </w:r>
      <w:r w:rsidR="008E392A" w:rsidRPr="009B6AA8">
        <w:t xml:space="preserve">can do to rectify </w:t>
      </w:r>
      <w:r w:rsidR="0068652F">
        <w:t>misalign</w:t>
      </w:r>
      <w:r w:rsidR="008E392A" w:rsidRPr="009B6AA8">
        <w:t xml:space="preserve">ment </w:t>
      </w:r>
      <w:r w:rsidRPr="009B6AA8">
        <w:t>with state/territory plan</w:t>
      </w:r>
      <w:r w:rsidR="00266A1B" w:rsidRPr="009B6AA8">
        <w:t>s for RT</w:t>
      </w:r>
      <w:r w:rsidRPr="009B6AA8">
        <w:t xml:space="preserve"> or promote discussion and collaboration among the public and private </w:t>
      </w:r>
      <w:r w:rsidR="007A75A8">
        <w:t>facilities</w:t>
      </w:r>
      <w:r w:rsidRPr="009B6AA8">
        <w:t>.</w:t>
      </w:r>
    </w:p>
    <w:p w14:paraId="39A8D8D1" w14:textId="77777777" w:rsidR="00373EE3" w:rsidRDefault="003B7833" w:rsidP="00E06173">
      <w:r w:rsidRPr="009B6AA8">
        <w:t xml:space="preserve">The role of private </w:t>
      </w:r>
      <w:r w:rsidR="007A75A8">
        <w:t>facilities</w:t>
      </w:r>
      <w:r w:rsidRPr="009B6AA8">
        <w:t xml:space="preserve"> in radiotherapy is significant, representing approximately half the </w:t>
      </w:r>
      <w:proofErr w:type="spellStart"/>
      <w:r w:rsidRPr="009B6AA8">
        <w:t>linac</w:t>
      </w:r>
      <w:proofErr w:type="spellEnd"/>
      <w:r w:rsidRPr="009B6AA8">
        <w:t xml:space="preserve"> fleet. </w:t>
      </w:r>
      <w:r w:rsidR="008E392A" w:rsidRPr="009B6AA8">
        <w:t>Public</w:t>
      </w:r>
      <w:r w:rsidRPr="009B6AA8">
        <w:t xml:space="preserve"> </w:t>
      </w:r>
      <w:r w:rsidR="007A75A8">
        <w:t>facilities</w:t>
      </w:r>
      <w:r w:rsidRPr="009B6AA8">
        <w:t xml:space="preserve"> cannot and should not expect to be the </w:t>
      </w:r>
      <w:r w:rsidR="008E392A" w:rsidRPr="009B6AA8">
        <w:t xml:space="preserve">sole RT </w:t>
      </w:r>
      <w:r w:rsidR="007A75A8">
        <w:t>facilities</w:t>
      </w:r>
      <w:r w:rsidR="008E392A" w:rsidRPr="009B6AA8">
        <w:t xml:space="preserve"> in Australia and the increasing instances of </w:t>
      </w:r>
      <w:r w:rsidR="0068358F">
        <w:t>public-private</w:t>
      </w:r>
      <w:r w:rsidR="008E392A" w:rsidRPr="009B6AA8">
        <w:t xml:space="preserve"> partnerships or shared care relationships demonstrates the importance of this type of collaboration. While the existing ROHPG does not prevent this relationship f</w:t>
      </w:r>
      <w:r w:rsidR="00710922" w:rsidRPr="009B6AA8">
        <w:t>rom</w:t>
      </w:r>
      <w:r w:rsidR="008E392A" w:rsidRPr="009B6AA8">
        <w:t xml:space="preserve"> occurring, it also does not facilitate dialogue.</w:t>
      </w:r>
    </w:p>
    <w:p w14:paraId="1DF1E442" w14:textId="77777777" w:rsidR="00373EE3" w:rsidRDefault="00710922" w:rsidP="00E06173">
      <w:r w:rsidRPr="009B6AA8">
        <w:lastRenderedPageBreak/>
        <w:t xml:space="preserve">To maximise the benefit of capital investment in radiotherapy, there needs to be a more transparent approach to selection of priority areas, </w:t>
      </w:r>
      <w:r w:rsidR="00266A1B" w:rsidRPr="009B6AA8">
        <w:t xml:space="preserve">together with </w:t>
      </w:r>
      <w:r w:rsidRPr="009B6AA8">
        <w:t>expanded scope to include all factors that influence utilisation rates (e.g. workforce and referral pathways) and improved dialogue between the public and private sector</w:t>
      </w:r>
      <w:r w:rsidR="00B96899">
        <w:t>s</w:t>
      </w:r>
      <w:r w:rsidRPr="009B6AA8">
        <w:t>.</w:t>
      </w:r>
    </w:p>
    <w:p w14:paraId="6CC8D2D6" w14:textId="0310FBFF" w:rsidR="00373EE3" w:rsidRDefault="00710922" w:rsidP="00E06173">
      <w:r w:rsidRPr="009B6AA8">
        <w:t xml:space="preserve">One way to achieve this is the establishment of </w:t>
      </w:r>
      <w:r w:rsidR="00B96899">
        <w:t xml:space="preserve">a </w:t>
      </w:r>
      <w:r w:rsidRPr="009B6AA8">
        <w:t>national body that has input f</w:t>
      </w:r>
      <w:r w:rsidR="00F75B29" w:rsidRPr="009B6AA8">
        <w:t xml:space="preserve">rom </w:t>
      </w:r>
      <w:r w:rsidRPr="009B6AA8">
        <w:t xml:space="preserve">all jurisdictions, colleagues, peak bodies and public and private </w:t>
      </w:r>
      <w:r w:rsidR="007A75A8">
        <w:t>facilities</w:t>
      </w:r>
      <w:r w:rsidRPr="009B6AA8">
        <w:t>. Such a body could be formed as a Collective Impact Initiative, whereby long-term commitments by</w:t>
      </w:r>
      <w:r w:rsidR="00E61AD5" w:rsidRPr="009B6AA8">
        <w:t xml:space="preserve"> </w:t>
      </w:r>
      <w:r w:rsidRPr="009B6AA8">
        <w:t>key players of different sectors work towards a common agenda to solve a specific problem</w:t>
      </w:r>
      <w:r w:rsidR="00F75B29" w:rsidRPr="009B6AA8">
        <w:t xml:space="preserve"> </w:t>
      </w:r>
      <w:sdt>
        <w:sdtPr>
          <w:id w:val="991060884"/>
          <w:citation/>
        </w:sdtPr>
        <w:sdtContent>
          <w:r w:rsidR="00F75B29" w:rsidRPr="00D65C79">
            <w:fldChar w:fldCharType="begin"/>
          </w:r>
          <w:r w:rsidR="00F75B29" w:rsidRPr="009B6AA8">
            <w:instrText xml:space="preserve"> CITATION Kan11 \l 3081 </w:instrText>
          </w:r>
          <w:r w:rsidR="00F75B29" w:rsidRPr="00D65C79">
            <w:fldChar w:fldCharType="separate"/>
          </w:r>
          <w:r w:rsidR="00264535" w:rsidRPr="00264535">
            <w:rPr>
              <w:noProof/>
            </w:rPr>
            <w:t>[39]</w:t>
          </w:r>
          <w:r w:rsidR="00F75B29" w:rsidRPr="00D65C79">
            <w:fldChar w:fldCharType="end"/>
          </w:r>
        </w:sdtContent>
      </w:sdt>
      <w:r w:rsidRPr="00D65C79">
        <w:t>.</w:t>
      </w:r>
    </w:p>
    <w:p w14:paraId="04EFCEB3" w14:textId="77777777" w:rsidR="00373EE3" w:rsidRPr="007A1E2C" w:rsidRDefault="00710922" w:rsidP="007A1E2C">
      <w:pPr>
        <w:pStyle w:val="ProjectImplication"/>
        <w:rPr>
          <w:rStyle w:val="Strong"/>
        </w:rPr>
      </w:pPr>
      <w:r w:rsidRPr="007A1E2C">
        <w:rPr>
          <w:rStyle w:val="Strong"/>
        </w:rPr>
        <w:t>Collective Impact Initiative</w:t>
      </w:r>
    </w:p>
    <w:p w14:paraId="6626B179" w14:textId="6F4D562C" w:rsidR="00710922" w:rsidRPr="009B6AA8" w:rsidRDefault="00710922" w:rsidP="007A1E2C">
      <w:pPr>
        <w:pStyle w:val="ProjectImplication"/>
      </w:pPr>
      <w:r w:rsidRPr="009B6AA8">
        <w:t>The five conditions of collective success are:</w:t>
      </w:r>
    </w:p>
    <w:p w14:paraId="75735BFA" w14:textId="77777777" w:rsidR="00710922" w:rsidRPr="009B6AA8" w:rsidRDefault="00710922" w:rsidP="007A1E2C">
      <w:pPr>
        <w:pStyle w:val="ProjectImplication"/>
      </w:pPr>
      <w:r w:rsidRPr="007A1E2C">
        <w:rPr>
          <w:rStyle w:val="Strong"/>
        </w:rPr>
        <w:t>A common agenda</w:t>
      </w:r>
      <w:r w:rsidRPr="009B6AA8">
        <w:t xml:space="preserve"> – all participants have a shared understanding of the problem and a joint approach to solving it through agreed upon actions.</w:t>
      </w:r>
    </w:p>
    <w:p w14:paraId="659C6AAC" w14:textId="77777777" w:rsidR="00710922" w:rsidRPr="009B6AA8" w:rsidRDefault="00710922" w:rsidP="007A1E2C">
      <w:pPr>
        <w:pStyle w:val="ProjectImplication"/>
      </w:pPr>
      <w:r w:rsidRPr="007A1E2C">
        <w:rPr>
          <w:rStyle w:val="Strong"/>
        </w:rPr>
        <w:t>Shared measurement systems</w:t>
      </w:r>
      <w:r w:rsidRPr="009B6AA8">
        <w:t xml:space="preserve"> – collecting data and measuring results consistently across all the participants ensures alignment and accountability.</w:t>
      </w:r>
    </w:p>
    <w:p w14:paraId="3CB53535" w14:textId="77777777" w:rsidR="00710922" w:rsidRPr="009B6AA8" w:rsidRDefault="00710922" w:rsidP="007A1E2C">
      <w:pPr>
        <w:pStyle w:val="ProjectImplication"/>
      </w:pPr>
      <w:r w:rsidRPr="007A1E2C">
        <w:rPr>
          <w:rStyle w:val="Strong"/>
        </w:rPr>
        <w:t>Mutually reinforcing activities</w:t>
      </w:r>
      <w:r w:rsidRPr="009B6AA8">
        <w:t xml:space="preserve"> – participants undertake activities that play to their strengths in a coordinated manner that contributes to the shared goals.</w:t>
      </w:r>
    </w:p>
    <w:p w14:paraId="0EC6FB3D" w14:textId="77777777" w:rsidR="00710922" w:rsidRPr="009B6AA8" w:rsidRDefault="00710922" w:rsidP="007A1E2C">
      <w:pPr>
        <w:pStyle w:val="ProjectImplication"/>
      </w:pPr>
      <w:r w:rsidRPr="007A1E2C">
        <w:rPr>
          <w:rStyle w:val="Strong"/>
        </w:rPr>
        <w:t>Continuous communication</w:t>
      </w:r>
      <w:r w:rsidRPr="009B6AA8">
        <w:t xml:space="preserve"> – open and continuous communication builds trust, assures mutual objectives, and creates common motivation.</w:t>
      </w:r>
    </w:p>
    <w:p w14:paraId="02A1037E" w14:textId="0EF612AE" w:rsidR="00710922" w:rsidRPr="00D65C79" w:rsidRDefault="00710922" w:rsidP="007A1E2C">
      <w:pPr>
        <w:pStyle w:val="ProjectImplication"/>
      </w:pPr>
      <w:r w:rsidRPr="007A1E2C">
        <w:rPr>
          <w:rStyle w:val="Strong"/>
        </w:rPr>
        <w:t>Backbone support organisation</w:t>
      </w:r>
      <w:r w:rsidRPr="009B6AA8">
        <w:t xml:space="preserve"> – requires a dedicated staff separate from the participating organisations who can plan, manage, and support the initiative through ongoing facilitation, technology and communications support, data collection and reporting, and logistical and administrative detail</w:t>
      </w:r>
      <w:r w:rsidR="00F75B29" w:rsidRPr="009B6AA8">
        <w:t xml:space="preserve"> </w:t>
      </w:r>
      <w:sdt>
        <w:sdtPr>
          <w:id w:val="-874468172"/>
          <w:citation/>
        </w:sdtPr>
        <w:sdtContent>
          <w:r w:rsidR="00F75B29" w:rsidRPr="00D65C79">
            <w:fldChar w:fldCharType="begin"/>
          </w:r>
          <w:r w:rsidR="00F75B29" w:rsidRPr="009B6AA8">
            <w:instrText xml:space="preserve"> CITATION Kan11 \l 3081 </w:instrText>
          </w:r>
          <w:r w:rsidR="00F75B29" w:rsidRPr="00D65C79">
            <w:fldChar w:fldCharType="separate"/>
          </w:r>
          <w:r w:rsidR="00264535" w:rsidRPr="00264535">
            <w:rPr>
              <w:noProof/>
            </w:rPr>
            <w:t>[39]</w:t>
          </w:r>
          <w:r w:rsidR="00F75B29" w:rsidRPr="00D65C79">
            <w:fldChar w:fldCharType="end"/>
          </w:r>
        </w:sdtContent>
      </w:sdt>
      <w:r w:rsidR="00F75B29" w:rsidRPr="00D65C79">
        <w:t>.</w:t>
      </w:r>
    </w:p>
    <w:p w14:paraId="0A5476AA" w14:textId="288F1E36" w:rsidR="00E961AE" w:rsidRPr="00BC705E" w:rsidRDefault="00E961AE" w:rsidP="00DF2D1F">
      <w:pPr>
        <w:pStyle w:val="heading2numbered"/>
      </w:pPr>
      <w:bookmarkStart w:id="290" w:name="_Toc10547225"/>
      <w:bookmarkStart w:id="291" w:name="_Toc19097791"/>
      <w:bookmarkStart w:id="292" w:name="_Toc25860663"/>
      <w:bookmarkStart w:id="293" w:name="_Toc59198510"/>
      <w:bookmarkStart w:id="294" w:name="_Toc66193989"/>
      <w:bookmarkStart w:id="295" w:name="_Toc73696719"/>
      <w:r w:rsidRPr="00BC705E">
        <w:t>Options</w:t>
      </w:r>
      <w:bookmarkEnd w:id="290"/>
      <w:bookmarkEnd w:id="291"/>
      <w:bookmarkEnd w:id="292"/>
      <w:bookmarkEnd w:id="293"/>
      <w:bookmarkEnd w:id="294"/>
      <w:bookmarkEnd w:id="295"/>
    </w:p>
    <w:p w14:paraId="65592083" w14:textId="627EEE5B" w:rsidR="00E961AE" w:rsidRPr="009B6AA8" w:rsidRDefault="00E961AE" w:rsidP="00E06173">
      <w:r w:rsidRPr="009B6AA8">
        <w:t>Potential options</w:t>
      </w:r>
      <w:r w:rsidR="00266A1B" w:rsidRPr="009B6AA8">
        <w:t xml:space="preserve"> for future enhancement of RT</w:t>
      </w:r>
      <w:r w:rsidRPr="009B6AA8">
        <w:t xml:space="preserve"> include:</w:t>
      </w:r>
    </w:p>
    <w:p w14:paraId="71CD6B01" w14:textId="77777777" w:rsidR="00373EE3" w:rsidRPr="00F00103" w:rsidRDefault="00CB6E6F" w:rsidP="00F00103">
      <w:pPr>
        <w:pStyle w:val="ListParagraph"/>
        <w:numPr>
          <w:ilvl w:val="0"/>
          <w:numId w:val="47"/>
        </w:numPr>
      </w:pPr>
      <w:r w:rsidRPr="00F00103">
        <w:t>A</w:t>
      </w:r>
      <w:r w:rsidR="00E961AE" w:rsidRPr="00F00103">
        <w:t>djustment</w:t>
      </w:r>
      <w:r w:rsidR="001A27A6" w:rsidRPr="00F00103">
        <w:t xml:space="preserve"> to </w:t>
      </w:r>
      <w:r w:rsidR="00F304C6" w:rsidRPr="00F00103">
        <w:t xml:space="preserve">strengthen the existing ROHPG </w:t>
      </w:r>
      <w:r w:rsidR="00FD606B" w:rsidRPr="00F00103">
        <w:t>Scheme</w:t>
      </w:r>
      <w:r w:rsidR="0001065C" w:rsidRPr="00F00103">
        <w:t>.</w:t>
      </w:r>
    </w:p>
    <w:p w14:paraId="1CCE4D5C" w14:textId="3C39004D" w:rsidR="00E961AE" w:rsidRPr="00F00103" w:rsidRDefault="00CB6E6F" w:rsidP="00F00103">
      <w:pPr>
        <w:pStyle w:val="ListParagraph"/>
        <w:numPr>
          <w:ilvl w:val="0"/>
          <w:numId w:val="47"/>
        </w:numPr>
      </w:pPr>
      <w:r w:rsidRPr="00F00103">
        <w:t>D</w:t>
      </w:r>
      <w:r w:rsidR="00F304C6" w:rsidRPr="00F00103">
        <w:t xml:space="preserve">evelopment of </w:t>
      </w:r>
      <w:r w:rsidR="00B96899" w:rsidRPr="00F00103">
        <w:t xml:space="preserve">a </w:t>
      </w:r>
      <w:r w:rsidR="00F304C6" w:rsidRPr="00F00103">
        <w:t xml:space="preserve">national body </w:t>
      </w:r>
      <w:r w:rsidR="00890F29" w:rsidRPr="00F00103">
        <w:t xml:space="preserve">with input from all jurisdictions, colleagues, peak bodies and public and private facilities </w:t>
      </w:r>
      <w:r w:rsidR="00F304C6" w:rsidRPr="00F00103">
        <w:t xml:space="preserve">for </w:t>
      </w:r>
      <w:r w:rsidR="00A945C8" w:rsidRPr="00F00103">
        <w:t>radiotherapy</w:t>
      </w:r>
      <w:r w:rsidR="00F304C6" w:rsidRPr="00F00103">
        <w:t xml:space="preserve"> planning that includes capital funding for </w:t>
      </w:r>
      <w:r w:rsidR="00B96899" w:rsidRPr="00F00103">
        <w:t>high-</w:t>
      </w:r>
      <w:r w:rsidR="00F304C6" w:rsidRPr="00F00103">
        <w:t>cost equipment</w:t>
      </w:r>
      <w:r w:rsidR="0001065C" w:rsidRPr="00F00103">
        <w:t>.</w:t>
      </w:r>
    </w:p>
    <w:p w14:paraId="317A8B7A" w14:textId="77777777" w:rsidR="00E961AE" w:rsidRPr="009B6AA8" w:rsidRDefault="00E961AE" w:rsidP="00E06173">
      <w:r w:rsidRPr="009B6AA8">
        <w:t>Benefits and challenges of these options are discussed below.</w:t>
      </w:r>
    </w:p>
    <w:p w14:paraId="356030D7" w14:textId="77777777" w:rsidR="00373EE3" w:rsidRPr="00BC705E" w:rsidRDefault="00E961AE" w:rsidP="00592036">
      <w:pPr>
        <w:pStyle w:val="Heading3numbered"/>
      </w:pPr>
      <w:bookmarkStart w:id="296" w:name="_Toc66193990"/>
      <w:r w:rsidRPr="00BC705E">
        <w:t>Option 1</w:t>
      </w:r>
      <w:r w:rsidR="001A27A6" w:rsidRPr="00BC705E">
        <w:t xml:space="preserve">: </w:t>
      </w:r>
      <w:r w:rsidR="00CB6E6F" w:rsidRPr="00BC705E">
        <w:t>A</w:t>
      </w:r>
      <w:r w:rsidR="001A27A6" w:rsidRPr="00BC705E">
        <w:t xml:space="preserve">djustments to </w:t>
      </w:r>
      <w:r w:rsidR="001A27A6" w:rsidRPr="007A1E2C">
        <w:t>strengthen</w:t>
      </w:r>
      <w:r w:rsidR="001A27A6" w:rsidRPr="00BC705E">
        <w:t xml:space="preserve"> the existing ROHPG </w:t>
      </w:r>
      <w:r w:rsidR="00FD606B" w:rsidRPr="00BC705E">
        <w:t>Scheme</w:t>
      </w:r>
      <w:bookmarkEnd w:id="296"/>
    </w:p>
    <w:p w14:paraId="6CB8647D" w14:textId="708EE7D1" w:rsidR="008107FF" w:rsidRPr="009B6AA8" w:rsidRDefault="001A27A6" w:rsidP="00A3666D">
      <w:pPr>
        <w:keepNext/>
      </w:pPr>
      <w:r w:rsidRPr="009B6AA8">
        <w:t xml:space="preserve">Key features: ROHPG </w:t>
      </w:r>
      <w:r w:rsidR="00FD606B">
        <w:t>Scheme</w:t>
      </w:r>
      <w:r w:rsidRPr="009B6AA8">
        <w:t xml:space="preserve"> remains in its current form </w:t>
      </w:r>
      <w:r w:rsidR="008107FF" w:rsidRPr="009B6AA8">
        <w:t>but is strengthen</w:t>
      </w:r>
      <w:r w:rsidR="0025228E" w:rsidRPr="009B6AA8">
        <w:t>ed</w:t>
      </w:r>
      <w:r w:rsidR="008107FF" w:rsidRPr="009B6AA8">
        <w:t xml:space="preserve"> with the following adjustments:</w:t>
      </w:r>
    </w:p>
    <w:p w14:paraId="017595B3" w14:textId="18E3390B" w:rsidR="008107FF" w:rsidRPr="00461590" w:rsidRDefault="008107FF" w:rsidP="00461590">
      <w:pPr>
        <w:pStyle w:val="ListParagraph"/>
        <w:numPr>
          <w:ilvl w:val="0"/>
          <w:numId w:val="46"/>
        </w:numPr>
      </w:pPr>
      <w:r w:rsidRPr="00461590">
        <w:t xml:space="preserve">Equal timeframes for payment between public and private </w:t>
      </w:r>
      <w:r w:rsidR="007A75A8" w:rsidRPr="00461590">
        <w:t>facilities</w:t>
      </w:r>
      <w:r w:rsidRPr="00461590">
        <w:t>, set a</w:t>
      </w:r>
      <w:r w:rsidR="00B96899" w:rsidRPr="00461590">
        <w:t>t</w:t>
      </w:r>
      <w:r w:rsidRPr="00461590">
        <w:t xml:space="preserve"> no longer than 10 years</w:t>
      </w:r>
      <w:r w:rsidR="00C01061" w:rsidRPr="00461590">
        <w:t>.</w:t>
      </w:r>
    </w:p>
    <w:p w14:paraId="670BF295" w14:textId="77777777" w:rsidR="00373EE3" w:rsidRPr="00461590" w:rsidRDefault="008107FF" w:rsidP="00461590">
      <w:pPr>
        <w:pStyle w:val="ListParagraph"/>
        <w:numPr>
          <w:ilvl w:val="0"/>
          <w:numId w:val="46"/>
        </w:numPr>
      </w:pPr>
      <w:r w:rsidRPr="00461590">
        <w:t>Increased transparency for priority area setting through provision of jurisdiction planning formulae, as well as current (one-year project</w:t>
      </w:r>
      <w:r w:rsidR="00A40B8D" w:rsidRPr="00461590">
        <w:t>ed</w:t>
      </w:r>
      <w:r w:rsidRPr="00461590">
        <w:t>) and future (up to five-year projected) demand, need and unmet need.</w:t>
      </w:r>
    </w:p>
    <w:p w14:paraId="7D60D553" w14:textId="77777777" w:rsidR="00373EE3" w:rsidRPr="00461590" w:rsidRDefault="008107FF" w:rsidP="00461590">
      <w:pPr>
        <w:pStyle w:val="ListParagraph"/>
        <w:numPr>
          <w:ilvl w:val="0"/>
          <w:numId w:val="46"/>
        </w:numPr>
      </w:pPr>
      <w:r w:rsidRPr="00461590">
        <w:t>Extension of the two-year timeframe for new facilities to become operational to the seven facilities approved before 2017. This will stop the warehousing of these locations. Facilities that do not comply within the two-year timeframe could have their funding revoked.</w:t>
      </w:r>
    </w:p>
    <w:p w14:paraId="0DBD3F83" w14:textId="50663DE2" w:rsidR="008107FF" w:rsidRPr="00461590" w:rsidRDefault="00B050DC" w:rsidP="00461590">
      <w:pPr>
        <w:pStyle w:val="ListParagraph"/>
        <w:numPr>
          <w:ilvl w:val="0"/>
          <w:numId w:val="46"/>
        </w:numPr>
      </w:pPr>
      <w:r w:rsidRPr="00461590">
        <w:t>Updating the wording of application criteria to be more explicit about require</w:t>
      </w:r>
      <w:r w:rsidR="007B22D7" w:rsidRPr="00461590">
        <w:t>d</w:t>
      </w:r>
      <w:r w:rsidRPr="00461590">
        <w:t xml:space="preserve"> </w:t>
      </w:r>
      <w:r w:rsidR="00D65C79" w:rsidRPr="00461590">
        <w:t>information and</w:t>
      </w:r>
      <w:r w:rsidRPr="00461590">
        <w:t xml:space="preserve"> include additional points of evidence for established or planned relationships with other cancer services.</w:t>
      </w:r>
    </w:p>
    <w:p w14:paraId="1123FA1F" w14:textId="77777777" w:rsidR="00373EE3" w:rsidRPr="00461590" w:rsidRDefault="00C01061" w:rsidP="00461590">
      <w:pPr>
        <w:pStyle w:val="ListParagraph"/>
        <w:numPr>
          <w:ilvl w:val="0"/>
          <w:numId w:val="46"/>
        </w:numPr>
      </w:pPr>
      <w:r w:rsidRPr="00461590">
        <w:t>Update wording of the Guidelines to include a transparent scoring matrix for all criteria. This will allow more transparent process of approval and assist with comparison between two competing applications.</w:t>
      </w:r>
    </w:p>
    <w:p w14:paraId="1070EE27" w14:textId="77777777" w:rsidR="00373EE3" w:rsidRPr="00461590" w:rsidRDefault="00B050DC" w:rsidP="00461590">
      <w:pPr>
        <w:pStyle w:val="ListParagraph"/>
        <w:numPr>
          <w:ilvl w:val="0"/>
          <w:numId w:val="46"/>
        </w:numPr>
      </w:pPr>
      <w:r w:rsidRPr="00461590">
        <w:t>Updating the wording of the Instrument to reflect all assessment criteria</w:t>
      </w:r>
      <w:r w:rsidR="00A40B8D" w:rsidRPr="00461590">
        <w:t>.</w:t>
      </w:r>
    </w:p>
    <w:p w14:paraId="0B524F36" w14:textId="77777777" w:rsidR="00373EE3" w:rsidRPr="00461590" w:rsidRDefault="00E6752E" w:rsidP="00461590">
      <w:pPr>
        <w:pStyle w:val="ListParagraph"/>
        <w:numPr>
          <w:ilvl w:val="0"/>
          <w:numId w:val="46"/>
        </w:numPr>
      </w:pPr>
      <w:r w:rsidRPr="00461590">
        <w:t>Inclusion of participation in the Radiation Oncology Incident and Near-miss Register (when operational) as a condition of funding. The registry is being developed in conjunction with stakeholder input and will provide a mechanism to monitor incidents to further improve safety and quality of RT provision. The nature of the incidents and near-misses will go beyond that which results from funded equipment. But ROHPG is a useful lever to drive changes in the absence of national regulation for radiation oncology.</w:t>
      </w:r>
    </w:p>
    <w:p w14:paraId="2362317C" w14:textId="77777777" w:rsidR="00373EE3" w:rsidRPr="00461590" w:rsidRDefault="00B050DC" w:rsidP="00461590">
      <w:pPr>
        <w:pStyle w:val="ListParagraph"/>
        <w:numPr>
          <w:ilvl w:val="0"/>
          <w:numId w:val="46"/>
        </w:numPr>
      </w:pPr>
      <w:r w:rsidRPr="00461590">
        <w:t xml:space="preserve">Expanding the annual declaration form to include equipment usage and patient bulk-billing information. Information to be verified periodically (e.g. every three to five years, or a random </w:t>
      </w:r>
      <w:r w:rsidR="00C01061" w:rsidRPr="00461590">
        <w:t>selection</w:t>
      </w:r>
      <w:r w:rsidRPr="00461590">
        <w:t xml:space="preserve"> of </w:t>
      </w:r>
      <w:r w:rsidR="00C01061" w:rsidRPr="00461590">
        <w:t>facilities</w:t>
      </w:r>
      <w:r w:rsidRPr="00461590">
        <w:t xml:space="preserve"> annually) th</w:t>
      </w:r>
      <w:r w:rsidR="00A40B8D" w:rsidRPr="00461590">
        <w:t>r</w:t>
      </w:r>
      <w:r w:rsidRPr="00461590">
        <w:t xml:space="preserve">ough </w:t>
      </w:r>
      <w:r w:rsidR="00C01061" w:rsidRPr="00461590">
        <w:t>provision</w:t>
      </w:r>
      <w:r w:rsidRPr="00461590">
        <w:t xml:space="preserve"> of evidence from facilities.</w:t>
      </w:r>
    </w:p>
    <w:p w14:paraId="71453266" w14:textId="77777777" w:rsidR="00373EE3" w:rsidRPr="00461590" w:rsidRDefault="0025228E" w:rsidP="00461590">
      <w:pPr>
        <w:pStyle w:val="ListParagraph"/>
        <w:numPr>
          <w:ilvl w:val="0"/>
          <w:numId w:val="46"/>
        </w:numPr>
      </w:pPr>
      <w:r w:rsidRPr="00461590">
        <w:t>Inclusion of a Gantt chart for monitoring the timeframes of new facility application</w:t>
      </w:r>
      <w:r w:rsidR="00A3666D" w:rsidRPr="00461590">
        <w:t>s.</w:t>
      </w:r>
    </w:p>
    <w:p w14:paraId="78101823" w14:textId="77777777" w:rsidR="00373EE3" w:rsidRPr="00461590" w:rsidRDefault="00C01061" w:rsidP="00461590">
      <w:pPr>
        <w:pStyle w:val="ListParagraph"/>
        <w:numPr>
          <w:ilvl w:val="0"/>
          <w:numId w:val="46"/>
        </w:numPr>
      </w:pPr>
      <w:r w:rsidRPr="00461590">
        <w:t>ROHPG payments to continue to be withheld until certificates of currency and annual declarations are provided.</w:t>
      </w:r>
    </w:p>
    <w:p w14:paraId="3187FF3A" w14:textId="06AB6360" w:rsidR="00C01061" w:rsidRPr="009B6AA8" w:rsidRDefault="00A92CDD" w:rsidP="00C01061">
      <w:r>
        <w:t>U</w:t>
      </w:r>
      <w:r w:rsidR="00A40B8D">
        <w:t>nder this option</w:t>
      </w:r>
      <w:r w:rsidR="00266A1B" w:rsidRPr="009B6AA8">
        <w:t>, r</w:t>
      </w:r>
      <w:r w:rsidR="00C01061" w:rsidRPr="009B6AA8">
        <w:t xml:space="preserve">ecommendations </w:t>
      </w:r>
      <w:r w:rsidR="0001065C">
        <w:t xml:space="preserve">1, </w:t>
      </w:r>
      <w:r w:rsidR="0035356E">
        <w:t xml:space="preserve">3, </w:t>
      </w:r>
      <w:r w:rsidR="00C01061" w:rsidRPr="009B6AA8">
        <w:t xml:space="preserve">4, </w:t>
      </w:r>
      <w:r w:rsidR="0001065C">
        <w:t xml:space="preserve">5, 6, </w:t>
      </w:r>
      <w:r w:rsidR="00C01061" w:rsidRPr="009B6AA8">
        <w:t>7</w:t>
      </w:r>
      <w:r w:rsidR="00A3666D" w:rsidRPr="009B6AA8">
        <w:t xml:space="preserve">, </w:t>
      </w:r>
      <w:r w:rsidR="0035356E">
        <w:t xml:space="preserve">9, </w:t>
      </w:r>
      <w:r w:rsidR="00C01061" w:rsidRPr="009B6AA8">
        <w:t xml:space="preserve">10, 11, 12, </w:t>
      </w:r>
      <w:r w:rsidR="0035356E">
        <w:t xml:space="preserve">and </w:t>
      </w:r>
      <w:r w:rsidR="00C01061" w:rsidRPr="009B6AA8">
        <w:t>1</w:t>
      </w:r>
      <w:r w:rsidR="00A3666D" w:rsidRPr="009B6AA8">
        <w:t>3</w:t>
      </w:r>
      <w:r w:rsidR="0001065C">
        <w:t xml:space="preserve"> </w:t>
      </w:r>
      <w:r>
        <w:t>woul</w:t>
      </w:r>
      <w:r w:rsidR="00A40B8D">
        <w:t>d be addressed</w:t>
      </w:r>
      <w:r w:rsidR="00C01061" w:rsidRPr="009B6AA8">
        <w:t>.</w:t>
      </w:r>
    </w:p>
    <w:tbl>
      <w:tblPr>
        <w:tblStyle w:val="HMATable"/>
        <w:tblW w:w="5000" w:type="pct"/>
        <w:tblInd w:w="0" w:type="dxa"/>
        <w:tblLook w:val="0420" w:firstRow="1" w:lastRow="0" w:firstColumn="0" w:lastColumn="0" w:noHBand="0" w:noVBand="1"/>
        <w:tblCaption w:val="Benefits and challenges of Option 1"/>
        <w:tblDescription w:val="Un-numbered table showing the benefits and challenges of Option 1 - Adjustments to strengthen the existing ROHPG Scheme."/>
      </w:tblPr>
      <w:tblGrid>
        <w:gridCol w:w="4842"/>
        <w:gridCol w:w="5183"/>
      </w:tblGrid>
      <w:tr w:rsidR="00E961AE" w:rsidRPr="009B6AA8" w14:paraId="7F7063BD" w14:textId="77777777" w:rsidTr="007A1E2C">
        <w:trPr>
          <w:cnfStyle w:val="100000000000" w:firstRow="1" w:lastRow="0" w:firstColumn="0" w:lastColumn="0" w:oddVBand="0" w:evenVBand="0" w:oddHBand="0" w:evenHBand="0" w:firstRowFirstColumn="0" w:firstRowLastColumn="0" w:lastRowFirstColumn="0" w:lastRowLastColumn="0"/>
          <w:tblHeader/>
        </w:trPr>
        <w:tc>
          <w:tcPr>
            <w:tcW w:w="2415" w:type="pct"/>
            <w:tcBorders>
              <w:top w:val="single" w:sz="4" w:space="0" w:color="4B4B4B" w:themeColor="accent2"/>
              <w:left w:val="single" w:sz="4" w:space="0" w:color="FFFFFF" w:themeColor="background1"/>
              <w:bottom w:val="single" w:sz="4" w:space="0" w:color="4B4B4B" w:themeColor="accent2"/>
              <w:right w:val="single" w:sz="4" w:space="0" w:color="FFFFFF" w:themeColor="background1"/>
            </w:tcBorders>
            <w:vAlign w:val="center"/>
            <w:hideMark/>
          </w:tcPr>
          <w:p w14:paraId="1BD70CF9" w14:textId="77777777" w:rsidR="00E961AE" w:rsidRPr="009B6AA8" w:rsidRDefault="00E961AE" w:rsidP="007A1E2C">
            <w:pPr>
              <w:pStyle w:val="TableColumnHeading"/>
            </w:pPr>
            <w:r w:rsidRPr="009B6AA8">
              <w:lastRenderedPageBreak/>
              <w:t>Benefits</w:t>
            </w:r>
          </w:p>
        </w:tc>
        <w:tc>
          <w:tcPr>
            <w:tcW w:w="2585" w:type="pct"/>
            <w:tcBorders>
              <w:top w:val="single" w:sz="4" w:space="0" w:color="4B4B4B" w:themeColor="accent2"/>
              <w:left w:val="single" w:sz="4" w:space="0" w:color="FFFFFF" w:themeColor="background1"/>
              <w:bottom w:val="single" w:sz="4" w:space="0" w:color="4B4B4B" w:themeColor="accent2"/>
              <w:right w:val="single" w:sz="4" w:space="0" w:color="FFFFFF" w:themeColor="background1"/>
            </w:tcBorders>
            <w:vAlign w:val="center"/>
            <w:hideMark/>
          </w:tcPr>
          <w:p w14:paraId="2419737E" w14:textId="77777777" w:rsidR="00E961AE" w:rsidRPr="009B6AA8" w:rsidRDefault="00E961AE" w:rsidP="007A1E2C">
            <w:pPr>
              <w:pStyle w:val="TableColumnHeading"/>
            </w:pPr>
            <w:r w:rsidRPr="009B6AA8">
              <w:t>Challenges</w:t>
            </w:r>
          </w:p>
        </w:tc>
      </w:tr>
      <w:tr w:rsidR="00E961AE" w:rsidRPr="009B6AA8" w14:paraId="6E061CDE" w14:textId="77777777" w:rsidTr="007A1E2C">
        <w:trPr>
          <w:trHeight w:val="1798"/>
        </w:trPr>
        <w:tc>
          <w:tcPr>
            <w:tcW w:w="2415" w:type="pct"/>
            <w:tcBorders>
              <w:top w:val="single" w:sz="4" w:space="0" w:color="4B4B4B" w:themeColor="accent2"/>
              <w:left w:val="single" w:sz="4" w:space="0" w:color="FFFFFF" w:themeColor="background1"/>
              <w:bottom w:val="single" w:sz="4" w:space="0" w:color="4B4B4B" w:themeColor="accent2"/>
              <w:right w:val="single" w:sz="4" w:space="0" w:color="FFFFFF" w:themeColor="background1"/>
            </w:tcBorders>
          </w:tcPr>
          <w:p w14:paraId="1FF1EF98" w14:textId="325B4E61" w:rsidR="00E961AE" w:rsidRPr="00193121" w:rsidRDefault="00C01061" w:rsidP="00592036">
            <w:pPr>
              <w:pStyle w:val="TableBullets1"/>
            </w:pPr>
            <w:r w:rsidRPr="00193121">
              <w:t xml:space="preserve">Equal playing field between public and private </w:t>
            </w:r>
            <w:r w:rsidR="007A75A8" w:rsidRPr="00193121">
              <w:t>facilities</w:t>
            </w:r>
            <w:r w:rsidR="00822368" w:rsidRPr="00193121">
              <w:t>.</w:t>
            </w:r>
          </w:p>
          <w:p w14:paraId="4E8CDDF2" w14:textId="38A647F0" w:rsidR="00C01061" w:rsidRPr="00193121" w:rsidRDefault="00C01061" w:rsidP="00592036">
            <w:pPr>
              <w:pStyle w:val="TableBullets1"/>
            </w:pPr>
            <w:r w:rsidRPr="00193121">
              <w:t>Increased transparency for priorities area setting</w:t>
            </w:r>
            <w:r w:rsidR="00822368" w:rsidRPr="00193121">
              <w:t>.</w:t>
            </w:r>
          </w:p>
          <w:p w14:paraId="340C0AF2" w14:textId="77777777" w:rsidR="00373EE3" w:rsidRPr="00193121" w:rsidRDefault="00C01061" w:rsidP="00592036">
            <w:pPr>
              <w:pStyle w:val="TableBullets1"/>
            </w:pPr>
            <w:r w:rsidRPr="00193121">
              <w:t>Availability of all information removes perceived conflict of interest of jurisdictions</w:t>
            </w:r>
            <w:r w:rsidR="00822368" w:rsidRPr="00193121">
              <w:t>.</w:t>
            </w:r>
          </w:p>
          <w:p w14:paraId="7A146416" w14:textId="77777777" w:rsidR="00373EE3" w:rsidRPr="00193121" w:rsidRDefault="00C01061" w:rsidP="00592036">
            <w:pPr>
              <w:pStyle w:val="TableBullets1"/>
            </w:pPr>
            <w:r w:rsidRPr="00193121">
              <w:t>Increased ability to plan future priorities</w:t>
            </w:r>
            <w:r w:rsidR="00822368" w:rsidRPr="00193121">
              <w:t>.</w:t>
            </w:r>
          </w:p>
          <w:p w14:paraId="60ED3B03" w14:textId="77777777" w:rsidR="00373EE3" w:rsidRPr="00193121" w:rsidRDefault="00C01061" w:rsidP="00592036">
            <w:pPr>
              <w:pStyle w:val="TableBullets1"/>
            </w:pPr>
            <w:r w:rsidRPr="00193121">
              <w:t xml:space="preserve">Increased access to services through establishment of the current warehoused </w:t>
            </w:r>
            <w:r w:rsidR="00D65C79" w:rsidRPr="00193121">
              <w:t>locations or</w:t>
            </w:r>
            <w:r w:rsidRPr="00193121">
              <w:t xml:space="preserve"> </w:t>
            </w:r>
            <w:r w:rsidR="00822368" w:rsidRPr="00193121">
              <w:t>revoking the funding so that the location can be opened up to transparent bidding again (if still considered a priority area).</w:t>
            </w:r>
          </w:p>
          <w:p w14:paraId="301EBD18" w14:textId="77777777" w:rsidR="00373EE3" w:rsidRPr="00193121" w:rsidRDefault="00822368" w:rsidP="00592036">
            <w:pPr>
              <w:pStyle w:val="TableBullets1"/>
            </w:pPr>
            <w:r w:rsidRPr="00193121">
              <w:t>Strengthen</w:t>
            </w:r>
            <w:r w:rsidR="00A12E2F" w:rsidRPr="00193121">
              <w:t>ed</w:t>
            </w:r>
            <w:r w:rsidRPr="00193121">
              <w:t xml:space="preserve"> guidelines and application criteria will increase transparency and improve comparison between applications.</w:t>
            </w:r>
          </w:p>
          <w:p w14:paraId="535E05C0" w14:textId="07FDD69B" w:rsidR="00CB6E6F" w:rsidRPr="00193121" w:rsidRDefault="00CB6E6F" w:rsidP="00592036">
            <w:pPr>
              <w:pStyle w:val="TableBullets1"/>
            </w:pPr>
            <w:r w:rsidRPr="00193121">
              <w:t>Additional assurances of safety and quality of radiotherapy services in Australia through incident registry participation</w:t>
            </w:r>
          </w:p>
          <w:p w14:paraId="15AF47FE" w14:textId="36BB006E" w:rsidR="00822368" w:rsidRPr="00592036" w:rsidRDefault="00822368" w:rsidP="00592036">
            <w:pPr>
              <w:pStyle w:val="TableBullets1"/>
            </w:pPr>
            <w:r w:rsidRPr="00592036">
              <w:t xml:space="preserve">Improved accountability over all specified conditions of funding. </w:t>
            </w:r>
          </w:p>
        </w:tc>
        <w:tc>
          <w:tcPr>
            <w:tcW w:w="2585" w:type="pct"/>
            <w:tcBorders>
              <w:top w:val="single" w:sz="4" w:space="0" w:color="4B4B4B" w:themeColor="accent2"/>
              <w:left w:val="single" w:sz="4" w:space="0" w:color="FFFFFF" w:themeColor="background1"/>
              <w:bottom w:val="single" w:sz="4" w:space="0" w:color="4B4B4B" w:themeColor="accent2"/>
              <w:right w:val="single" w:sz="4" w:space="0" w:color="FFFFFF" w:themeColor="background1"/>
            </w:tcBorders>
          </w:tcPr>
          <w:p w14:paraId="595BD81C" w14:textId="2D95C6F5" w:rsidR="00CA51AB" w:rsidRPr="00193121" w:rsidRDefault="009409A9" w:rsidP="00592036">
            <w:pPr>
              <w:pStyle w:val="TableBullets1"/>
            </w:pPr>
            <w:r w:rsidRPr="00193121">
              <w:t xml:space="preserve">Private </w:t>
            </w:r>
            <w:r w:rsidR="007A75A8" w:rsidRPr="00193121">
              <w:t>facilities</w:t>
            </w:r>
            <w:r w:rsidRPr="00193121">
              <w:t xml:space="preserve"> will </w:t>
            </w:r>
            <w:r w:rsidR="00CA51AB" w:rsidRPr="00193121">
              <w:t>receive</w:t>
            </w:r>
            <w:r w:rsidRPr="00193121">
              <w:t xml:space="preserve"> reduced annual payments </w:t>
            </w:r>
            <w:r w:rsidR="00CA51AB" w:rsidRPr="00193121">
              <w:t>(</w:t>
            </w:r>
            <w:r w:rsidR="00DE37A2" w:rsidRPr="00193121">
              <w:t xml:space="preserve">same funding amount </w:t>
            </w:r>
            <w:r w:rsidR="00CA51AB" w:rsidRPr="00193121">
              <w:t>but over a longer timeframe)</w:t>
            </w:r>
            <w:r w:rsidR="00A12E2F" w:rsidRPr="00193121">
              <w:t>.</w:t>
            </w:r>
          </w:p>
          <w:p w14:paraId="3C351795" w14:textId="2880341C" w:rsidR="00E961AE" w:rsidRPr="00193121" w:rsidRDefault="00822368" w:rsidP="00592036">
            <w:pPr>
              <w:pStyle w:val="TableBullets1"/>
            </w:pPr>
            <w:r w:rsidRPr="00193121">
              <w:t>Increased burden on facilities to provide additional information and evidence in the application process.</w:t>
            </w:r>
          </w:p>
          <w:p w14:paraId="04404064" w14:textId="77777777" w:rsidR="00822368" w:rsidRPr="00193121" w:rsidRDefault="00822368" w:rsidP="00592036">
            <w:pPr>
              <w:pStyle w:val="TableBullets1"/>
            </w:pPr>
            <w:r w:rsidRPr="00193121">
              <w:t>Increased burden on facilities to provide certificates of currency and declarations of compliance, with periodic validation of information.</w:t>
            </w:r>
          </w:p>
          <w:p w14:paraId="0E2985DD" w14:textId="1E23615C" w:rsidR="00822368" w:rsidRPr="00193121" w:rsidRDefault="00822368" w:rsidP="00592036">
            <w:pPr>
              <w:pStyle w:val="TableBullets1"/>
            </w:pPr>
            <w:r w:rsidRPr="00193121">
              <w:t>Increased administrative burden for jurisdiction</w:t>
            </w:r>
            <w:r w:rsidR="00A12E2F" w:rsidRPr="00193121">
              <w:t>s</w:t>
            </w:r>
            <w:r w:rsidRPr="00193121">
              <w:t xml:space="preserve"> to provide additional information for setting priority areas</w:t>
            </w:r>
            <w:r w:rsidR="00A12E2F" w:rsidRPr="00193121">
              <w:t>.</w:t>
            </w:r>
          </w:p>
          <w:p w14:paraId="0F83BC32" w14:textId="20A5EE5E" w:rsidR="0025228E" w:rsidRPr="00193121" w:rsidRDefault="0025228E" w:rsidP="00592036">
            <w:pPr>
              <w:pStyle w:val="TableBullets1"/>
            </w:pPr>
            <w:r w:rsidRPr="00193121">
              <w:t xml:space="preserve">Increased administrative burden to the Department </w:t>
            </w:r>
            <w:r w:rsidR="00480BDD" w:rsidRPr="00193121">
              <w:t xml:space="preserve">and jurisdictions </w:t>
            </w:r>
            <w:r w:rsidR="00A3666D" w:rsidRPr="00193121">
              <w:t xml:space="preserve">for national register of </w:t>
            </w:r>
            <w:proofErr w:type="spellStart"/>
            <w:r w:rsidR="00A3666D" w:rsidRPr="00193121">
              <w:t>linacs</w:t>
            </w:r>
            <w:proofErr w:type="spellEnd"/>
            <w:r w:rsidR="00A3666D" w:rsidRPr="00193121">
              <w:t xml:space="preserve"> (</w:t>
            </w:r>
            <w:r w:rsidR="00A12E2F" w:rsidRPr="00193121">
              <w:t xml:space="preserve">including </w:t>
            </w:r>
            <w:r w:rsidR="00A3666D" w:rsidRPr="00193121">
              <w:t>non-ROHPG funded)</w:t>
            </w:r>
            <w:r w:rsidRPr="00193121">
              <w:t>.</w:t>
            </w:r>
            <w:r w:rsidR="00480BDD" w:rsidRPr="00193121">
              <w:t xml:space="preserve"> This will also require a level of good-will from non-ROHPG funded facilities.</w:t>
            </w:r>
          </w:p>
          <w:p w14:paraId="1EAD2EAC" w14:textId="46BBDB7B" w:rsidR="00E040EA" w:rsidRPr="00193121" w:rsidRDefault="0035356E" w:rsidP="00592036">
            <w:pPr>
              <w:pStyle w:val="TableBullets1"/>
            </w:pPr>
            <w:r w:rsidRPr="00193121">
              <w:t>Potential i</w:t>
            </w:r>
            <w:r w:rsidR="00CB6E6F" w:rsidRPr="00193121">
              <w:t xml:space="preserve">ncreased </w:t>
            </w:r>
            <w:r w:rsidRPr="00193121">
              <w:t xml:space="preserve">administrative burden and/or </w:t>
            </w:r>
            <w:r w:rsidR="00CB6E6F" w:rsidRPr="00193121">
              <w:t xml:space="preserve">costs to facilities to </w:t>
            </w:r>
            <w:r w:rsidR="00017E3A" w:rsidRPr="00193121">
              <w:t>participate</w:t>
            </w:r>
            <w:r w:rsidR="00CB6E6F" w:rsidRPr="00193121">
              <w:t xml:space="preserve"> in the incident registry.</w:t>
            </w:r>
          </w:p>
          <w:p w14:paraId="00699858" w14:textId="401B4674" w:rsidR="00E040EA" w:rsidRPr="009B6AA8" w:rsidRDefault="00E040EA" w:rsidP="00592036">
            <w:pPr>
              <w:pStyle w:val="TableBullets1"/>
            </w:pPr>
            <w:r w:rsidRPr="00193121">
              <w:t>Does not promote alignment with national radiotherapy planning.</w:t>
            </w:r>
          </w:p>
        </w:tc>
      </w:tr>
    </w:tbl>
    <w:p w14:paraId="3C80C3B9" w14:textId="56667B70" w:rsidR="001A27A6" w:rsidRPr="00DF2D1F" w:rsidRDefault="001A27A6" w:rsidP="00592036">
      <w:pPr>
        <w:pStyle w:val="Heading3numbered"/>
      </w:pPr>
      <w:bookmarkStart w:id="297" w:name="_Toc66193991"/>
      <w:r w:rsidRPr="00BC705E">
        <w:t xml:space="preserve">Option </w:t>
      </w:r>
      <w:r w:rsidR="00CB6E6F" w:rsidRPr="00BC705E">
        <w:t>2</w:t>
      </w:r>
      <w:r w:rsidRPr="00BC705E">
        <w:t xml:space="preserve">: </w:t>
      </w:r>
      <w:r w:rsidR="0001065C" w:rsidRPr="00BC705E">
        <w:t>Development of a national body with input from all jurisdictions, colleagues, peak bodies and public and private facilities for radiotherapy planning that includes capital funding for high-cost equipment</w:t>
      </w:r>
      <w:bookmarkEnd w:id="297"/>
    </w:p>
    <w:p w14:paraId="5C3D5F6F" w14:textId="77777777" w:rsidR="00373EE3" w:rsidRDefault="00F331ED" w:rsidP="00F75B29">
      <w:r w:rsidRPr="009B6AA8">
        <w:t xml:space="preserve">Key features: </w:t>
      </w:r>
      <w:r w:rsidR="007D3084" w:rsidRPr="009B6AA8">
        <w:t>development of a national body with responsibility for radiotherapy planning</w:t>
      </w:r>
      <w:r w:rsidR="00AA13B7" w:rsidRPr="009B6AA8">
        <w:t xml:space="preserve">. This body should comprise representation from all jurisdictions (including the Australian Government), public and private </w:t>
      </w:r>
      <w:r w:rsidR="007A75A8">
        <w:t>facilities</w:t>
      </w:r>
      <w:r w:rsidR="00AA13B7" w:rsidRPr="009B6AA8">
        <w:t xml:space="preserve">, </w:t>
      </w:r>
      <w:r w:rsidR="002175BE" w:rsidRPr="009B6AA8">
        <w:t>colleges,</w:t>
      </w:r>
      <w:r w:rsidR="00AA13B7" w:rsidRPr="009B6AA8">
        <w:t xml:space="preserve"> and peak bodies. It could be established as a </w:t>
      </w:r>
      <w:r w:rsidR="00F75B29" w:rsidRPr="009B6AA8">
        <w:t>Collective Impact Initiative that ensures long-term commitments by representatives from different sectors working towards a common goal.</w:t>
      </w:r>
    </w:p>
    <w:p w14:paraId="713EC308" w14:textId="77777777" w:rsidR="00373EE3" w:rsidRDefault="00C247C6" w:rsidP="00F75B29">
      <w:r w:rsidRPr="009B6AA8">
        <w:t xml:space="preserve">The advantage of this model over Options 1 is that the scope can sensibly be broadened to encompass a holistic approach to radiotherapy planning that includes consideration of workforce, integration of care, and referral pathways. The strengthened relationships between players could promote greater dialogue between public and private </w:t>
      </w:r>
      <w:r w:rsidR="007A75A8">
        <w:t>facilities</w:t>
      </w:r>
      <w:r w:rsidR="00A12E2F">
        <w:t>,</w:t>
      </w:r>
      <w:r w:rsidRPr="009B6AA8">
        <w:t xml:space="preserve"> which could improve planning for regional and rural areas encompassing </w:t>
      </w:r>
      <w:r w:rsidR="0068358F">
        <w:t>public-private</w:t>
      </w:r>
      <w:r w:rsidRPr="009B6AA8">
        <w:t xml:space="preserve"> partnerships and shared care arrangements.</w:t>
      </w:r>
    </w:p>
    <w:p w14:paraId="458B82A1" w14:textId="77777777" w:rsidR="00373EE3" w:rsidRDefault="00752B3D" w:rsidP="00F75B29">
      <w:r w:rsidRPr="009B6AA8">
        <w:t>T</w:t>
      </w:r>
      <w:r w:rsidR="00C247C6" w:rsidRPr="009B6AA8">
        <w:t xml:space="preserve">his option should include the features of Options 1 to strengthen the capital funding </w:t>
      </w:r>
      <w:r w:rsidR="00D65C79" w:rsidRPr="009B6AA8">
        <w:t>aspects but</w:t>
      </w:r>
      <w:r w:rsidR="00C247C6" w:rsidRPr="009B6AA8">
        <w:t xml:space="preserve"> promote better integration of capital funding with radiotherapy planning</w:t>
      </w:r>
      <w:r w:rsidR="00C02A15">
        <w:t>. It would</w:t>
      </w:r>
      <w:r w:rsidR="00A92CDD">
        <w:t xml:space="preserve"> </w:t>
      </w:r>
      <w:r w:rsidR="00C247C6" w:rsidRPr="009B6AA8">
        <w:t>align capital funding with planning agendas at the Australian Government and state and territory levels.</w:t>
      </w:r>
    </w:p>
    <w:p w14:paraId="1A0CDD1C" w14:textId="0FCCF97A" w:rsidR="00C247C6" w:rsidRPr="009B6AA8" w:rsidRDefault="00C247C6" w:rsidP="00F75B29">
      <w:r w:rsidRPr="009B6AA8">
        <w:t>In addition, the national planning body would form a platform to regulate radiation oncology in line with the Radiation Oncology Standards (until such time as they are integrated into healthcare accreditation standards).</w:t>
      </w:r>
    </w:p>
    <w:p w14:paraId="5494767F" w14:textId="48E70EC1" w:rsidR="00F331ED" w:rsidRDefault="00266A1B" w:rsidP="00E33843">
      <w:r w:rsidRPr="009B6AA8">
        <w:t>In addition, address r</w:t>
      </w:r>
      <w:r w:rsidR="00C247C6" w:rsidRPr="009B6AA8">
        <w:t xml:space="preserve">ecommendations </w:t>
      </w:r>
      <w:r w:rsidR="00E33843" w:rsidRPr="009B6AA8">
        <w:t xml:space="preserve">as for Option </w:t>
      </w:r>
      <w:r w:rsidR="0001065C">
        <w:t>1</w:t>
      </w:r>
      <w:r w:rsidR="00E33843" w:rsidRPr="009B6AA8">
        <w:t xml:space="preserve"> plus: </w:t>
      </w:r>
      <w:r w:rsidR="00C247C6" w:rsidRPr="009B6AA8">
        <w:t>2</w:t>
      </w:r>
      <w:r w:rsidR="00FF14A6">
        <w:t xml:space="preserve"> and</w:t>
      </w:r>
      <w:r w:rsidR="00FF14A6" w:rsidRPr="009B6AA8">
        <w:t xml:space="preserve"> </w:t>
      </w:r>
      <w:r w:rsidR="0035356E">
        <w:t>8</w:t>
      </w:r>
      <w:r w:rsidR="00E33843" w:rsidRPr="009B6AA8">
        <w:t>.</w:t>
      </w:r>
    </w:p>
    <w:tbl>
      <w:tblPr>
        <w:tblStyle w:val="HMATable"/>
        <w:tblW w:w="0" w:type="auto"/>
        <w:tblInd w:w="-5" w:type="dxa"/>
        <w:tblLook w:val="04A0" w:firstRow="1" w:lastRow="0" w:firstColumn="1" w:lastColumn="0" w:noHBand="0" w:noVBand="1"/>
        <w:tblDescription w:val="This table list the un-numbered table showing the benefits and challenges of Option 2 - Development of a national body with input from all jurisdictions, colleagues, peak bodies and public and private facilities for radiotherapy planning that includes capital funding for high-cost equipment."/>
      </w:tblPr>
      <w:tblGrid>
        <w:gridCol w:w="4899"/>
        <w:gridCol w:w="5131"/>
      </w:tblGrid>
      <w:tr w:rsidR="009A1E52" w14:paraId="625153C4" w14:textId="77777777" w:rsidTr="005920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E6D71BC" w14:textId="43E014D1" w:rsidR="009A1E52" w:rsidRDefault="009A1E52" w:rsidP="00E33843">
            <w:r>
              <w:t>Benefits</w:t>
            </w:r>
          </w:p>
        </w:tc>
        <w:tc>
          <w:tcPr>
            <w:tcW w:w="0" w:type="auto"/>
          </w:tcPr>
          <w:p w14:paraId="77B127D0" w14:textId="7499AE4E" w:rsidR="009A1E52" w:rsidRDefault="009A1E52" w:rsidP="00E33843">
            <w:pPr>
              <w:cnfStyle w:val="100000000000" w:firstRow="1" w:lastRow="0" w:firstColumn="0" w:lastColumn="0" w:oddVBand="0" w:evenVBand="0" w:oddHBand="0" w:evenHBand="0" w:firstRowFirstColumn="0" w:firstRowLastColumn="0" w:lastRowFirstColumn="0" w:lastRowLastColumn="0"/>
            </w:pPr>
            <w:r>
              <w:t>Challenges</w:t>
            </w:r>
          </w:p>
        </w:tc>
      </w:tr>
      <w:tr w:rsidR="009A1E52" w14:paraId="6B72EF35" w14:textId="77777777" w:rsidTr="00592036">
        <w:tc>
          <w:tcPr>
            <w:cnfStyle w:val="001000000000" w:firstRow="0" w:lastRow="0" w:firstColumn="1" w:lastColumn="0" w:oddVBand="0" w:evenVBand="0" w:oddHBand="0" w:evenHBand="0" w:firstRowFirstColumn="0" w:firstRowLastColumn="0" w:lastRowFirstColumn="0" w:lastRowLastColumn="0"/>
            <w:tcW w:w="0" w:type="auto"/>
          </w:tcPr>
          <w:p w14:paraId="0E052B64" w14:textId="436A29B1" w:rsidR="009A1E52" w:rsidRPr="00592036" w:rsidRDefault="009A1E52" w:rsidP="00592036">
            <w:pPr>
              <w:pStyle w:val="TableBullets1"/>
            </w:pPr>
            <w:r>
              <w:t xml:space="preserve">As for Option </w:t>
            </w:r>
            <w:r w:rsidRPr="00592036">
              <w:t>1.</w:t>
            </w:r>
          </w:p>
          <w:p w14:paraId="775E4A9B" w14:textId="1F3467C8" w:rsidR="009A1E52" w:rsidRPr="00592036" w:rsidRDefault="009A1E52" w:rsidP="00592036">
            <w:pPr>
              <w:pStyle w:val="TableBullets1"/>
            </w:pPr>
            <w:r w:rsidRPr="00592036">
              <w:t>Holistic approach to radiotherapy planning.</w:t>
            </w:r>
          </w:p>
          <w:p w14:paraId="77610DBF" w14:textId="7047D127" w:rsidR="009A1E52" w:rsidRPr="00592036" w:rsidRDefault="009A1E52" w:rsidP="00592036">
            <w:pPr>
              <w:pStyle w:val="TableBullets1"/>
            </w:pPr>
            <w:r w:rsidRPr="00592036">
              <w:t>Aligning capital funding with broader planning considerations such as workforce and referral pathways.</w:t>
            </w:r>
          </w:p>
          <w:p w14:paraId="615958E3" w14:textId="51E53B48" w:rsidR="009A1E52" w:rsidRPr="00592036" w:rsidRDefault="009A1E52" w:rsidP="00592036">
            <w:pPr>
              <w:pStyle w:val="TableBullets1"/>
            </w:pPr>
            <w:r w:rsidRPr="00592036">
              <w:t>Strengthened relationships between public and private facilities.</w:t>
            </w:r>
          </w:p>
          <w:p w14:paraId="6507741F" w14:textId="519C834A" w:rsidR="009A1E52" w:rsidRDefault="009A1E52" w:rsidP="00592036">
            <w:pPr>
              <w:pStyle w:val="TableBullets1"/>
            </w:pPr>
            <w:r w:rsidRPr="00592036">
              <w:t>Platform for greater regulation of radiation oncology through the Radiation Oncology Standards.</w:t>
            </w:r>
          </w:p>
        </w:tc>
        <w:tc>
          <w:tcPr>
            <w:tcW w:w="0" w:type="auto"/>
          </w:tcPr>
          <w:p w14:paraId="1EBFDFB9" w14:textId="77777777" w:rsidR="009A1E52" w:rsidRPr="00592036" w:rsidRDefault="009A1E52" w:rsidP="00592036">
            <w:pPr>
              <w:pStyle w:val="TableBullets1"/>
              <w:cnfStyle w:val="000000000000" w:firstRow="0" w:lastRow="0" w:firstColumn="0" w:lastColumn="0" w:oddVBand="0" w:evenVBand="0" w:oddHBand="0" w:evenHBand="0" w:firstRowFirstColumn="0" w:firstRowLastColumn="0" w:lastRowFirstColumn="0" w:lastRowLastColumn="0"/>
            </w:pPr>
            <w:r w:rsidRPr="00592036">
              <w:t>As for Option 1.</w:t>
            </w:r>
          </w:p>
          <w:p w14:paraId="41F6711B" w14:textId="77777777" w:rsidR="009A1E52" w:rsidRPr="00592036" w:rsidRDefault="009A1E52" w:rsidP="00592036">
            <w:pPr>
              <w:pStyle w:val="TableBullets1"/>
              <w:cnfStyle w:val="000000000000" w:firstRow="0" w:lastRow="0" w:firstColumn="0" w:lastColumn="0" w:oddVBand="0" w:evenVBand="0" w:oddHBand="0" w:evenHBand="0" w:firstRowFirstColumn="0" w:firstRowLastColumn="0" w:lastRowFirstColumn="0" w:lastRowLastColumn="0"/>
            </w:pPr>
            <w:r w:rsidRPr="00592036">
              <w:t>Increased costs and responsibility to all jurisdictions and other stakeholders.</w:t>
            </w:r>
          </w:p>
          <w:p w14:paraId="69FEB502" w14:textId="265DFBCA" w:rsidR="009A1E52" w:rsidRDefault="009A1E52" w:rsidP="00592036">
            <w:pPr>
              <w:pStyle w:val="Tabletext"/>
              <w:cnfStyle w:val="000000000000" w:firstRow="0" w:lastRow="0" w:firstColumn="0" w:lastColumn="0" w:oddVBand="0" w:evenVBand="0" w:oddHBand="0" w:evenHBand="0" w:firstRowFirstColumn="0" w:firstRowLastColumn="0" w:lastRowFirstColumn="0" w:lastRowLastColumn="0"/>
            </w:pPr>
            <w:r w:rsidRPr="009B6AA8">
              <w:t>Increased administrative burden</w:t>
            </w:r>
            <w:r>
              <w:t xml:space="preserve"> for colleges and jurisdictions</w:t>
            </w:r>
            <w:r w:rsidRPr="009B6AA8">
              <w:t xml:space="preserve"> for </w:t>
            </w:r>
            <w:r w:rsidRPr="00592036">
              <w:t>regulation</w:t>
            </w:r>
            <w:r w:rsidRPr="009B6AA8">
              <w:t xml:space="preserve"> of the Radiation Oncology Standards.</w:t>
            </w:r>
          </w:p>
        </w:tc>
      </w:tr>
    </w:tbl>
    <w:p w14:paraId="745D9FD1" w14:textId="769261E4" w:rsidR="00A95C63" w:rsidRPr="00785F73" w:rsidRDefault="00A95C63" w:rsidP="00494306">
      <w:pPr>
        <w:pStyle w:val="Heading1numbered"/>
        <w:pageBreakBefore/>
      </w:pPr>
      <w:bookmarkStart w:id="298" w:name="_Toc59198511"/>
      <w:bookmarkStart w:id="299" w:name="_Toc66193992"/>
      <w:bookmarkStart w:id="300" w:name="_Toc73696720"/>
      <w:r w:rsidRPr="00785F73">
        <w:lastRenderedPageBreak/>
        <w:t>A</w:t>
      </w:r>
      <w:r w:rsidR="00AC5BA9" w:rsidRPr="00785F73">
        <w:t>ppendices</w:t>
      </w:r>
      <w:bookmarkEnd w:id="298"/>
      <w:bookmarkEnd w:id="299"/>
      <w:bookmarkEnd w:id="300"/>
    </w:p>
    <w:p w14:paraId="7D96378C" w14:textId="6A2A0A46" w:rsidR="007652F2" w:rsidRPr="009B6AA8" w:rsidRDefault="00733B81" w:rsidP="00DF2D1F">
      <w:pPr>
        <w:pStyle w:val="Heading3"/>
      </w:pPr>
      <w:bookmarkStart w:id="301" w:name="_Ref55916500"/>
      <w:bookmarkStart w:id="302" w:name="_Ref55916501"/>
      <w:bookmarkStart w:id="303" w:name="_Toc59198512"/>
      <w:bookmarkStart w:id="304" w:name="_Toc66193993"/>
      <w:bookmarkStart w:id="305" w:name="_Toc73696721"/>
      <w:r>
        <w:t xml:space="preserve">Appendix </w:t>
      </w:r>
      <w:proofErr w:type="gramStart"/>
      <w:r>
        <w:t>A</w:t>
      </w:r>
      <w:proofErr w:type="gramEnd"/>
      <w:r>
        <w:t xml:space="preserve"> </w:t>
      </w:r>
      <w:r w:rsidR="00AC5BA9" w:rsidRPr="009B6AA8">
        <w:t>Consulted stakeholders</w:t>
      </w:r>
      <w:bookmarkEnd w:id="301"/>
      <w:bookmarkEnd w:id="302"/>
      <w:bookmarkEnd w:id="303"/>
      <w:bookmarkEnd w:id="304"/>
      <w:bookmarkEnd w:id="305"/>
    </w:p>
    <w:tbl>
      <w:tblPr>
        <w:tblStyle w:val="HMATableB"/>
        <w:tblW w:w="5000" w:type="pct"/>
        <w:tblCellMar>
          <w:top w:w="0" w:type="dxa"/>
          <w:right w:w="85" w:type="dxa"/>
        </w:tblCellMar>
        <w:tblLook w:val="04A0" w:firstRow="1" w:lastRow="0" w:firstColumn="1" w:lastColumn="0" w:noHBand="0" w:noVBand="1"/>
        <w:tblDescription w:val="Appendix A - Consulted Stakeholders table showing stakeholders consulted, their organisation and their participants."/>
      </w:tblPr>
      <w:tblGrid>
        <w:gridCol w:w="2625"/>
        <w:gridCol w:w="3231"/>
        <w:gridCol w:w="4179"/>
      </w:tblGrid>
      <w:tr w:rsidR="00A95C63" w:rsidRPr="009B6AA8" w14:paraId="1895A17E" w14:textId="77777777" w:rsidTr="00643E7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308" w:type="pct"/>
            <w:vAlign w:val="center"/>
          </w:tcPr>
          <w:p w14:paraId="6C24556B" w14:textId="158191A4" w:rsidR="00A95C63" w:rsidRPr="009B6AA8" w:rsidRDefault="00A95C63" w:rsidP="00643E7D">
            <w:pPr>
              <w:pStyle w:val="TableColumnHeading"/>
            </w:pPr>
            <w:bookmarkStart w:id="306" w:name="_Hlk54094205"/>
            <w:r w:rsidRPr="009B6AA8">
              <w:t>Stakeholder group</w:t>
            </w:r>
          </w:p>
        </w:tc>
        <w:tc>
          <w:tcPr>
            <w:tcW w:w="1610" w:type="pct"/>
            <w:vAlign w:val="center"/>
          </w:tcPr>
          <w:p w14:paraId="48EDDD43" w14:textId="74DC895B" w:rsidR="00A95C63" w:rsidRPr="009B6AA8" w:rsidRDefault="00A95C63" w:rsidP="00643E7D">
            <w:pPr>
              <w:pStyle w:val="TableColumnHeading"/>
              <w:cnfStyle w:val="100000000000" w:firstRow="1" w:lastRow="0" w:firstColumn="0" w:lastColumn="0" w:oddVBand="0" w:evenVBand="0" w:oddHBand="0" w:evenHBand="0" w:firstRowFirstColumn="0" w:firstRowLastColumn="0" w:lastRowFirstColumn="0" w:lastRowLastColumn="0"/>
            </w:pPr>
            <w:r w:rsidRPr="009B6AA8">
              <w:t>Organisation/facility</w:t>
            </w:r>
          </w:p>
        </w:tc>
        <w:tc>
          <w:tcPr>
            <w:tcW w:w="2082" w:type="pct"/>
            <w:vAlign w:val="center"/>
          </w:tcPr>
          <w:p w14:paraId="684E22B0" w14:textId="22FCB10D" w:rsidR="00A95C63" w:rsidRPr="009B6AA8" w:rsidRDefault="00A95C63" w:rsidP="00643E7D">
            <w:pPr>
              <w:pStyle w:val="TableColumnHeading"/>
              <w:cnfStyle w:val="100000000000" w:firstRow="1" w:lastRow="0" w:firstColumn="0" w:lastColumn="0" w:oddVBand="0" w:evenVBand="0" w:oddHBand="0" w:evenHBand="0" w:firstRowFirstColumn="0" w:firstRowLastColumn="0" w:lastRowFirstColumn="0" w:lastRowLastColumn="0"/>
            </w:pPr>
            <w:r w:rsidRPr="009B6AA8">
              <w:t>Particip</w:t>
            </w:r>
            <w:r w:rsidR="00643E7D">
              <w:t>ants</w:t>
            </w:r>
          </w:p>
        </w:tc>
      </w:tr>
      <w:tr w:rsidR="00220513" w:rsidRPr="009B6AA8" w14:paraId="018973D0"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3071AC76" w14:textId="14D79900" w:rsidR="00220513" w:rsidRPr="009B6AA8" w:rsidRDefault="00220513" w:rsidP="00643E7D">
            <w:pPr>
              <w:pStyle w:val="Tabletext"/>
            </w:pPr>
            <w:r w:rsidRPr="009B6AA8">
              <w:t xml:space="preserve">Public radiotherapy </w:t>
            </w:r>
            <w:r>
              <w:t>facilities</w:t>
            </w:r>
          </w:p>
        </w:tc>
        <w:tc>
          <w:tcPr>
            <w:tcW w:w="1610" w:type="pct"/>
          </w:tcPr>
          <w:p w14:paraId="13F1F87F" w14:textId="2CDD8823"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Blacktown Cancer Centre, NSW</w:t>
            </w:r>
          </w:p>
        </w:tc>
        <w:tc>
          <w:tcPr>
            <w:tcW w:w="2082" w:type="pct"/>
          </w:tcPr>
          <w:p w14:paraId="3C9053B2" w14:textId="73C20FC5"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Verity Ahern, Director of Radiation Oncology</w:t>
            </w:r>
          </w:p>
          <w:p w14:paraId="44D6DA82" w14:textId="7ACF6D54"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Anne </w:t>
            </w:r>
            <w:proofErr w:type="spellStart"/>
            <w:r w:rsidRPr="00AB2733">
              <w:t>Caboche</w:t>
            </w:r>
            <w:proofErr w:type="spellEnd"/>
            <w:r w:rsidRPr="00AB2733">
              <w:t xml:space="preserve">, Cancer Services Operations Manager </w:t>
            </w:r>
          </w:p>
        </w:tc>
      </w:tr>
      <w:tr w:rsidR="00220513" w:rsidRPr="009B6AA8" w14:paraId="53B2E7EA"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247F5C0C" w14:textId="77777777" w:rsidR="00220513" w:rsidRPr="009B6AA8" w:rsidRDefault="00220513" w:rsidP="00643E7D">
            <w:pPr>
              <w:pStyle w:val="Tabletext"/>
            </w:pPr>
          </w:p>
        </w:tc>
        <w:tc>
          <w:tcPr>
            <w:tcW w:w="1610" w:type="pct"/>
          </w:tcPr>
          <w:p w14:paraId="44FAF14E" w14:textId="5294FC8D"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Prince of Wales Hospital, NSW</w:t>
            </w:r>
          </w:p>
        </w:tc>
        <w:tc>
          <w:tcPr>
            <w:tcW w:w="2082" w:type="pct"/>
          </w:tcPr>
          <w:p w14:paraId="6A0818F9" w14:textId="009B27CF"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Michael Jackson, Director of Radiation Oncology</w:t>
            </w:r>
          </w:p>
        </w:tc>
      </w:tr>
      <w:tr w:rsidR="00220513" w:rsidRPr="009B6AA8" w14:paraId="6679C132"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4D50FA0D" w14:textId="77777777" w:rsidR="00220513" w:rsidRPr="009B6AA8" w:rsidRDefault="00220513" w:rsidP="00643E7D">
            <w:pPr>
              <w:pStyle w:val="Tabletext"/>
            </w:pPr>
          </w:p>
        </w:tc>
        <w:tc>
          <w:tcPr>
            <w:tcW w:w="1610" w:type="pct"/>
          </w:tcPr>
          <w:p w14:paraId="369596D8" w14:textId="0BA90EE3"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Royal North Shore Hospital, NSW</w:t>
            </w:r>
          </w:p>
        </w:tc>
        <w:tc>
          <w:tcPr>
            <w:tcW w:w="2082" w:type="pct"/>
          </w:tcPr>
          <w:p w14:paraId="595D70ED" w14:textId="77777777" w:rsidR="00373EE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Jeremy Booth, Chief Radiation Oncologist</w:t>
            </w:r>
          </w:p>
          <w:p w14:paraId="63355879" w14:textId="77777777" w:rsidR="00373EE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Brian Porter, Chief Radiation Therapist</w:t>
            </w:r>
          </w:p>
          <w:p w14:paraId="23C8B94F" w14:textId="70C225E9"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Steven Brown, Business Manager</w:t>
            </w:r>
          </w:p>
        </w:tc>
      </w:tr>
      <w:tr w:rsidR="00220513" w:rsidRPr="009B6AA8" w14:paraId="6FCFF069"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056DD541" w14:textId="77777777" w:rsidR="00220513" w:rsidRPr="009B6AA8" w:rsidRDefault="00220513" w:rsidP="00643E7D">
            <w:pPr>
              <w:pStyle w:val="Tabletext"/>
            </w:pPr>
          </w:p>
        </w:tc>
        <w:tc>
          <w:tcPr>
            <w:tcW w:w="1610" w:type="pct"/>
          </w:tcPr>
          <w:p w14:paraId="619AD815" w14:textId="09CB6EE1"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Nepean Cancer Centre, NSW</w:t>
            </w:r>
          </w:p>
        </w:tc>
        <w:tc>
          <w:tcPr>
            <w:tcW w:w="2082" w:type="pct"/>
          </w:tcPr>
          <w:p w14:paraId="011501EB" w14:textId="77777777" w:rsidR="00373EE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Shan Yu, Director of Medical Physics</w:t>
            </w:r>
          </w:p>
          <w:p w14:paraId="0C60920F" w14:textId="10900B7A"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Tania Shaw, ROHPG administrator </w:t>
            </w:r>
          </w:p>
        </w:tc>
      </w:tr>
      <w:tr w:rsidR="00220513" w:rsidRPr="009B6AA8" w14:paraId="3567716F"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1D3219F2" w14:textId="77777777" w:rsidR="00220513" w:rsidRPr="009B6AA8" w:rsidRDefault="00220513" w:rsidP="00643E7D">
            <w:pPr>
              <w:pStyle w:val="Tabletext"/>
            </w:pPr>
          </w:p>
        </w:tc>
        <w:tc>
          <w:tcPr>
            <w:tcW w:w="1610" w:type="pct"/>
          </w:tcPr>
          <w:p w14:paraId="261A20EC" w14:textId="31D1C4A7"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 xml:space="preserve">Peter </w:t>
            </w:r>
            <w:proofErr w:type="spellStart"/>
            <w:r w:rsidRPr="009B6AA8">
              <w:t>MacCallum</w:t>
            </w:r>
            <w:proofErr w:type="spellEnd"/>
            <w:r w:rsidRPr="009B6AA8">
              <w:t xml:space="preserve"> Cancer Centre, VIC</w:t>
            </w:r>
          </w:p>
        </w:tc>
        <w:tc>
          <w:tcPr>
            <w:tcW w:w="2082" w:type="pct"/>
          </w:tcPr>
          <w:p w14:paraId="761AFE22" w14:textId="77777777"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proofErr w:type="spellStart"/>
            <w:r w:rsidRPr="00AB2733">
              <w:t>Nilgun</w:t>
            </w:r>
            <w:proofErr w:type="spellEnd"/>
            <w:r w:rsidRPr="00AB2733">
              <w:t xml:space="preserve"> </w:t>
            </w:r>
            <w:proofErr w:type="spellStart"/>
            <w:r w:rsidRPr="00AB2733">
              <w:t>Touma</w:t>
            </w:r>
            <w:proofErr w:type="spellEnd"/>
            <w:r w:rsidRPr="00AB2733">
              <w:t>, Director of Radiation Therapy Services</w:t>
            </w:r>
          </w:p>
          <w:p w14:paraId="32CB5EA9" w14:textId="77777777" w:rsidR="00373EE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Gerry Hanna, Director of Radiation Oncology</w:t>
            </w:r>
          </w:p>
          <w:p w14:paraId="536DC690" w14:textId="1DF7497F"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Rachel Wang, Radiation Oncology Business Manager </w:t>
            </w:r>
          </w:p>
        </w:tc>
      </w:tr>
      <w:tr w:rsidR="00220513" w:rsidRPr="009B6AA8" w14:paraId="30463749"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34FE4EEF" w14:textId="77777777" w:rsidR="00220513" w:rsidRPr="009B6AA8" w:rsidRDefault="00220513" w:rsidP="00643E7D">
            <w:pPr>
              <w:pStyle w:val="Tabletext"/>
            </w:pPr>
          </w:p>
        </w:tc>
        <w:tc>
          <w:tcPr>
            <w:tcW w:w="1610" w:type="pct"/>
          </w:tcPr>
          <w:p w14:paraId="1B26F92C" w14:textId="3BA0B160"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 xml:space="preserve">Olivia Newton John Cancer &amp; Wellness Centre – Austin Health, VIC </w:t>
            </w:r>
          </w:p>
        </w:tc>
        <w:tc>
          <w:tcPr>
            <w:tcW w:w="2082" w:type="pct"/>
          </w:tcPr>
          <w:p w14:paraId="4A464B73" w14:textId="77777777" w:rsidR="00373EE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Katy Francis, Radiation Therapy Manager</w:t>
            </w:r>
          </w:p>
          <w:p w14:paraId="4131D85D" w14:textId="3EFB5059"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Eddy </w:t>
            </w:r>
            <w:proofErr w:type="spellStart"/>
            <w:r w:rsidRPr="00AB2733">
              <w:t>Zupan</w:t>
            </w:r>
            <w:proofErr w:type="spellEnd"/>
            <w:r w:rsidRPr="00AB2733">
              <w:t xml:space="preserve">, Deputy Radiation Therapy Manager </w:t>
            </w:r>
          </w:p>
        </w:tc>
      </w:tr>
      <w:tr w:rsidR="00220513" w:rsidRPr="009B6AA8" w14:paraId="28934AF6"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2DED779E" w14:textId="77777777" w:rsidR="00220513" w:rsidRPr="009B6AA8" w:rsidRDefault="00220513" w:rsidP="00643E7D">
            <w:pPr>
              <w:pStyle w:val="Tabletext"/>
            </w:pPr>
          </w:p>
        </w:tc>
        <w:tc>
          <w:tcPr>
            <w:tcW w:w="1610" w:type="pct"/>
          </w:tcPr>
          <w:p w14:paraId="0A12C58A" w14:textId="41C9BF02"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Ballarat Health Service, VIC (consulted as part of Austin Health)</w:t>
            </w:r>
          </w:p>
        </w:tc>
        <w:tc>
          <w:tcPr>
            <w:tcW w:w="2082" w:type="pct"/>
          </w:tcPr>
          <w:p w14:paraId="0D30EA25" w14:textId="7F6D092A"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Mervin Quai-Hoi, Radiation Therapist Site Manager </w:t>
            </w:r>
          </w:p>
        </w:tc>
      </w:tr>
      <w:tr w:rsidR="00220513" w:rsidRPr="009B6AA8" w14:paraId="357D04E5"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60DE3A02" w14:textId="77777777" w:rsidR="00220513" w:rsidRPr="009B6AA8" w:rsidRDefault="00220513" w:rsidP="00643E7D">
            <w:pPr>
              <w:pStyle w:val="Tabletext"/>
            </w:pPr>
          </w:p>
        </w:tc>
        <w:tc>
          <w:tcPr>
            <w:tcW w:w="1610" w:type="pct"/>
          </w:tcPr>
          <w:p w14:paraId="48643664" w14:textId="737E7469"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Cairns Hospital, QLD (public</w:t>
            </w:r>
            <w:r>
              <w:t>-</w:t>
            </w:r>
            <w:r w:rsidRPr="009B6AA8">
              <w:t>private partnership with ICON)</w:t>
            </w:r>
          </w:p>
        </w:tc>
        <w:tc>
          <w:tcPr>
            <w:tcW w:w="2082" w:type="pct"/>
          </w:tcPr>
          <w:p w14:paraId="15953C08" w14:textId="77777777" w:rsidR="00373EE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Lisa </w:t>
            </w:r>
            <w:proofErr w:type="spellStart"/>
            <w:r w:rsidRPr="00AB2733">
              <w:t>Capelle</w:t>
            </w:r>
            <w:proofErr w:type="spellEnd"/>
            <w:r w:rsidRPr="00AB2733">
              <w:t>, Radiation Oncologist</w:t>
            </w:r>
          </w:p>
          <w:p w14:paraId="47878819" w14:textId="05C94629"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Brock Ditton, Site Manager </w:t>
            </w:r>
          </w:p>
        </w:tc>
      </w:tr>
      <w:tr w:rsidR="00220513" w:rsidRPr="009B6AA8" w14:paraId="78656F4B"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60DDEB1E" w14:textId="77777777" w:rsidR="00220513" w:rsidRPr="009B6AA8" w:rsidRDefault="00220513" w:rsidP="00643E7D">
            <w:pPr>
              <w:pStyle w:val="Tabletext"/>
            </w:pPr>
          </w:p>
        </w:tc>
        <w:tc>
          <w:tcPr>
            <w:tcW w:w="1610" w:type="pct"/>
          </w:tcPr>
          <w:p w14:paraId="3C91D064" w14:textId="56C076E8"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Princess Alexandra Hospital, QLD(consulted as part of QLD health)</w:t>
            </w:r>
          </w:p>
        </w:tc>
        <w:tc>
          <w:tcPr>
            <w:tcW w:w="2082" w:type="pct"/>
          </w:tcPr>
          <w:p w14:paraId="40F454C9" w14:textId="0C2504C9"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Lisa Roberts, Director of Radiotherapy </w:t>
            </w:r>
          </w:p>
        </w:tc>
      </w:tr>
      <w:tr w:rsidR="00220513" w:rsidRPr="009B6AA8" w14:paraId="3C13CD5B"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428D22DC" w14:textId="77777777" w:rsidR="00220513" w:rsidRPr="009B6AA8" w:rsidRDefault="00220513" w:rsidP="00643E7D">
            <w:pPr>
              <w:pStyle w:val="Tabletext"/>
            </w:pPr>
          </w:p>
        </w:tc>
        <w:tc>
          <w:tcPr>
            <w:tcW w:w="1610" w:type="pct"/>
          </w:tcPr>
          <w:p w14:paraId="3B7F2D8F" w14:textId="4803DA50"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Sir Charles Gairdner Hospital, WA</w:t>
            </w:r>
          </w:p>
        </w:tc>
        <w:tc>
          <w:tcPr>
            <w:tcW w:w="2082" w:type="pct"/>
          </w:tcPr>
          <w:p w14:paraId="1903A669" w14:textId="56DB011C" w:rsidR="00220513" w:rsidRPr="009B6AA8" w:rsidRDefault="00220513" w:rsidP="00AB2733">
            <w:pPr>
              <w:pStyle w:val="Tabletext"/>
              <w:cnfStyle w:val="000000000000" w:firstRow="0" w:lastRow="0" w:firstColumn="0" w:lastColumn="0" w:oddVBand="0" w:evenVBand="0" w:oddHBand="0" w:evenHBand="0" w:firstRowFirstColumn="0" w:firstRowLastColumn="0" w:lastRowFirstColumn="0" w:lastRowLastColumn="0"/>
            </w:pPr>
            <w:r w:rsidRPr="009B6AA8">
              <w:t xml:space="preserve">Ed Bailey, Director of Radiation </w:t>
            </w:r>
            <w:r w:rsidRPr="00AB2733">
              <w:t>Oncology</w:t>
            </w:r>
            <w:r w:rsidRPr="009B6AA8">
              <w:t xml:space="preserve"> </w:t>
            </w:r>
          </w:p>
        </w:tc>
      </w:tr>
      <w:tr w:rsidR="00220513" w:rsidRPr="009B6AA8" w14:paraId="59C4C1CF"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7DDFC401" w14:textId="77777777" w:rsidR="00220513" w:rsidRPr="009B6AA8" w:rsidRDefault="00220513" w:rsidP="00643E7D">
            <w:pPr>
              <w:pStyle w:val="Tabletext"/>
            </w:pPr>
          </w:p>
        </w:tc>
        <w:tc>
          <w:tcPr>
            <w:tcW w:w="1610" w:type="pct"/>
          </w:tcPr>
          <w:p w14:paraId="2AC6650B" w14:textId="2B105EE0" w:rsidR="0022051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Royal Adelaide Hospital, SA</w:t>
            </w:r>
          </w:p>
          <w:p w14:paraId="0C6F5A6B" w14:textId="2641E884" w:rsidR="0022051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Lyell </w:t>
            </w:r>
            <w:proofErr w:type="spellStart"/>
            <w:r w:rsidRPr="00643E7D">
              <w:t>McEwin</w:t>
            </w:r>
            <w:proofErr w:type="spellEnd"/>
            <w:r w:rsidRPr="00643E7D">
              <w:t>, SA</w:t>
            </w:r>
          </w:p>
        </w:tc>
        <w:tc>
          <w:tcPr>
            <w:tcW w:w="2082" w:type="pct"/>
          </w:tcPr>
          <w:p w14:paraId="66E8DB8D" w14:textId="77777777" w:rsidR="00373EE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Marianne </w:t>
            </w:r>
            <w:proofErr w:type="spellStart"/>
            <w:r w:rsidRPr="00643E7D">
              <w:t>Hercus</w:t>
            </w:r>
            <w:proofErr w:type="spellEnd"/>
            <w:r w:rsidRPr="00643E7D">
              <w:t>, Radiation Therapist</w:t>
            </w:r>
          </w:p>
          <w:p w14:paraId="1F2EE256" w14:textId="77777777" w:rsidR="00373EE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Michael </w:t>
            </w:r>
            <w:proofErr w:type="spellStart"/>
            <w:r w:rsidRPr="00643E7D">
              <w:t>Penniment</w:t>
            </w:r>
            <w:proofErr w:type="spellEnd"/>
            <w:r w:rsidRPr="00643E7D">
              <w:t>, Radiation Oncologist</w:t>
            </w:r>
          </w:p>
          <w:p w14:paraId="7ABF8234" w14:textId="77777777" w:rsidR="00373EE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Joanne Glover, Clinical Program Manager – Cancer Services</w:t>
            </w:r>
          </w:p>
          <w:p w14:paraId="26EC7EAF" w14:textId="64ADCDDD" w:rsidR="0022051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Sean </w:t>
            </w:r>
            <w:proofErr w:type="spellStart"/>
            <w:r w:rsidRPr="00643E7D">
              <w:t>Geoghegan</w:t>
            </w:r>
            <w:proofErr w:type="spellEnd"/>
            <w:r w:rsidRPr="00643E7D">
              <w:t xml:space="preserve">, State Director Radiation Oncology, Medical Physics </w:t>
            </w:r>
          </w:p>
        </w:tc>
      </w:tr>
      <w:tr w:rsidR="00220513" w:rsidRPr="009B6AA8" w14:paraId="448C85E7"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03117694" w14:textId="77777777" w:rsidR="00220513" w:rsidRPr="009B6AA8" w:rsidRDefault="00220513" w:rsidP="00643E7D">
            <w:pPr>
              <w:pStyle w:val="Tabletext"/>
            </w:pPr>
          </w:p>
        </w:tc>
        <w:tc>
          <w:tcPr>
            <w:tcW w:w="1610" w:type="pct"/>
          </w:tcPr>
          <w:p w14:paraId="60E4FAE5" w14:textId="1876B104" w:rsidR="0022051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Royal Hobart Hospital, TAS</w:t>
            </w:r>
          </w:p>
          <w:p w14:paraId="1456818A" w14:textId="77777777" w:rsidR="0022051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Launceston Hospital, TAS</w:t>
            </w:r>
          </w:p>
          <w:p w14:paraId="4FFEC47C" w14:textId="4835B567" w:rsidR="0022051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North West Cancer Centre, North West Regional Hospital, Burnie (non-ROHPG funded)</w:t>
            </w:r>
          </w:p>
        </w:tc>
        <w:tc>
          <w:tcPr>
            <w:tcW w:w="2082" w:type="pct"/>
          </w:tcPr>
          <w:p w14:paraId="47A2B705" w14:textId="77156167" w:rsidR="0022051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David </w:t>
            </w:r>
            <w:proofErr w:type="spellStart"/>
            <w:r w:rsidRPr="00643E7D">
              <w:t>Gration</w:t>
            </w:r>
            <w:proofErr w:type="spellEnd"/>
            <w:r w:rsidRPr="00643E7D">
              <w:t>, Supervision Radiation Therapist (Launceston)</w:t>
            </w:r>
          </w:p>
          <w:p w14:paraId="6D8D72B2" w14:textId="3C2C9CD4" w:rsidR="0022051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Natalie Kidd, Chief Radiation Oncologist (Launceston)</w:t>
            </w:r>
          </w:p>
          <w:p w14:paraId="7BC4B624" w14:textId="57B7FB63" w:rsidR="00220513" w:rsidRPr="00643E7D"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Bronwyn </w:t>
            </w:r>
            <w:proofErr w:type="spellStart"/>
            <w:r w:rsidRPr="00643E7D">
              <w:t>Hilder</w:t>
            </w:r>
            <w:proofErr w:type="spellEnd"/>
            <w:r w:rsidRPr="00643E7D">
              <w:t xml:space="preserve">, Chief Radiation Therapist (Royal Hobart) </w:t>
            </w:r>
          </w:p>
        </w:tc>
      </w:tr>
      <w:tr w:rsidR="00220513" w:rsidRPr="009B6AA8" w14:paraId="2C09960D"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161C237F" w14:textId="77777777" w:rsidR="00220513" w:rsidRPr="009B6AA8" w:rsidRDefault="00220513" w:rsidP="00643E7D">
            <w:pPr>
              <w:pStyle w:val="Tabletext"/>
            </w:pPr>
          </w:p>
        </w:tc>
        <w:tc>
          <w:tcPr>
            <w:tcW w:w="1610" w:type="pct"/>
          </w:tcPr>
          <w:p w14:paraId="508A735C" w14:textId="715AD3B8"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Canberra Hospital, ACT</w:t>
            </w:r>
          </w:p>
        </w:tc>
        <w:tc>
          <w:tcPr>
            <w:tcW w:w="2082" w:type="pct"/>
          </w:tcPr>
          <w:p w14:paraId="6A788169" w14:textId="6AE7C106" w:rsidR="00220513" w:rsidRPr="009B6AA8"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Sarah </w:t>
            </w:r>
            <w:proofErr w:type="spellStart"/>
            <w:r w:rsidRPr="009B6AA8">
              <w:t>Mogford</w:t>
            </w:r>
            <w:proofErr w:type="spellEnd"/>
            <w:r w:rsidRPr="009B6AA8">
              <w:t xml:space="preserve">, Director of Radiation Therapy </w:t>
            </w:r>
          </w:p>
        </w:tc>
      </w:tr>
      <w:tr w:rsidR="00220513" w:rsidRPr="009B6AA8" w14:paraId="285B2078"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7CB5917E" w14:textId="77777777" w:rsidR="00220513" w:rsidRPr="009B6AA8" w:rsidRDefault="00220513" w:rsidP="00643E7D">
            <w:pPr>
              <w:pStyle w:val="Tabletext"/>
            </w:pPr>
          </w:p>
        </w:tc>
        <w:tc>
          <w:tcPr>
            <w:tcW w:w="1610" w:type="pct"/>
          </w:tcPr>
          <w:p w14:paraId="5C9B89E1" w14:textId="72D5D50B"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Royal Darwin Hospital – Alan Walker Cancer Centre, NT (</w:t>
            </w:r>
            <w:r>
              <w:t>public-private</w:t>
            </w:r>
            <w:r w:rsidRPr="009B6AA8">
              <w:t xml:space="preserve"> partnership with </w:t>
            </w:r>
            <w:r>
              <w:t xml:space="preserve">NT </w:t>
            </w:r>
            <w:r w:rsidRPr="009B6AA8">
              <w:t>Radiation Oncology)</w:t>
            </w:r>
          </w:p>
        </w:tc>
        <w:tc>
          <w:tcPr>
            <w:tcW w:w="2082" w:type="pct"/>
          </w:tcPr>
          <w:p w14:paraId="5605675C" w14:textId="6E64DB2B" w:rsidR="00220513" w:rsidRPr="009B6AA8" w:rsidRDefault="00220513" w:rsidP="00592036">
            <w:pPr>
              <w:pStyle w:val="TableBullets1"/>
              <w:cnfStyle w:val="000000000000" w:firstRow="0" w:lastRow="0" w:firstColumn="0" w:lastColumn="0" w:oddVBand="0" w:evenVBand="0" w:oddHBand="0" w:evenHBand="0" w:firstRowFirstColumn="0" w:firstRowLastColumn="0" w:lastRowFirstColumn="0" w:lastRowLastColumn="0"/>
            </w:pPr>
            <w:proofErr w:type="spellStart"/>
            <w:r w:rsidRPr="009B6AA8">
              <w:t>Kar</w:t>
            </w:r>
            <w:proofErr w:type="spellEnd"/>
            <w:r w:rsidRPr="009B6AA8">
              <w:t xml:space="preserve"> </w:t>
            </w:r>
            <w:proofErr w:type="spellStart"/>
            <w:r w:rsidRPr="009B6AA8">
              <w:t>Giam</w:t>
            </w:r>
            <w:proofErr w:type="spellEnd"/>
            <w:r w:rsidRPr="009B6AA8">
              <w:t xml:space="preserve">, Executive Director of Radiation Oncology </w:t>
            </w:r>
          </w:p>
        </w:tc>
      </w:tr>
      <w:tr w:rsidR="00220513" w:rsidRPr="009B6AA8" w14:paraId="7D76471C"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5098BE33" w14:textId="59AD869C" w:rsidR="00220513" w:rsidRPr="009B6AA8" w:rsidRDefault="00220513" w:rsidP="00643E7D">
            <w:pPr>
              <w:pStyle w:val="Tabletext"/>
            </w:pPr>
            <w:r w:rsidRPr="009B6AA8">
              <w:t>Private radiotherapy providers</w:t>
            </w:r>
          </w:p>
        </w:tc>
        <w:tc>
          <w:tcPr>
            <w:tcW w:w="1610" w:type="pct"/>
          </w:tcPr>
          <w:p w14:paraId="0EC57A7B" w14:textId="36E3138F"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 xml:space="preserve">ICON Group </w:t>
            </w:r>
          </w:p>
        </w:tc>
        <w:tc>
          <w:tcPr>
            <w:tcW w:w="2082" w:type="pct"/>
          </w:tcPr>
          <w:p w14:paraId="48F86CE4" w14:textId="325E067E"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 xml:space="preserve">Mark Middleton, Group CEO </w:t>
            </w:r>
          </w:p>
        </w:tc>
      </w:tr>
      <w:tr w:rsidR="00220513" w:rsidRPr="009B6AA8" w14:paraId="55B91ACF"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382C8924" w14:textId="77777777" w:rsidR="00220513" w:rsidRPr="009B6AA8" w:rsidRDefault="00220513" w:rsidP="00643E7D">
            <w:pPr>
              <w:pStyle w:val="Tabletext"/>
            </w:pPr>
          </w:p>
        </w:tc>
        <w:tc>
          <w:tcPr>
            <w:tcW w:w="1610" w:type="pct"/>
          </w:tcPr>
          <w:p w14:paraId="1F95EBA5" w14:textId="53867EDA"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Genesis Care</w:t>
            </w:r>
          </w:p>
        </w:tc>
        <w:tc>
          <w:tcPr>
            <w:tcW w:w="2082" w:type="pct"/>
          </w:tcPr>
          <w:p w14:paraId="3C439268" w14:textId="77777777"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Ben Ward, Executive Manager of Oncology</w:t>
            </w:r>
          </w:p>
          <w:p w14:paraId="4A3F4E38" w14:textId="77777777" w:rsidR="00373EE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Dion Forster, Radiation Oncologist</w:t>
            </w:r>
          </w:p>
          <w:p w14:paraId="54F02DBC" w14:textId="77777777" w:rsidR="00373EE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Fergus O’Rourke, Business Development</w:t>
            </w:r>
          </w:p>
          <w:p w14:paraId="25CEC633" w14:textId="77777777" w:rsidR="00373EE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John </w:t>
            </w:r>
            <w:proofErr w:type="spellStart"/>
            <w:r w:rsidRPr="00AB2733">
              <w:t>Ketelbey</w:t>
            </w:r>
            <w:proofErr w:type="spellEnd"/>
            <w:r w:rsidRPr="00AB2733">
              <w:t>, Business Development</w:t>
            </w:r>
          </w:p>
          <w:p w14:paraId="557DC9F2" w14:textId="1D1766C8"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Peter Morrison, Business Development </w:t>
            </w:r>
          </w:p>
        </w:tc>
      </w:tr>
      <w:tr w:rsidR="00220513" w:rsidRPr="009B6AA8" w14:paraId="5691CE75"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1EBED8A6" w14:textId="77777777" w:rsidR="00220513" w:rsidRPr="009B6AA8" w:rsidRDefault="00220513" w:rsidP="00643E7D">
            <w:pPr>
              <w:pStyle w:val="Tabletext"/>
            </w:pPr>
          </w:p>
        </w:tc>
        <w:tc>
          <w:tcPr>
            <w:tcW w:w="1610" w:type="pct"/>
          </w:tcPr>
          <w:p w14:paraId="1A8A19CB" w14:textId="46EF0E08" w:rsidR="00220513" w:rsidRPr="009B6AA8" w:rsidRDefault="00220513" w:rsidP="00643E7D">
            <w:pPr>
              <w:pStyle w:val="Tabletext"/>
              <w:cnfStyle w:val="000000000000" w:firstRow="0" w:lastRow="0" w:firstColumn="0" w:lastColumn="0" w:oddVBand="0" w:evenVBand="0" w:oddHBand="0" w:evenHBand="0" w:firstRowFirstColumn="0" w:firstRowLastColumn="0" w:lastRowFirstColumn="0" w:lastRowLastColumn="0"/>
            </w:pPr>
            <w:r w:rsidRPr="009B6AA8">
              <w:t xml:space="preserve">Cancer Care Associates </w:t>
            </w:r>
          </w:p>
        </w:tc>
        <w:tc>
          <w:tcPr>
            <w:tcW w:w="2082" w:type="pct"/>
          </w:tcPr>
          <w:p w14:paraId="09C187BE" w14:textId="77777777"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Tony Noun, Chair</w:t>
            </w:r>
          </w:p>
          <w:p w14:paraId="3F0C5125" w14:textId="0B528136" w:rsidR="00220513" w:rsidRPr="00AB2733" w:rsidRDefault="00220513" w:rsidP="00AB2733">
            <w:pPr>
              <w:pStyle w:val="TableBullets1"/>
              <w:cnfStyle w:val="000000000000" w:firstRow="0" w:lastRow="0" w:firstColumn="0" w:lastColumn="0" w:oddVBand="0" w:evenVBand="0" w:oddHBand="0" w:evenHBand="0" w:firstRowFirstColumn="0" w:firstRowLastColumn="0" w:lastRowFirstColumn="0" w:lastRowLastColumn="0"/>
            </w:pPr>
            <w:r w:rsidRPr="00AB2733">
              <w:t>Damien Williams, (Riverina Cancer Centre)</w:t>
            </w:r>
          </w:p>
        </w:tc>
      </w:tr>
      <w:tr w:rsidR="00231577" w:rsidRPr="009B6AA8" w14:paraId="3B2E3819"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2BCBEEBF" w14:textId="5FBDA26B" w:rsidR="00231577" w:rsidRPr="009B6AA8" w:rsidRDefault="00231577" w:rsidP="00643E7D">
            <w:pPr>
              <w:pStyle w:val="Tabletext"/>
            </w:pPr>
            <w:r w:rsidRPr="009B6AA8">
              <w:lastRenderedPageBreak/>
              <w:t xml:space="preserve">Clinicians </w:t>
            </w:r>
          </w:p>
        </w:tc>
        <w:tc>
          <w:tcPr>
            <w:tcW w:w="1610" w:type="pct"/>
          </w:tcPr>
          <w:p w14:paraId="4992E689" w14:textId="0689DC7E"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Genesis Care</w:t>
            </w:r>
          </w:p>
        </w:tc>
        <w:tc>
          <w:tcPr>
            <w:tcW w:w="2082" w:type="pct"/>
          </w:tcPr>
          <w:p w14:paraId="23A2E4BF" w14:textId="52C3808A" w:rsidR="00231577" w:rsidRPr="00AB2733" w:rsidRDefault="00231577" w:rsidP="00AB2733">
            <w:pPr>
              <w:pStyle w:val="TableBullets1"/>
              <w:cnfStyle w:val="000000000000" w:firstRow="0" w:lastRow="0" w:firstColumn="0" w:lastColumn="0" w:oddVBand="0" w:evenVBand="0" w:oddHBand="0" w:evenHBand="0" w:firstRowFirstColumn="0" w:firstRowLastColumn="0" w:lastRowFirstColumn="0" w:lastRowLastColumn="0"/>
            </w:pPr>
            <w:r w:rsidRPr="00AB2733">
              <w:t xml:space="preserve">Matthew Foote, Radiation Oncologist </w:t>
            </w:r>
          </w:p>
        </w:tc>
      </w:tr>
      <w:tr w:rsidR="00231577" w:rsidRPr="009B6AA8" w14:paraId="0055D0C4"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27024273" w14:textId="77777777" w:rsidR="00231577" w:rsidRPr="009B6AA8" w:rsidRDefault="00231577" w:rsidP="00643E7D">
            <w:pPr>
              <w:pStyle w:val="Tabletext"/>
            </w:pPr>
          </w:p>
        </w:tc>
        <w:tc>
          <w:tcPr>
            <w:tcW w:w="1610" w:type="pct"/>
          </w:tcPr>
          <w:p w14:paraId="1CBBFA7D" w14:textId="5ADD7DA2"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 xml:space="preserve">Peter </w:t>
            </w:r>
            <w:proofErr w:type="spellStart"/>
            <w:r w:rsidRPr="009B6AA8">
              <w:t>MacCallum</w:t>
            </w:r>
            <w:proofErr w:type="spellEnd"/>
            <w:r w:rsidRPr="009B6AA8">
              <w:t xml:space="preserve"> </w:t>
            </w:r>
          </w:p>
        </w:tc>
        <w:tc>
          <w:tcPr>
            <w:tcW w:w="2082" w:type="pct"/>
          </w:tcPr>
          <w:p w14:paraId="7285568A" w14:textId="7592D035"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Keen Hun Tai, Radiation Oncologist </w:t>
            </w:r>
          </w:p>
        </w:tc>
      </w:tr>
      <w:tr w:rsidR="00231577" w:rsidRPr="009B6AA8" w14:paraId="6B214B65"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50170AC5" w14:textId="6FBADCC5" w:rsidR="00231577" w:rsidRPr="009B6AA8" w:rsidRDefault="00231577" w:rsidP="00643E7D">
            <w:pPr>
              <w:pStyle w:val="Tabletext"/>
            </w:pPr>
            <w:r w:rsidRPr="009B6AA8">
              <w:t>Jurisdiction Departments of Health</w:t>
            </w:r>
          </w:p>
        </w:tc>
        <w:tc>
          <w:tcPr>
            <w:tcW w:w="1610" w:type="pct"/>
          </w:tcPr>
          <w:p w14:paraId="1F051351" w14:textId="620F3F66"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Ministry of Health, NSW</w:t>
            </w:r>
          </w:p>
        </w:tc>
        <w:tc>
          <w:tcPr>
            <w:tcW w:w="2082" w:type="pct"/>
          </w:tcPr>
          <w:p w14:paraId="083663F8" w14:textId="77777777" w:rsidR="00373EE3"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Vanessa Clements, Director of Speciality Services &amp; Technology</w:t>
            </w:r>
          </w:p>
          <w:p w14:paraId="20C2C58C" w14:textId="08964735"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Tina Ford, Project Officer</w:t>
            </w:r>
          </w:p>
        </w:tc>
      </w:tr>
      <w:tr w:rsidR="00231577" w:rsidRPr="009B6AA8" w14:paraId="656E1461"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3CE7AB4E" w14:textId="77777777" w:rsidR="00231577" w:rsidRPr="009B6AA8" w:rsidRDefault="00231577" w:rsidP="00643E7D">
            <w:pPr>
              <w:pStyle w:val="Tabletext"/>
            </w:pPr>
          </w:p>
        </w:tc>
        <w:tc>
          <w:tcPr>
            <w:tcW w:w="1610" w:type="pct"/>
          </w:tcPr>
          <w:p w14:paraId="1EA3ABCD" w14:textId="40E672F2"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Department of Health and Human Services, VIC</w:t>
            </w:r>
          </w:p>
        </w:tc>
        <w:tc>
          <w:tcPr>
            <w:tcW w:w="2082" w:type="pct"/>
          </w:tcPr>
          <w:p w14:paraId="5F368700" w14:textId="08411B54"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Colin Hornby, Radiotherapy Advisor and Acting Manager</w:t>
            </w:r>
          </w:p>
          <w:p w14:paraId="0802907F" w14:textId="603567D3"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Amanda Smith, Radiotherapy </w:t>
            </w:r>
            <w:proofErr w:type="spellStart"/>
            <w:r w:rsidRPr="00643E7D">
              <w:t>Statewide</w:t>
            </w:r>
            <w:proofErr w:type="spellEnd"/>
            <w:r w:rsidRPr="00643E7D">
              <w:t xml:space="preserve"> Planning, Cancer Services and Information Team</w:t>
            </w:r>
          </w:p>
        </w:tc>
      </w:tr>
      <w:tr w:rsidR="00231577" w:rsidRPr="009B6AA8" w14:paraId="376FE078"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01BFD426" w14:textId="77777777" w:rsidR="00231577" w:rsidRPr="009B6AA8" w:rsidRDefault="00231577" w:rsidP="00643E7D">
            <w:pPr>
              <w:pStyle w:val="Tabletext"/>
            </w:pPr>
          </w:p>
        </w:tc>
        <w:tc>
          <w:tcPr>
            <w:tcW w:w="1610" w:type="pct"/>
          </w:tcPr>
          <w:p w14:paraId="373A672F" w14:textId="4F3F87F9"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proofErr w:type="spellStart"/>
            <w:r w:rsidRPr="009B6AA8">
              <w:t>Statewide</w:t>
            </w:r>
            <w:proofErr w:type="spellEnd"/>
            <w:r w:rsidRPr="009B6AA8">
              <w:t xml:space="preserve"> Planning, Queensland Health</w:t>
            </w:r>
          </w:p>
        </w:tc>
        <w:tc>
          <w:tcPr>
            <w:tcW w:w="2082" w:type="pct"/>
          </w:tcPr>
          <w:p w14:paraId="5B6564DD" w14:textId="77777777" w:rsidR="00373EE3"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Lisa Daly, Principal Planning Officer</w:t>
            </w:r>
          </w:p>
          <w:p w14:paraId="07F5AE70" w14:textId="77777777" w:rsidR="00373EE3"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Mina Smith, Manager – </w:t>
            </w:r>
            <w:proofErr w:type="spellStart"/>
            <w:r w:rsidRPr="00643E7D">
              <w:t>Statewide</w:t>
            </w:r>
            <w:proofErr w:type="spellEnd"/>
            <w:r w:rsidRPr="00643E7D">
              <w:t xml:space="preserve"> Health Service Strategy and Planning</w:t>
            </w:r>
          </w:p>
          <w:p w14:paraId="48590942" w14:textId="77777777" w:rsidR="00373EE3"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Rhiannon Walters, Principal Planning Officer</w:t>
            </w:r>
          </w:p>
          <w:p w14:paraId="1EF94F5D" w14:textId="7731B0D0"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Tegan </w:t>
            </w:r>
            <w:proofErr w:type="spellStart"/>
            <w:r w:rsidRPr="00643E7D">
              <w:t>Mapp</w:t>
            </w:r>
            <w:proofErr w:type="spellEnd"/>
            <w:r w:rsidRPr="00643E7D">
              <w:t>, Principal Planning Officer</w:t>
            </w:r>
          </w:p>
          <w:p w14:paraId="56954473" w14:textId="0CE42F18"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Sally Marques, Principal Planning Officer </w:t>
            </w:r>
          </w:p>
        </w:tc>
      </w:tr>
      <w:tr w:rsidR="00231577" w:rsidRPr="009B6AA8" w14:paraId="550EA27D"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7032C417" w14:textId="77777777" w:rsidR="00231577" w:rsidRPr="009B6AA8" w:rsidRDefault="00231577" w:rsidP="00643E7D">
            <w:pPr>
              <w:pStyle w:val="Tabletext"/>
            </w:pPr>
          </w:p>
        </w:tc>
        <w:tc>
          <w:tcPr>
            <w:tcW w:w="1610" w:type="pct"/>
          </w:tcPr>
          <w:p w14:paraId="66998C1B" w14:textId="49A6CB41"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 xml:space="preserve">WA Health </w:t>
            </w:r>
          </w:p>
        </w:tc>
        <w:tc>
          <w:tcPr>
            <w:tcW w:w="2082" w:type="pct"/>
          </w:tcPr>
          <w:p w14:paraId="1ED05136" w14:textId="77777777"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Lisa Miller, Medical Advisor</w:t>
            </w:r>
          </w:p>
          <w:p w14:paraId="38C83ADE" w14:textId="77777777"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Antony Monaco, Manager</w:t>
            </w:r>
          </w:p>
          <w:p w14:paraId="74871D9A" w14:textId="77777777"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Karen Taylor, WA Cancer Network</w:t>
            </w:r>
          </w:p>
          <w:p w14:paraId="7E879DAB" w14:textId="77777777"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Sharyn Roger. WA Cancer and Palliative Care Network Policy Unit</w:t>
            </w:r>
          </w:p>
          <w:p w14:paraId="1296E2C6" w14:textId="77777777" w:rsidR="00373EE3"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Emily Howe, Development Officer</w:t>
            </w:r>
          </w:p>
          <w:p w14:paraId="2BA0DB6D" w14:textId="1AC4FFD2"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Ed Baily, Clinician SCGH</w:t>
            </w:r>
          </w:p>
        </w:tc>
      </w:tr>
      <w:tr w:rsidR="00231577" w:rsidRPr="009B6AA8" w14:paraId="73729CA0"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2C076D78" w14:textId="77777777" w:rsidR="00231577" w:rsidRPr="009B6AA8" w:rsidRDefault="00231577" w:rsidP="00643E7D">
            <w:pPr>
              <w:pStyle w:val="Tabletext"/>
            </w:pPr>
          </w:p>
        </w:tc>
        <w:tc>
          <w:tcPr>
            <w:tcW w:w="1610" w:type="pct"/>
          </w:tcPr>
          <w:p w14:paraId="33FF625F" w14:textId="5A7C4753"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 xml:space="preserve">Northern Territory Health, NT </w:t>
            </w:r>
          </w:p>
        </w:tc>
        <w:tc>
          <w:tcPr>
            <w:tcW w:w="2082" w:type="pct"/>
          </w:tcPr>
          <w:p w14:paraId="676D9ED1" w14:textId="72F0B92E"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proofErr w:type="spellStart"/>
            <w:r w:rsidRPr="00643E7D">
              <w:t>Kar</w:t>
            </w:r>
            <w:proofErr w:type="spellEnd"/>
            <w:r w:rsidRPr="00643E7D">
              <w:t xml:space="preserve"> </w:t>
            </w:r>
            <w:proofErr w:type="spellStart"/>
            <w:r w:rsidRPr="00643E7D">
              <w:t>Giam</w:t>
            </w:r>
            <w:proofErr w:type="spellEnd"/>
            <w:r w:rsidRPr="00643E7D">
              <w:t>, Executive Director of Radiation Oncology, NT Radiation Oncology on behalf of NT Health</w:t>
            </w:r>
          </w:p>
        </w:tc>
      </w:tr>
      <w:tr w:rsidR="00231577" w:rsidRPr="009B6AA8" w14:paraId="444F79F7"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1FA0A4B2" w14:textId="44A2F782" w:rsidR="00231577" w:rsidRPr="009B6AA8" w:rsidRDefault="00231577" w:rsidP="00643E7D">
            <w:pPr>
              <w:pStyle w:val="Tabletext"/>
            </w:pPr>
            <w:r w:rsidRPr="009B6AA8">
              <w:t xml:space="preserve">Australian Government Departmental </w:t>
            </w:r>
            <w:r>
              <w:t>p</w:t>
            </w:r>
            <w:r w:rsidRPr="009B6AA8">
              <w:t xml:space="preserve">ersonnel </w:t>
            </w:r>
          </w:p>
        </w:tc>
        <w:tc>
          <w:tcPr>
            <w:tcW w:w="1610" w:type="pct"/>
          </w:tcPr>
          <w:p w14:paraId="70DAF2F0" w14:textId="77777777"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Radiation Therapy and Medical Indemnity Section</w:t>
            </w:r>
          </w:p>
        </w:tc>
        <w:tc>
          <w:tcPr>
            <w:tcW w:w="2082" w:type="pct"/>
          </w:tcPr>
          <w:p w14:paraId="0D546169" w14:textId="69E6C60A"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Louise Morgan, Director</w:t>
            </w:r>
          </w:p>
          <w:p w14:paraId="60900992" w14:textId="77777777" w:rsidR="00373EE3"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Jane Richardson, Assistant Director</w:t>
            </w:r>
          </w:p>
          <w:p w14:paraId="4E1CDCCD" w14:textId="41868458"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Lyndall </w:t>
            </w:r>
            <w:proofErr w:type="spellStart"/>
            <w:r w:rsidRPr="00643E7D">
              <w:t>Thomas-Sibraa</w:t>
            </w:r>
            <w:proofErr w:type="spellEnd"/>
            <w:r w:rsidRPr="00643E7D">
              <w:t xml:space="preserve">, Policy Officer </w:t>
            </w:r>
          </w:p>
        </w:tc>
      </w:tr>
      <w:tr w:rsidR="00231577" w:rsidRPr="009B6AA8" w14:paraId="529BD2C2"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3806DC3C" w14:textId="77777777" w:rsidR="00231577" w:rsidRPr="009B6AA8" w:rsidRDefault="00231577" w:rsidP="00643E7D">
            <w:pPr>
              <w:pStyle w:val="Tabletext"/>
            </w:pPr>
          </w:p>
        </w:tc>
        <w:tc>
          <w:tcPr>
            <w:tcW w:w="1610" w:type="pct"/>
          </w:tcPr>
          <w:p w14:paraId="7A3BCC06" w14:textId="3F8D2AA1"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 xml:space="preserve">Cancer Policy and Services Branch (CPSB) </w:t>
            </w:r>
          </w:p>
        </w:tc>
        <w:tc>
          <w:tcPr>
            <w:tcW w:w="2082" w:type="pct"/>
          </w:tcPr>
          <w:p w14:paraId="630F0766" w14:textId="77777777"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David </w:t>
            </w:r>
            <w:proofErr w:type="spellStart"/>
            <w:r w:rsidRPr="009B6AA8">
              <w:t>Meredyth</w:t>
            </w:r>
            <w:proofErr w:type="spellEnd"/>
            <w:r w:rsidRPr="009B6AA8">
              <w:t>, Director</w:t>
            </w:r>
          </w:p>
        </w:tc>
      </w:tr>
      <w:tr w:rsidR="00231577" w:rsidRPr="009B6AA8" w14:paraId="400D7442"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07A30536" w14:textId="1B2C37C4" w:rsidR="00231577" w:rsidRPr="009B6AA8" w:rsidRDefault="00231577" w:rsidP="00643E7D">
            <w:pPr>
              <w:pStyle w:val="Tabletext"/>
            </w:pPr>
            <w:r w:rsidRPr="009B6AA8">
              <w:t xml:space="preserve">Peak bodies </w:t>
            </w:r>
          </w:p>
        </w:tc>
        <w:tc>
          <w:tcPr>
            <w:tcW w:w="1610" w:type="pct"/>
          </w:tcPr>
          <w:p w14:paraId="140BA96F" w14:textId="43537CBC" w:rsidR="00231577" w:rsidRPr="00D65C79"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Radiation Therapy Advisory Group (RTAG</w:t>
            </w:r>
            <w:r w:rsidRPr="00D65C79">
              <w:t xml:space="preserve">) </w:t>
            </w:r>
          </w:p>
        </w:tc>
        <w:tc>
          <w:tcPr>
            <w:tcW w:w="2082" w:type="pct"/>
          </w:tcPr>
          <w:p w14:paraId="621580C7" w14:textId="3C0E1339"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Peter O’Brien</w:t>
            </w:r>
            <w:r>
              <w:t>, Chair</w:t>
            </w:r>
          </w:p>
          <w:p w14:paraId="1E6FBF5F" w14:textId="6C8D9E15"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4134C4">
              <w:t xml:space="preserve">Jason </w:t>
            </w:r>
            <w:proofErr w:type="spellStart"/>
            <w:r w:rsidRPr="004134C4">
              <w:t>Aldworth</w:t>
            </w:r>
            <w:proofErr w:type="spellEnd"/>
            <w:r w:rsidRPr="004134C4">
              <w:t>, Secretariat</w:t>
            </w:r>
          </w:p>
        </w:tc>
      </w:tr>
      <w:tr w:rsidR="00231577" w:rsidRPr="009B6AA8" w14:paraId="5A5A9F5F"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31288F92" w14:textId="77777777" w:rsidR="00231577" w:rsidRPr="009B6AA8" w:rsidRDefault="00231577" w:rsidP="00643E7D">
            <w:pPr>
              <w:pStyle w:val="Tabletext"/>
            </w:pPr>
          </w:p>
        </w:tc>
        <w:tc>
          <w:tcPr>
            <w:tcW w:w="1610" w:type="pct"/>
          </w:tcPr>
          <w:p w14:paraId="7C18B392" w14:textId="7892BBD4"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EA6009">
              <w:t xml:space="preserve">Australian Society </w:t>
            </w:r>
            <w:r>
              <w:t>o</w:t>
            </w:r>
            <w:r w:rsidRPr="00EA6009">
              <w:t xml:space="preserve">f Medical Imaging </w:t>
            </w:r>
            <w:r>
              <w:t>a</w:t>
            </w:r>
            <w:r w:rsidRPr="00EA6009">
              <w:t>nd Radiation Therapy</w:t>
            </w:r>
            <w:r>
              <w:t xml:space="preserve"> (</w:t>
            </w:r>
            <w:r w:rsidRPr="00EA6009">
              <w:t>ASMIRT</w:t>
            </w:r>
            <w:r>
              <w:t>)</w:t>
            </w:r>
          </w:p>
        </w:tc>
        <w:tc>
          <w:tcPr>
            <w:tcW w:w="2082" w:type="pct"/>
          </w:tcPr>
          <w:p w14:paraId="303CAFE0" w14:textId="77777777" w:rsidR="00231577"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t>Sally Kincaid, CEO</w:t>
            </w:r>
          </w:p>
          <w:p w14:paraId="5AADD894" w14:textId="2333E198"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t xml:space="preserve">Bronwyn </w:t>
            </w:r>
            <w:proofErr w:type="spellStart"/>
            <w:r>
              <w:t>Hilder</w:t>
            </w:r>
            <w:proofErr w:type="spellEnd"/>
            <w:r>
              <w:t>, President</w:t>
            </w:r>
          </w:p>
        </w:tc>
      </w:tr>
      <w:tr w:rsidR="00231577" w:rsidRPr="009B6AA8" w14:paraId="4E911E71"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3E59EA45" w14:textId="77777777" w:rsidR="00231577" w:rsidRPr="009B6AA8" w:rsidRDefault="00231577" w:rsidP="00643E7D">
            <w:pPr>
              <w:pStyle w:val="Tabletext"/>
            </w:pPr>
          </w:p>
        </w:tc>
        <w:tc>
          <w:tcPr>
            <w:tcW w:w="1610" w:type="pct"/>
          </w:tcPr>
          <w:p w14:paraId="1A7D3FA5" w14:textId="13689537"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Australasian College for Physical Scientists and Engineers in Medicine (ACPSEM)</w:t>
            </w:r>
          </w:p>
        </w:tc>
        <w:tc>
          <w:tcPr>
            <w:tcW w:w="2082" w:type="pct"/>
          </w:tcPr>
          <w:p w14:paraId="7EE4983B" w14:textId="77777777" w:rsidR="00373EE3"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Mario Perez, Member</w:t>
            </w:r>
          </w:p>
          <w:p w14:paraId="7115D0C7" w14:textId="10CC0B92"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Martin </w:t>
            </w:r>
            <w:proofErr w:type="spellStart"/>
            <w:r w:rsidRPr="009B6AA8">
              <w:t>Carolan</w:t>
            </w:r>
            <w:proofErr w:type="spellEnd"/>
            <w:r w:rsidRPr="009B6AA8">
              <w:t>, Member</w:t>
            </w:r>
          </w:p>
          <w:p w14:paraId="51FF69F8" w14:textId="6CF759F3"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Gary </w:t>
            </w:r>
            <w:proofErr w:type="spellStart"/>
            <w:r w:rsidRPr="009B6AA8">
              <w:t>Disher</w:t>
            </w:r>
            <w:proofErr w:type="spellEnd"/>
            <w:r w:rsidRPr="009B6AA8">
              <w:t xml:space="preserve">, Member </w:t>
            </w:r>
          </w:p>
        </w:tc>
      </w:tr>
      <w:tr w:rsidR="00231577" w:rsidRPr="009B6AA8" w14:paraId="3DBEB759"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4AF8BDAD" w14:textId="77777777" w:rsidR="00231577" w:rsidRPr="009B6AA8" w:rsidRDefault="00231577" w:rsidP="00643E7D">
            <w:pPr>
              <w:pStyle w:val="Tabletext"/>
            </w:pPr>
          </w:p>
        </w:tc>
        <w:tc>
          <w:tcPr>
            <w:tcW w:w="1610" w:type="pct"/>
          </w:tcPr>
          <w:p w14:paraId="43917708" w14:textId="2F9D3623" w:rsidR="00231577" w:rsidRPr="009B6AA8" w:rsidRDefault="00231577" w:rsidP="00643E7D">
            <w:pPr>
              <w:pStyle w:val="Tabletext"/>
              <w:cnfStyle w:val="000000000000" w:firstRow="0" w:lastRow="0" w:firstColumn="0" w:lastColumn="0" w:oddVBand="0" w:evenVBand="0" w:oddHBand="0" w:evenHBand="0" w:firstRowFirstColumn="0" w:firstRowLastColumn="0" w:lastRowFirstColumn="0" w:lastRowLastColumn="0"/>
            </w:pPr>
            <w:r w:rsidRPr="009B6AA8">
              <w:t xml:space="preserve">Royal Australian and New Zealand College of Radiologists (RANZCR) </w:t>
            </w:r>
          </w:p>
        </w:tc>
        <w:tc>
          <w:tcPr>
            <w:tcW w:w="2082" w:type="pct"/>
          </w:tcPr>
          <w:p w14:paraId="64315DFF" w14:textId="77777777"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Wendy Stamp, CEO</w:t>
            </w:r>
          </w:p>
          <w:p w14:paraId="7F04E2B3" w14:textId="77777777" w:rsidR="00373EE3"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proofErr w:type="spellStart"/>
            <w:r w:rsidRPr="009B6AA8">
              <w:t>Madhavi</w:t>
            </w:r>
            <w:proofErr w:type="spellEnd"/>
            <w:r w:rsidRPr="009B6AA8">
              <w:t xml:space="preserve"> </w:t>
            </w:r>
            <w:proofErr w:type="spellStart"/>
            <w:r w:rsidRPr="009B6AA8">
              <w:t>Chilkuri</w:t>
            </w:r>
            <w:proofErr w:type="spellEnd"/>
            <w:r w:rsidRPr="009B6AA8">
              <w:t>, Dean Faculty of Radiation Oncology</w:t>
            </w:r>
          </w:p>
          <w:p w14:paraId="143FA36A" w14:textId="22B1187B"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Gerry Adams, clinician</w:t>
            </w:r>
          </w:p>
          <w:p w14:paraId="3E9037F0" w14:textId="686CC4D0"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proofErr w:type="spellStart"/>
            <w:r w:rsidRPr="009B6AA8">
              <w:t>Carminia</w:t>
            </w:r>
            <w:proofErr w:type="spellEnd"/>
            <w:r w:rsidRPr="009B6AA8">
              <w:t xml:space="preserve"> </w:t>
            </w:r>
            <w:proofErr w:type="spellStart"/>
            <w:r w:rsidRPr="009B6AA8">
              <w:t>Lapuz</w:t>
            </w:r>
            <w:proofErr w:type="spellEnd"/>
            <w:r w:rsidRPr="009B6AA8">
              <w:t xml:space="preserve">, clinician </w:t>
            </w:r>
          </w:p>
        </w:tc>
      </w:tr>
      <w:tr w:rsidR="00D12796" w:rsidRPr="009B6AA8" w14:paraId="6D1C6F9E"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2EE3BA87" w14:textId="77777777" w:rsidR="00D12796" w:rsidRPr="009B6AA8" w:rsidRDefault="00D12796" w:rsidP="00643E7D">
            <w:pPr>
              <w:pStyle w:val="Tabletext"/>
            </w:pPr>
          </w:p>
        </w:tc>
        <w:tc>
          <w:tcPr>
            <w:tcW w:w="1610" w:type="pct"/>
          </w:tcPr>
          <w:p w14:paraId="71779439" w14:textId="2FFEA20D" w:rsidR="00D12796" w:rsidRPr="009B6AA8" w:rsidRDefault="00D12796" w:rsidP="00643E7D">
            <w:pPr>
              <w:pStyle w:val="Tabletext"/>
              <w:cnfStyle w:val="000000000000" w:firstRow="0" w:lastRow="0" w:firstColumn="0" w:lastColumn="0" w:oddVBand="0" w:evenVBand="0" w:oddHBand="0" w:evenHBand="0" w:firstRowFirstColumn="0" w:firstRowLastColumn="0" w:lastRowFirstColumn="0" w:lastRowLastColumn="0"/>
            </w:pPr>
            <w:r w:rsidRPr="009B6AA8">
              <w:t>Cancer Nurse</w:t>
            </w:r>
            <w:r w:rsidR="00DE7836" w:rsidRPr="009B6AA8">
              <w:t>s</w:t>
            </w:r>
            <w:r w:rsidRPr="009B6AA8">
              <w:t xml:space="preserve"> Australia</w:t>
            </w:r>
          </w:p>
        </w:tc>
        <w:tc>
          <w:tcPr>
            <w:tcW w:w="2082" w:type="pct"/>
          </w:tcPr>
          <w:p w14:paraId="137E3DFB" w14:textId="580788B6" w:rsidR="00D12796" w:rsidRPr="009B6AA8" w:rsidRDefault="00D12796"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Gabrielle </w:t>
            </w:r>
            <w:proofErr w:type="spellStart"/>
            <w:r w:rsidRPr="009B6AA8">
              <w:t>Vigar</w:t>
            </w:r>
            <w:proofErr w:type="spellEnd"/>
            <w:r w:rsidRPr="009B6AA8">
              <w:t xml:space="preserve">, </w:t>
            </w:r>
            <w:r w:rsidR="00DE7836" w:rsidRPr="009B6AA8">
              <w:t>Director Professional Practice</w:t>
            </w:r>
            <w:r w:rsidR="00DE7836" w:rsidRPr="009B6AA8">
              <w:br/>
              <w:t>Nurse Unit Manager Radiation Oncology and Cancer Outpatients Departments</w:t>
            </w:r>
            <w:r w:rsidRPr="009B6AA8">
              <w:t xml:space="preserve">, Royal Adelaide Hospital </w:t>
            </w:r>
          </w:p>
        </w:tc>
      </w:tr>
      <w:tr w:rsidR="00E41267" w:rsidRPr="009B6AA8" w14:paraId="46C4EC25"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25E69103" w14:textId="740527A8" w:rsidR="00E41267" w:rsidRPr="009B6AA8" w:rsidRDefault="00E41267" w:rsidP="00643E7D">
            <w:pPr>
              <w:pStyle w:val="Tabletext"/>
            </w:pPr>
            <w:r w:rsidRPr="009B6AA8">
              <w:t>Safety agencies</w:t>
            </w:r>
          </w:p>
        </w:tc>
        <w:tc>
          <w:tcPr>
            <w:tcW w:w="1610" w:type="pct"/>
          </w:tcPr>
          <w:p w14:paraId="1955F37D" w14:textId="5C1C8812" w:rsidR="00E41267" w:rsidRPr="009B6AA8" w:rsidRDefault="00E41267" w:rsidP="00643E7D">
            <w:pPr>
              <w:pStyle w:val="Tabletext"/>
              <w:cnfStyle w:val="000000000000" w:firstRow="0" w:lastRow="0" w:firstColumn="0" w:lastColumn="0" w:oddVBand="0" w:evenVBand="0" w:oddHBand="0" w:evenHBand="0" w:firstRowFirstColumn="0" w:firstRowLastColumn="0" w:lastRowFirstColumn="0" w:lastRowLastColumn="0"/>
            </w:pPr>
            <w:r w:rsidRPr="009B6AA8">
              <w:t>Australian Radiation Protection and Nuclear Safety Agency (ARPANSA)</w:t>
            </w:r>
          </w:p>
        </w:tc>
        <w:tc>
          <w:tcPr>
            <w:tcW w:w="2082" w:type="pct"/>
          </w:tcPr>
          <w:p w14:paraId="0EA074A7" w14:textId="77777777" w:rsidR="00E41267" w:rsidRPr="009B6AA8" w:rsidRDefault="00E4126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Rhonda Brown, Acting Director Australian Clinical Dosimetry Service</w:t>
            </w:r>
          </w:p>
          <w:p w14:paraId="116ABC42" w14:textId="1FBC4A97" w:rsidR="00E41267" w:rsidRPr="009B6AA8" w:rsidRDefault="00E4126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Ivan Williams, Branch Head </w:t>
            </w:r>
            <w:r w:rsidR="00E61AD5" w:rsidRPr="009B6AA8">
              <w:t>–</w:t>
            </w:r>
            <w:r w:rsidRPr="009B6AA8">
              <w:t xml:space="preserve"> ACDS</w:t>
            </w:r>
          </w:p>
        </w:tc>
      </w:tr>
      <w:tr w:rsidR="00E41267" w:rsidRPr="009B6AA8" w14:paraId="7C9A1FAE"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4FBA1C43" w14:textId="209E5160" w:rsidR="00E41267" w:rsidRPr="009B6AA8" w:rsidRDefault="00E41267" w:rsidP="00643E7D">
            <w:pPr>
              <w:pStyle w:val="Tabletext"/>
            </w:pPr>
            <w:r w:rsidRPr="009B6AA8">
              <w:t>Consumers</w:t>
            </w:r>
          </w:p>
        </w:tc>
        <w:tc>
          <w:tcPr>
            <w:tcW w:w="1610" w:type="pct"/>
          </w:tcPr>
          <w:p w14:paraId="31DB1AAC" w14:textId="19130204" w:rsidR="00E41267" w:rsidRPr="009B6AA8" w:rsidRDefault="00E41267" w:rsidP="00E41267">
            <w:pPr>
              <w:cnfStyle w:val="000000000000" w:firstRow="0" w:lastRow="0" w:firstColumn="0" w:lastColumn="0" w:oddVBand="0" w:evenVBand="0" w:oddHBand="0" w:evenHBand="0" w:firstRowFirstColumn="0" w:firstRowLastColumn="0" w:lastRowFirstColumn="0" w:lastRowLastColumn="0"/>
            </w:pPr>
            <w:r w:rsidRPr="009B6AA8">
              <w:t xml:space="preserve">Cancer Voices </w:t>
            </w:r>
          </w:p>
        </w:tc>
        <w:tc>
          <w:tcPr>
            <w:tcW w:w="2082" w:type="pct"/>
          </w:tcPr>
          <w:p w14:paraId="3D9AF447" w14:textId="6C5C4D7F" w:rsidR="00E41267" w:rsidRPr="009B6AA8" w:rsidRDefault="00E4126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Lee Hunter, consumer advocate </w:t>
            </w:r>
          </w:p>
        </w:tc>
      </w:tr>
      <w:tr w:rsidR="00231577" w:rsidRPr="009B6AA8" w14:paraId="4FD4F4B8"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5180A704" w14:textId="40F1507E" w:rsidR="00231577" w:rsidRPr="009B6AA8" w:rsidRDefault="00231577" w:rsidP="00643E7D">
            <w:pPr>
              <w:pStyle w:val="Tabletext"/>
            </w:pPr>
            <w:proofErr w:type="spellStart"/>
            <w:r>
              <w:t>L</w:t>
            </w:r>
            <w:r w:rsidRPr="009B6AA8">
              <w:t>inac</w:t>
            </w:r>
            <w:proofErr w:type="spellEnd"/>
            <w:r w:rsidRPr="009B6AA8">
              <w:t xml:space="preserve"> suppliers</w:t>
            </w:r>
          </w:p>
        </w:tc>
        <w:tc>
          <w:tcPr>
            <w:tcW w:w="1610" w:type="pct"/>
          </w:tcPr>
          <w:p w14:paraId="4F942AA8" w14:textId="21F544A1" w:rsidR="00231577" w:rsidRPr="009B6AA8" w:rsidRDefault="00231577" w:rsidP="00E41267">
            <w:pPr>
              <w:cnfStyle w:val="000000000000" w:firstRow="0" w:lastRow="0" w:firstColumn="0" w:lastColumn="0" w:oddVBand="0" w:evenVBand="0" w:oddHBand="0" w:evenHBand="0" w:firstRowFirstColumn="0" w:firstRowLastColumn="0" w:lastRowFirstColumn="0" w:lastRowLastColumn="0"/>
            </w:pPr>
            <w:proofErr w:type="spellStart"/>
            <w:r w:rsidRPr="009B6AA8">
              <w:t>Elekta</w:t>
            </w:r>
            <w:proofErr w:type="spellEnd"/>
            <w:r w:rsidRPr="009B6AA8">
              <w:t xml:space="preserve"> </w:t>
            </w:r>
          </w:p>
        </w:tc>
        <w:tc>
          <w:tcPr>
            <w:tcW w:w="2082" w:type="pct"/>
          </w:tcPr>
          <w:p w14:paraId="62722175" w14:textId="73683FBB"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Joel Parrish, Government Affairs</w:t>
            </w:r>
          </w:p>
          <w:p w14:paraId="52A6439A" w14:textId="77777777" w:rsidR="00373EE3"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Shaun </w:t>
            </w:r>
            <w:proofErr w:type="spellStart"/>
            <w:r w:rsidRPr="009B6AA8">
              <w:t>Seery</w:t>
            </w:r>
            <w:proofErr w:type="spellEnd"/>
            <w:r w:rsidRPr="009B6AA8">
              <w:t>, Vice President (Asia Pacific)</w:t>
            </w:r>
          </w:p>
          <w:p w14:paraId="02353F95" w14:textId="7979D9D2"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Jason </w:t>
            </w:r>
            <w:proofErr w:type="spellStart"/>
            <w:r w:rsidRPr="009B6AA8">
              <w:t>Bonifacio</w:t>
            </w:r>
            <w:proofErr w:type="spellEnd"/>
            <w:r w:rsidRPr="009B6AA8">
              <w:t xml:space="preserve">, Neuroscience products </w:t>
            </w:r>
          </w:p>
        </w:tc>
      </w:tr>
      <w:tr w:rsidR="00231577" w:rsidRPr="009B6AA8" w14:paraId="6AB3322A" w14:textId="77777777" w:rsidTr="00643E7D">
        <w:trPr>
          <w:trHeight w:val="397"/>
        </w:trPr>
        <w:tc>
          <w:tcPr>
            <w:cnfStyle w:val="001000000000" w:firstRow="0" w:lastRow="0" w:firstColumn="1" w:lastColumn="0" w:oddVBand="0" w:evenVBand="0" w:oddHBand="0" w:evenHBand="0" w:firstRowFirstColumn="0" w:firstRowLastColumn="0" w:lastRowFirstColumn="0" w:lastRowLastColumn="0"/>
            <w:tcW w:w="1308" w:type="pct"/>
          </w:tcPr>
          <w:p w14:paraId="469568F1" w14:textId="4B27DBEA" w:rsidR="00231577" w:rsidRPr="009B6AA8" w:rsidRDefault="00231577" w:rsidP="00643E7D">
            <w:pPr>
              <w:pStyle w:val="Tabletext"/>
            </w:pPr>
          </w:p>
        </w:tc>
        <w:tc>
          <w:tcPr>
            <w:tcW w:w="1610" w:type="pct"/>
          </w:tcPr>
          <w:p w14:paraId="6CE7C262" w14:textId="6C79290C" w:rsidR="00231577" w:rsidRPr="009B6AA8" w:rsidRDefault="00231577" w:rsidP="00E41267">
            <w:pPr>
              <w:cnfStyle w:val="000000000000" w:firstRow="0" w:lastRow="0" w:firstColumn="0" w:lastColumn="0" w:oddVBand="0" w:evenVBand="0" w:oddHBand="0" w:evenHBand="0" w:firstRowFirstColumn="0" w:firstRowLastColumn="0" w:lastRowFirstColumn="0" w:lastRowLastColumn="0"/>
            </w:pPr>
            <w:r w:rsidRPr="009B6AA8">
              <w:t>Varian</w:t>
            </w:r>
          </w:p>
        </w:tc>
        <w:tc>
          <w:tcPr>
            <w:tcW w:w="2082" w:type="pct"/>
          </w:tcPr>
          <w:p w14:paraId="427C8831" w14:textId="77777777"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t xml:space="preserve">Rebecca </w:t>
            </w:r>
            <w:proofErr w:type="spellStart"/>
            <w:r w:rsidRPr="009B6AA8">
              <w:t>Cortiula</w:t>
            </w:r>
            <w:proofErr w:type="spellEnd"/>
            <w:r w:rsidRPr="009B6AA8">
              <w:t>, Senior Managing Director</w:t>
            </w:r>
          </w:p>
          <w:p w14:paraId="3E818EC7" w14:textId="77777777"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9B6AA8">
              <w:lastRenderedPageBreak/>
              <w:t xml:space="preserve">Jamie </w:t>
            </w:r>
            <w:proofErr w:type="spellStart"/>
            <w:r w:rsidRPr="009B6AA8">
              <w:t>Kebely</w:t>
            </w:r>
            <w:proofErr w:type="spellEnd"/>
            <w:r w:rsidRPr="009B6AA8">
              <w:t>. Senior Director, Government Affairs</w:t>
            </w:r>
          </w:p>
          <w:p w14:paraId="0B4F2D01" w14:textId="77777777"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Matt Coughlin, Head of Sales</w:t>
            </w:r>
          </w:p>
          <w:p w14:paraId="777E487E" w14:textId="77777777" w:rsidR="00231577" w:rsidRPr="00643E7D"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 xml:space="preserve">Brett </w:t>
            </w:r>
            <w:proofErr w:type="spellStart"/>
            <w:r w:rsidRPr="00643E7D">
              <w:t>MacKenzie</w:t>
            </w:r>
            <w:proofErr w:type="spellEnd"/>
            <w:r w:rsidRPr="00643E7D">
              <w:t>, Delivery System Sales Manager</w:t>
            </w:r>
          </w:p>
          <w:p w14:paraId="12192BD4" w14:textId="42AFEE67" w:rsidR="00231577" w:rsidRPr="009B6AA8" w:rsidRDefault="00231577" w:rsidP="00592036">
            <w:pPr>
              <w:pStyle w:val="TableBullets1"/>
              <w:cnfStyle w:val="000000000000" w:firstRow="0" w:lastRow="0" w:firstColumn="0" w:lastColumn="0" w:oddVBand="0" w:evenVBand="0" w:oddHBand="0" w:evenHBand="0" w:firstRowFirstColumn="0" w:firstRowLastColumn="0" w:lastRowFirstColumn="0" w:lastRowLastColumn="0"/>
            </w:pPr>
            <w:r w:rsidRPr="00643E7D">
              <w:t>Natalie Lockhart</w:t>
            </w:r>
          </w:p>
        </w:tc>
      </w:tr>
      <w:bookmarkEnd w:id="306"/>
    </w:tbl>
    <w:p w14:paraId="321344DF" w14:textId="7FD59E54" w:rsidR="002E7BD8" w:rsidRPr="009B6AA8" w:rsidRDefault="002E7BD8" w:rsidP="008C0AA9">
      <w:r w:rsidRPr="009B6AA8">
        <w:lastRenderedPageBreak/>
        <w:br w:type="page"/>
      </w:r>
    </w:p>
    <w:p w14:paraId="14F64DF8" w14:textId="4BFAE6E5" w:rsidR="002E7BD8" w:rsidRPr="009B6AA8" w:rsidRDefault="00733B81" w:rsidP="00494306">
      <w:pPr>
        <w:pStyle w:val="Heading3"/>
      </w:pPr>
      <w:bookmarkStart w:id="307" w:name="_Ref56414461"/>
      <w:bookmarkStart w:id="308" w:name="_Toc59198513"/>
      <w:bookmarkStart w:id="309" w:name="_Toc66193994"/>
      <w:bookmarkStart w:id="310" w:name="_Toc73696722"/>
      <w:r>
        <w:lastRenderedPageBreak/>
        <w:t xml:space="preserve">Appendix B </w:t>
      </w:r>
      <w:r w:rsidR="00C02A15" w:rsidRPr="00494306">
        <w:t>Trade</w:t>
      </w:r>
      <w:r w:rsidR="00C02A15">
        <w:t>-</w:t>
      </w:r>
      <w:r w:rsidR="002E7BD8" w:rsidRPr="009B6AA8">
        <w:t>off analysis</w:t>
      </w:r>
      <w:bookmarkEnd w:id="307"/>
      <w:bookmarkEnd w:id="308"/>
      <w:bookmarkEnd w:id="309"/>
      <w:bookmarkEnd w:id="310"/>
    </w:p>
    <w:p w14:paraId="5FB84306" w14:textId="0EA03431" w:rsidR="00A62690" w:rsidRPr="009B6AA8" w:rsidRDefault="00A62690" w:rsidP="00DF2D1F">
      <w:pPr>
        <w:pStyle w:val="Heading4"/>
      </w:pPr>
      <w:r w:rsidRPr="009B6AA8">
        <w:t xml:space="preserve">Funding </w:t>
      </w:r>
      <w:r w:rsidR="00375E68">
        <w:t>m</w:t>
      </w:r>
      <w:r w:rsidRPr="009B6AA8">
        <w:t>echanism trade-off analysis approach</w:t>
      </w:r>
    </w:p>
    <w:p w14:paraId="1E61E640" w14:textId="77777777" w:rsidR="00373EE3" w:rsidRDefault="00A62690" w:rsidP="00EF43FF">
      <w:r w:rsidRPr="009B6AA8">
        <w:t xml:space="preserve">A trade-off analysis has been conducted to determine if a </w:t>
      </w:r>
      <w:r w:rsidR="00C02A15">
        <w:t>c</w:t>
      </w:r>
      <w:r w:rsidR="00C02A15" w:rsidRPr="009B6AA8">
        <w:t xml:space="preserve">apital </w:t>
      </w:r>
      <w:r w:rsidR="00C02A15">
        <w:t>g</w:t>
      </w:r>
      <w:r w:rsidR="00C02A15" w:rsidRPr="009B6AA8">
        <w:t xml:space="preserve">rant </w:t>
      </w:r>
      <w:r w:rsidR="00C02A15">
        <w:t>s</w:t>
      </w:r>
      <w:r w:rsidR="00C02A15" w:rsidRPr="009B6AA8">
        <w:t xml:space="preserve">cheme </w:t>
      </w:r>
      <w:r w:rsidRPr="009B6AA8">
        <w:t xml:space="preserve">is still the most appropriate mechanism to fund the purchase of high-cost radiotherapy equipment such as </w:t>
      </w:r>
      <w:proofErr w:type="spellStart"/>
      <w:r w:rsidRPr="009B6AA8">
        <w:t>linacs</w:t>
      </w:r>
      <w:proofErr w:type="spellEnd"/>
      <w:r w:rsidRPr="009B6AA8">
        <w:t>.</w:t>
      </w:r>
    </w:p>
    <w:p w14:paraId="7FD4879D" w14:textId="77777777" w:rsidR="00373EE3" w:rsidRDefault="00A62690" w:rsidP="007810F9">
      <w:r w:rsidRPr="009B6AA8">
        <w:t xml:space="preserve">A trade-off analysis is a comparison exercise, which looks at the </w:t>
      </w:r>
      <w:r w:rsidRPr="009B6AA8">
        <w:rPr>
          <w:i/>
          <w:iCs/>
        </w:rPr>
        <w:t>relative</w:t>
      </w:r>
      <w:r w:rsidRPr="009B6AA8">
        <w:t xml:space="preserve"> advantage (or disadvantage) of different funding mechanisms against a set of defined comparison criteria. Each alternative mechanism is compared to a specified benchmark, in this case the status quo ROHPG </w:t>
      </w:r>
      <w:r w:rsidR="00FD606B">
        <w:t>Scheme</w:t>
      </w:r>
      <w:r w:rsidR="00C02A15">
        <w:t>,</w:t>
      </w:r>
      <w:r w:rsidR="00C02A15" w:rsidRPr="009B6AA8">
        <w:t xml:space="preserve"> </w:t>
      </w:r>
      <w:r w:rsidRPr="009B6AA8">
        <w:t>for its relative advantage. For ease of comparison, each mechanism is assigned a trade-off score for each comparison criteria between -3 and 3, (where 1</w:t>
      </w:r>
      <w:r w:rsidR="00E61AD5" w:rsidRPr="009B6AA8">
        <w:t>–</w:t>
      </w:r>
      <w:r w:rsidRPr="009B6AA8">
        <w:t>3 is likely; marginal advantage, moderate advantage, advantage). An average (mean) is then calculated such that the mechanisms that were compared can be ranked in order of overall average score if desired.</w:t>
      </w:r>
    </w:p>
    <w:p w14:paraId="62443C06" w14:textId="77777777" w:rsidR="00373EE3" w:rsidRDefault="00A62690" w:rsidP="00EF43FF">
      <w:r w:rsidRPr="009B6AA8">
        <w:t xml:space="preserve">The funding mechanisms included in the analysis were agreed at project inception. Inclusion was informed by desktop analysis of mechanisms in place in other jurisdictions, stakeholder submissions to previous reviews of the ROHPG </w:t>
      </w:r>
      <w:r w:rsidR="00FD606B">
        <w:t>Scheme</w:t>
      </w:r>
      <w:r w:rsidRPr="009B6AA8">
        <w:t>, stakeholder consultation during this review, and HMA rapid options analysis.</w:t>
      </w:r>
    </w:p>
    <w:p w14:paraId="4ADD8EC4" w14:textId="77777777" w:rsidR="00373EE3" w:rsidRDefault="00A62690" w:rsidP="00EF43FF">
      <w:r w:rsidRPr="009B6AA8">
        <w:t xml:space="preserve">The comparison criteria, against which to determine advantage or disadvantage, were also developed at project inception, and based largely on the immediate and broader contextual objectives of the ROHPG </w:t>
      </w:r>
      <w:r w:rsidR="00FD606B">
        <w:t>Scheme</w:t>
      </w:r>
      <w:r w:rsidRPr="009B6AA8">
        <w:t xml:space="preserve">. Included mechanisms and criteria are described in the description table and analysis framework depicted in </w:t>
      </w:r>
      <w:r w:rsidRPr="00D65C79">
        <w:fldChar w:fldCharType="begin"/>
      </w:r>
      <w:r w:rsidRPr="009B6AA8">
        <w:instrText xml:space="preserve"> REF _Ref56415572 \h </w:instrText>
      </w:r>
      <w:r w:rsidRPr="00D65C79">
        <w:fldChar w:fldCharType="separate"/>
      </w:r>
      <w:r w:rsidR="007C0448" w:rsidRPr="009B6AA8">
        <w:t xml:space="preserve">Table </w:t>
      </w:r>
      <w:r w:rsidR="007C0448">
        <w:rPr>
          <w:rFonts w:hint="cs"/>
          <w:noProof/>
          <w:cs/>
        </w:rPr>
        <w:t>‎</w:t>
      </w:r>
      <w:r w:rsidR="007C0448">
        <w:rPr>
          <w:noProof/>
        </w:rPr>
        <w:t>9</w:t>
      </w:r>
      <w:r w:rsidR="007C0448">
        <w:t>.</w:t>
      </w:r>
      <w:r w:rsidR="007C0448">
        <w:rPr>
          <w:noProof/>
        </w:rPr>
        <w:t>1</w:t>
      </w:r>
      <w:r w:rsidRPr="00D65C79">
        <w:fldChar w:fldCharType="end"/>
      </w:r>
      <w:r w:rsidRPr="00D65C79">
        <w:t xml:space="preserve"> and </w:t>
      </w:r>
      <w:r w:rsidRPr="00D65C79">
        <w:fldChar w:fldCharType="begin"/>
      </w:r>
      <w:r w:rsidRPr="009B6AA8">
        <w:instrText xml:space="preserve"> REF _Ref56415574 \h </w:instrText>
      </w:r>
      <w:r w:rsidRPr="00D65C79">
        <w:fldChar w:fldCharType="separate"/>
      </w:r>
      <w:r w:rsidR="007C0448" w:rsidRPr="00D65C79">
        <w:t xml:space="preserve">Table </w:t>
      </w:r>
      <w:r w:rsidR="007C0448">
        <w:rPr>
          <w:rFonts w:hint="cs"/>
          <w:noProof/>
          <w:cs/>
        </w:rPr>
        <w:t>‎</w:t>
      </w:r>
      <w:r w:rsidR="007C0448">
        <w:rPr>
          <w:noProof/>
        </w:rPr>
        <w:t>9</w:t>
      </w:r>
      <w:r w:rsidR="007C0448">
        <w:t>.</w:t>
      </w:r>
      <w:r w:rsidR="007C0448">
        <w:rPr>
          <w:noProof/>
        </w:rPr>
        <w:t>2</w:t>
      </w:r>
      <w:r w:rsidRPr="00D65C79">
        <w:fldChar w:fldCharType="end"/>
      </w:r>
      <w:r w:rsidRPr="00D65C79">
        <w:t>.</w:t>
      </w:r>
    </w:p>
    <w:p w14:paraId="3AAD565B" w14:textId="6EBFB05B" w:rsidR="00A62690" w:rsidRPr="00D65C79" w:rsidRDefault="00A62690" w:rsidP="00DF2D1F">
      <w:pPr>
        <w:pStyle w:val="Heading4"/>
      </w:pPr>
      <w:r w:rsidRPr="00D65C79">
        <w:t>Underlying assumptions and limitations to the analysis</w:t>
      </w:r>
    </w:p>
    <w:p w14:paraId="26D6AD43" w14:textId="17AC2945" w:rsidR="00A62690" w:rsidRPr="009B6AA8" w:rsidRDefault="00A62690" w:rsidP="00A62690">
      <w:r w:rsidRPr="009B6AA8">
        <w:t xml:space="preserve">Given the scope of this review, it is important to note that a number of assumptions have informed both the approach and outcome. The analysis compares funding mechanisms against the status quo. This assumes that the Australian Government Department of Health (the Department) continues to provide a funding contribution towards the capital cost of eligible </w:t>
      </w:r>
      <w:r w:rsidR="00A945C8" w:rsidRPr="009B6AA8">
        <w:t xml:space="preserve">radiotherapy </w:t>
      </w:r>
      <w:r w:rsidRPr="009B6AA8">
        <w:t>equipment, and that such payments are in addition to the Medicare rebates for radiotherapy services. No scenario was tested whereby the ROHPG funding ceases to exist. The analysis further assumes that no remit exists (through this specific analysis) to provide recommendation or evidence to inform any potential shift in funding responsibility, reduction or increase to Department funding thresholds. As such, the comparison criteria are not weighted.</w:t>
      </w:r>
    </w:p>
    <w:p w14:paraId="0904B1EA" w14:textId="77777777" w:rsidR="00373EE3" w:rsidRDefault="00A62690" w:rsidP="00A62690">
      <w:r w:rsidRPr="009B6AA8">
        <w:t xml:space="preserve">Trade-off scores are attributed based on hypotheses of indicative impact. Detailed studies, such as a comparison of task timings for grant administration, </w:t>
      </w:r>
      <w:r w:rsidR="00577CD5">
        <w:t>are</w:t>
      </w:r>
      <w:r w:rsidR="00577CD5" w:rsidRPr="009B6AA8">
        <w:t xml:space="preserve"> </w:t>
      </w:r>
      <w:r w:rsidRPr="009B6AA8">
        <w:t>not conducted, for example, for the scoring regarding ‘administrative efficiency.’</w:t>
      </w:r>
    </w:p>
    <w:p w14:paraId="2CF35376" w14:textId="77777777" w:rsidR="00373EE3" w:rsidRDefault="00A62690" w:rsidP="00A62690">
      <w:r w:rsidRPr="009B6AA8">
        <w:t xml:space="preserve">A more fulsome health and economic </w:t>
      </w:r>
      <w:r w:rsidRPr="009B6AA8">
        <w:rPr>
          <w:i/>
          <w:iCs/>
        </w:rPr>
        <w:t>cost-benefit study</w:t>
      </w:r>
      <w:r w:rsidRPr="009B6AA8">
        <w:t xml:space="preserve"> of funding </w:t>
      </w:r>
      <w:r w:rsidRPr="009B6AA8">
        <w:rPr>
          <w:i/>
          <w:iCs/>
        </w:rPr>
        <w:t>options and mechanisms</w:t>
      </w:r>
      <w:r w:rsidRPr="009B6AA8">
        <w:t xml:space="preserve"> would provide the additional detail not presented in this limited analysis. Such a study was not undertaken within the scope of this review.</w:t>
      </w:r>
    </w:p>
    <w:p w14:paraId="55B38D30" w14:textId="142A11A3" w:rsidR="00A62690" w:rsidRPr="009B6AA8" w:rsidRDefault="00A62690" w:rsidP="00A62690">
      <w:r w:rsidRPr="009B6AA8">
        <w:t>The analysis does not examine changes to scheme administration more broadly, though observations on this topic are presented elsewhere in the review.</w:t>
      </w:r>
    </w:p>
    <w:p w14:paraId="643C5150" w14:textId="66DC9CA7" w:rsidR="00A62690" w:rsidRPr="007810F9" w:rsidRDefault="00A62690" w:rsidP="00A62690">
      <w:pPr>
        <w:pStyle w:val="Caption"/>
      </w:pPr>
      <w:bookmarkStart w:id="311" w:name="_Ref56415572"/>
      <w:bookmarkStart w:id="312" w:name="_Ref15918258"/>
      <w:r w:rsidRPr="009B6AA8">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9</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1</w:t>
      </w:r>
      <w:r w:rsidR="004B24F3">
        <w:rPr>
          <w:noProof/>
        </w:rPr>
        <w:fldChar w:fldCharType="end"/>
      </w:r>
      <w:bookmarkEnd w:id="311"/>
      <w:r w:rsidRPr="00D65C79">
        <w:t>:</w:t>
      </w:r>
      <w:bookmarkEnd w:id="312"/>
      <w:r w:rsidRPr="00D65C79">
        <w:t xml:space="preserve"> </w:t>
      </w:r>
      <w:r w:rsidRPr="00D65C79">
        <w:rPr>
          <w:rFonts w:asciiTheme="majorHAnsi" w:hAnsiTheme="majorHAnsi"/>
          <w:color w:val="000000" w:themeColor="text1"/>
        </w:rPr>
        <w:t>ROHPG funding trade-off analysis me</w:t>
      </w:r>
      <w:r w:rsidR="007810F9">
        <w:rPr>
          <w:rFonts w:asciiTheme="majorHAnsi" w:hAnsiTheme="majorHAnsi"/>
          <w:color w:val="000000" w:themeColor="text1"/>
        </w:rPr>
        <w:t>chanisms (options) descriptions</w:t>
      </w:r>
    </w:p>
    <w:tbl>
      <w:tblPr>
        <w:tblStyle w:val="HMATable"/>
        <w:tblW w:w="5000" w:type="pct"/>
        <w:tblInd w:w="-5" w:type="dxa"/>
        <w:tblLook w:val="06A0" w:firstRow="1" w:lastRow="0" w:firstColumn="1" w:lastColumn="0" w:noHBand="1" w:noVBand="1"/>
        <w:tblDescription w:val="Table 9.1 ROHPG funding trade-off analysis mechanisms (options) descriptions. this table showing funding mechanisms A to G and their descriptions."/>
      </w:tblPr>
      <w:tblGrid>
        <w:gridCol w:w="2661"/>
        <w:gridCol w:w="7364"/>
      </w:tblGrid>
      <w:tr w:rsidR="00A62690" w:rsidRPr="009B6AA8" w14:paraId="39158C58" w14:textId="77777777" w:rsidTr="007810F9">
        <w:trPr>
          <w:cnfStyle w:val="100000000000" w:firstRow="1" w:lastRow="0" w:firstColumn="0" w:lastColumn="0" w:oddVBand="0" w:evenVBand="0" w:oddHBand="0" w:evenHBand="0" w:firstRowFirstColumn="0" w:firstRowLastColumn="0" w:lastRowFirstColumn="0" w:lastRowLastColumn="0"/>
          <w:trHeight w:val="609"/>
          <w:tblHeader/>
        </w:trPr>
        <w:tc>
          <w:tcPr>
            <w:cnfStyle w:val="001000000000" w:firstRow="0" w:lastRow="0" w:firstColumn="1" w:lastColumn="0" w:oddVBand="0" w:evenVBand="0" w:oddHBand="0" w:evenHBand="0" w:firstRowFirstColumn="0" w:firstRowLastColumn="0" w:lastRowFirstColumn="0" w:lastRowLastColumn="0"/>
            <w:tcW w:w="1327" w:type="pct"/>
            <w:vAlign w:val="center"/>
          </w:tcPr>
          <w:p w14:paraId="790852F5" w14:textId="77777777" w:rsidR="00A62690" w:rsidRPr="009B6AA8" w:rsidRDefault="00A62690" w:rsidP="00F97C6A">
            <w:pPr>
              <w:pStyle w:val="TableHeading"/>
            </w:pPr>
            <w:r w:rsidRPr="00D65C79">
              <w:t>Funding mechanism</w:t>
            </w:r>
          </w:p>
        </w:tc>
        <w:tc>
          <w:tcPr>
            <w:tcW w:w="3673" w:type="pct"/>
            <w:vAlign w:val="center"/>
          </w:tcPr>
          <w:p w14:paraId="4F638C98" w14:textId="77777777" w:rsidR="00A62690" w:rsidRPr="009B6AA8" w:rsidRDefault="00A62690" w:rsidP="00F97C6A">
            <w:pPr>
              <w:pStyle w:val="TableHeading"/>
              <w:cnfStyle w:val="100000000000" w:firstRow="1" w:lastRow="0" w:firstColumn="0" w:lastColumn="0" w:oddVBand="0" w:evenVBand="0" w:oddHBand="0" w:evenHBand="0" w:firstRowFirstColumn="0" w:firstRowLastColumn="0" w:lastRowFirstColumn="0" w:lastRowLastColumn="0"/>
            </w:pPr>
            <w:r w:rsidRPr="009B6AA8">
              <w:t>Description</w:t>
            </w:r>
          </w:p>
        </w:tc>
      </w:tr>
      <w:tr w:rsidR="00A62690" w:rsidRPr="009B6AA8" w14:paraId="25794E42" w14:textId="77777777" w:rsidTr="007810F9">
        <w:trPr>
          <w:trHeight w:val="271"/>
        </w:trPr>
        <w:tc>
          <w:tcPr>
            <w:cnfStyle w:val="001000000000" w:firstRow="0" w:lastRow="0" w:firstColumn="1" w:lastColumn="0" w:oddVBand="0" w:evenVBand="0" w:oddHBand="0" w:evenHBand="0" w:firstRowFirstColumn="0" w:firstRowLastColumn="0" w:lastRowFirstColumn="0" w:lastRowLastColumn="0"/>
            <w:tcW w:w="1327" w:type="pct"/>
          </w:tcPr>
          <w:p w14:paraId="0AB5DFBE" w14:textId="3143EE0D" w:rsidR="00A62690" w:rsidRPr="00C2458A" w:rsidRDefault="00A62690" w:rsidP="00C2458A">
            <w:pPr>
              <w:pStyle w:val="Tabletext"/>
            </w:pPr>
            <w:r w:rsidRPr="00C2458A">
              <w:t xml:space="preserve">A. ROHPG </w:t>
            </w:r>
            <w:r w:rsidR="009A3D17" w:rsidRPr="00C2458A">
              <w:t>capital grant scheme</w:t>
            </w:r>
          </w:p>
        </w:tc>
        <w:tc>
          <w:tcPr>
            <w:tcW w:w="3673" w:type="pct"/>
          </w:tcPr>
          <w:p w14:paraId="7E553258" w14:textId="77777777" w:rsidR="00A62690" w:rsidRPr="00C2458A" w:rsidRDefault="00A62690" w:rsidP="00C2458A">
            <w:pPr>
              <w:pStyle w:val="Tabletext"/>
              <w:cnfStyle w:val="000000000000" w:firstRow="0" w:lastRow="0" w:firstColumn="0" w:lastColumn="0" w:oddVBand="0" w:evenVBand="0" w:oddHBand="0" w:evenHBand="0" w:firstRowFirstColumn="0" w:firstRowLastColumn="0" w:lastRowFirstColumn="0" w:lastRowLastColumn="0"/>
            </w:pPr>
            <w:r w:rsidRPr="00C2458A">
              <w:t xml:space="preserve">The current funding mechanism as described in the situation analysis section of this review. </w:t>
            </w:r>
          </w:p>
        </w:tc>
      </w:tr>
      <w:tr w:rsidR="00A62690" w:rsidRPr="009B6AA8" w14:paraId="6948DD06" w14:textId="77777777" w:rsidTr="007810F9">
        <w:trPr>
          <w:trHeight w:val="271"/>
        </w:trPr>
        <w:tc>
          <w:tcPr>
            <w:cnfStyle w:val="001000000000" w:firstRow="0" w:lastRow="0" w:firstColumn="1" w:lastColumn="0" w:oddVBand="0" w:evenVBand="0" w:oddHBand="0" w:evenHBand="0" w:firstRowFirstColumn="0" w:firstRowLastColumn="0" w:lastRowFirstColumn="0" w:lastRowLastColumn="0"/>
            <w:tcW w:w="1327" w:type="pct"/>
          </w:tcPr>
          <w:p w14:paraId="39BC1038" w14:textId="06CEC663" w:rsidR="00A62690" w:rsidRPr="00C2458A" w:rsidRDefault="00A62690" w:rsidP="00C2458A">
            <w:pPr>
              <w:pStyle w:val="Tabletext"/>
            </w:pPr>
            <w:r w:rsidRPr="00C2458A">
              <w:t xml:space="preserve">B. Traditional </w:t>
            </w:r>
            <w:r w:rsidR="009A3D17" w:rsidRPr="00C2458A">
              <w:t>grant program</w:t>
            </w:r>
          </w:p>
        </w:tc>
        <w:tc>
          <w:tcPr>
            <w:tcW w:w="3673" w:type="pct"/>
          </w:tcPr>
          <w:p w14:paraId="4A3F9FAF" w14:textId="77777777" w:rsidR="002E4D0E" w:rsidRPr="00C2458A" w:rsidRDefault="00A62690" w:rsidP="00C2458A">
            <w:pPr>
              <w:pStyle w:val="Tabletext"/>
              <w:cnfStyle w:val="000000000000" w:firstRow="0" w:lastRow="0" w:firstColumn="0" w:lastColumn="0" w:oddVBand="0" w:evenVBand="0" w:oddHBand="0" w:evenHBand="0" w:firstRowFirstColumn="0" w:firstRowLastColumn="0" w:lastRowFirstColumn="0" w:lastRowLastColumn="0"/>
            </w:pPr>
            <w:r w:rsidRPr="00C2458A">
              <w:t xml:space="preserve">A traditional grant funding program where funding proposal submissions are sought for comparative assessment, and where funded, form part of conditional funding agreements with grant instalment payments based on </w:t>
            </w:r>
            <w:proofErr w:type="spellStart"/>
            <w:r w:rsidRPr="00C2458A">
              <w:t>fulfillment</w:t>
            </w:r>
            <w:proofErr w:type="spellEnd"/>
            <w:r w:rsidRPr="00C2458A">
              <w:t xml:space="preserve"> of pre-established criteria.</w:t>
            </w:r>
          </w:p>
          <w:p w14:paraId="35DC8E38" w14:textId="00334736" w:rsidR="00A62690" w:rsidRPr="00C2458A" w:rsidRDefault="00A62690" w:rsidP="00C2458A">
            <w:pPr>
              <w:pStyle w:val="Tabletext"/>
              <w:cnfStyle w:val="000000000000" w:firstRow="0" w:lastRow="0" w:firstColumn="0" w:lastColumn="0" w:oddVBand="0" w:evenVBand="0" w:oddHBand="0" w:evenHBand="0" w:firstRowFirstColumn="0" w:firstRowLastColumn="0" w:lastRowFirstColumn="0" w:lastRowLastColumn="0"/>
            </w:pPr>
            <w:r w:rsidRPr="00C2458A">
              <w:t xml:space="preserve">Many such arrangements exist </w:t>
            </w:r>
            <w:r w:rsidR="00577CD5" w:rsidRPr="00C2458A">
              <w:t xml:space="preserve">in </w:t>
            </w:r>
            <w:r w:rsidRPr="00C2458A">
              <w:t>Australia both within the health sector and beyond.</w:t>
            </w:r>
          </w:p>
        </w:tc>
      </w:tr>
      <w:tr w:rsidR="00A62690" w:rsidRPr="009B6AA8" w14:paraId="66481071" w14:textId="77777777" w:rsidTr="007810F9">
        <w:trPr>
          <w:trHeight w:val="271"/>
        </w:trPr>
        <w:tc>
          <w:tcPr>
            <w:cnfStyle w:val="001000000000" w:firstRow="0" w:lastRow="0" w:firstColumn="1" w:lastColumn="0" w:oddVBand="0" w:evenVBand="0" w:oddHBand="0" w:evenHBand="0" w:firstRowFirstColumn="0" w:firstRowLastColumn="0" w:lastRowFirstColumn="0" w:lastRowLastColumn="0"/>
            <w:tcW w:w="1327" w:type="pct"/>
          </w:tcPr>
          <w:p w14:paraId="2B54117D" w14:textId="0397C6AB" w:rsidR="00A62690" w:rsidRPr="00C2458A" w:rsidRDefault="00A62690" w:rsidP="00C2458A">
            <w:pPr>
              <w:pStyle w:val="Tabletext"/>
            </w:pPr>
            <w:r w:rsidRPr="00C2458A">
              <w:t xml:space="preserve">C. Incorporation or </w:t>
            </w:r>
            <w:r w:rsidR="009A3D17" w:rsidRPr="00C2458A">
              <w:t xml:space="preserve">linkage </w:t>
            </w:r>
            <w:r w:rsidRPr="00C2458A">
              <w:t>to the Medicare Benefits Schedule (MBS)</w:t>
            </w:r>
          </w:p>
        </w:tc>
        <w:tc>
          <w:tcPr>
            <w:tcW w:w="3673" w:type="pct"/>
          </w:tcPr>
          <w:p w14:paraId="532FA7E0" w14:textId="19D0FA5F" w:rsidR="00A62690" w:rsidRPr="00C2458A" w:rsidRDefault="00A62690" w:rsidP="00C2458A">
            <w:pPr>
              <w:pStyle w:val="Tabletext"/>
              <w:cnfStyle w:val="000000000000" w:firstRow="0" w:lastRow="0" w:firstColumn="0" w:lastColumn="0" w:oddVBand="0" w:evenVBand="0" w:oddHBand="0" w:evenHBand="0" w:firstRowFirstColumn="0" w:firstRowLastColumn="0" w:lastRowFirstColumn="0" w:lastRowLastColumn="0"/>
            </w:pPr>
            <w:r w:rsidRPr="00C2458A">
              <w:t xml:space="preserve">A contribution to capital equipment costs as a bundled element of the MBS fee for associated activity items. </w:t>
            </w:r>
          </w:p>
        </w:tc>
      </w:tr>
      <w:tr w:rsidR="00A62690" w:rsidRPr="009B6AA8" w14:paraId="0C518311" w14:textId="77777777" w:rsidTr="007810F9">
        <w:trPr>
          <w:trHeight w:val="271"/>
        </w:trPr>
        <w:tc>
          <w:tcPr>
            <w:cnfStyle w:val="001000000000" w:firstRow="0" w:lastRow="0" w:firstColumn="1" w:lastColumn="0" w:oddVBand="0" w:evenVBand="0" w:oddHBand="0" w:evenHBand="0" w:firstRowFirstColumn="0" w:firstRowLastColumn="0" w:lastRowFirstColumn="0" w:lastRowLastColumn="0"/>
            <w:tcW w:w="1327" w:type="pct"/>
          </w:tcPr>
          <w:p w14:paraId="75ABB79C" w14:textId="37D86CEB" w:rsidR="00A62690" w:rsidRPr="00C2458A" w:rsidRDefault="00A62690" w:rsidP="00C2458A">
            <w:pPr>
              <w:pStyle w:val="Tabletext"/>
            </w:pPr>
            <w:r w:rsidRPr="00C2458A">
              <w:t xml:space="preserve">D. Funding via </w:t>
            </w:r>
            <w:r w:rsidR="009A3D17" w:rsidRPr="00C2458A">
              <w:t xml:space="preserve">state </w:t>
            </w:r>
            <w:r w:rsidRPr="00C2458A">
              <w:t xml:space="preserve">and </w:t>
            </w:r>
            <w:r w:rsidR="009A3D17" w:rsidRPr="00C2458A">
              <w:t>territory jurisdiction</w:t>
            </w:r>
          </w:p>
        </w:tc>
        <w:tc>
          <w:tcPr>
            <w:tcW w:w="3673" w:type="pct"/>
          </w:tcPr>
          <w:p w14:paraId="57AFBF7A" w14:textId="4A5BAE30" w:rsidR="00A62690" w:rsidRPr="00C2458A" w:rsidRDefault="00A62690" w:rsidP="00C2458A">
            <w:pPr>
              <w:pStyle w:val="Tabletext"/>
              <w:cnfStyle w:val="000000000000" w:firstRow="0" w:lastRow="0" w:firstColumn="0" w:lastColumn="0" w:oddVBand="0" w:evenVBand="0" w:oddHBand="0" w:evenHBand="0" w:firstRowFirstColumn="0" w:firstRowLastColumn="0" w:lastRowFirstColumn="0" w:lastRowLastColumn="0"/>
            </w:pPr>
            <w:r w:rsidRPr="00C2458A">
              <w:t xml:space="preserve">An arrangement through existing Commonwealth and </w:t>
            </w:r>
            <w:r w:rsidR="001B0290" w:rsidRPr="00C2458A">
              <w:t xml:space="preserve">state </w:t>
            </w:r>
            <w:r w:rsidRPr="00C2458A">
              <w:t xml:space="preserve">funding agreements, whereby capital funding is provided directly to </w:t>
            </w:r>
            <w:r w:rsidR="001B0290" w:rsidRPr="00C2458A">
              <w:t xml:space="preserve">states </w:t>
            </w:r>
            <w:r w:rsidRPr="00C2458A">
              <w:t xml:space="preserve">and </w:t>
            </w:r>
            <w:r w:rsidR="001B0290" w:rsidRPr="00C2458A">
              <w:t xml:space="preserve">territories </w:t>
            </w:r>
            <w:r w:rsidRPr="00C2458A">
              <w:t xml:space="preserve">for distribution in line with </w:t>
            </w:r>
            <w:r w:rsidR="001B0290" w:rsidRPr="00C2458A">
              <w:t xml:space="preserve">state </w:t>
            </w:r>
            <w:r w:rsidRPr="00C2458A">
              <w:t xml:space="preserve">service and infrastructure planning cycles. Many such agreements exist under the National Health Reform Agreement to public </w:t>
            </w:r>
            <w:r w:rsidR="007A75A8" w:rsidRPr="00C2458A">
              <w:t>facilities</w:t>
            </w:r>
            <w:r w:rsidRPr="00C2458A">
              <w:t>.</w:t>
            </w:r>
          </w:p>
        </w:tc>
      </w:tr>
      <w:tr w:rsidR="00A62690" w:rsidRPr="009B6AA8" w14:paraId="224D0695" w14:textId="77777777" w:rsidTr="007810F9">
        <w:trPr>
          <w:trHeight w:val="271"/>
        </w:trPr>
        <w:tc>
          <w:tcPr>
            <w:cnfStyle w:val="001000000000" w:firstRow="0" w:lastRow="0" w:firstColumn="1" w:lastColumn="0" w:oddVBand="0" w:evenVBand="0" w:oddHBand="0" w:evenHBand="0" w:firstRowFirstColumn="0" w:firstRowLastColumn="0" w:lastRowFirstColumn="0" w:lastRowLastColumn="0"/>
            <w:tcW w:w="1327" w:type="pct"/>
          </w:tcPr>
          <w:p w14:paraId="2E1DCB30" w14:textId="19F29BCB" w:rsidR="00A62690" w:rsidRPr="00C2458A" w:rsidRDefault="00A62690" w:rsidP="00C2458A">
            <w:pPr>
              <w:pStyle w:val="Tabletext"/>
            </w:pPr>
            <w:r w:rsidRPr="00C2458A">
              <w:t xml:space="preserve">E. Traditional </w:t>
            </w:r>
            <w:r w:rsidR="009A3D17" w:rsidRPr="00C2458A">
              <w:t>lending arrangement</w:t>
            </w:r>
          </w:p>
        </w:tc>
        <w:tc>
          <w:tcPr>
            <w:tcW w:w="3673" w:type="pct"/>
          </w:tcPr>
          <w:p w14:paraId="143F17BA" w14:textId="775793EC" w:rsidR="00A62690" w:rsidRPr="00C2458A" w:rsidRDefault="00A62690" w:rsidP="00C2458A">
            <w:pPr>
              <w:pStyle w:val="Tabletext"/>
              <w:cnfStyle w:val="000000000000" w:firstRow="0" w:lastRow="0" w:firstColumn="0" w:lastColumn="0" w:oddVBand="0" w:evenVBand="0" w:oddHBand="0" w:evenHBand="0" w:firstRowFirstColumn="0" w:firstRowLastColumn="0" w:lastRowFirstColumn="0" w:lastRowLastColumn="0"/>
            </w:pPr>
            <w:r w:rsidRPr="00C2458A">
              <w:t>A funding contribution through the provision of either interest bearing, or non-interest bearing lending instruments such as a cash loan to be paid back based on fixed terms agreed on a standardised basis. It is further conceivable that the terms of repayment be varied based on regional equity requirements, meeting of quality benchmarks, or other practical incentivising considerations based on assessment of need.</w:t>
            </w:r>
          </w:p>
          <w:p w14:paraId="537DF5D6" w14:textId="3DB3DA21" w:rsidR="00A62690" w:rsidRPr="00C2458A" w:rsidRDefault="00A62690" w:rsidP="00C2458A">
            <w:pPr>
              <w:pStyle w:val="Tabletext"/>
              <w:cnfStyle w:val="000000000000" w:firstRow="0" w:lastRow="0" w:firstColumn="0" w:lastColumn="0" w:oddVBand="0" w:evenVBand="0" w:oddHBand="0" w:evenHBand="0" w:firstRowFirstColumn="0" w:firstRowLastColumn="0" w:lastRowFirstColumn="0" w:lastRowLastColumn="0"/>
            </w:pPr>
            <w:r w:rsidRPr="00C2458A">
              <w:lastRenderedPageBreak/>
              <w:t xml:space="preserve">Traditional lending arrangements </w:t>
            </w:r>
            <w:r w:rsidR="001B0290" w:rsidRPr="00C2458A">
              <w:t>exist</w:t>
            </w:r>
            <w:r w:rsidRPr="00C2458A">
              <w:t xml:space="preserve"> within the Aged Care sector in Australia, have been employed in the health sector in the United Kingdom</w:t>
            </w:r>
            <w:r w:rsidR="001B0290" w:rsidRPr="00C2458A">
              <w:t>,</w:t>
            </w:r>
            <w:r w:rsidRPr="00C2458A">
              <w:t xml:space="preserve"> and exist through capital project and program funding in other jurisdictions.</w:t>
            </w:r>
            <w:r w:rsidR="00E61AD5" w:rsidRPr="00C2458A">
              <w:t xml:space="preserve"> </w:t>
            </w:r>
          </w:p>
        </w:tc>
      </w:tr>
      <w:tr w:rsidR="00A62690" w:rsidRPr="009B6AA8" w14:paraId="6346DF8E" w14:textId="77777777" w:rsidTr="007810F9">
        <w:trPr>
          <w:trHeight w:val="271"/>
        </w:trPr>
        <w:tc>
          <w:tcPr>
            <w:cnfStyle w:val="001000000000" w:firstRow="0" w:lastRow="0" w:firstColumn="1" w:lastColumn="0" w:oddVBand="0" w:evenVBand="0" w:oddHBand="0" w:evenHBand="0" w:firstRowFirstColumn="0" w:firstRowLastColumn="0" w:lastRowFirstColumn="0" w:lastRowLastColumn="0"/>
            <w:tcW w:w="1327" w:type="pct"/>
          </w:tcPr>
          <w:p w14:paraId="000254EE" w14:textId="6978A357" w:rsidR="00A62690" w:rsidRPr="009B6AA8" w:rsidRDefault="00A62690" w:rsidP="00F97C6A">
            <w:pPr>
              <w:pStyle w:val="TableHeading"/>
            </w:pPr>
            <w:r w:rsidRPr="009B6AA8">
              <w:lastRenderedPageBreak/>
              <w:t xml:space="preserve">F. Market </w:t>
            </w:r>
            <w:r w:rsidR="009A3D17">
              <w:t>b</w:t>
            </w:r>
            <w:r w:rsidR="009A3D17" w:rsidRPr="009B6AA8">
              <w:t xml:space="preserve">ased </w:t>
            </w:r>
            <w:r w:rsidR="009A3D17">
              <w:t>s</w:t>
            </w:r>
            <w:r w:rsidR="009A3D17" w:rsidRPr="009B6AA8">
              <w:t>ubsidy</w:t>
            </w:r>
          </w:p>
        </w:tc>
        <w:tc>
          <w:tcPr>
            <w:tcW w:w="3673" w:type="pct"/>
          </w:tcPr>
          <w:p w14:paraId="0DC1F8E0" w14:textId="4E8A82BD" w:rsidR="00A62690" w:rsidRPr="002E4D0E" w:rsidRDefault="00A62690" w:rsidP="002E4D0E">
            <w:pPr>
              <w:pStyle w:val="Tabletext"/>
              <w:cnfStyle w:val="000000000000" w:firstRow="0" w:lastRow="0" w:firstColumn="0" w:lastColumn="0" w:oddVBand="0" w:evenVBand="0" w:oddHBand="0" w:evenHBand="0" w:firstRowFirstColumn="0" w:firstRowLastColumn="0" w:lastRowFirstColumn="0" w:lastRowLastColumn="0"/>
            </w:pPr>
            <w:r w:rsidRPr="002E4D0E">
              <w:t>A funding arrangement whereby the manufacturer, research institute, or adjacent entity (servicing agent, software production entity, cloud hosting environment provider</w:t>
            </w:r>
            <w:r w:rsidR="001B0290" w:rsidRPr="002E4D0E">
              <w:t>,</w:t>
            </w:r>
            <w:r w:rsidRPr="002E4D0E">
              <w:t xml:space="preserve"> etc.) partly subsidises the ROHPG contribution as part of licensing agreements or market access. Such subsidy may then attract a rebate through activity or quality-based payments.</w:t>
            </w:r>
          </w:p>
          <w:p w14:paraId="6575623E" w14:textId="77777777" w:rsidR="00A62690" w:rsidRPr="002E4D0E" w:rsidRDefault="00A62690" w:rsidP="002E4D0E">
            <w:pPr>
              <w:pStyle w:val="Tabletext"/>
              <w:cnfStyle w:val="000000000000" w:firstRow="0" w:lastRow="0" w:firstColumn="0" w:lastColumn="0" w:oddVBand="0" w:evenVBand="0" w:oddHBand="0" w:evenHBand="0" w:firstRowFirstColumn="0" w:firstRowLastColumn="0" w:lastRowFirstColumn="0" w:lastRowLastColumn="0"/>
            </w:pPr>
            <w:r w:rsidRPr="002E4D0E">
              <w:t xml:space="preserve">No such model has been identified (through rapid desktop analysis) to be in place for high-cost health sector technology as part of this review. Similar market-based contributions do exist on a smaller scale with respect to prostheses and the associated clinical quality registry costs. </w:t>
            </w:r>
          </w:p>
        </w:tc>
      </w:tr>
      <w:tr w:rsidR="00A62690" w:rsidRPr="009B6AA8" w14:paraId="02D244A9" w14:textId="77777777" w:rsidTr="007810F9">
        <w:trPr>
          <w:trHeight w:val="271"/>
        </w:trPr>
        <w:tc>
          <w:tcPr>
            <w:cnfStyle w:val="001000000000" w:firstRow="0" w:lastRow="0" w:firstColumn="1" w:lastColumn="0" w:oddVBand="0" w:evenVBand="0" w:oddHBand="0" w:evenHBand="0" w:firstRowFirstColumn="0" w:firstRowLastColumn="0" w:lastRowFirstColumn="0" w:lastRowLastColumn="0"/>
            <w:tcW w:w="1327" w:type="pct"/>
          </w:tcPr>
          <w:p w14:paraId="30FB2E2B" w14:textId="3B5EB8AD" w:rsidR="00A62690" w:rsidRPr="009B6AA8" w:rsidRDefault="00A62690" w:rsidP="00F97C6A">
            <w:pPr>
              <w:pStyle w:val="TableHeading"/>
            </w:pPr>
            <w:r w:rsidRPr="009B6AA8">
              <w:t xml:space="preserve">G. Hybrid </w:t>
            </w:r>
            <w:r w:rsidR="009A3D17">
              <w:t>m</w:t>
            </w:r>
            <w:r w:rsidR="009A3D17" w:rsidRPr="009B6AA8">
              <w:t xml:space="preserve">odel </w:t>
            </w:r>
            <w:r w:rsidRPr="009B6AA8">
              <w:t xml:space="preserve">of </w:t>
            </w:r>
            <w:r w:rsidR="009A3D17">
              <w:t>f</w:t>
            </w:r>
            <w:r w:rsidR="009A3D17" w:rsidRPr="009B6AA8">
              <w:t>unding</w:t>
            </w:r>
          </w:p>
        </w:tc>
        <w:tc>
          <w:tcPr>
            <w:tcW w:w="3673" w:type="pct"/>
          </w:tcPr>
          <w:p w14:paraId="02FD653F" w14:textId="59A09934" w:rsidR="00A62690" w:rsidRPr="002E4D0E" w:rsidRDefault="00A62690" w:rsidP="002E4D0E">
            <w:pPr>
              <w:pStyle w:val="Tabletext"/>
              <w:cnfStyle w:val="000000000000" w:firstRow="0" w:lastRow="0" w:firstColumn="0" w:lastColumn="0" w:oddVBand="0" w:evenVBand="0" w:oddHBand="0" w:evenHBand="0" w:firstRowFirstColumn="0" w:firstRowLastColumn="0" w:lastRowFirstColumn="0" w:lastRowLastColumn="0"/>
            </w:pPr>
            <w:r w:rsidRPr="002E4D0E">
              <w:t>Several options exist for the combination of elements of the previously described funding mechanisms. In this review, the hybrid mechanism under consideration is the segmentation of grant funding into two sections, with the first attracting regional loading, and the second attracting a quality associated funding incentive.</w:t>
            </w:r>
          </w:p>
          <w:p w14:paraId="4E21D417" w14:textId="77777777" w:rsidR="00A62690" w:rsidRPr="002E4D0E" w:rsidRDefault="00A62690" w:rsidP="002E4D0E">
            <w:pPr>
              <w:pStyle w:val="Tabletext"/>
              <w:cnfStyle w:val="000000000000" w:firstRow="0" w:lastRow="0" w:firstColumn="0" w:lastColumn="0" w:oddVBand="0" w:evenVBand="0" w:oddHBand="0" w:evenHBand="0" w:firstRowFirstColumn="0" w:firstRowLastColumn="0" w:lastRowFirstColumn="0" w:lastRowLastColumn="0"/>
            </w:pPr>
            <w:r w:rsidRPr="002E4D0E">
              <w:t>No such model has been identified (through rapid desktop analysis) to be in place for high-cost health sector technology as part of this review.</w:t>
            </w:r>
          </w:p>
        </w:tc>
      </w:tr>
    </w:tbl>
    <w:p w14:paraId="57A0CAC1" w14:textId="77777777" w:rsidR="00A62690" w:rsidRPr="009B6AA8" w:rsidRDefault="00A62690" w:rsidP="00A62690">
      <w:pPr>
        <w:sectPr w:rsidR="00A62690" w:rsidRPr="009B6AA8" w:rsidSect="009A1E52">
          <w:headerReference w:type="default" r:id="rId20"/>
          <w:pgSz w:w="11906" w:h="16838" w:code="9"/>
          <w:pgMar w:top="1304" w:right="1134" w:bottom="567" w:left="737" w:header="720" w:footer="303" w:gutter="0"/>
          <w:cols w:space="708"/>
          <w:docGrid w:linePitch="360"/>
        </w:sectPr>
      </w:pPr>
    </w:p>
    <w:p w14:paraId="4E8F3345" w14:textId="79CE013B" w:rsidR="00A62690" w:rsidRPr="00D65C79" w:rsidRDefault="00A62690" w:rsidP="00A62690">
      <w:pPr>
        <w:pStyle w:val="Caption"/>
        <w:rPr>
          <w:rFonts w:asciiTheme="majorHAnsi" w:hAnsiTheme="majorHAnsi"/>
          <w:iCs w:val="0"/>
          <w:color w:val="000000" w:themeColor="text1"/>
        </w:rPr>
      </w:pPr>
      <w:bookmarkStart w:id="313" w:name="_Ref56415574"/>
      <w:r w:rsidRPr="00D65C79">
        <w:lastRenderedPageBreak/>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9</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2</w:t>
      </w:r>
      <w:r w:rsidR="004B24F3">
        <w:rPr>
          <w:noProof/>
        </w:rPr>
        <w:fldChar w:fldCharType="end"/>
      </w:r>
      <w:bookmarkEnd w:id="313"/>
      <w:r w:rsidRPr="00D65C79">
        <w:t xml:space="preserve">: </w:t>
      </w:r>
      <w:r w:rsidRPr="00D65C79">
        <w:rPr>
          <w:rFonts w:asciiTheme="majorHAnsi" w:hAnsiTheme="majorHAnsi"/>
          <w:color w:val="000000" w:themeColor="text1"/>
        </w:rPr>
        <w:t xml:space="preserve">ROHPG funding mechanism </w:t>
      </w:r>
      <w:r w:rsidR="001B0290" w:rsidRPr="00D65C79">
        <w:rPr>
          <w:rFonts w:asciiTheme="majorHAnsi" w:hAnsiTheme="majorHAnsi"/>
          <w:color w:val="000000" w:themeColor="text1"/>
        </w:rPr>
        <w:t>trade</w:t>
      </w:r>
      <w:r w:rsidR="001B0290">
        <w:rPr>
          <w:rFonts w:asciiTheme="majorHAnsi" w:hAnsiTheme="majorHAnsi"/>
          <w:color w:val="000000" w:themeColor="text1"/>
        </w:rPr>
        <w:t>-</w:t>
      </w:r>
      <w:r w:rsidRPr="00D65C79">
        <w:rPr>
          <w:rFonts w:asciiTheme="majorHAnsi" w:hAnsiTheme="majorHAnsi"/>
          <w:color w:val="000000" w:themeColor="text1"/>
        </w:rPr>
        <w:t>off analysis framework</w:t>
      </w:r>
    </w:p>
    <w:tbl>
      <w:tblPr>
        <w:tblStyle w:val="HMATable"/>
        <w:tblW w:w="15206" w:type="dxa"/>
        <w:tblInd w:w="-5" w:type="dxa"/>
        <w:tblLook w:val="04A0" w:firstRow="1" w:lastRow="0" w:firstColumn="1" w:lastColumn="0" w:noHBand="0" w:noVBand="1"/>
        <w:tblDescription w:val="Table 9.2 ROHPG funding mechanism trade-off analysis framework. This table showing funding mechanisms A to G and how they align with government objectives, future trends, expenditure, access, quality, efficiency and feasibility."/>
      </w:tblPr>
      <w:tblGrid>
        <w:gridCol w:w="1984"/>
        <w:gridCol w:w="1690"/>
        <w:gridCol w:w="1784"/>
        <w:gridCol w:w="1844"/>
        <w:gridCol w:w="2478"/>
        <w:gridCol w:w="2121"/>
        <w:gridCol w:w="2097"/>
        <w:gridCol w:w="1208"/>
      </w:tblGrid>
      <w:tr w:rsidR="00F97C6A" w:rsidRPr="0060003D" w14:paraId="588D506D" w14:textId="77777777" w:rsidTr="00D65A56">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6AEB0C9" w14:textId="77777777" w:rsidR="00A62690" w:rsidRPr="0060003D" w:rsidRDefault="00A62690" w:rsidP="00F97C6A">
            <w:pPr>
              <w:pStyle w:val="TableHeading"/>
            </w:pPr>
            <w:r w:rsidRPr="0060003D">
              <w:t>Funding mechanism</w:t>
            </w:r>
          </w:p>
        </w:tc>
        <w:tc>
          <w:tcPr>
            <w:tcW w:w="0" w:type="auto"/>
            <w:vAlign w:val="center"/>
          </w:tcPr>
          <w:p w14:paraId="56C0FD3D" w14:textId="0FC7A733" w:rsidR="00A62690" w:rsidRPr="0060003D" w:rsidRDefault="00A62690" w:rsidP="00F97C6A">
            <w:pPr>
              <w:pStyle w:val="TableHeading"/>
              <w:cnfStyle w:val="100000000000" w:firstRow="1" w:lastRow="0" w:firstColumn="0" w:lastColumn="0" w:oddVBand="0" w:evenVBand="0" w:oddHBand="0" w:evenHBand="0" w:firstRowFirstColumn="0" w:firstRowLastColumn="0" w:lastRowFirstColumn="0" w:lastRowLastColumn="0"/>
            </w:pPr>
            <w:r w:rsidRPr="0060003D">
              <w:t xml:space="preserve">Alignment with govt. </w:t>
            </w:r>
            <w:r w:rsidR="009A3D17" w:rsidRPr="0060003D">
              <w:t xml:space="preserve">priority </w:t>
            </w:r>
            <w:r w:rsidRPr="0060003D">
              <w:t>and policy objectives</w:t>
            </w:r>
          </w:p>
        </w:tc>
        <w:tc>
          <w:tcPr>
            <w:tcW w:w="0" w:type="auto"/>
            <w:vAlign w:val="center"/>
          </w:tcPr>
          <w:p w14:paraId="44BFEE6B" w14:textId="77777777" w:rsidR="00A62690" w:rsidRPr="0060003D" w:rsidRDefault="00A62690" w:rsidP="00F97C6A">
            <w:pPr>
              <w:pStyle w:val="TableHeading"/>
              <w:cnfStyle w:val="100000000000" w:firstRow="1" w:lastRow="0" w:firstColumn="0" w:lastColumn="0" w:oddVBand="0" w:evenVBand="0" w:oddHBand="0" w:evenHBand="0" w:firstRowFirstColumn="0" w:firstRowLastColumn="0" w:lastRowFirstColumn="0" w:lastRowLastColumn="0"/>
            </w:pPr>
            <w:r w:rsidRPr="0060003D">
              <w:t>Alignment with future trends</w:t>
            </w:r>
          </w:p>
        </w:tc>
        <w:tc>
          <w:tcPr>
            <w:tcW w:w="0" w:type="auto"/>
            <w:vAlign w:val="center"/>
          </w:tcPr>
          <w:p w14:paraId="122A4FDF" w14:textId="77777777" w:rsidR="00A62690" w:rsidRPr="0060003D" w:rsidRDefault="00A62690" w:rsidP="00F97C6A">
            <w:pPr>
              <w:pStyle w:val="TableHeading"/>
              <w:cnfStyle w:val="100000000000" w:firstRow="1" w:lastRow="0" w:firstColumn="0" w:lastColumn="0" w:oddVBand="0" w:evenVBand="0" w:oddHBand="0" w:evenHBand="0" w:firstRowFirstColumn="0" w:firstRowLastColumn="0" w:lastRowFirstColumn="0" w:lastRowLastColumn="0"/>
            </w:pPr>
            <w:r w:rsidRPr="0060003D">
              <w:t xml:space="preserve">Indicative expenditure </w:t>
            </w:r>
          </w:p>
        </w:tc>
        <w:tc>
          <w:tcPr>
            <w:tcW w:w="0" w:type="auto"/>
            <w:vAlign w:val="center"/>
          </w:tcPr>
          <w:p w14:paraId="7C46DF0C" w14:textId="77777777" w:rsidR="00A62690" w:rsidRPr="0060003D" w:rsidRDefault="00A62690" w:rsidP="00F97C6A">
            <w:pPr>
              <w:pStyle w:val="TableHeading"/>
              <w:cnfStyle w:val="100000000000" w:firstRow="1" w:lastRow="0" w:firstColumn="0" w:lastColumn="0" w:oddVBand="0" w:evenVBand="0" w:oddHBand="0" w:evenHBand="0" w:firstRowFirstColumn="0" w:firstRowLastColumn="0" w:lastRowFirstColumn="0" w:lastRowLastColumn="0"/>
            </w:pPr>
            <w:r w:rsidRPr="0060003D">
              <w:t>Access /equity</w:t>
            </w:r>
          </w:p>
        </w:tc>
        <w:tc>
          <w:tcPr>
            <w:tcW w:w="0" w:type="auto"/>
            <w:vAlign w:val="center"/>
          </w:tcPr>
          <w:p w14:paraId="45E7C2AD" w14:textId="77777777" w:rsidR="00A62690" w:rsidRPr="0060003D" w:rsidRDefault="00A62690" w:rsidP="00F97C6A">
            <w:pPr>
              <w:pStyle w:val="TableHeading"/>
              <w:cnfStyle w:val="100000000000" w:firstRow="1" w:lastRow="0" w:firstColumn="0" w:lastColumn="0" w:oddVBand="0" w:evenVBand="0" w:oddHBand="0" w:evenHBand="0" w:firstRowFirstColumn="0" w:firstRowLastColumn="0" w:lastRowFirstColumn="0" w:lastRowLastColumn="0"/>
            </w:pPr>
            <w:r w:rsidRPr="0060003D">
              <w:t>Quality</w:t>
            </w:r>
          </w:p>
        </w:tc>
        <w:tc>
          <w:tcPr>
            <w:tcW w:w="0" w:type="auto"/>
            <w:vAlign w:val="center"/>
          </w:tcPr>
          <w:p w14:paraId="67242F4D" w14:textId="77777777" w:rsidR="00A62690" w:rsidRPr="0060003D" w:rsidRDefault="00A62690" w:rsidP="00F97C6A">
            <w:pPr>
              <w:pStyle w:val="TableHeading"/>
              <w:cnfStyle w:val="100000000000" w:firstRow="1" w:lastRow="0" w:firstColumn="0" w:lastColumn="0" w:oddVBand="0" w:evenVBand="0" w:oddHBand="0" w:evenHBand="0" w:firstRowFirstColumn="0" w:firstRowLastColumn="0" w:lastRowFirstColumn="0" w:lastRowLastColumn="0"/>
            </w:pPr>
            <w:r w:rsidRPr="0060003D">
              <w:t>Administrative efficiency</w:t>
            </w:r>
          </w:p>
        </w:tc>
        <w:tc>
          <w:tcPr>
            <w:tcW w:w="0" w:type="auto"/>
            <w:vAlign w:val="center"/>
          </w:tcPr>
          <w:p w14:paraId="72378F9C" w14:textId="77777777" w:rsidR="00A62690" w:rsidRPr="0060003D" w:rsidRDefault="00A62690" w:rsidP="00F97C6A">
            <w:pPr>
              <w:pStyle w:val="TableHeading"/>
              <w:cnfStyle w:val="100000000000" w:firstRow="1" w:lastRow="0" w:firstColumn="0" w:lastColumn="0" w:oddVBand="0" w:evenVBand="0" w:oddHBand="0" w:evenHBand="0" w:firstRowFirstColumn="0" w:firstRowLastColumn="0" w:lastRowFirstColumn="0" w:lastRowLastColumn="0"/>
            </w:pPr>
            <w:r w:rsidRPr="0060003D">
              <w:t>Feasibility and sentiment</w:t>
            </w:r>
          </w:p>
        </w:tc>
      </w:tr>
      <w:tr w:rsidR="00F97C6A" w:rsidRPr="009766CD" w14:paraId="22730044" w14:textId="77777777" w:rsidTr="00C2458A">
        <w:tc>
          <w:tcPr>
            <w:cnfStyle w:val="001000000000" w:firstRow="0" w:lastRow="0" w:firstColumn="1" w:lastColumn="0" w:oddVBand="0" w:evenVBand="0" w:oddHBand="0" w:evenHBand="0" w:firstRowFirstColumn="0" w:firstRowLastColumn="0" w:lastRowFirstColumn="0" w:lastRowLastColumn="0"/>
            <w:tcW w:w="1985" w:type="dxa"/>
          </w:tcPr>
          <w:p w14:paraId="40535012" w14:textId="42D7DDD0" w:rsidR="00A62690" w:rsidRPr="00556800" w:rsidRDefault="00A62690" w:rsidP="00556800">
            <w:pPr>
              <w:pStyle w:val="Tabletext"/>
            </w:pPr>
            <w:r w:rsidRPr="00556800">
              <w:t xml:space="preserve">A. ROHPG </w:t>
            </w:r>
            <w:r w:rsidR="009A3D17" w:rsidRPr="00556800">
              <w:t>capital grant scheme</w:t>
            </w:r>
          </w:p>
          <w:p w14:paraId="5733A0A6" w14:textId="4E66AB79" w:rsidR="00A62690" w:rsidRPr="00556800" w:rsidRDefault="00A62690" w:rsidP="00556800">
            <w:pPr>
              <w:pStyle w:val="Tabletext"/>
            </w:pPr>
            <w:r w:rsidRPr="00556800">
              <w:t xml:space="preserve">B. Traditional </w:t>
            </w:r>
            <w:r w:rsidR="009A3D17" w:rsidRPr="00556800">
              <w:t>grant program</w:t>
            </w:r>
          </w:p>
          <w:p w14:paraId="31B6F0E9" w14:textId="77777777" w:rsidR="00373EE3" w:rsidRPr="00556800" w:rsidRDefault="00A62690" w:rsidP="00556800">
            <w:pPr>
              <w:pStyle w:val="Tabletext"/>
            </w:pPr>
            <w:r w:rsidRPr="00556800">
              <w:t xml:space="preserve">C. Incorporation or </w:t>
            </w:r>
            <w:r w:rsidR="009A3D17" w:rsidRPr="00556800">
              <w:t xml:space="preserve">linkage </w:t>
            </w:r>
            <w:r w:rsidRPr="00556800">
              <w:t>to Medicare Benefits Schedule</w:t>
            </w:r>
          </w:p>
          <w:p w14:paraId="06DA85CE" w14:textId="6483DCB5" w:rsidR="00A62690" w:rsidRPr="00556800" w:rsidRDefault="00A62690" w:rsidP="00556800">
            <w:pPr>
              <w:pStyle w:val="Tabletext"/>
            </w:pPr>
            <w:r w:rsidRPr="00556800">
              <w:t xml:space="preserve">D. Funding via </w:t>
            </w:r>
            <w:r w:rsidR="009A3D17" w:rsidRPr="00556800">
              <w:t>state</w:t>
            </w:r>
            <w:r w:rsidRPr="00556800">
              <w:t>/</w:t>
            </w:r>
            <w:r w:rsidR="009A3D17" w:rsidRPr="00556800">
              <w:t>territory jurisdiction</w:t>
            </w:r>
          </w:p>
          <w:p w14:paraId="084BED35" w14:textId="5AE0D822" w:rsidR="00A62690" w:rsidRPr="00556800" w:rsidRDefault="00A62690" w:rsidP="00556800">
            <w:pPr>
              <w:pStyle w:val="Tabletext"/>
            </w:pPr>
            <w:r w:rsidRPr="00556800">
              <w:t xml:space="preserve">E. Traditional </w:t>
            </w:r>
            <w:r w:rsidR="009A3D17" w:rsidRPr="00556800">
              <w:t>lending agreement</w:t>
            </w:r>
          </w:p>
          <w:p w14:paraId="63D7B4A9" w14:textId="119AC594" w:rsidR="00A62690" w:rsidRPr="00556800" w:rsidRDefault="00A62690" w:rsidP="00556800">
            <w:pPr>
              <w:pStyle w:val="Tabletext"/>
            </w:pPr>
            <w:r w:rsidRPr="00556800">
              <w:t xml:space="preserve">F. Market </w:t>
            </w:r>
            <w:r w:rsidR="009A3D17" w:rsidRPr="00556800">
              <w:t>based subsidy</w:t>
            </w:r>
          </w:p>
          <w:p w14:paraId="653AB040" w14:textId="555C923A" w:rsidR="00A62690" w:rsidRPr="00556800" w:rsidRDefault="00A62690" w:rsidP="00556800">
            <w:pPr>
              <w:pStyle w:val="Tabletext"/>
            </w:pPr>
            <w:r w:rsidRPr="00556800">
              <w:t xml:space="preserve">G. Hybrid </w:t>
            </w:r>
            <w:r w:rsidR="009A3D17" w:rsidRPr="00556800">
              <w:t xml:space="preserve">model </w:t>
            </w:r>
            <w:r w:rsidRPr="00556800">
              <w:t xml:space="preserve">of </w:t>
            </w:r>
            <w:r w:rsidR="009A3D17" w:rsidRPr="00556800">
              <w:t>funding</w:t>
            </w:r>
          </w:p>
        </w:tc>
        <w:tc>
          <w:tcPr>
            <w:tcW w:w="0" w:type="auto"/>
          </w:tcPr>
          <w:p w14:paraId="178886EE" w14:textId="77777777" w:rsidR="00A62690"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Consistency</w:t>
            </w:r>
          </w:p>
          <w:p w14:paraId="6BAD1FB7" w14:textId="77777777" w:rsidR="00A62690"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Transparency</w:t>
            </w:r>
          </w:p>
          <w:p w14:paraId="35E07EB5" w14:textId="77777777" w:rsidR="00373EE3"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Value for money</w:t>
            </w:r>
          </w:p>
          <w:p w14:paraId="73304F98" w14:textId="5244D65D" w:rsidR="00A62690"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Support to both the public and private segments of the sector.</w:t>
            </w:r>
          </w:p>
        </w:tc>
        <w:tc>
          <w:tcPr>
            <w:tcW w:w="0" w:type="auto"/>
          </w:tcPr>
          <w:p w14:paraId="1F6A6CA3" w14:textId="77777777" w:rsidR="00A62690"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International competitiveness</w:t>
            </w:r>
          </w:p>
          <w:p w14:paraId="50D66AC7" w14:textId="77777777" w:rsidR="00A62690"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Currency fluctuation</w:t>
            </w:r>
          </w:p>
          <w:p w14:paraId="74E4F082" w14:textId="77777777" w:rsidR="00373EE3"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Keeping pace with technological advances</w:t>
            </w:r>
          </w:p>
          <w:p w14:paraId="00B5392E" w14:textId="06F97403" w:rsidR="00A62690"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Keeping pace with emerging treatment paradigms.</w:t>
            </w:r>
          </w:p>
        </w:tc>
        <w:tc>
          <w:tcPr>
            <w:tcW w:w="0" w:type="auto"/>
          </w:tcPr>
          <w:p w14:paraId="435F5B93" w14:textId="71EA0A18" w:rsidR="00A62690"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 xml:space="preserve">Hypothesised </w:t>
            </w:r>
            <w:r w:rsidR="001B0290" w:rsidRPr="00C2458A">
              <w:t>high-</w:t>
            </w:r>
            <w:r w:rsidRPr="00C2458A">
              <w:t>level estimate (order of magnitude) of expenditure versus baseline.</w:t>
            </w:r>
          </w:p>
        </w:tc>
        <w:tc>
          <w:tcPr>
            <w:tcW w:w="0" w:type="auto"/>
          </w:tcPr>
          <w:p w14:paraId="53440E08" w14:textId="69F2E779" w:rsidR="00A62690"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 xml:space="preserve">Impact on access and equity of access (Public/Private, Regional/Metropolitan). </w:t>
            </w:r>
          </w:p>
        </w:tc>
        <w:tc>
          <w:tcPr>
            <w:tcW w:w="0" w:type="auto"/>
          </w:tcPr>
          <w:p w14:paraId="74DB30AE" w14:textId="77777777" w:rsidR="00A62690"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 xml:space="preserve">Impact on service delivery quality compared to baseline (consistent age of multiple devices within one setting, ability to keep up with emerging best practices). </w:t>
            </w:r>
          </w:p>
        </w:tc>
        <w:tc>
          <w:tcPr>
            <w:tcW w:w="0" w:type="auto"/>
          </w:tcPr>
          <w:p w14:paraId="17E77302" w14:textId="7D2F4AC5" w:rsidR="00A62690" w:rsidRPr="00C2458A" w:rsidRDefault="00A62690" w:rsidP="00C2458A">
            <w:pPr>
              <w:pStyle w:val="TableBullets1"/>
              <w:cnfStyle w:val="000000000000" w:firstRow="0" w:lastRow="0" w:firstColumn="0" w:lastColumn="0" w:oddVBand="0" w:evenVBand="0" w:oddHBand="0" w:evenHBand="0" w:firstRowFirstColumn="0" w:firstRowLastColumn="0" w:lastRowFirstColumn="0" w:lastRowLastColumn="0"/>
            </w:pPr>
            <w:r w:rsidRPr="00C2458A">
              <w:t xml:space="preserve">Hypothesised efficiency (to </w:t>
            </w:r>
            <w:r w:rsidR="00ED3765" w:rsidRPr="00C2458A">
              <w:t>government</w:t>
            </w:r>
            <w:r w:rsidRPr="00C2458A">
              <w:t xml:space="preserve">) to administer funding mechanism (based on </w:t>
            </w:r>
            <w:r w:rsidR="001B0290" w:rsidRPr="00C2458A">
              <w:t>high-</w:t>
            </w:r>
            <w:r w:rsidRPr="00C2458A">
              <w:t>level estimate of degree of effort).</w:t>
            </w:r>
            <w:r w:rsidR="00E61AD5" w:rsidRPr="00C2458A">
              <w:t xml:space="preserve"> </w:t>
            </w:r>
          </w:p>
        </w:tc>
        <w:tc>
          <w:tcPr>
            <w:tcW w:w="0" w:type="auto"/>
          </w:tcPr>
          <w:p w14:paraId="2533C781" w14:textId="319846BD" w:rsidR="00A62690" w:rsidRPr="00556800" w:rsidRDefault="00A62690" w:rsidP="00556800">
            <w:pPr>
              <w:pStyle w:val="Tabletext"/>
              <w:cnfStyle w:val="000000000000" w:firstRow="0" w:lastRow="0" w:firstColumn="0" w:lastColumn="0" w:oddVBand="0" w:evenVBand="0" w:oddHBand="0" w:evenHBand="0" w:firstRowFirstColumn="0" w:firstRowLastColumn="0" w:lastRowFirstColumn="0" w:lastRowLastColumn="0"/>
            </w:pPr>
            <w:r w:rsidRPr="00556800">
              <w:t>Measure of relative efficiency to implement at inception</w:t>
            </w:r>
          </w:p>
          <w:p w14:paraId="4E79670B" w14:textId="77777777" w:rsidR="00A62690" w:rsidRPr="00556800" w:rsidRDefault="00A62690" w:rsidP="00556800">
            <w:pPr>
              <w:pStyle w:val="Tabletext"/>
              <w:cnfStyle w:val="000000000000" w:firstRow="0" w:lastRow="0" w:firstColumn="0" w:lastColumn="0" w:oddVBand="0" w:evenVBand="0" w:oddHBand="0" w:evenHBand="0" w:firstRowFirstColumn="0" w:firstRowLastColumn="0" w:lastRowFirstColumn="0" w:lastRowLastColumn="0"/>
            </w:pPr>
            <w:r w:rsidRPr="00556800">
              <w:t>Indicative stakeholder sentiment.</w:t>
            </w:r>
          </w:p>
        </w:tc>
      </w:tr>
    </w:tbl>
    <w:p w14:paraId="30DE006E" w14:textId="77777777" w:rsidR="00A62690" w:rsidRPr="00556800" w:rsidRDefault="00A62690" w:rsidP="00556800"/>
    <w:p w14:paraId="4FC339A0" w14:textId="77777777" w:rsidR="00A62690" w:rsidRPr="009B6AA8" w:rsidRDefault="00A62690" w:rsidP="00A62690">
      <w:pPr>
        <w:sectPr w:rsidR="00A62690" w:rsidRPr="009B6AA8" w:rsidSect="00A62690">
          <w:headerReference w:type="first" r:id="rId21"/>
          <w:pgSz w:w="16838" w:h="11906" w:orient="landscape" w:code="9"/>
          <w:pgMar w:top="737" w:right="1304" w:bottom="1134" w:left="737" w:header="720" w:footer="510" w:gutter="0"/>
          <w:cols w:space="708"/>
          <w:titlePg/>
          <w:docGrid w:linePitch="360"/>
        </w:sectPr>
      </w:pPr>
    </w:p>
    <w:p w14:paraId="0F869BC6" w14:textId="063DD9BA" w:rsidR="00A62690" w:rsidRPr="00D65C79" w:rsidRDefault="00A62690" w:rsidP="00DF2D1F">
      <w:pPr>
        <w:pStyle w:val="Heading4"/>
      </w:pPr>
      <w:r w:rsidRPr="00D65C79">
        <w:lastRenderedPageBreak/>
        <w:t xml:space="preserve">Funding </w:t>
      </w:r>
      <w:r w:rsidR="00375E68">
        <w:t>m</w:t>
      </w:r>
      <w:r w:rsidRPr="00D65C79">
        <w:t xml:space="preserve">echanism trade-off analysis </w:t>
      </w:r>
      <w:r w:rsidR="00375E68">
        <w:t>o</w:t>
      </w:r>
      <w:r w:rsidRPr="00D65C79">
        <w:t>utput</w:t>
      </w:r>
    </w:p>
    <w:p w14:paraId="3A12BCF1" w14:textId="22650DE9" w:rsidR="00A62690" w:rsidRDefault="00A62690" w:rsidP="00F97C6A">
      <w:r w:rsidRPr="009B6AA8">
        <w:t>The trade-off analysis indicates that</w:t>
      </w:r>
      <w:r w:rsidR="001B0290">
        <w:t>,</w:t>
      </w:r>
      <w:r w:rsidRPr="009B6AA8">
        <w:t xml:space="preserve"> </w:t>
      </w:r>
      <w:r w:rsidR="001B0290" w:rsidRPr="009B6AA8">
        <w:t>compared with the current ROHPG funding mechanism</w:t>
      </w:r>
      <w:r w:rsidR="001B0290">
        <w:t>,</w:t>
      </w:r>
      <w:r w:rsidR="001B0290" w:rsidRPr="009B6AA8">
        <w:t xml:space="preserve"> </w:t>
      </w:r>
      <w:r w:rsidRPr="009B6AA8">
        <w:t>none of the alternative mechanisms outscore the existing mechanism overall. Elements of the comparison criteria are hypothesised to be more advantageously met through alternative mechanisms, but when taken in their entirety, each has a negative mean score, and is therefore marginally disadvantaged, moderately disadvantaged or disadvantaged compared to the status quo. This is set out in</w:t>
      </w:r>
      <w:r w:rsidR="00F97C6A">
        <w:t xml:space="preserve"> </w:t>
      </w:r>
      <w:r w:rsidR="00F97C6A" w:rsidRPr="00F97C6A">
        <w:t>Table ‎9.3 and Baseline – Scoring Key: -3 to 3 (where 1–3 is likely; marginal advantage, moderate advantage, advantage)</w:t>
      </w:r>
      <w:r w:rsidR="00F97C6A">
        <w:t xml:space="preserve"> </w:t>
      </w:r>
      <w:r w:rsidR="00F97C6A" w:rsidRPr="00F97C6A">
        <w:t>Figure ‎9.1</w:t>
      </w:r>
    </w:p>
    <w:p w14:paraId="169AEAF1" w14:textId="77777777" w:rsidR="00F97C6A" w:rsidRPr="00F97C6A" w:rsidRDefault="00F97C6A" w:rsidP="00F97C6A"/>
    <w:p w14:paraId="368772E3" w14:textId="77777777" w:rsidR="00A62690" w:rsidRPr="009B6AA8" w:rsidRDefault="00A62690" w:rsidP="00393FD3">
      <w:pPr>
        <w:pStyle w:val="Caption"/>
        <w:spacing w:before="3840"/>
        <w:sectPr w:rsidR="00A62690" w:rsidRPr="009B6AA8" w:rsidSect="001070DC">
          <w:pgSz w:w="11906" w:h="16838" w:code="9"/>
          <w:pgMar w:top="1304" w:right="1134" w:bottom="737" w:left="737" w:header="720" w:footer="510" w:gutter="0"/>
          <w:cols w:space="708"/>
          <w:titlePg/>
          <w:docGrid w:linePitch="360"/>
        </w:sectPr>
      </w:pPr>
    </w:p>
    <w:p w14:paraId="054F34C0" w14:textId="44240F9F" w:rsidR="00A62690" w:rsidRPr="00D65C79" w:rsidRDefault="00A62690" w:rsidP="00A62690">
      <w:pPr>
        <w:pStyle w:val="Caption"/>
        <w:rPr>
          <w:rFonts w:asciiTheme="majorHAnsi" w:hAnsiTheme="majorHAnsi"/>
          <w:iCs w:val="0"/>
          <w:color w:val="000000" w:themeColor="text1"/>
        </w:rPr>
      </w:pPr>
      <w:bookmarkStart w:id="314" w:name="_Ref56416186"/>
      <w:r w:rsidRPr="00D65C79">
        <w:lastRenderedPageBreak/>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9</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3</w:t>
      </w:r>
      <w:r w:rsidR="004B24F3">
        <w:rPr>
          <w:noProof/>
        </w:rPr>
        <w:fldChar w:fldCharType="end"/>
      </w:r>
      <w:bookmarkEnd w:id="314"/>
      <w:r w:rsidRPr="00D65C79">
        <w:t xml:space="preserve">: </w:t>
      </w:r>
      <w:r w:rsidRPr="00D65C79">
        <w:rPr>
          <w:rFonts w:asciiTheme="majorHAnsi" w:hAnsiTheme="majorHAnsi"/>
          <w:color w:val="000000" w:themeColor="text1"/>
        </w:rPr>
        <w:t xml:space="preserve">ROHPG funding mechanism </w:t>
      </w:r>
      <w:r w:rsidR="001B0290" w:rsidRPr="00D65C79">
        <w:rPr>
          <w:rFonts w:asciiTheme="majorHAnsi" w:hAnsiTheme="majorHAnsi"/>
          <w:color w:val="000000" w:themeColor="text1"/>
        </w:rPr>
        <w:t>trade</w:t>
      </w:r>
      <w:r w:rsidR="001B0290">
        <w:rPr>
          <w:rFonts w:asciiTheme="majorHAnsi" w:hAnsiTheme="majorHAnsi"/>
          <w:color w:val="000000" w:themeColor="text1"/>
        </w:rPr>
        <w:t>-</w:t>
      </w:r>
      <w:r w:rsidRPr="00D65C79">
        <w:rPr>
          <w:rFonts w:asciiTheme="majorHAnsi" w:hAnsiTheme="majorHAnsi"/>
          <w:color w:val="000000" w:themeColor="text1"/>
        </w:rPr>
        <w:t>off analysis</w:t>
      </w:r>
      <w:r w:rsidR="00D5112E">
        <w:rPr>
          <w:rFonts w:asciiTheme="majorHAnsi" w:hAnsiTheme="majorHAnsi"/>
          <w:color w:val="000000" w:themeColor="text1"/>
        </w:rPr>
        <w:t xml:space="preserve"> score </w:t>
      </w:r>
    </w:p>
    <w:tbl>
      <w:tblPr>
        <w:tblStyle w:val="HMATableB"/>
        <w:tblW w:w="0" w:type="auto"/>
        <w:tblLook w:val="04A0" w:firstRow="1" w:lastRow="0" w:firstColumn="1" w:lastColumn="0" w:noHBand="0" w:noVBand="1"/>
        <w:tblCaption w:val="Table 9.3 ROHPG funding mechanism trade-off analysis score"/>
        <w:tblDescription w:val="Table showing funding mechanisms A to G and how they score (likely, marginal advantage, and moderate advantage) against government objectives, future trends, expenditure, access, quality, efficiency and feasibility."/>
      </w:tblPr>
      <w:tblGrid>
        <w:gridCol w:w="1551"/>
        <w:gridCol w:w="947"/>
        <w:gridCol w:w="2862"/>
        <w:gridCol w:w="1918"/>
        <w:gridCol w:w="1671"/>
        <w:gridCol w:w="1424"/>
        <w:gridCol w:w="804"/>
        <w:gridCol w:w="1891"/>
        <w:gridCol w:w="1729"/>
      </w:tblGrid>
      <w:tr w:rsidR="00A62690" w:rsidRPr="00F97C6A" w14:paraId="04C03E3B" w14:textId="77777777" w:rsidTr="00F97C6A">
        <w:trPr>
          <w:cnfStyle w:val="100000000000" w:firstRow="1" w:lastRow="0" w:firstColumn="0" w:lastColumn="0" w:oddVBand="0" w:evenVBand="0" w:oddHBand="0" w:evenHBand="0" w:firstRowFirstColumn="0" w:firstRowLastColumn="0" w:lastRowFirstColumn="0" w:lastRowLastColumn="0"/>
          <w:cantSplit/>
          <w:trHeight w:val="113"/>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A76BC3" w14:textId="381C2AD0" w:rsidR="00A62690" w:rsidRPr="00F97C6A" w:rsidRDefault="00F97C6A" w:rsidP="00F97C6A">
            <w:pPr>
              <w:pStyle w:val="TableHeading"/>
              <w:rPr>
                <w:rFonts w:ascii="Arial Bold" w:hAnsi="Arial Bold"/>
                <w:caps w:val="0"/>
                <w:szCs w:val="18"/>
              </w:rPr>
            </w:pPr>
            <w:r w:rsidRPr="00F97C6A">
              <w:rPr>
                <w:rFonts w:ascii="Arial Bold" w:hAnsi="Arial Bold"/>
                <w:caps w:val="0"/>
                <w:szCs w:val="18"/>
              </w:rPr>
              <w:t>Funding Mechanism</w:t>
            </w:r>
          </w:p>
        </w:tc>
        <w:tc>
          <w:tcPr>
            <w:tcW w:w="0" w:type="auto"/>
            <w:shd w:val="clear" w:color="auto" w:fill="FFFF00"/>
            <w:vAlign w:val="center"/>
          </w:tcPr>
          <w:p w14:paraId="13DDF2A8" w14:textId="31FCCBD5" w:rsidR="00A62690" w:rsidRPr="00F97C6A" w:rsidRDefault="00F97C6A" w:rsidP="00F97C6A">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aps w:val="0"/>
                <w:szCs w:val="18"/>
              </w:rPr>
            </w:pPr>
            <w:r w:rsidRPr="00F97C6A">
              <w:rPr>
                <w:rFonts w:ascii="Arial Bold" w:hAnsi="Arial Bold"/>
                <w:caps w:val="0"/>
                <w:szCs w:val="18"/>
              </w:rPr>
              <w:t>Mean Score</w:t>
            </w:r>
          </w:p>
        </w:tc>
        <w:tc>
          <w:tcPr>
            <w:tcW w:w="0" w:type="auto"/>
            <w:tcBorders>
              <w:left w:val="single" w:sz="4" w:space="0" w:color="auto"/>
              <w:right w:val="single" w:sz="4" w:space="0" w:color="auto"/>
            </w:tcBorders>
            <w:vAlign w:val="center"/>
          </w:tcPr>
          <w:p w14:paraId="44B2D034" w14:textId="6735A470" w:rsidR="00A62690" w:rsidRPr="00F97C6A" w:rsidRDefault="00F97C6A" w:rsidP="00F97C6A">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aps w:val="0"/>
                <w:szCs w:val="18"/>
              </w:rPr>
            </w:pPr>
            <w:r w:rsidRPr="00F97C6A">
              <w:rPr>
                <w:rFonts w:ascii="Arial Bold" w:hAnsi="Arial Bold"/>
                <w:caps w:val="0"/>
                <w:szCs w:val="18"/>
              </w:rPr>
              <w:t>Alignment With Govt. Priority And Policy Objectives</w:t>
            </w:r>
          </w:p>
        </w:tc>
        <w:tc>
          <w:tcPr>
            <w:tcW w:w="0" w:type="auto"/>
            <w:tcBorders>
              <w:left w:val="single" w:sz="4" w:space="0" w:color="auto"/>
              <w:right w:val="single" w:sz="4" w:space="0" w:color="auto"/>
            </w:tcBorders>
            <w:vAlign w:val="center"/>
          </w:tcPr>
          <w:p w14:paraId="1AEA2512" w14:textId="1914EA70" w:rsidR="00A62690" w:rsidRPr="00F97C6A" w:rsidRDefault="00F97C6A" w:rsidP="00F97C6A">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aps w:val="0"/>
                <w:szCs w:val="18"/>
              </w:rPr>
            </w:pPr>
            <w:r w:rsidRPr="00F97C6A">
              <w:rPr>
                <w:rFonts w:ascii="Arial Bold" w:hAnsi="Arial Bold"/>
                <w:caps w:val="0"/>
                <w:szCs w:val="18"/>
              </w:rPr>
              <w:t>Alignment With Future Trends</w:t>
            </w:r>
          </w:p>
        </w:tc>
        <w:tc>
          <w:tcPr>
            <w:tcW w:w="0" w:type="auto"/>
            <w:tcBorders>
              <w:left w:val="single" w:sz="4" w:space="0" w:color="auto"/>
              <w:right w:val="single" w:sz="4" w:space="0" w:color="auto"/>
            </w:tcBorders>
            <w:vAlign w:val="center"/>
          </w:tcPr>
          <w:p w14:paraId="239CF6A3" w14:textId="0DBD4DC3" w:rsidR="00A62690" w:rsidRPr="00F97C6A" w:rsidRDefault="00F97C6A" w:rsidP="00F97C6A">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aps w:val="0"/>
                <w:szCs w:val="18"/>
              </w:rPr>
            </w:pPr>
            <w:r w:rsidRPr="00F97C6A">
              <w:rPr>
                <w:rFonts w:ascii="Arial Bold" w:hAnsi="Arial Bold"/>
                <w:caps w:val="0"/>
                <w:szCs w:val="18"/>
              </w:rPr>
              <w:t xml:space="preserve">Indicative Expenditure </w:t>
            </w:r>
          </w:p>
        </w:tc>
        <w:tc>
          <w:tcPr>
            <w:tcW w:w="0" w:type="auto"/>
            <w:tcBorders>
              <w:left w:val="single" w:sz="4" w:space="0" w:color="auto"/>
              <w:right w:val="single" w:sz="4" w:space="0" w:color="auto"/>
            </w:tcBorders>
            <w:vAlign w:val="center"/>
          </w:tcPr>
          <w:p w14:paraId="57AE8F8C" w14:textId="2F5D970A" w:rsidR="00A62690" w:rsidRPr="00F97C6A" w:rsidRDefault="00F97C6A" w:rsidP="00F97C6A">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aps w:val="0"/>
                <w:szCs w:val="18"/>
              </w:rPr>
            </w:pPr>
            <w:r w:rsidRPr="00F97C6A">
              <w:rPr>
                <w:rFonts w:ascii="Arial Bold" w:hAnsi="Arial Bold"/>
                <w:caps w:val="0"/>
                <w:szCs w:val="18"/>
              </w:rPr>
              <w:t>Access/Equity</w:t>
            </w:r>
          </w:p>
        </w:tc>
        <w:tc>
          <w:tcPr>
            <w:tcW w:w="0" w:type="auto"/>
            <w:tcBorders>
              <w:left w:val="single" w:sz="4" w:space="0" w:color="auto"/>
              <w:right w:val="single" w:sz="4" w:space="0" w:color="auto"/>
            </w:tcBorders>
            <w:vAlign w:val="center"/>
          </w:tcPr>
          <w:p w14:paraId="5EC5E0DF" w14:textId="02DAF3A0" w:rsidR="00A62690" w:rsidRPr="00F97C6A" w:rsidRDefault="00F97C6A" w:rsidP="00F97C6A">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aps w:val="0"/>
                <w:szCs w:val="18"/>
              </w:rPr>
            </w:pPr>
            <w:r w:rsidRPr="00F97C6A">
              <w:rPr>
                <w:rFonts w:ascii="Arial Bold" w:hAnsi="Arial Bold"/>
                <w:caps w:val="0"/>
                <w:szCs w:val="18"/>
              </w:rPr>
              <w:t>Quality</w:t>
            </w:r>
          </w:p>
        </w:tc>
        <w:tc>
          <w:tcPr>
            <w:tcW w:w="0" w:type="auto"/>
            <w:tcBorders>
              <w:left w:val="single" w:sz="4" w:space="0" w:color="auto"/>
            </w:tcBorders>
            <w:vAlign w:val="center"/>
          </w:tcPr>
          <w:p w14:paraId="6850C43E" w14:textId="623FF76B" w:rsidR="00A62690" w:rsidRPr="00F97C6A" w:rsidRDefault="00F97C6A" w:rsidP="00F97C6A">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aps w:val="0"/>
                <w:szCs w:val="18"/>
              </w:rPr>
            </w:pPr>
            <w:r w:rsidRPr="00F97C6A">
              <w:rPr>
                <w:rFonts w:ascii="Arial Bold" w:hAnsi="Arial Bold"/>
                <w:caps w:val="0"/>
                <w:szCs w:val="18"/>
              </w:rPr>
              <w:t>Administrative Efficiency</w:t>
            </w:r>
          </w:p>
        </w:tc>
        <w:tc>
          <w:tcPr>
            <w:tcW w:w="0" w:type="auto"/>
            <w:tcBorders>
              <w:left w:val="single" w:sz="4" w:space="0" w:color="auto"/>
            </w:tcBorders>
            <w:vAlign w:val="center"/>
          </w:tcPr>
          <w:p w14:paraId="7D857AAD" w14:textId="632ACAC5" w:rsidR="00A62690" w:rsidRPr="00F97C6A" w:rsidRDefault="00F97C6A" w:rsidP="00F97C6A">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aps w:val="0"/>
                <w:szCs w:val="18"/>
              </w:rPr>
            </w:pPr>
            <w:r w:rsidRPr="00F97C6A">
              <w:rPr>
                <w:rFonts w:ascii="Arial Bold" w:hAnsi="Arial Bold"/>
                <w:caps w:val="0"/>
                <w:szCs w:val="18"/>
              </w:rPr>
              <w:t>Feasibility And Sentiment</w:t>
            </w:r>
          </w:p>
        </w:tc>
      </w:tr>
      <w:tr w:rsidR="00231577" w:rsidRPr="009B6AA8" w14:paraId="31DCC241" w14:textId="77777777" w:rsidTr="00F97C6A">
        <w:tc>
          <w:tcPr>
            <w:cnfStyle w:val="001000000000" w:firstRow="0" w:lastRow="0" w:firstColumn="1" w:lastColumn="0" w:oddVBand="0" w:evenVBand="0" w:oddHBand="0" w:evenHBand="0" w:firstRowFirstColumn="0" w:firstRowLastColumn="0" w:lastRowFirstColumn="0" w:lastRowLastColumn="0"/>
            <w:tcW w:w="0" w:type="auto"/>
            <w:shd w:val="clear" w:color="auto" w:fill="A0A0A0" w:themeFill="accent4"/>
            <w:vAlign w:val="center"/>
          </w:tcPr>
          <w:p w14:paraId="5E2008D1" w14:textId="77777777" w:rsidR="00231577" w:rsidRPr="009B6AA8" w:rsidRDefault="00231577" w:rsidP="00F97C6A">
            <w:pPr>
              <w:pStyle w:val="Tabletext"/>
            </w:pPr>
            <w:r w:rsidRPr="009B6AA8">
              <w:t>A</w:t>
            </w:r>
          </w:p>
        </w:tc>
        <w:tc>
          <w:tcPr>
            <w:tcW w:w="0" w:type="auto"/>
            <w:shd w:val="clear" w:color="auto" w:fill="FFFF00"/>
            <w:vAlign w:val="center"/>
          </w:tcPr>
          <w:p w14:paraId="0DFF1A49" w14:textId="77777777" w:rsidR="00231577" w:rsidRPr="009B6AA8" w:rsidRDefault="00231577" w:rsidP="00F97C6A">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B6AA8">
              <w:rPr>
                <w:highlight w:val="yellow"/>
              </w:rPr>
              <w:t>-</w:t>
            </w:r>
          </w:p>
        </w:tc>
        <w:tc>
          <w:tcPr>
            <w:tcW w:w="0" w:type="auto"/>
            <w:tcBorders>
              <w:left w:val="single" w:sz="4" w:space="0" w:color="auto"/>
            </w:tcBorders>
            <w:shd w:val="clear" w:color="auto" w:fill="FFFCCC" w:themeFill="background2" w:themeFillTint="33"/>
            <w:vAlign w:val="center"/>
          </w:tcPr>
          <w:p w14:paraId="2A738C53" w14:textId="77777777" w:rsidR="00231577" w:rsidRPr="009B6AA8" w:rsidRDefault="00231577" w:rsidP="00F97C6A">
            <w:pPr>
              <w:pStyle w:val="Tabletext"/>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0" w:type="auto"/>
            <w:tcBorders>
              <w:left w:val="single" w:sz="4" w:space="0" w:color="auto"/>
            </w:tcBorders>
            <w:shd w:val="clear" w:color="auto" w:fill="FFFCCC" w:themeFill="background2" w:themeFillTint="33"/>
            <w:vAlign w:val="center"/>
          </w:tcPr>
          <w:p w14:paraId="2DDB27F1" w14:textId="77777777" w:rsidR="00231577" w:rsidRPr="009B6AA8" w:rsidRDefault="00231577" w:rsidP="00F97C6A">
            <w:pPr>
              <w:pStyle w:val="Tabletext"/>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0" w:type="auto"/>
            <w:tcBorders>
              <w:left w:val="single" w:sz="4" w:space="0" w:color="auto"/>
            </w:tcBorders>
            <w:shd w:val="clear" w:color="auto" w:fill="FFFCCC" w:themeFill="background2" w:themeFillTint="33"/>
            <w:vAlign w:val="center"/>
          </w:tcPr>
          <w:p w14:paraId="4B980F95" w14:textId="77777777" w:rsidR="00231577" w:rsidRPr="009B6AA8" w:rsidRDefault="00231577" w:rsidP="00F97C6A">
            <w:pPr>
              <w:pStyle w:val="Tabletext"/>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0" w:type="auto"/>
            <w:tcBorders>
              <w:left w:val="single" w:sz="4" w:space="0" w:color="auto"/>
            </w:tcBorders>
            <w:shd w:val="clear" w:color="auto" w:fill="FFFCCC" w:themeFill="background2" w:themeFillTint="33"/>
            <w:vAlign w:val="center"/>
          </w:tcPr>
          <w:p w14:paraId="239AA876" w14:textId="77777777" w:rsidR="00231577" w:rsidRPr="009B6AA8" w:rsidRDefault="00231577" w:rsidP="00F97C6A">
            <w:pPr>
              <w:pStyle w:val="Tabletext"/>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0" w:type="auto"/>
            <w:tcBorders>
              <w:left w:val="single" w:sz="4" w:space="0" w:color="auto"/>
            </w:tcBorders>
            <w:shd w:val="clear" w:color="auto" w:fill="FFFCCC" w:themeFill="background2" w:themeFillTint="33"/>
            <w:vAlign w:val="center"/>
          </w:tcPr>
          <w:p w14:paraId="7F3D8ED4" w14:textId="77777777" w:rsidR="00231577" w:rsidRPr="009B6AA8" w:rsidRDefault="00231577" w:rsidP="00F97C6A">
            <w:pPr>
              <w:pStyle w:val="Tabletext"/>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0" w:type="auto"/>
            <w:tcBorders>
              <w:left w:val="single" w:sz="4" w:space="0" w:color="auto"/>
            </w:tcBorders>
            <w:shd w:val="clear" w:color="auto" w:fill="FFFCCC" w:themeFill="background2" w:themeFillTint="33"/>
            <w:vAlign w:val="center"/>
          </w:tcPr>
          <w:p w14:paraId="7CB3F462" w14:textId="77777777" w:rsidR="00231577" w:rsidRPr="009B6AA8" w:rsidRDefault="00231577" w:rsidP="00F97C6A">
            <w:pPr>
              <w:pStyle w:val="Tabletext"/>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c>
          <w:tcPr>
            <w:tcW w:w="0" w:type="auto"/>
            <w:tcBorders>
              <w:left w:val="single" w:sz="4" w:space="0" w:color="auto"/>
            </w:tcBorders>
            <w:shd w:val="clear" w:color="auto" w:fill="FFFCCC" w:themeFill="background2" w:themeFillTint="33"/>
            <w:vAlign w:val="center"/>
          </w:tcPr>
          <w:p w14:paraId="0EA02CA0" w14:textId="1B468DA0" w:rsidR="00231577" w:rsidRPr="009B6AA8" w:rsidRDefault="00231577" w:rsidP="00F97C6A">
            <w:pPr>
              <w:pStyle w:val="Tabletext"/>
              <w:cnfStyle w:val="000000000000" w:firstRow="0" w:lastRow="0" w:firstColumn="0" w:lastColumn="0" w:oddVBand="0" w:evenVBand="0" w:oddHBand="0" w:evenHBand="0" w:firstRowFirstColumn="0" w:firstRowLastColumn="0" w:lastRowFirstColumn="0" w:lastRowLastColumn="0"/>
              <w:rPr>
                <w:rFonts w:ascii="Franklin Gothic Book" w:hAnsi="Franklin Gothic Book"/>
              </w:rPr>
            </w:pPr>
          </w:p>
        </w:tc>
      </w:tr>
      <w:tr w:rsidR="00A62690" w:rsidRPr="009B6AA8" w14:paraId="167B4BC2" w14:textId="77777777" w:rsidTr="00F97C6A">
        <w:tc>
          <w:tcPr>
            <w:cnfStyle w:val="001000000000" w:firstRow="0" w:lastRow="0" w:firstColumn="1" w:lastColumn="0" w:oddVBand="0" w:evenVBand="0" w:oddHBand="0" w:evenHBand="0" w:firstRowFirstColumn="0" w:firstRowLastColumn="0" w:lastRowFirstColumn="0" w:lastRowLastColumn="0"/>
            <w:tcW w:w="0" w:type="auto"/>
            <w:shd w:val="clear" w:color="auto" w:fill="A0A0A0" w:themeFill="accent4"/>
            <w:vAlign w:val="center"/>
          </w:tcPr>
          <w:p w14:paraId="7D150011" w14:textId="77777777" w:rsidR="00A62690" w:rsidRPr="009B6AA8" w:rsidRDefault="00A62690" w:rsidP="00F97C6A">
            <w:pPr>
              <w:pStyle w:val="Tabletext"/>
            </w:pPr>
            <w:r w:rsidRPr="009B6AA8">
              <w:t>B</w:t>
            </w:r>
          </w:p>
        </w:tc>
        <w:tc>
          <w:tcPr>
            <w:tcW w:w="0" w:type="auto"/>
            <w:shd w:val="clear" w:color="auto" w:fill="FFFF00"/>
            <w:vAlign w:val="center"/>
          </w:tcPr>
          <w:p w14:paraId="29B07ED1"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-0.4</w:t>
            </w:r>
          </w:p>
        </w:tc>
        <w:tc>
          <w:tcPr>
            <w:tcW w:w="0" w:type="auto"/>
            <w:tcBorders>
              <w:left w:val="single" w:sz="4" w:space="0" w:color="auto"/>
              <w:right w:val="single" w:sz="4" w:space="0" w:color="auto"/>
            </w:tcBorders>
            <w:vAlign w:val="center"/>
          </w:tcPr>
          <w:p w14:paraId="72FDEE77"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right w:val="single" w:sz="4" w:space="0" w:color="auto"/>
            </w:tcBorders>
            <w:vAlign w:val="center"/>
          </w:tcPr>
          <w:p w14:paraId="12B24392"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right w:val="single" w:sz="4" w:space="0" w:color="auto"/>
            </w:tcBorders>
            <w:vAlign w:val="center"/>
          </w:tcPr>
          <w:p w14:paraId="5BD6E0B9"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0</w:t>
            </w:r>
          </w:p>
        </w:tc>
        <w:tc>
          <w:tcPr>
            <w:tcW w:w="0" w:type="auto"/>
            <w:tcBorders>
              <w:left w:val="single" w:sz="4" w:space="0" w:color="auto"/>
              <w:right w:val="single" w:sz="4" w:space="0" w:color="auto"/>
            </w:tcBorders>
            <w:vAlign w:val="center"/>
          </w:tcPr>
          <w:p w14:paraId="5D780B3F"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right w:val="single" w:sz="4" w:space="0" w:color="auto"/>
            </w:tcBorders>
            <w:vAlign w:val="center"/>
          </w:tcPr>
          <w:p w14:paraId="61545B42"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tcBorders>
            <w:vAlign w:val="center"/>
          </w:tcPr>
          <w:p w14:paraId="7C3DD7FA"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tcBorders>
            <w:vAlign w:val="center"/>
          </w:tcPr>
          <w:p w14:paraId="6B938C53"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r>
      <w:tr w:rsidR="00A62690" w:rsidRPr="009B6AA8" w14:paraId="7291A1FD" w14:textId="77777777" w:rsidTr="00F97C6A">
        <w:tc>
          <w:tcPr>
            <w:cnfStyle w:val="001000000000" w:firstRow="0" w:lastRow="0" w:firstColumn="1" w:lastColumn="0" w:oddVBand="0" w:evenVBand="0" w:oddHBand="0" w:evenHBand="0" w:firstRowFirstColumn="0" w:firstRowLastColumn="0" w:lastRowFirstColumn="0" w:lastRowLastColumn="0"/>
            <w:tcW w:w="0" w:type="auto"/>
            <w:shd w:val="clear" w:color="auto" w:fill="A0A0A0" w:themeFill="accent4"/>
            <w:vAlign w:val="center"/>
          </w:tcPr>
          <w:p w14:paraId="131611D8" w14:textId="77777777" w:rsidR="00A62690" w:rsidRPr="009B6AA8" w:rsidRDefault="00A62690" w:rsidP="00F97C6A">
            <w:pPr>
              <w:pStyle w:val="Tabletext"/>
            </w:pPr>
            <w:r w:rsidRPr="009B6AA8">
              <w:t>C</w:t>
            </w:r>
          </w:p>
        </w:tc>
        <w:tc>
          <w:tcPr>
            <w:tcW w:w="0" w:type="auto"/>
            <w:shd w:val="clear" w:color="auto" w:fill="FFFF00"/>
            <w:vAlign w:val="center"/>
          </w:tcPr>
          <w:p w14:paraId="50B74011"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-2.3</w:t>
            </w:r>
          </w:p>
        </w:tc>
        <w:tc>
          <w:tcPr>
            <w:tcW w:w="0" w:type="auto"/>
            <w:tcBorders>
              <w:left w:val="single" w:sz="4" w:space="0" w:color="auto"/>
              <w:right w:val="single" w:sz="4" w:space="0" w:color="auto"/>
            </w:tcBorders>
            <w:vAlign w:val="center"/>
          </w:tcPr>
          <w:p w14:paraId="2121B9A6"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c>
          <w:tcPr>
            <w:tcW w:w="0" w:type="auto"/>
            <w:tcBorders>
              <w:left w:val="single" w:sz="4" w:space="0" w:color="auto"/>
              <w:right w:val="single" w:sz="4" w:space="0" w:color="auto"/>
            </w:tcBorders>
            <w:vAlign w:val="center"/>
          </w:tcPr>
          <w:p w14:paraId="25DBD73E"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c>
          <w:tcPr>
            <w:tcW w:w="0" w:type="auto"/>
            <w:tcBorders>
              <w:left w:val="single" w:sz="4" w:space="0" w:color="auto"/>
              <w:right w:val="single" w:sz="4" w:space="0" w:color="auto"/>
            </w:tcBorders>
            <w:vAlign w:val="center"/>
          </w:tcPr>
          <w:p w14:paraId="7DDD395D"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right w:val="single" w:sz="4" w:space="0" w:color="auto"/>
            </w:tcBorders>
            <w:vAlign w:val="center"/>
          </w:tcPr>
          <w:p w14:paraId="2AEEAECE"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c>
          <w:tcPr>
            <w:tcW w:w="0" w:type="auto"/>
            <w:tcBorders>
              <w:left w:val="single" w:sz="4" w:space="0" w:color="auto"/>
              <w:right w:val="single" w:sz="4" w:space="0" w:color="auto"/>
            </w:tcBorders>
            <w:vAlign w:val="center"/>
          </w:tcPr>
          <w:p w14:paraId="21B4DECB"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c>
          <w:tcPr>
            <w:tcW w:w="0" w:type="auto"/>
            <w:tcBorders>
              <w:left w:val="single" w:sz="4" w:space="0" w:color="auto"/>
            </w:tcBorders>
            <w:vAlign w:val="center"/>
          </w:tcPr>
          <w:p w14:paraId="32D3CFF0"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tcBorders>
            <w:vAlign w:val="center"/>
          </w:tcPr>
          <w:p w14:paraId="02DCFAE4"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r>
      <w:tr w:rsidR="00A62690" w:rsidRPr="009B6AA8" w14:paraId="107320CC" w14:textId="77777777" w:rsidTr="00F97C6A">
        <w:tc>
          <w:tcPr>
            <w:cnfStyle w:val="001000000000" w:firstRow="0" w:lastRow="0" w:firstColumn="1" w:lastColumn="0" w:oddVBand="0" w:evenVBand="0" w:oddHBand="0" w:evenHBand="0" w:firstRowFirstColumn="0" w:firstRowLastColumn="0" w:lastRowFirstColumn="0" w:lastRowLastColumn="0"/>
            <w:tcW w:w="0" w:type="auto"/>
            <w:shd w:val="clear" w:color="auto" w:fill="A0A0A0" w:themeFill="accent4"/>
            <w:vAlign w:val="center"/>
          </w:tcPr>
          <w:p w14:paraId="58006AB6" w14:textId="77777777" w:rsidR="00A62690" w:rsidRPr="009B6AA8" w:rsidRDefault="00A62690" w:rsidP="00F97C6A">
            <w:pPr>
              <w:pStyle w:val="Tabletext"/>
            </w:pPr>
            <w:r w:rsidRPr="009B6AA8">
              <w:t>D</w:t>
            </w:r>
          </w:p>
        </w:tc>
        <w:tc>
          <w:tcPr>
            <w:tcW w:w="0" w:type="auto"/>
            <w:shd w:val="clear" w:color="auto" w:fill="FFFF00"/>
            <w:vAlign w:val="center"/>
          </w:tcPr>
          <w:p w14:paraId="230AA601"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-0.7</w:t>
            </w:r>
          </w:p>
        </w:tc>
        <w:tc>
          <w:tcPr>
            <w:tcW w:w="0" w:type="auto"/>
            <w:tcBorders>
              <w:left w:val="single" w:sz="4" w:space="0" w:color="auto"/>
              <w:right w:val="single" w:sz="4" w:space="0" w:color="auto"/>
            </w:tcBorders>
            <w:vAlign w:val="center"/>
          </w:tcPr>
          <w:p w14:paraId="6A8F3EB1"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right w:val="single" w:sz="4" w:space="0" w:color="auto"/>
            </w:tcBorders>
            <w:vAlign w:val="center"/>
          </w:tcPr>
          <w:p w14:paraId="1464ED56"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right w:val="single" w:sz="4" w:space="0" w:color="auto"/>
            </w:tcBorders>
            <w:vAlign w:val="center"/>
          </w:tcPr>
          <w:p w14:paraId="7EF1B855"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right w:val="single" w:sz="4" w:space="0" w:color="auto"/>
            </w:tcBorders>
            <w:vAlign w:val="center"/>
          </w:tcPr>
          <w:p w14:paraId="1A3988A5"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right w:val="single" w:sz="4" w:space="0" w:color="auto"/>
            </w:tcBorders>
            <w:vAlign w:val="center"/>
          </w:tcPr>
          <w:p w14:paraId="2C3BEDD8"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tcBorders>
            <w:vAlign w:val="center"/>
          </w:tcPr>
          <w:p w14:paraId="12205163"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tcBorders>
            <w:vAlign w:val="center"/>
          </w:tcPr>
          <w:p w14:paraId="7CDEF53D"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r>
      <w:tr w:rsidR="00A62690" w:rsidRPr="009B6AA8" w14:paraId="09A0E90B" w14:textId="77777777" w:rsidTr="00F97C6A">
        <w:tc>
          <w:tcPr>
            <w:cnfStyle w:val="001000000000" w:firstRow="0" w:lastRow="0" w:firstColumn="1" w:lastColumn="0" w:oddVBand="0" w:evenVBand="0" w:oddHBand="0" w:evenHBand="0" w:firstRowFirstColumn="0" w:firstRowLastColumn="0" w:lastRowFirstColumn="0" w:lastRowLastColumn="0"/>
            <w:tcW w:w="0" w:type="auto"/>
            <w:shd w:val="clear" w:color="auto" w:fill="A0A0A0" w:themeFill="accent4"/>
            <w:vAlign w:val="center"/>
          </w:tcPr>
          <w:p w14:paraId="2BBDDA7F" w14:textId="77777777" w:rsidR="00A62690" w:rsidRPr="009B6AA8" w:rsidRDefault="00A62690" w:rsidP="00F97C6A">
            <w:pPr>
              <w:pStyle w:val="Tabletext"/>
            </w:pPr>
            <w:r w:rsidRPr="009B6AA8">
              <w:t>E</w:t>
            </w:r>
          </w:p>
        </w:tc>
        <w:tc>
          <w:tcPr>
            <w:tcW w:w="0" w:type="auto"/>
            <w:shd w:val="clear" w:color="auto" w:fill="FFFF00"/>
            <w:vAlign w:val="center"/>
          </w:tcPr>
          <w:p w14:paraId="2D74104E"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-1.9</w:t>
            </w:r>
          </w:p>
        </w:tc>
        <w:tc>
          <w:tcPr>
            <w:tcW w:w="0" w:type="auto"/>
            <w:tcBorders>
              <w:left w:val="single" w:sz="4" w:space="0" w:color="auto"/>
              <w:right w:val="single" w:sz="4" w:space="0" w:color="auto"/>
            </w:tcBorders>
            <w:vAlign w:val="center"/>
          </w:tcPr>
          <w:p w14:paraId="58A255D4"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right w:val="single" w:sz="4" w:space="0" w:color="auto"/>
            </w:tcBorders>
            <w:vAlign w:val="center"/>
          </w:tcPr>
          <w:p w14:paraId="66C38985"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right w:val="single" w:sz="4" w:space="0" w:color="auto"/>
            </w:tcBorders>
            <w:vAlign w:val="center"/>
          </w:tcPr>
          <w:p w14:paraId="767F958B"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c>
          <w:tcPr>
            <w:tcW w:w="0" w:type="auto"/>
            <w:tcBorders>
              <w:left w:val="single" w:sz="4" w:space="0" w:color="auto"/>
              <w:right w:val="single" w:sz="4" w:space="0" w:color="auto"/>
            </w:tcBorders>
            <w:vAlign w:val="center"/>
          </w:tcPr>
          <w:p w14:paraId="1798FAB9"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c>
          <w:tcPr>
            <w:tcW w:w="0" w:type="auto"/>
            <w:tcBorders>
              <w:left w:val="single" w:sz="4" w:space="0" w:color="auto"/>
              <w:right w:val="single" w:sz="4" w:space="0" w:color="auto"/>
            </w:tcBorders>
            <w:vAlign w:val="center"/>
          </w:tcPr>
          <w:p w14:paraId="62D73D2F"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c>
          <w:tcPr>
            <w:tcW w:w="0" w:type="auto"/>
            <w:tcBorders>
              <w:left w:val="single" w:sz="4" w:space="0" w:color="auto"/>
            </w:tcBorders>
            <w:vAlign w:val="center"/>
          </w:tcPr>
          <w:p w14:paraId="765313D4"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c>
          <w:tcPr>
            <w:tcW w:w="0" w:type="auto"/>
            <w:tcBorders>
              <w:left w:val="single" w:sz="4" w:space="0" w:color="auto"/>
            </w:tcBorders>
            <w:vAlign w:val="center"/>
          </w:tcPr>
          <w:p w14:paraId="6C2CB176"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-3</w:t>
            </w:r>
          </w:p>
        </w:tc>
      </w:tr>
      <w:tr w:rsidR="00A62690" w:rsidRPr="009B6AA8" w14:paraId="6D2A1880" w14:textId="77777777" w:rsidTr="00F97C6A">
        <w:tc>
          <w:tcPr>
            <w:cnfStyle w:val="001000000000" w:firstRow="0" w:lastRow="0" w:firstColumn="1" w:lastColumn="0" w:oddVBand="0" w:evenVBand="0" w:oddHBand="0" w:evenHBand="0" w:firstRowFirstColumn="0" w:firstRowLastColumn="0" w:lastRowFirstColumn="0" w:lastRowLastColumn="0"/>
            <w:tcW w:w="0" w:type="auto"/>
            <w:shd w:val="clear" w:color="auto" w:fill="A0A0A0" w:themeFill="accent4"/>
            <w:vAlign w:val="center"/>
          </w:tcPr>
          <w:p w14:paraId="7D18F122" w14:textId="77777777" w:rsidR="00A62690" w:rsidRPr="009B6AA8" w:rsidRDefault="00A62690" w:rsidP="00F97C6A">
            <w:pPr>
              <w:pStyle w:val="Tabletext"/>
            </w:pPr>
            <w:r w:rsidRPr="009B6AA8">
              <w:t>F</w:t>
            </w:r>
          </w:p>
        </w:tc>
        <w:tc>
          <w:tcPr>
            <w:tcW w:w="0" w:type="auto"/>
            <w:shd w:val="clear" w:color="auto" w:fill="FFFF00"/>
            <w:vAlign w:val="center"/>
          </w:tcPr>
          <w:p w14:paraId="40E790A6"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-1.0</w:t>
            </w:r>
          </w:p>
        </w:tc>
        <w:tc>
          <w:tcPr>
            <w:tcW w:w="0" w:type="auto"/>
            <w:tcBorders>
              <w:left w:val="single" w:sz="4" w:space="0" w:color="auto"/>
              <w:right w:val="single" w:sz="4" w:space="0" w:color="auto"/>
            </w:tcBorders>
            <w:vAlign w:val="center"/>
          </w:tcPr>
          <w:p w14:paraId="0EA50E58"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right w:val="single" w:sz="4" w:space="0" w:color="auto"/>
            </w:tcBorders>
            <w:vAlign w:val="center"/>
          </w:tcPr>
          <w:p w14:paraId="6D23F7DE"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0</w:t>
            </w:r>
          </w:p>
        </w:tc>
        <w:tc>
          <w:tcPr>
            <w:tcW w:w="0" w:type="auto"/>
            <w:tcBorders>
              <w:left w:val="single" w:sz="4" w:space="0" w:color="auto"/>
              <w:right w:val="single" w:sz="4" w:space="0" w:color="auto"/>
            </w:tcBorders>
            <w:vAlign w:val="center"/>
          </w:tcPr>
          <w:p w14:paraId="17E8FECE"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right w:val="single" w:sz="4" w:space="0" w:color="auto"/>
            </w:tcBorders>
            <w:vAlign w:val="center"/>
          </w:tcPr>
          <w:p w14:paraId="6083E1C0"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right w:val="single" w:sz="4" w:space="0" w:color="auto"/>
            </w:tcBorders>
            <w:vAlign w:val="center"/>
          </w:tcPr>
          <w:p w14:paraId="3E787671"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0</w:t>
            </w:r>
          </w:p>
        </w:tc>
        <w:tc>
          <w:tcPr>
            <w:tcW w:w="0" w:type="auto"/>
            <w:tcBorders>
              <w:left w:val="single" w:sz="4" w:space="0" w:color="auto"/>
            </w:tcBorders>
            <w:vAlign w:val="center"/>
          </w:tcPr>
          <w:p w14:paraId="2E6491E9"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tcBorders>
            <w:vAlign w:val="center"/>
          </w:tcPr>
          <w:p w14:paraId="633E6EB6"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r>
      <w:tr w:rsidR="00A62690" w:rsidRPr="009B6AA8" w14:paraId="0C01BCFB" w14:textId="77777777" w:rsidTr="00F97C6A">
        <w:tc>
          <w:tcPr>
            <w:cnfStyle w:val="001000000000" w:firstRow="0" w:lastRow="0" w:firstColumn="1" w:lastColumn="0" w:oddVBand="0" w:evenVBand="0" w:oddHBand="0" w:evenHBand="0" w:firstRowFirstColumn="0" w:firstRowLastColumn="0" w:lastRowFirstColumn="0" w:lastRowLastColumn="0"/>
            <w:tcW w:w="0" w:type="auto"/>
            <w:shd w:val="clear" w:color="auto" w:fill="A0A0A0" w:themeFill="accent4"/>
            <w:vAlign w:val="center"/>
          </w:tcPr>
          <w:p w14:paraId="02FAE548" w14:textId="77777777" w:rsidR="00A62690" w:rsidRPr="009B6AA8" w:rsidRDefault="00A62690" w:rsidP="00F97C6A">
            <w:pPr>
              <w:pStyle w:val="Tabletext"/>
            </w:pPr>
            <w:r w:rsidRPr="009B6AA8">
              <w:t>G</w:t>
            </w:r>
          </w:p>
        </w:tc>
        <w:tc>
          <w:tcPr>
            <w:tcW w:w="0" w:type="auto"/>
            <w:shd w:val="clear" w:color="auto" w:fill="FFFF00"/>
            <w:vAlign w:val="center"/>
          </w:tcPr>
          <w:p w14:paraId="6E3ABB84"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-0.9</w:t>
            </w:r>
          </w:p>
        </w:tc>
        <w:tc>
          <w:tcPr>
            <w:tcW w:w="0" w:type="auto"/>
            <w:tcBorders>
              <w:left w:val="single" w:sz="4" w:space="0" w:color="auto"/>
              <w:right w:val="single" w:sz="4" w:space="0" w:color="auto"/>
            </w:tcBorders>
            <w:vAlign w:val="center"/>
          </w:tcPr>
          <w:p w14:paraId="5E38B848"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right w:val="single" w:sz="4" w:space="0" w:color="auto"/>
            </w:tcBorders>
            <w:vAlign w:val="center"/>
          </w:tcPr>
          <w:p w14:paraId="41028057"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right w:val="single" w:sz="4" w:space="0" w:color="auto"/>
            </w:tcBorders>
            <w:vAlign w:val="center"/>
          </w:tcPr>
          <w:p w14:paraId="18026FCF"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right w:val="single" w:sz="4" w:space="0" w:color="auto"/>
            </w:tcBorders>
            <w:vAlign w:val="center"/>
          </w:tcPr>
          <w:p w14:paraId="308828C0"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right w:val="single" w:sz="4" w:space="0" w:color="auto"/>
            </w:tcBorders>
            <w:vAlign w:val="center"/>
          </w:tcPr>
          <w:p w14:paraId="72900B57"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1</w:t>
            </w:r>
          </w:p>
        </w:tc>
        <w:tc>
          <w:tcPr>
            <w:tcW w:w="0" w:type="auto"/>
            <w:tcBorders>
              <w:left w:val="single" w:sz="4" w:space="0" w:color="auto"/>
            </w:tcBorders>
            <w:vAlign w:val="center"/>
          </w:tcPr>
          <w:p w14:paraId="1B0FEE49"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c>
          <w:tcPr>
            <w:tcW w:w="0" w:type="auto"/>
            <w:tcBorders>
              <w:left w:val="single" w:sz="4" w:space="0" w:color="auto"/>
            </w:tcBorders>
            <w:vAlign w:val="center"/>
          </w:tcPr>
          <w:p w14:paraId="4D352CBA" w14:textId="77777777" w:rsidR="00A62690" w:rsidRPr="009B6AA8" w:rsidRDefault="00A62690" w:rsidP="00F97C6A">
            <w:pPr>
              <w:pStyle w:val="Tabletext"/>
              <w:cnfStyle w:val="000000000000" w:firstRow="0" w:lastRow="0" w:firstColumn="0" w:lastColumn="0" w:oddVBand="0" w:evenVBand="0" w:oddHBand="0" w:evenHBand="0" w:firstRowFirstColumn="0" w:firstRowLastColumn="0" w:lastRowFirstColumn="0" w:lastRowLastColumn="0"/>
              <w:rPr>
                <w:szCs w:val="18"/>
              </w:rPr>
            </w:pPr>
            <w:r w:rsidRPr="009B6AA8">
              <w:rPr>
                <w:szCs w:val="18"/>
              </w:rPr>
              <w:t>-2</w:t>
            </w:r>
          </w:p>
        </w:tc>
      </w:tr>
    </w:tbl>
    <w:p w14:paraId="3538CDE2" w14:textId="70E1FB36" w:rsidR="00231577" w:rsidRDefault="00231577" w:rsidP="00F97C6A">
      <w:pPr>
        <w:pStyle w:val="TableNotes"/>
      </w:pPr>
      <w:bookmarkStart w:id="315" w:name="_Ref56416192"/>
      <w:r w:rsidRPr="00231577">
        <w:t>Baseline – Scoring Key: -3 to 3 (where 1–3 is likely; marginal advantage, moderate advantage, advantage)</w:t>
      </w:r>
    </w:p>
    <w:p w14:paraId="6E394845" w14:textId="254EDAFE" w:rsidR="00A62690" w:rsidRPr="00D65C79" w:rsidRDefault="00A62690" w:rsidP="00F97C6A">
      <w:pPr>
        <w:pStyle w:val="Caption"/>
        <w:rPr>
          <w:rFonts w:asciiTheme="majorHAnsi" w:hAnsiTheme="majorHAnsi"/>
          <w:color w:val="000000" w:themeColor="text1"/>
        </w:rPr>
      </w:pPr>
      <w:r w:rsidRPr="009B6AA8">
        <w:t xml:space="preserve">Figure </w:t>
      </w:r>
      <w:r w:rsidR="007B4ED4" w:rsidRPr="00D65C79">
        <w:fldChar w:fldCharType="begin"/>
      </w:r>
      <w:r w:rsidR="007B4ED4" w:rsidRPr="009B6AA8">
        <w:instrText xml:space="preserve"> STYLEREF 1 \s </w:instrText>
      </w:r>
      <w:r w:rsidR="007B4ED4" w:rsidRPr="00D65C79">
        <w:fldChar w:fldCharType="separate"/>
      </w:r>
      <w:r w:rsidR="007C0448">
        <w:rPr>
          <w:rFonts w:hint="cs"/>
          <w:noProof/>
          <w:cs/>
        </w:rPr>
        <w:t>‎</w:t>
      </w:r>
      <w:r w:rsidR="007C0448">
        <w:rPr>
          <w:noProof/>
        </w:rPr>
        <w:t>9</w:t>
      </w:r>
      <w:r w:rsidR="007B4ED4" w:rsidRPr="00D65C79">
        <w:rPr>
          <w:noProof/>
        </w:rPr>
        <w:fldChar w:fldCharType="end"/>
      </w:r>
      <w:r w:rsidRPr="00D65C79">
        <w:t>.</w:t>
      </w:r>
      <w:r w:rsidR="007B4ED4" w:rsidRPr="00D65C79">
        <w:fldChar w:fldCharType="begin"/>
      </w:r>
      <w:r w:rsidR="007B4ED4" w:rsidRPr="009B6AA8">
        <w:instrText xml:space="preserve"> SEQ Figure \* ARABIC \s 1 </w:instrText>
      </w:r>
      <w:r w:rsidR="007B4ED4" w:rsidRPr="00D65C79">
        <w:fldChar w:fldCharType="separate"/>
      </w:r>
      <w:r w:rsidR="007C0448">
        <w:rPr>
          <w:noProof/>
        </w:rPr>
        <w:t>1</w:t>
      </w:r>
      <w:r w:rsidR="007B4ED4" w:rsidRPr="00D65C79">
        <w:rPr>
          <w:noProof/>
        </w:rPr>
        <w:fldChar w:fldCharType="end"/>
      </w:r>
      <w:bookmarkEnd w:id="315"/>
      <w:r w:rsidRPr="00D65C79">
        <w:t xml:space="preserve">: </w:t>
      </w:r>
      <w:r w:rsidRPr="00F97C6A">
        <w:t>ROHPG</w:t>
      </w:r>
      <w:r w:rsidRPr="00D65C79">
        <w:rPr>
          <w:rFonts w:asciiTheme="majorHAnsi" w:hAnsiTheme="majorHAnsi"/>
          <w:color w:val="000000" w:themeColor="text1"/>
        </w:rPr>
        <w:t xml:space="preserve"> funding mechanism </w:t>
      </w:r>
      <w:r w:rsidR="009A3D17" w:rsidRPr="00D65C79">
        <w:rPr>
          <w:rFonts w:asciiTheme="majorHAnsi" w:hAnsiTheme="majorHAnsi"/>
          <w:color w:val="000000" w:themeColor="text1"/>
        </w:rPr>
        <w:t>trade</w:t>
      </w:r>
      <w:r w:rsidR="009A3D17">
        <w:rPr>
          <w:rFonts w:asciiTheme="majorHAnsi" w:hAnsiTheme="majorHAnsi"/>
          <w:color w:val="000000" w:themeColor="text1"/>
        </w:rPr>
        <w:t>-</w:t>
      </w:r>
      <w:r w:rsidRPr="00D65C79">
        <w:rPr>
          <w:rFonts w:asciiTheme="majorHAnsi" w:hAnsiTheme="majorHAnsi"/>
          <w:color w:val="000000" w:themeColor="text1"/>
        </w:rPr>
        <w:t xml:space="preserve">off analysis </w:t>
      </w:r>
      <w:r w:rsidR="00D857C2">
        <w:rPr>
          <w:rFonts w:asciiTheme="majorHAnsi" w:hAnsiTheme="majorHAnsi"/>
          <w:color w:val="000000" w:themeColor="text1"/>
        </w:rPr>
        <w:t>score</w:t>
      </w:r>
    </w:p>
    <w:p w14:paraId="74CBA0C3" w14:textId="5F8257A4" w:rsidR="00A62690" w:rsidRPr="00D65C79" w:rsidRDefault="00A62690" w:rsidP="00F97C6A">
      <w:r w:rsidRPr="00D65C79">
        <w:rPr>
          <w:noProof/>
          <w:lang w:eastAsia="en-AU"/>
        </w:rPr>
        <w:drawing>
          <wp:inline distT="0" distB="0" distL="0" distR="0" wp14:anchorId="630BA235" wp14:editId="3E22C955">
            <wp:extent cx="6210051" cy="2819400"/>
            <wp:effectExtent l="0" t="0" r="635" b="0"/>
            <wp:docPr id="75" name="Picture 75" descr="Figure 9.1 ROHPG funding mechanism trade-off analysis score -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9.1 ROHPG funding mechanism trade-off analysis score - bar grap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9675" cy="2823769"/>
                    </a:xfrm>
                    <a:prstGeom prst="rect">
                      <a:avLst/>
                    </a:prstGeom>
                    <a:noFill/>
                    <a:ln>
                      <a:noFill/>
                    </a:ln>
                  </pic:spPr>
                </pic:pic>
              </a:graphicData>
            </a:graphic>
          </wp:inline>
        </w:drawing>
      </w:r>
    </w:p>
    <w:p w14:paraId="42E348A2" w14:textId="77777777" w:rsidR="00A62690" w:rsidRPr="005624B2" w:rsidRDefault="00A62690" w:rsidP="005624B2">
      <w:pPr>
        <w:sectPr w:rsidR="00A62690" w:rsidRPr="005624B2" w:rsidSect="001070DC">
          <w:pgSz w:w="16838" w:h="11906" w:orient="landscape" w:code="9"/>
          <w:pgMar w:top="737" w:right="1304" w:bottom="1134" w:left="737" w:header="720" w:footer="510" w:gutter="0"/>
          <w:cols w:space="708"/>
          <w:titlePg/>
          <w:docGrid w:linePitch="360"/>
        </w:sectPr>
      </w:pPr>
    </w:p>
    <w:p w14:paraId="246648FE" w14:textId="1909C1E0" w:rsidR="00A62690" w:rsidRPr="00D65C79" w:rsidRDefault="00A62690" w:rsidP="00DF2D1F">
      <w:pPr>
        <w:pStyle w:val="Heading4"/>
      </w:pPr>
      <w:r w:rsidRPr="00D65C79">
        <w:lastRenderedPageBreak/>
        <w:t xml:space="preserve">Funding </w:t>
      </w:r>
      <w:r w:rsidR="00375E68" w:rsidRPr="00733B81">
        <w:t>m</w:t>
      </w:r>
      <w:r w:rsidRPr="00733B81">
        <w:t>echanism</w:t>
      </w:r>
      <w:r w:rsidRPr="00D65C79">
        <w:t xml:space="preserve"> trade-off analysis scoring rationale</w:t>
      </w:r>
    </w:p>
    <w:p w14:paraId="030AFF76" w14:textId="51ECB7E7" w:rsidR="00A62690" w:rsidRPr="009B6AA8" w:rsidRDefault="00A62690" w:rsidP="00DF2D1F">
      <w:pPr>
        <w:pStyle w:val="Heading5"/>
      </w:pPr>
      <w:r w:rsidRPr="009B6AA8">
        <w:t xml:space="preserve">Baseline: A. ROHPG </w:t>
      </w:r>
      <w:r w:rsidR="001552A7">
        <w:t>c</w:t>
      </w:r>
      <w:r w:rsidR="001552A7" w:rsidRPr="009B6AA8">
        <w:t xml:space="preserve">apital </w:t>
      </w:r>
      <w:r w:rsidR="001552A7">
        <w:t>g</w:t>
      </w:r>
      <w:r w:rsidR="001552A7" w:rsidRPr="009B6AA8">
        <w:t xml:space="preserve">rant </w:t>
      </w:r>
      <w:r w:rsidR="001552A7" w:rsidRPr="00733B81">
        <w:t>scheme</w:t>
      </w:r>
    </w:p>
    <w:p w14:paraId="57F6F468" w14:textId="4D4521F8" w:rsidR="00A62690" w:rsidRPr="009B6AA8" w:rsidRDefault="00A62690" w:rsidP="00A62690">
      <w:r w:rsidRPr="009B6AA8">
        <w:t xml:space="preserve">The ROHPG is an atypical funding mechanism that exists in the context of the prevalence of cancer in Australia, </w:t>
      </w:r>
      <w:r w:rsidR="001B0290">
        <w:t xml:space="preserve">the </w:t>
      </w:r>
      <w:r w:rsidRPr="009B6AA8">
        <w:t xml:space="preserve">importance of radiotherapy for cancer treatment, the impact of access to radiotherapy equipment on utilisation of radiotherapy as a treatment, and the relative high cost of this associated equipment in the delivery of radiotherapy. Of contextual relevance too is the recognition through this </w:t>
      </w:r>
      <w:r w:rsidR="00FD606B">
        <w:t>Scheme</w:t>
      </w:r>
      <w:r w:rsidRPr="009B6AA8">
        <w:t xml:space="preserve"> of the combined importance of the public and private segments of the health sector in provision of radiotherapy treatments to Australian patients.</w:t>
      </w:r>
    </w:p>
    <w:p w14:paraId="227059E0" w14:textId="77777777" w:rsidR="00373EE3" w:rsidRDefault="00A62690" w:rsidP="00A62690">
      <w:r w:rsidRPr="009B6AA8">
        <w:t xml:space="preserve">Under a more typical scenario, </w:t>
      </w:r>
      <w:r w:rsidR="00ED3765">
        <w:t>s</w:t>
      </w:r>
      <w:r w:rsidR="00ED3765" w:rsidRPr="009B6AA8">
        <w:t xml:space="preserve">tate </w:t>
      </w:r>
      <w:r w:rsidRPr="009B6AA8">
        <w:t xml:space="preserve">or </w:t>
      </w:r>
      <w:r w:rsidR="00ED3765">
        <w:t>t</w:t>
      </w:r>
      <w:r w:rsidR="00ED3765" w:rsidRPr="009B6AA8">
        <w:t xml:space="preserve">erritory </w:t>
      </w:r>
      <w:r w:rsidR="00ED3765">
        <w:t>g</w:t>
      </w:r>
      <w:r w:rsidR="00ED3765" w:rsidRPr="009B6AA8">
        <w:t xml:space="preserve">overnment </w:t>
      </w:r>
      <w:r w:rsidRPr="009B6AA8">
        <w:t xml:space="preserve">would be responsible for capital expenditure for public </w:t>
      </w:r>
      <w:r w:rsidR="007A75A8">
        <w:t>facilities</w:t>
      </w:r>
      <w:r w:rsidRPr="009B6AA8">
        <w:t xml:space="preserve"> within their jurisdiction. Private </w:t>
      </w:r>
      <w:r w:rsidR="007A75A8">
        <w:t>facilities</w:t>
      </w:r>
      <w:r w:rsidRPr="009B6AA8">
        <w:t xml:space="preserve"> would follow a pathway to determine the commercial viability of establishing a service through capital investment, based on subsequent reimbursement on activity.</w:t>
      </w:r>
    </w:p>
    <w:p w14:paraId="3F82C963" w14:textId="77777777" w:rsidR="00373EE3" w:rsidRDefault="00A62690" w:rsidP="00A62690">
      <w:r w:rsidRPr="009B6AA8">
        <w:t>Based on the scope of this review, no ‘removal’ of funding option was tested, and the baseline for comparison for other selected mechanisms is the status quo.</w:t>
      </w:r>
    </w:p>
    <w:p w14:paraId="2BC8C0CB" w14:textId="4B34B14E" w:rsidR="00A62690" w:rsidRPr="00DF2D1F" w:rsidRDefault="00A62690" w:rsidP="00DF2D1F">
      <w:pPr>
        <w:pStyle w:val="Heading6"/>
      </w:pPr>
      <w:r w:rsidRPr="009B6AA8">
        <w:t xml:space="preserve">B. Traditional </w:t>
      </w:r>
      <w:r w:rsidR="001552A7">
        <w:t>g</w:t>
      </w:r>
      <w:r w:rsidR="001552A7" w:rsidRPr="009B6AA8">
        <w:t xml:space="preserve">rant </w:t>
      </w:r>
      <w:r w:rsidR="001552A7">
        <w:t>p</w:t>
      </w:r>
      <w:r w:rsidR="001552A7" w:rsidRPr="009B6AA8">
        <w:t>rogram</w:t>
      </w:r>
    </w:p>
    <w:p w14:paraId="75629C52" w14:textId="77777777" w:rsidR="00373EE3" w:rsidRDefault="00A62690" w:rsidP="00A62690">
      <w:r w:rsidRPr="009B6AA8">
        <w:t xml:space="preserve">A more traditional grant program, consistent with other capital grant programs, would include certain advantages. </w:t>
      </w:r>
      <w:r w:rsidR="001B0290">
        <w:t>While</w:t>
      </w:r>
      <w:r w:rsidR="001B0290" w:rsidRPr="009B6AA8">
        <w:t xml:space="preserve"> value</w:t>
      </w:r>
      <w:r w:rsidR="001B0290">
        <w:t>-</w:t>
      </w:r>
      <w:r w:rsidR="001B0290" w:rsidRPr="009B6AA8">
        <w:t>for</w:t>
      </w:r>
      <w:r w:rsidR="001B0290">
        <w:t>-</w:t>
      </w:r>
      <w:r w:rsidRPr="009B6AA8">
        <w:t xml:space="preserve">money considerations </w:t>
      </w:r>
      <w:r w:rsidR="001366CE">
        <w:t>are unlikely to</w:t>
      </w:r>
      <w:r w:rsidRPr="009B6AA8">
        <w:t xml:space="preserve"> be </w:t>
      </w:r>
      <w:r w:rsidR="001B0290" w:rsidRPr="009B6AA8">
        <w:t xml:space="preserve">broadly </w:t>
      </w:r>
      <w:r w:rsidRPr="009B6AA8">
        <w:t xml:space="preserve">impacted, administrative </w:t>
      </w:r>
      <w:r w:rsidRPr="001366CE">
        <w:t xml:space="preserve">efficiency is thought to be </w:t>
      </w:r>
      <w:r w:rsidR="001366CE" w:rsidRPr="001366CE">
        <w:t>possible</w:t>
      </w:r>
      <w:r w:rsidRPr="001366CE">
        <w:t xml:space="preserve">. Grant maintenance would likely be more seamlessly and efficiently manageable through existing centralised grant maintenance and oversight functions. Such a mechanism </w:t>
      </w:r>
      <w:r w:rsidR="001366CE" w:rsidRPr="001366CE">
        <w:t>could</w:t>
      </w:r>
      <w:r w:rsidRPr="001366CE">
        <w:t xml:space="preserve"> present opportunities to introduce outcome-based milestones for funding, which has been noted through this review by some stakeholders as being </w:t>
      </w:r>
      <w:r w:rsidR="001B0290" w:rsidRPr="001366CE">
        <w:t>absent</w:t>
      </w:r>
      <w:r w:rsidRPr="001366CE">
        <w:t xml:space="preserve"> in the current arrangement. This may provide an additional lever to ensure </w:t>
      </w:r>
      <w:r w:rsidR="00D65C79" w:rsidRPr="001366CE">
        <w:t>quality and</w:t>
      </w:r>
      <w:r w:rsidRPr="001366CE">
        <w:t xml:space="preserve"> provide greater flexibility to </w:t>
      </w:r>
      <w:r w:rsidR="00ED3765" w:rsidRPr="001366CE">
        <w:t>government</w:t>
      </w:r>
      <w:r w:rsidRPr="001366CE">
        <w:t xml:space="preserve">. Conversely, this would </w:t>
      </w:r>
      <w:r w:rsidR="001366CE" w:rsidRPr="001366CE">
        <w:t xml:space="preserve">potentially </w:t>
      </w:r>
      <w:r w:rsidRPr="001366CE">
        <w:t xml:space="preserve">make it more challenging for </w:t>
      </w:r>
      <w:r w:rsidR="007A75A8" w:rsidRPr="001366CE">
        <w:t>facilities</w:t>
      </w:r>
      <w:r w:rsidRPr="001366CE">
        <w:t xml:space="preserve">/funding recipients to forecast ongoing </w:t>
      </w:r>
      <w:proofErr w:type="spellStart"/>
      <w:r w:rsidRPr="001366CE">
        <w:t>cashflow</w:t>
      </w:r>
      <w:proofErr w:type="spellEnd"/>
      <w:r w:rsidRPr="001366CE">
        <w:t xml:space="preserve">. </w:t>
      </w:r>
      <w:r w:rsidR="00CC60F3" w:rsidRPr="001366CE">
        <w:t>Due to grandfathering, t</w:t>
      </w:r>
      <w:r w:rsidRPr="001366CE">
        <w:t xml:space="preserve">here would be a </w:t>
      </w:r>
      <w:r w:rsidR="000E434D" w:rsidRPr="001366CE">
        <w:t xml:space="preserve">need for </w:t>
      </w:r>
      <w:r w:rsidRPr="001366CE">
        <w:t xml:space="preserve">an immediate parallel administrative process capturing the funding already provided and administered through the scheme, </w:t>
      </w:r>
      <w:r w:rsidR="000E434D" w:rsidRPr="001366CE">
        <w:t xml:space="preserve">while </w:t>
      </w:r>
      <w:r w:rsidRPr="001366CE">
        <w:t>any new funding under the new arrangement</w:t>
      </w:r>
      <w:r w:rsidR="000E434D" w:rsidRPr="001366CE">
        <w:t xml:space="preserve"> is capture in a separate administrative process</w:t>
      </w:r>
      <w:r w:rsidRPr="001366CE">
        <w:t xml:space="preserve">. This would mean that any administrative efficiency gain would have a long lead time. A traditional grant program </w:t>
      </w:r>
      <w:r w:rsidR="001366CE" w:rsidRPr="001366CE">
        <w:t xml:space="preserve">unlikely to </w:t>
      </w:r>
      <w:r w:rsidRPr="001366CE">
        <w:t xml:space="preserve">match the funding cycle predictability of the ROHPG </w:t>
      </w:r>
      <w:r w:rsidR="00FD606B" w:rsidRPr="001366CE">
        <w:t>Scheme</w:t>
      </w:r>
      <w:r w:rsidRPr="001366CE">
        <w:t>, and therefore there is a chance of lesser alignment with future industry trends and technological advances.</w:t>
      </w:r>
    </w:p>
    <w:p w14:paraId="3905A4DE" w14:textId="1774C2D1" w:rsidR="00A62690" w:rsidRPr="001366CE" w:rsidRDefault="00A62690" w:rsidP="00DF2D1F">
      <w:pPr>
        <w:pStyle w:val="Heading6"/>
      </w:pPr>
      <w:r w:rsidRPr="001366CE">
        <w:t xml:space="preserve">C. Incorporation or </w:t>
      </w:r>
      <w:r w:rsidR="001552A7" w:rsidRPr="001366CE">
        <w:t xml:space="preserve">linkage </w:t>
      </w:r>
      <w:r w:rsidRPr="001366CE">
        <w:t>to Medicare Benefits Schedule</w:t>
      </w:r>
    </w:p>
    <w:p w14:paraId="0F3E498B" w14:textId="77777777" w:rsidR="00373EE3" w:rsidRDefault="00A62690" w:rsidP="00A62690">
      <w:r w:rsidRPr="001366CE">
        <w:t xml:space="preserve">Incorporation into the MBS would provide potential administrative efficiencies for </w:t>
      </w:r>
      <w:r w:rsidR="00ED3765" w:rsidRPr="001366CE">
        <w:t>government</w:t>
      </w:r>
      <w:r w:rsidRPr="001366CE">
        <w:t xml:space="preserve">, but considerable additional forecasting and administrative burden for funding recipients. There is likely a disadvantageous impact on equity of service through reverting to this funding mechanism, given the connection to throughput. There would likely also be a disparity of timing between site specific replacement cycles and timing of funding receipt. There may also be additional costs to </w:t>
      </w:r>
      <w:r w:rsidR="00ED3765" w:rsidRPr="001366CE">
        <w:t xml:space="preserve">government </w:t>
      </w:r>
      <w:r w:rsidRPr="001366CE">
        <w:t xml:space="preserve">over time, given the non-capped nature of the mechanism, at the same as inadequate funding to </w:t>
      </w:r>
      <w:r w:rsidR="007A75A8" w:rsidRPr="001366CE">
        <w:t>facilities</w:t>
      </w:r>
      <w:r w:rsidRPr="001366CE">
        <w:t xml:space="preserve"> due to rebate proportions and unpredictable </w:t>
      </w:r>
      <w:proofErr w:type="spellStart"/>
      <w:r w:rsidRPr="001366CE">
        <w:t>cashflow</w:t>
      </w:r>
      <w:proofErr w:type="spellEnd"/>
      <w:r w:rsidRPr="001366CE">
        <w:t>.</w:t>
      </w:r>
    </w:p>
    <w:p w14:paraId="1EA55948" w14:textId="6313F22B" w:rsidR="00A62690" w:rsidRPr="00DF2D1F" w:rsidRDefault="00A62690" w:rsidP="00DF2D1F">
      <w:pPr>
        <w:pStyle w:val="Heading6"/>
      </w:pPr>
      <w:r w:rsidRPr="001366CE">
        <w:t xml:space="preserve">D. Funding via </w:t>
      </w:r>
      <w:r w:rsidR="001552A7" w:rsidRPr="001366CE">
        <w:t>state</w:t>
      </w:r>
      <w:r w:rsidRPr="001366CE">
        <w:t>/</w:t>
      </w:r>
      <w:r w:rsidR="001552A7" w:rsidRPr="001366CE">
        <w:t>territory jurisdiction</w:t>
      </w:r>
    </w:p>
    <w:p w14:paraId="5DE57F38" w14:textId="77777777" w:rsidR="00373EE3" w:rsidRDefault="00A62690" w:rsidP="00A62690">
      <w:r w:rsidRPr="001366CE">
        <w:t xml:space="preserve">Provision of funding via a mechanism whereby funds are directly provided to </w:t>
      </w:r>
      <w:r w:rsidR="00450FD5" w:rsidRPr="001366CE">
        <w:t>state</w:t>
      </w:r>
      <w:r w:rsidRPr="001366CE">
        <w:t>/</w:t>
      </w:r>
      <w:r w:rsidR="00450FD5" w:rsidRPr="001366CE">
        <w:t xml:space="preserve">territory </w:t>
      </w:r>
      <w:r w:rsidRPr="001366CE">
        <w:t xml:space="preserve">jurisdiction would present the </w:t>
      </w:r>
      <w:r w:rsidR="001366CE" w:rsidRPr="001366CE">
        <w:t xml:space="preserve">potential </w:t>
      </w:r>
      <w:r w:rsidRPr="001366CE">
        <w:t>advantage of administrative efficiency to the Department, though this would likely shift administrative burden elsewhere. State/</w:t>
      </w:r>
      <w:r w:rsidR="00450FD5" w:rsidRPr="001366CE">
        <w:t xml:space="preserve">territory </w:t>
      </w:r>
      <w:r w:rsidRPr="001366CE">
        <w:t>jurisdictions</w:t>
      </w:r>
      <w:r w:rsidR="00450FD5" w:rsidRPr="001366CE">
        <w:t>,</w:t>
      </w:r>
      <w:r w:rsidRPr="001366CE">
        <w:t xml:space="preserve"> however</w:t>
      </w:r>
      <w:r w:rsidR="00450FD5" w:rsidRPr="001366CE">
        <w:t>,</w:t>
      </w:r>
      <w:r w:rsidRPr="001366CE">
        <w:t xml:space="preserve"> would likely benefit from the ability to align </w:t>
      </w:r>
      <w:r w:rsidR="00A945C8" w:rsidRPr="001366CE">
        <w:t xml:space="preserve">radiotherapy </w:t>
      </w:r>
      <w:r w:rsidRPr="001366CE">
        <w:t>capital funding with broader state/territory integrated cancer planning lifecycles, which are currently typically misaligned</w:t>
      </w:r>
      <w:r w:rsidRPr="009B6AA8">
        <w:t>. In contra</w:t>
      </w:r>
      <w:r w:rsidR="00DE37A2">
        <w:t>st</w:t>
      </w:r>
      <w:r w:rsidRPr="009B6AA8">
        <w:t xml:space="preserve">, service provision equity </w:t>
      </w:r>
      <w:r w:rsidR="001366CE">
        <w:t>may</w:t>
      </w:r>
      <w:r w:rsidRPr="009B6AA8">
        <w:t xml:space="preserve"> be disadvantageously impacted, given the implicit loss of funding to private </w:t>
      </w:r>
      <w:r w:rsidR="007A75A8">
        <w:t>facilities</w:t>
      </w:r>
      <w:r w:rsidRPr="009B6AA8">
        <w:t xml:space="preserve">, unless this was achieved through a separate parallel mechanism (thereby losing the administrative efficiency gained). There may also potentially be greater variation in service provision and baseline </w:t>
      </w:r>
      <w:proofErr w:type="spellStart"/>
      <w:r w:rsidRPr="009B6AA8">
        <w:t>linac</w:t>
      </w:r>
      <w:proofErr w:type="spellEnd"/>
      <w:r w:rsidRPr="009B6AA8">
        <w:t xml:space="preserve"> age across Australia as a result of jurisdictional variation in capital and service planning.</w:t>
      </w:r>
    </w:p>
    <w:p w14:paraId="7D720C97" w14:textId="63981EE1" w:rsidR="00A62690" w:rsidRPr="00DF2D1F" w:rsidRDefault="00A62690" w:rsidP="00DF2D1F">
      <w:pPr>
        <w:pStyle w:val="Heading6"/>
      </w:pPr>
      <w:r w:rsidRPr="009B6AA8">
        <w:t xml:space="preserve">E. Traditional </w:t>
      </w:r>
      <w:r w:rsidR="001552A7">
        <w:t>l</w:t>
      </w:r>
      <w:r w:rsidR="001552A7" w:rsidRPr="009B6AA8">
        <w:t xml:space="preserve">ending </w:t>
      </w:r>
      <w:r w:rsidR="001552A7">
        <w:t>a</w:t>
      </w:r>
      <w:r w:rsidR="001552A7" w:rsidRPr="009B6AA8">
        <w:t>greement</w:t>
      </w:r>
    </w:p>
    <w:p w14:paraId="1B5A047A" w14:textId="020EB8F9" w:rsidR="00A62690" w:rsidRPr="009B6AA8" w:rsidRDefault="00A62690" w:rsidP="00A62690">
      <w:r w:rsidRPr="009B6AA8">
        <w:t xml:space="preserve">A traditional lending agreement could be attractive to </w:t>
      </w:r>
      <w:r w:rsidR="00ED3765">
        <w:t>g</w:t>
      </w:r>
      <w:r w:rsidR="00ED3765" w:rsidRPr="009B6AA8">
        <w:t xml:space="preserve">overnment </w:t>
      </w:r>
      <w:r w:rsidRPr="009B6AA8">
        <w:t xml:space="preserve">if a reduction in overall expenditure is sought. There are added benefits of the ability to introduce more contingent conditions to funding, or interest rate concessions based on factors such as quality, efficiency or other desired outcomes. Such a mechanism would be considerably disruptive however, and unlikely to be supported by </w:t>
      </w:r>
      <w:r w:rsidR="00C62BBC">
        <w:t>facility</w:t>
      </w:r>
      <w:r w:rsidRPr="009B6AA8">
        <w:t xml:space="preserve"> or other industry stakeholders. It is hypothesised that there would be risk to quality, equity, and misalignment with broader government priorities given the specific objectives of the </w:t>
      </w:r>
      <w:r w:rsidR="00FD606B">
        <w:t>Scheme</w:t>
      </w:r>
      <w:r w:rsidRPr="009B6AA8">
        <w:t>. There would likely be considerable additional administrative burden.</w:t>
      </w:r>
    </w:p>
    <w:p w14:paraId="676A8D77" w14:textId="29A1EF1E" w:rsidR="00A62690" w:rsidRPr="00DF2D1F" w:rsidRDefault="00A62690" w:rsidP="00DF2D1F">
      <w:pPr>
        <w:pStyle w:val="Heading6"/>
      </w:pPr>
      <w:r w:rsidRPr="009B6AA8">
        <w:t xml:space="preserve">F. Market </w:t>
      </w:r>
      <w:r w:rsidR="00254E55">
        <w:t>b</w:t>
      </w:r>
      <w:r w:rsidR="00254E55" w:rsidRPr="009B6AA8">
        <w:t xml:space="preserve">ased </w:t>
      </w:r>
      <w:r w:rsidR="00254E55">
        <w:t>s</w:t>
      </w:r>
      <w:r w:rsidR="00254E55" w:rsidRPr="009B6AA8">
        <w:t>ubsidy</w:t>
      </w:r>
    </w:p>
    <w:p w14:paraId="03C1E4EE" w14:textId="77777777" w:rsidR="00373EE3" w:rsidRDefault="00A62690" w:rsidP="00A62690">
      <w:pPr>
        <w:spacing w:after="0" w:line="240" w:lineRule="atLeast"/>
        <w:ind w:left="57" w:right="57"/>
        <w:rPr>
          <w:rFonts w:ascii="Garamond" w:hAnsi="Garamond" w:cs="Times New Roman"/>
          <w:color w:val="000000" w:themeColor="text1"/>
          <w:szCs w:val="20"/>
        </w:rPr>
      </w:pPr>
      <w:r w:rsidRPr="009B6AA8">
        <w:rPr>
          <w:rFonts w:ascii="Garamond" w:hAnsi="Garamond" w:cs="Times New Roman"/>
          <w:color w:val="000000" w:themeColor="text1"/>
          <w:szCs w:val="20"/>
        </w:rPr>
        <w:t>A funding arrangement whereby the manufacturer, research institute, or adjacent entity (servicing agent, software production entity, cloud hosting environment provider</w:t>
      </w:r>
      <w:r w:rsidR="00DF54FF">
        <w:rPr>
          <w:rFonts w:ascii="Garamond" w:hAnsi="Garamond" w:cs="Times New Roman"/>
          <w:color w:val="000000" w:themeColor="text1"/>
          <w:szCs w:val="20"/>
        </w:rPr>
        <w:t>,</w:t>
      </w:r>
      <w:r w:rsidRPr="009B6AA8">
        <w:rPr>
          <w:rFonts w:ascii="Garamond" w:hAnsi="Garamond" w:cs="Times New Roman"/>
          <w:color w:val="000000" w:themeColor="text1"/>
          <w:szCs w:val="20"/>
        </w:rPr>
        <w:t xml:space="preserve"> etc.) partly subsidises the ROHPG contribution, which later attracts a rebate (as is assumed in this analysis), may be complex to administer. There may be expenditure benefit for </w:t>
      </w:r>
      <w:r w:rsidR="00ED3765">
        <w:rPr>
          <w:rFonts w:ascii="Garamond" w:hAnsi="Garamond" w:cs="Times New Roman"/>
          <w:color w:val="000000" w:themeColor="text1"/>
          <w:szCs w:val="20"/>
        </w:rPr>
        <w:t>g</w:t>
      </w:r>
      <w:r w:rsidR="00ED3765" w:rsidRPr="009B6AA8">
        <w:rPr>
          <w:rFonts w:ascii="Garamond" w:hAnsi="Garamond" w:cs="Times New Roman"/>
          <w:color w:val="000000" w:themeColor="text1"/>
          <w:szCs w:val="20"/>
        </w:rPr>
        <w:t>overnment</w:t>
      </w:r>
      <w:r w:rsidRPr="009B6AA8">
        <w:rPr>
          <w:rFonts w:ascii="Garamond" w:hAnsi="Garamond" w:cs="Times New Roman"/>
          <w:color w:val="000000" w:themeColor="text1"/>
          <w:szCs w:val="20"/>
        </w:rPr>
        <w:t>, based on the time value of money (TVM</w:t>
      </w:r>
      <w:r w:rsidRPr="00D65C79">
        <w:rPr>
          <w:rFonts w:ascii="Garamond" w:hAnsi="Garamond" w:cs="Times New Roman"/>
          <w:color w:val="000000" w:themeColor="text1"/>
          <w:szCs w:val="20"/>
        </w:rPr>
        <w:t>) and greater initial private/other contribution to up</w:t>
      </w:r>
      <w:r w:rsidRPr="009B6AA8">
        <w:rPr>
          <w:rFonts w:ascii="Garamond" w:hAnsi="Garamond" w:cs="Times New Roman"/>
          <w:color w:val="000000" w:themeColor="text1"/>
          <w:szCs w:val="20"/>
        </w:rPr>
        <w:t xml:space="preserve">-front costs. In addition, it is hypothesised that such a mechanism could enhance international competitiveness </w:t>
      </w:r>
      <w:r w:rsidR="00A27CFB">
        <w:rPr>
          <w:rFonts w:ascii="Garamond" w:hAnsi="Garamond" w:cs="Times New Roman"/>
          <w:color w:val="000000" w:themeColor="text1"/>
          <w:szCs w:val="20"/>
        </w:rPr>
        <w:t>by</w:t>
      </w:r>
      <w:r w:rsidRPr="009B6AA8">
        <w:rPr>
          <w:rFonts w:ascii="Garamond" w:hAnsi="Garamond" w:cs="Times New Roman"/>
          <w:color w:val="000000" w:themeColor="text1"/>
          <w:szCs w:val="20"/>
        </w:rPr>
        <w:t xml:space="preserve"> </w:t>
      </w:r>
      <w:r w:rsidR="00A27CFB">
        <w:rPr>
          <w:rFonts w:ascii="Garamond" w:hAnsi="Garamond" w:cs="Times New Roman"/>
          <w:color w:val="000000" w:themeColor="text1"/>
          <w:szCs w:val="20"/>
        </w:rPr>
        <w:t>preventing</w:t>
      </w:r>
      <w:r w:rsidR="00A27CFB" w:rsidRPr="009B6AA8">
        <w:rPr>
          <w:rFonts w:ascii="Garamond" w:hAnsi="Garamond" w:cs="Times New Roman"/>
          <w:color w:val="000000" w:themeColor="text1"/>
          <w:szCs w:val="20"/>
        </w:rPr>
        <w:t xml:space="preserve"> </w:t>
      </w:r>
      <w:r w:rsidRPr="009B6AA8">
        <w:rPr>
          <w:rFonts w:ascii="Garamond" w:hAnsi="Garamond" w:cs="Times New Roman"/>
          <w:color w:val="000000" w:themeColor="text1"/>
          <w:szCs w:val="20"/>
        </w:rPr>
        <w:t xml:space="preserve">market distortion. This hypothesis has not been tested in detail in this review. </w:t>
      </w:r>
      <w:r w:rsidRPr="009B6AA8">
        <w:rPr>
          <w:rFonts w:ascii="Garamond" w:hAnsi="Garamond" w:cs="Times New Roman"/>
          <w:color w:val="000000" w:themeColor="text1"/>
          <w:szCs w:val="20"/>
        </w:rPr>
        <w:lastRenderedPageBreak/>
        <w:t>There may be disincentives to manufacturers</w:t>
      </w:r>
      <w:r w:rsidR="00DF54FF">
        <w:rPr>
          <w:rFonts w:ascii="Garamond" w:hAnsi="Garamond" w:cs="Times New Roman"/>
          <w:color w:val="000000" w:themeColor="text1"/>
          <w:szCs w:val="20"/>
        </w:rPr>
        <w:t>,</w:t>
      </w:r>
      <w:r w:rsidRPr="009B6AA8">
        <w:rPr>
          <w:rFonts w:ascii="Garamond" w:hAnsi="Garamond" w:cs="Times New Roman"/>
          <w:color w:val="000000" w:themeColor="text1"/>
          <w:szCs w:val="20"/>
        </w:rPr>
        <w:t xml:space="preserve"> however, which may be detrimental to the ability to keep up with novel technologies and treatment paradigms. Further disadvantages of this mechanism largely relate to preservation of equity, given that partnerships with research institutes are not currently evenly distributed. Appetite for market stakeholders to participate will vary based on the commercial circumstances of individual treatment sites. It is unlikely that stakeholder sentiment would be favourable towards this more complex and market driven mechanism, given the unpredictability and lack of influence that may accompany.</w:t>
      </w:r>
    </w:p>
    <w:p w14:paraId="170FBCC0" w14:textId="484E6D3F" w:rsidR="00A62690" w:rsidRPr="00DF2D1F" w:rsidRDefault="00A62690" w:rsidP="00DF2D1F">
      <w:pPr>
        <w:pStyle w:val="Heading6"/>
      </w:pPr>
      <w:r w:rsidRPr="009B6AA8">
        <w:t xml:space="preserve">G. Hybrid </w:t>
      </w:r>
      <w:r w:rsidR="001552A7">
        <w:t>m</w:t>
      </w:r>
      <w:r w:rsidR="001552A7" w:rsidRPr="009B6AA8">
        <w:t xml:space="preserve">odel </w:t>
      </w:r>
      <w:r w:rsidRPr="009B6AA8">
        <w:t xml:space="preserve">of </w:t>
      </w:r>
      <w:r w:rsidR="001552A7">
        <w:t>f</w:t>
      </w:r>
      <w:r w:rsidR="001552A7" w:rsidRPr="009B6AA8">
        <w:t>unding</w:t>
      </w:r>
    </w:p>
    <w:p w14:paraId="2184AE3D" w14:textId="79F2317D" w:rsidR="00A62690" w:rsidRPr="00A018D6" w:rsidRDefault="00A62690" w:rsidP="00A018D6">
      <w:pPr>
        <w:spacing w:after="0" w:line="240" w:lineRule="atLeast"/>
        <w:ind w:left="57" w:right="57"/>
        <w:rPr>
          <w:rFonts w:ascii="Garamond" w:hAnsi="Garamond" w:cs="Times New Roman"/>
          <w:color w:val="000000" w:themeColor="text1"/>
          <w:szCs w:val="20"/>
        </w:rPr>
      </w:pPr>
      <w:r w:rsidRPr="009B6AA8">
        <w:rPr>
          <w:rFonts w:ascii="Garamond" w:hAnsi="Garamond" w:cs="Times New Roman"/>
          <w:color w:val="000000" w:themeColor="text1"/>
          <w:szCs w:val="20"/>
        </w:rPr>
        <w:t>A hybrid funding mechanism whereby the existing funding is separated into two sections, with the first being a lump sum capital contribution, and the second attracting a contingent quality associated funding incentive, or penalty, may incentivise quality. Here, the criteria that determine a successful application at o</w:t>
      </w:r>
      <w:r w:rsidR="004E0EE7">
        <w:rPr>
          <w:rFonts w:ascii="Garamond" w:hAnsi="Garamond" w:cs="Times New Roman"/>
          <w:color w:val="000000" w:themeColor="text1"/>
          <w:szCs w:val="20"/>
        </w:rPr>
        <w:t>ut</w:t>
      </w:r>
      <w:r w:rsidRPr="009B6AA8">
        <w:rPr>
          <w:rFonts w:ascii="Garamond" w:hAnsi="Garamond" w:cs="Times New Roman"/>
          <w:color w:val="000000" w:themeColor="text1"/>
          <w:szCs w:val="20"/>
        </w:rPr>
        <w:t xml:space="preserve">set are used throughout the lifecycle of funding as value-based milestones to release additional payments. There is likely </w:t>
      </w:r>
      <w:r w:rsidR="00DF54FF">
        <w:rPr>
          <w:rFonts w:ascii="Garamond" w:hAnsi="Garamond" w:cs="Times New Roman"/>
          <w:color w:val="000000" w:themeColor="text1"/>
          <w:szCs w:val="20"/>
        </w:rPr>
        <w:t xml:space="preserve">to </w:t>
      </w:r>
      <w:r w:rsidRPr="009B6AA8">
        <w:rPr>
          <w:rFonts w:ascii="Garamond" w:hAnsi="Garamond" w:cs="Times New Roman"/>
          <w:color w:val="000000" w:themeColor="text1"/>
          <w:szCs w:val="20"/>
        </w:rPr>
        <w:t xml:space="preserve">be additional cost to </w:t>
      </w:r>
      <w:r w:rsidR="00ED3765">
        <w:rPr>
          <w:rFonts w:ascii="Garamond" w:hAnsi="Garamond" w:cs="Times New Roman"/>
          <w:color w:val="000000" w:themeColor="text1"/>
          <w:szCs w:val="20"/>
        </w:rPr>
        <w:t>g</w:t>
      </w:r>
      <w:r w:rsidR="00ED3765" w:rsidRPr="009B6AA8">
        <w:rPr>
          <w:rFonts w:ascii="Garamond" w:hAnsi="Garamond" w:cs="Times New Roman"/>
          <w:color w:val="000000" w:themeColor="text1"/>
          <w:szCs w:val="20"/>
        </w:rPr>
        <w:t>overnment</w:t>
      </w:r>
      <w:r w:rsidRPr="009B6AA8">
        <w:rPr>
          <w:rFonts w:ascii="Garamond" w:hAnsi="Garamond" w:cs="Times New Roman"/>
          <w:color w:val="000000" w:themeColor="text1"/>
          <w:szCs w:val="20"/>
        </w:rPr>
        <w:t xml:space="preserve">, net of any penalty cash inflow. There may be additional costs to </w:t>
      </w:r>
      <w:r w:rsidR="007A75A8">
        <w:rPr>
          <w:rFonts w:ascii="Garamond" w:hAnsi="Garamond" w:cs="Times New Roman"/>
          <w:color w:val="000000" w:themeColor="text1"/>
          <w:szCs w:val="20"/>
        </w:rPr>
        <w:t>facilities</w:t>
      </w:r>
      <w:r w:rsidRPr="009B6AA8">
        <w:rPr>
          <w:rFonts w:ascii="Garamond" w:hAnsi="Garamond" w:cs="Times New Roman"/>
          <w:color w:val="000000" w:themeColor="text1"/>
          <w:szCs w:val="20"/>
        </w:rPr>
        <w:t xml:space="preserve"> to cover shortfalls through borrowing. Removal of the current single lump sum structure is likely to disadvantage some </w:t>
      </w:r>
      <w:r w:rsidR="007A75A8">
        <w:rPr>
          <w:rFonts w:ascii="Garamond" w:hAnsi="Garamond" w:cs="Times New Roman"/>
          <w:color w:val="000000" w:themeColor="text1"/>
          <w:szCs w:val="20"/>
        </w:rPr>
        <w:t>facilities</w:t>
      </w:r>
      <w:r w:rsidRPr="009B6AA8">
        <w:rPr>
          <w:rFonts w:ascii="Garamond" w:hAnsi="Garamond" w:cs="Times New Roman"/>
          <w:color w:val="000000" w:themeColor="text1"/>
          <w:szCs w:val="20"/>
        </w:rPr>
        <w:t xml:space="preserve"> more over others, and generally be contrary to stakeholder sentiment. There would likely also be considerable additional administrative burden to the Department.</w:t>
      </w:r>
    </w:p>
    <w:p w14:paraId="628C8574" w14:textId="77777777" w:rsidR="00373EE3" w:rsidRDefault="00375E68" w:rsidP="00DF2D1F">
      <w:pPr>
        <w:pStyle w:val="Heading4"/>
      </w:pPr>
      <w:r>
        <w:t>F</w:t>
      </w:r>
      <w:r w:rsidR="00A62690" w:rsidRPr="009B6AA8">
        <w:t>indings of the trade-off analysis</w:t>
      </w:r>
    </w:p>
    <w:p w14:paraId="4BB77EE2" w14:textId="77777777" w:rsidR="00373EE3" w:rsidRDefault="00A62690" w:rsidP="00A62690">
      <w:pPr>
        <w:spacing w:after="0" w:line="240" w:lineRule="atLeast"/>
        <w:ind w:left="57" w:right="57"/>
      </w:pPr>
      <w:r w:rsidRPr="009B6AA8">
        <w:rPr>
          <w:rFonts w:ascii="Garamond" w:hAnsi="Garamond" w:cs="Times New Roman"/>
          <w:color w:val="000000" w:themeColor="text1"/>
          <w:szCs w:val="20"/>
        </w:rPr>
        <w:t>The trade-off analysis did not find any of the alternative mechanisms to be more advantageous than the status quo, in their entirety. Additional administrative efficiency is suggested</w:t>
      </w:r>
      <w:r w:rsidR="00DF54FF">
        <w:rPr>
          <w:rFonts w:ascii="Garamond" w:hAnsi="Garamond" w:cs="Times New Roman"/>
          <w:color w:val="000000" w:themeColor="text1"/>
          <w:szCs w:val="20"/>
        </w:rPr>
        <w:t>,</w:t>
      </w:r>
      <w:r w:rsidRPr="009B6AA8">
        <w:rPr>
          <w:rFonts w:ascii="Garamond" w:hAnsi="Garamond" w:cs="Times New Roman"/>
          <w:color w:val="000000" w:themeColor="text1"/>
          <w:szCs w:val="20"/>
        </w:rPr>
        <w:t xml:space="preserve"> however</w:t>
      </w:r>
      <w:r w:rsidR="00DF54FF">
        <w:rPr>
          <w:rFonts w:ascii="Garamond" w:hAnsi="Garamond" w:cs="Times New Roman"/>
          <w:color w:val="000000" w:themeColor="text1"/>
          <w:szCs w:val="20"/>
        </w:rPr>
        <w:t>,</w:t>
      </w:r>
      <w:r w:rsidRPr="009B6AA8">
        <w:rPr>
          <w:rFonts w:ascii="Garamond" w:hAnsi="Garamond" w:cs="Times New Roman"/>
          <w:color w:val="000000" w:themeColor="text1"/>
          <w:szCs w:val="20"/>
        </w:rPr>
        <w:t xml:space="preserve"> through a more traditional grant program mechanism, or funding via </w:t>
      </w:r>
      <w:r w:rsidR="00DF54FF">
        <w:rPr>
          <w:rFonts w:ascii="Garamond" w:hAnsi="Garamond" w:cs="Times New Roman"/>
          <w:color w:val="000000" w:themeColor="text1"/>
          <w:szCs w:val="20"/>
        </w:rPr>
        <w:t>s</w:t>
      </w:r>
      <w:r w:rsidR="00DF54FF" w:rsidRPr="009B6AA8">
        <w:rPr>
          <w:rFonts w:ascii="Garamond" w:hAnsi="Garamond" w:cs="Times New Roman"/>
          <w:color w:val="000000" w:themeColor="text1"/>
          <w:szCs w:val="20"/>
        </w:rPr>
        <w:t>tate</w:t>
      </w:r>
      <w:r w:rsidRPr="009B6AA8">
        <w:rPr>
          <w:rFonts w:ascii="Garamond" w:hAnsi="Garamond" w:cs="Times New Roman"/>
          <w:color w:val="000000" w:themeColor="text1"/>
          <w:szCs w:val="20"/>
        </w:rPr>
        <w:t>/</w:t>
      </w:r>
      <w:r w:rsidR="00DF54FF">
        <w:rPr>
          <w:rFonts w:ascii="Garamond" w:hAnsi="Garamond" w:cs="Times New Roman"/>
          <w:color w:val="000000" w:themeColor="text1"/>
          <w:szCs w:val="20"/>
        </w:rPr>
        <w:t>t</w:t>
      </w:r>
      <w:r w:rsidR="00DF54FF" w:rsidRPr="009B6AA8">
        <w:rPr>
          <w:rFonts w:ascii="Garamond" w:hAnsi="Garamond" w:cs="Times New Roman"/>
          <w:color w:val="000000" w:themeColor="text1"/>
          <w:szCs w:val="20"/>
        </w:rPr>
        <w:t xml:space="preserve">erritory </w:t>
      </w:r>
      <w:r w:rsidRPr="009B6AA8">
        <w:rPr>
          <w:rFonts w:ascii="Garamond" w:hAnsi="Garamond" w:cs="Times New Roman"/>
          <w:color w:val="000000" w:themeColor="text1"/>
          <w:szCs w:val="20"/>
        </w:rPr>
        <w:t xml:space="preserve">jurisdiction. Both of these funding mechanisms offer further potential benefit in terms of quality. </w:t>
      </w:r>
      <w:r w:rsidR="005B4254" w:rsidRPr="009B6AA8">
        <w:t>The Department may wish to examine ways to enhance integration with state/territory capital funds for cancer services. This will depend on the appetite for change and desire regarding the ongoing overall funding quantum for the program.</w:t>
      </w:r>
    </w:p>
    <w:p w14:paraId="3C2648E6" w14:textId="43E88EB5" w:rsidR="00036908" w:rsidRPr="009B6AA8" w:rsidRDefault="00036908" w:rsidP="008C0AA9">
      <w:r w:rsidRPr="009B6AA8">
        <w:br w:type="page"/>
      </w:r>
    </w:p>
    <w:p w14:paraId="17AC876E" w14:textId="1AE06F11" w:rsidR="0010422E" w:rsidRPr="009B6AA8" w:rsidRDefault="00733B81" w:rsidP="00DF2D1F">
      <w:pPr>
        <w:pStyle w:val="Heading3"/>
      </w:pPr>
      <w:bookmarkStart w:id="316" w:name="_Ref56382817"/>
      <w:bookmarkStart w:id="317" w:name="_Ref56382837"/>
      <w:bookmarkStart w:id="318" w:name="_Toc59198514"/>
      <w:bookmarkStart w:id="319" w:name="_Toc66193995"/>
      <w:bookmarkStart w:id="320" w:name="_Toc73696723"/>
      <w:bookmarkStart w:id="321" w:name="_Ref56181257"/>
      <w:r>
        <w:lastRenderedPageBreak/>
        <w:t xml:space="preserve">Appendix C </w:t>
      </w:r>
      <w:r w:rsidR="00375E68">
        <w:t>G</w:t>
      </w:r>
      <w:r w:rsidR="0010422E" w:rsidRPr="009B6AA8">
        <w:t xml:space="preserve">rowth and distribution of </w:t>
      </w:r>
      <w:proofErr w:type="spellStart"/>
      <w:r w:rsidR="0010422E" w:rsidRPr="009B6AA8">
        <w:t>linac</w:t>
      </w:r>
      <w:proofErr w:type="spellEnd"/>
      <w:r w:rsidR="0010422E" w:rsidRPr="009B6AA8">
        <w:t xml:space="preserve"> numbers in A</w:t>
      </w:r>
      <w:r w:rsidR="00FE6D8C">
        <w:t>u</w:t>
      </w:r>
      <w:r w:rsidR="0010422E" w:rsidRPr="009B6AA8">
        <w:t>stralia</w:t>
      </w:r>
      <w:bookmarkEnd w:id="316"/>
      <w:bookmarkEnd w:id="317"/>
      <w:bookmarkEnd w:id="318"/>
      <w:bookmarkEnd w:id="319"/>
      <w:bookmarkEnd w:id="320"/>
    </w:p>
    <w:p w14:paraId="59094599" w14:textId="77777777" w:rsidR="00373EE3" w:rsidRDefault="007518C8" w:rsidP="0010422E">
      <w:r>
        <w:t>In 2019</w:t>
      </w:r>
      <w:r w:rsidR="005B6959">
        <w:t>–</w:t>
      </w:r>
      <w:r>
        <w:t xml:space="preserve">20 there were 202 </w:t>
      </w:r>
      <w:proofErr w:type="spellStart"/>
      <w:r>
        <w:t>linacs</w:t>
      </w:r>
      <w:proofErr w:type="spellEnd"/>
      <w:r>
        <w:t xml:space="preserve"> approved for ROHPG funding. Of these 186 were classed as active, 13 were decommissioned during the year and three were not yet operational, see </w:t>
      </w:r>
      <w:r>
        <w:fldChar w:fldCharType="begin"/>
      </w:r>
      <w:r>
        <w:instrText xml:space="preserve"> REF _Ref58425195 \h </w:instrText>
      </w:r>
      <w:r>
        <w:fldChar w:fldCharType="separate"/>
      </w:r>
      <w:r w:rsidR="007C0448">
        <w:t xml:space="preserve">Table </w:t>
      </w:r>
      <w:r w:rsidR="007C0448">
        <w:rPr>
          <w:rFonts w:hint="cs"/>
          <w:noProof/>
          <w:cs/>
        </w:rPr>
        <w:t>‎</w:t>
      </w:r>
      <w:r w:rsidR="007C0448">
        <w:rPr>
          <w:noProof/>
        </w:rPr>
        <w:t>9</w:t>
      </w:r>
      <w:r w:rsidR="007C0448">
        <w:t>.</w:t>
      </w:r>
      <w:r w:rsidR="007C0448">
        <w:rPr>
          <w:noProof/>
        </w:rPr>
        <w:t>4</w:t>
      </w:r>
      <w:r>
        <w:fldChar w:fldCharType="end"/>
      </w:r>
      <w:r>
        <w:t>.</w:t>
      </w:r>
    </w:p>
    <w:p w14:paraId="42CC3AB7" w14:textId="598B88BB" w:rsidR="007518C8" w:rsidRPr="00E06173" w:rsidRDefault="007518C8" w:rsidP="007518C8">
      <w:pPr>
        <w:pStyle w:val="Caption"/>
      </w:pPr>
      <w:bookmarkStart w:id="322" w:name="_Ref58425195"/>
      <w:r>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9</w:t>
      </w:r>
      <w:r w:rsidR="004B24F3">
        <w:rPr>
          <w:noProof/>
        </w:rPr>
        <w:fldChar w:fldCharType="end"/>
      </w:r>
      <w:r>
        <w:t>.</w:t>
      </w:r>
      <w:r w:rsidR="004B24F3">
        <w:fldChar w:fldCharType="begin"/>
      </w:r>
      <w:r w:rsidR="004B24F3">
        <w:instrText xml:space="preserve"> SEQ Table \* ARABIC \s 1 </w:instrText>
      </w:r>
      <w:r w:rsidR="004B24F3">
        <w:fldChar w:fldCharType="separate"/>
      </w:r>
      <w:r w:rsidR="007C0448">
        <w:rPr>
          <w:noProof/>
        </w:rPr>
        <w:t>4</w:t>
      </w:r>
      <w:r w:rsidR="004B24F3">
        <w:rPr>
          <w:noProof/>
        </w:rPr>
        <w:fldChar w:fldCharType="end"/>
      </w:r>
      <w:bookmarkEnd w:id="322"/>
      <w:r>
        <w:t xml:space="preserve">: </w:t>
      </w:r>
      <w:proofErr w:type="spellStart"/>
      <w:r w:rsidRPr="00E06173">
        <w:t>Linacs</w:t>
      </w:r>
      <w:proofErr w:type="spellEnd"/>
      <w:r w:rsidRPr="00E06173">
        <w:t xml:space="preserve"> approved for ROHPG funding in 2019-20 </w:t>
      </w:r>
    </w:p>
    <w:tbl>
      <w:tblPr>
        <w:tblStyle w:val="HMATableA"/>
        <w:tblW w:w="0" w:type="auto"/>
        <w:tblInd w:w="-5" w:type="dxa"/>
        <w:tblLook w:val="06A0" w:firstRow="1" w:lastRow="0" w:firstColumn="1" w:lastColumn="0" w:noHBand="1" w:noVBand="1"/>
        <w:tblDescription w:val="Table 9.4 Linacs approved for ROHPG funding in 2019-20. This table shows a number of active, decommissioned and not-yet-operational linacs approved for ROHPG funding in 2019-20."/>
      </w:tblPr>
      <w:tblGrid>
        <w:gridCol w:w="1666"/>
        <w:gridCol w:w="1316"/>
      </w:tblGrid>
      <w:tr w:rsidR="007518C8" w:rsidRPr="006529A6" w14:paraId="6E5970C8" w14:textId="77777777" w:rsidTr="006529A6">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9CDAEA4" w14:textId="33CDF321" w:rsidR="007518C8" w:rsidRPr="006529A6" w:rsidRDefault="006529A6" w:rsidP="006529A6">
            <w:pPr>
              <w:pStyle w:val="TableHeading"/>
              <w:spacing w:after="0"/>
            </w:pPr>
            <w:proofErr w:type="spellStart"/>
            <w:r w:rsidRPr="006529A6">
              <w:t>Linacs</w:t>
            </w:r>
            <w:proofErr w:type="spellEnd"/>
            <w:r w:rsidRPr="006529A6">
              <w:t xml:space="preserve"> status</w:t>
            </w:r>
          </w:p>
        </w:tc>
        <w:tc>
          <w:tcPr>
            <w:tcW w:w="1316" w:type="dxa"/>
            <w:noWrap/>
            <w:vAlign w:val="center"/>
            <w:hideMark/>
          </w:tcPr>
          <w:p w14:paraId="02B17EC8" w14:textId="7D5286CE" w:rsidR="007518C8" w:rsidRPr="006529A6" w:rsidRDefault="007518C8" w:rsidP="006529A6">
            <w:pPr>
              <w:pStyle w:val="TableHeading"/>
              <w:spacing w:after="0"/>
              <w:cnfStyle w:val="100000000000" w:firstRow="1" w:lastRow="0" w:firstColumn="0" w:lastColumn="0" w:oddVBand="0" w:evenVBand="0" w:oddHBand="0" w:evenHBand="0" w:firstRowFirstColumn="0" w:firstRowLastColumn="0" w:lastRowFirstColumn="0" w:lastRowLastColumn="0"/>
            </w:pPr>
            <w:r w:rsidRPr="006529A6">
              <w:t>Number</w:t>
            </w:r>
          </w:p>
        </w:tc>
      </w:tr>
      <w:tr w:rsidR="007518C8" w:rsidRPr="007518C8" w14:paraId="5134BADB" w14:textId="77777777" w:rsidTr="006529A6">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848965A" w14:textId="77777777" w:rsidR="007518C8" w:rsidRPr="006529A6" w:rsidRDefault="007518C8" w:rsidP="006529A6">
            <w:pPr>
              <w:pStyle w:val="Tabletext"/>
            </w:pPr>
            <w:r w:rsidRPr="006529A6">
              <w:t>Active</w:t>
            </w:r>
          </w:p>
        </w:tc>
        <w:tc>
          <w:tcPr>
            <w:tcW w:w="1316" w:type="dxa"/>
            <w:noWrap/>
            <w:hideMark/>
          </w:tcPr>
          <w:p w14:paraId="13BCE89E" w14:textId="77777777" w:rsidR="007518C8" w:rsidRPr="007518C8" w:rsidRDefault="007518C8" w:rsidP="006529A6">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7518C8">
              <w:rPr>
                <w:lang w:eastAsia="zh-CN"/>
              </w:rPr>
              <w:t>186</w:t>
            </w:r>
          </w:p>
        </w:tc>
      </w:tr>
      <w:tr w:rsidR="007518C8" w:rsidRPr="007518C8" w14:paraId="584EB8B6" w14:textId="77777777" w:rsidTr="006529A6">
        <w:trPr>
          <w:trHeight w:val="261"/>
        </w:trPr>
        <w:tc>
          <w:tcPr>
            <w:cnfStyle w:val="001000000000" w:firstRow="0" w:lastRow="0" w:firstColumn="1" w:lastColumn="0" w:oddVBand="0" w:evenVBand="0" w:oddHBand="0" w:evenHBand="0" w:firstRowFirstColumn="0" w:firstRowLastColumn="0" w:lastRowFirstColumn="0" w:lastRowLastColumn="0"/>
            <w:tcW w:w="0" w:type="auto"/>
            <w:noWrap/>
            <w:hideMark/>
          </w:tcPr>
          <w:p w14:paraId="6EF14C02" w14:textId="77777777" w:rsidR="007518C8" w:rsidRPr="006529A6" w:rsidRDefault="007518C8" w:rsidP="006529A6">
            <w:pPr>
              <w:pStyle w:val="Tabletext"/>
            </w:pPr>
            <w:r w:rsidRPr="006529A6">
              <w:t xml:space="preserve">Decommissioned </w:t>
            </w:r>
          </w:p>
        </w:tc>
        <w:tc>
          <w:tcPr>
            <w:tcW w:w="1316" w:type="dxa"/>
            <w:noWrap/>
            <w:hideMark/>
          </w:tcPr>
          <w:p w14:paraId="39FDCA82" w14:textId="77777777" w:rsidR="007518C8" w:rsidRPr="007518C8" w:rsidRDefault="007518C8" w:rsidP="006529A6">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7518C8">
              <w:rPr>
                <w:lang w:eastAsia="zh-CN"/>
              </w:rPr>
              <w:t>13</w:t>
            </w:r>
          </w:p>
        </w:tc>
      </w:tr>
      <w:tr w:rsidR="007518C8" w:rsidRPr="007518C8" w14:paraId="064DFB66" w14:textId="77777777" w:rsidTr="006529A6">
        <w:trPr>
          <w:trHeight w:val="137"/>
        </w:trPr>
        <w:tc>
          <w:tcPr>
            <w:cnfStyle w:val="001000000000" w:firstRow="0" w:lastRow="0" w:firstColumn="1" w:lastColumn="0" w:oddVBand="0" w:evenVBand="0" w:oddHBand="0" w:evenHBand="0" w:firstRowFirstColumn="0" w:firstRowLastColumn="0" w:lastRowFirstColumn="0" w:lastRowLastColumn="0"/>
            <w:tcW w:w="0" w:type="auto"/>
            <w:noWrap/>
            <w:hideMark/>
          </w:tcPr>
          <w:p w14:paraId="5F111600" w14:textId="4AB34B38" w:rsidR="007518C8" w:rsidRPr="006529A6" w:rsidRDefault="007518C8" w:rsidP="006529A6">
            <w:pPr>
              <w:pStyle w:val="Tabletext"/>
            </w:pPr>
            <w:r w:rsidRPr="006529A6">
              <w:t xml:space="preserve">Not yet </w:t>
            </w:r>
            <w:r w:rsidR="00582E84" w:rsidRPr="006529A6">
              <w:t>operational</w:t>
            </w:r>
          </w:p>
        </w:tc>
        <w:tc>
          <w:tcPr>
            <w:tcW w:w="1316" w:type="dxa"/>
            <w:noWrap/>
            <w:hideMark/>
          </w:tcPr>
          <w:p w14:paraId="2D85EFD1" w14:textId="77777777" w:rsidR="007518C8" w:rsidRPr="007518C8" w:rsidRDefault="007518C8" w:rsidP="006529A6">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7518C8">
              <w:rPr>
                <w:lang w:eastAsia="zh-CN"/>
              </w:rPr>
              <w:t>3</w:t>
            </w:r>
          </w:p>
        </w:tc>
      </w:tr>
      <w:tr w:rsidR="007518C8" w:rsidRPr="007518C8" w14:paraId="7BDE3C4D" w14:textId="77777777" w:rsidTr="006529A6">
        <w:trPr>
          <w:trHeight w:val="311"/>
        </w:trPr>
        <w:tc>
          <w:tcPr>
            <w:cnfStyle w:val="001000000000" w:firstRow="0" w:lastRow="0" w:firstColumn="1" w:lastColumn="0" w:oddVBand="0" w:evenVBand="0" w:oddHBand="0" w:evenHBand="0" w:firstRowFirstColumn="0" w:firstRowLastColumn="0" w:lastRowFirstColumn="0" w:lastRowLastColumn="0"/>
            <w:tcW w:w="0" w:type="auto"/>
            <w:noWrap/>
            <w:hideMark/>
          </w:tcPr>
          <w:p w14:paraId="78B21CB1" w14:textId="77777777" w:rsidR="007518C8" w:rsidRPr="007518C8" w:rsidRDefault="007518C8" w:rsidP="007518C8">
            <w:pPr>
              <w:spacing w:after="0"/>
              <w:rPr>
                <w:rFonts w:ascii="Calibri" w:eastAsia="Times New Roman" w:hAnsi="Calibri" w:cs="Calibri"/>
                <w:spacing w:val="0"/>
                <w:lang w:eastAsia="zh-CN"/>
              </w:rPr>
            </w:pPr>
            <w:r w:rsidRPr="007518C8">
              <w:rPr>
                <w:rFonts w:ascii="Calibri" w:eastAsia="Times New Roman" w:hAnsi="Calibri" w:cs="Calibri"/>
                <w:spacing w:val="0"/>
                <w:lang w:eastAsia="zh-CN"/>
              </w:rPr>
              <w:t xml:space="preserve">Total </w:t>
            </w:r>
          </w:p>
        </w:tc>
        <w:tc>
          <w:tcPr>
            <w:tcW w:w="1316" w:type="dxa"/>
            <w:noWrap/>
            <w:hideMark/>
          </w:tcPr>
          <w:p w14:paraId="6403ABAF" w14:textId="77777777" w:rsidR="007518C8" w:rsidRPr="007518C8" w:rsidRDefault="007518C8" w:rsidP="007518C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pacing w:val="0"/>
                <w:lang w:eastAsia="zh-CN"/>
              </w:rPr>
            </w:pPr>
            <w:r w:rsidRPr="007518C8">
              <w:rPr>
                <w:rFonts w:ascii="Calibri" w:eastAsia="Times New Roman" w:hAnsi="Calibri" w:cs="Calibri"/>
                <w:spacing w:val="0"/>
                <w:lang w:eastAsia="zh-CN"/>
              </w:rPr>
              <w:t>202</w:t>
            </w:r>
          </w:p>
        </w:tc>
      </w:tr>
    </w:tbl>
    <w:p w14:paraId="3DEBA7BF" w14:textId="77777777" w:rsidR="00373EE3" w:rsidRDefault="0010422E" w:rsidP="007518C8">
      <w:pPr>
        <w:spacing w:before="240"/>
      </w:pPr>
      <w:r w:rsidRPr="009B6AA8">
        <w:t>In 2019</w:t>
      </w:r>
      <w:r w:rsidR="00E61AD5" w:rsidRPr="009B6AA8">
        <w:t>–</w:t>
      </w:r>
      <w:r w:rsidRPr="009B6AA8">
        <w:t>20, there were an estimated 20</w:t>
      </w:r>
      <w:r w:rsidR="00A91E09">
        <w:t>0</w:t>
      </w:r>
      <w:r w:rsidRPr="009B6AA8">
        <w:t xml:space="preserve"> active </w:t>
      </w:r>
      <w:proofErr w:type="spellStart"/>
      <w:r w:rsidRPr="009B6AA8">
        <w:t>linacs</w:t>
      </w:r>
      <w:proofErr w:type="spellEnd"/>
      <w:r w:rsidRPr="009B6AA8">
        <w:t xml:space="preserve"> across Australia, </w:t>
      </w:r>
      <w:r w:rsidR="000257F5">
        <w:t>9</w:t>
      </w:r>
      <w:r w:rsidR="007518C8">
        <w:t>3</w:t>
      </w:r>
      <w:r w:rsidR="000257F5">
        <w:t xml:space="preserve">% </w:t>
      </w:r>
      <w:r w:rsidRPr="009B6AA8">
        <w:t>(n=</w:t>
      </w:r>
      <w:r w:rsidR="000257F5">
        <w:t>1</w:t>
      </w:r>
      <w:r w:rsidR="00A91E09">
        <w:t>8</w:t>
      </w:r>
      <w:r w:rsidR="007518C8">
        <w:t>6</w:t>
      </w:r>
      <w:r w:rsidRPr="009B6AA8">
        <w:t xml:space="preserve">) of which were currently </w:t>
      </w:r>
      <w:r w:rsidR="000257F5">
        <w:t xml:space="preserve">or previously </w:t>
      </w:r>
      <w:r w:rsidRPr="009B6AA8">
        <w:t xml:space="preserve">funded </w:t>
      </w:r>
      <w:r w:rsidRPr="003919B5">
        <w:t xml:space="preserve">under the ROHPG </w:t>
      </w:r>
      <w:r w:rsidR="00FD606B">
        <w:t>Scheme</w:t>
      </w:r>
      <w:r w:rsidRPr="003919B5">
        <w:t xml:space="preserve">, see </w:t>
      </w:r>
      <w:r w:rsidR="005B6959" w:rsidRPr="003919B5">
        <w:fldChar w:fldCharType="begin"/>
      </w:r>
      <w:r w:rsidR="005B6959" w:rsidRPr="003919B5">
        <w:instrText xml:space="preserve"> REF _Ref56156461 \h </w:instrText>
      </w:r>
      <w:r w:rsidR="005B6959">
        <w:instrText xml:space="preserve"> \* MERGEFORMAT </w:instrText>
      </w:r>
      <w:r w:rsidR="005B6959" w:rsidRPr="003919B5">
        <w:fldChar w:fldCharType="separate"/>
      </w:r>
      <w:r w:rsidR="007C0448" w:rsidRPr="003919B5">
        <w:t>Table</w:t>
      </w:r>
      <w:r w:rsidR="007C0448" w:rsidRPr="003919B5">
        <w:rPr>
          <w:noProof/>
        </w:rPr>
        <w:t xml:space="preserve"> </w:t>
      </w:r>
      <w:r w:rsidR="007C0448">
        <w:rPr>
          <w:rFonts w:hint="cs"/>
          <w:noProof/>
          <w:cs/>
        </w:rPr>
        <w:t>‎</w:t>
      </w:r>
      <w:r w:rsidR="007C0448">
        <w:rPr>
          <w:noProof/>
        </w:rPr>
        <w:t>9.5</w:t>
      </w:r>
      <w:r w:rsidR="005B6959" w:rsidRPr="003919B5">
        <w:fldChar w:fldCharType="end"/>
      </w:r>
      <w:r w:rsidRPr="003919B5">
        <w:t>.</w:t>
      </w:r>
    </w:p>
    <w:p w14:paraId="7A7C1937" w14:textId="231A2AE0" w:rsidR="0010422E" w:rsidRPr="00E06173" w:rsidRDefault="0010422E" w:rsidP="002E0B6C">
      <w:pPr>
        <w:pStyle w:val="Caption"/>
      </w:pPr>
      <w:bookmarkStart w:id="323" w:name="_Ref56156461"/>
      <w:r w:rsidRPr="003919B5">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9</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5</w:t>
      </w:r>
      <w:r w:rsidR="004B24F3">
        <w:rPr>
          <w:noProof/>
        </w:rPr>
        <w:fldChar w:fldCharType="end"/>
      </w:r>
      <w:bookmarkEnd w:id="323"/>
      <w:r w:rsidRPr="003919B5">
        <w:t xml:space="preserve">: </w:t>
      </w:r>
      <w:r w:rsidRPr="00E06173">
        <w:t xml:space="preserve">No. of </w:t>
      </w:r>
      <w:proofErr w:type="spellStart"/>
      <w:r w:rsidRPr="00E06173">
        <w:t>linacs</w:t>
      </w:r>
      <w:proofErr w:type="spellEnd"/>
      <w:r w:rsidRPr="00E06173">
        <w:t xml:space="preserve"> in Australia by jurisdiction, 2019</w:t>
      </w:r>
      <w:r w:rsidR="00E61AD5" w:rsidRPr="00E06173">
        <w:t>–</w:t>
      </w:r>
      <w:r w:rsidRPr="00E06173">
        <w:t>20</w:t>
      </w:r>
    </w:p>
    <w:tbl>
      <w:tblPr>
        <w:tblStyle w:val="HMATableA"/>
        <w:tblW w:w="0" w:type="auto"/>
        <w:tblInd w:w="-5" w:type="dxa"/>
        <w:tblLook w:val="06A0" w:firstRow="1" w:lastRow="0" w:firstColumn="1" w:lastColumn="0" w:noHBand="1" w:noVBand="1"/>
        <w:tblDescription w:val="Table 9.5 Number of linacs in Australia by jurisdiction, 2019-20. This table shows all private and public linacs previously and currently funded by ROHPG, by state."/>
      </w:tblPr>
      <w:tblGrid>
        <w:gridCol w:w="614"/>
        <w:gridCol w:w="2460"/>
        <w:gridCol w:w="672"/>
        <w:gridCol w:w="866"/>
        <w:gridCol w:w="2334"/>
        <w:gridCol w:w="927"/>
        <w:gridCol w:w="797"/>
        <w:gridCol w:w="1370"/>
      </w:tblGrid>
      <w:tr w:rsidR="00121A57" w:rsidRPr="00231577" w14:paraId="79EC3E5F" w14:textId="77777777" w:rsidTr="0055680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876B06" w14:textId="4E62A2B0" w:rsidR="00231577" w:rsidRPr="00231577" w:rsidRDefault="00231577" w:rsidP="006529A6">
            <w:pPr>
              <w:pStyle w:val="TableHeading"/>
              <w:spacing w:after="0"/>
            </w:pPr>
            <w:r w:rsidRPr="00231577">
              <w:t>State</w:t>
            </w:r>
          </w:p>
        </w:tc>
        <w:tc>
          <w:tcPr>
            <w:tcW w:w="0" w:type="auto"/>
            <w:noWrap/>
            <w:vAlign w:val="center"/>
            <w:hideMark/>
          </w:tcPr>
          <w:p w14:paraId="0192DD01" w14:textId="77777777" w:rsidR="00231577" w:rsidRPr="00231577" w:rsidRDefault="00231577" w:rsidP="006529A6">
            <w:pPr>
              <w:pStyle w:val="TableHeading"/>
              <w:spacing w:after="0"/>
              <w:cnfStyle w:val="100000000000" w:firstRow="1" w:lastRow="0" w:firstColumn="0" w:lastColumn="0" w:oddVBand="0" w:evenVBand="0" w:oddHBand="0" w:evenHBand="0" w:firstRowFirstColumn="0" w:firstRowLastColumn="0" w:lastRowFirstColumn="0" w:lastRowLastColumn="0"/>
            </w:pPr>
            <w:r w:rsidRPr="00231577">
              <w:t>ROHPG capital balance &gt;$0</w:t>
            </w:r>
          </w:p>
        </w:tc>
        <w:tc>
          <w:tcPr>
            <w:tcW w:w="0" w:type="auto"/>
            <w:vAlign w:val="center"/>
          </w:tcPr>
          <w:p w14:paraId="7A351E0A" w14:textId="77777777" w:rsidR="00231577" w:rsidRPr="00231577" w:rsidRDefault="00231577" w:rsidP="006529A6">
            <w:pPr>
              <w:pStyle w:val="TableHeading"/>
              <w:spacing w:after="0"/>
              <w:cnfStyle w:val="100000000000" w:firstRow="1" w:lastRow="0" w:firstColumn="0" w:lastColumn="0" w:oddVBand="0" w:evenVBand="0" w:oddHBand="0" w:evenHBand="0" w:firstRowFirstColumn="0" w:firstRowLastColumn="0" w:lastRowFirstColumn="0" w:lastRowLastColumn="0"/>
            </w:pPr>
          </w:p>
        </w:tc>
        <w:tc>
          <w:tcPr>
            <w:tcW w:w="0" w:type="auto"/>
            <w:vAlign w:val="center"/>
          </w:tcPr>
          <w:p w14:paraId="0EB2E20C" w14:textId="0F63C540" w:rsidR="00231577" w:rsidRPr="00231577" w:rsidRDefault="00231577" w:rsidP="006529A6">
            <w:pPr>
              <w:pStyle w:val="TableHeading"/>
              <w:spacing w:after="0"/>
              <w:cnfStyle w:val="100000000000" w:firstRow="1" w:lastRow="0" w:firstColumn="0" w:lastColumn="0" w:oddVBand="0" w:evenVBand="0" w:oddHBand="0" w:evenHBand="0" w:firstRowFirstColumn="0" w:firstRowLastColumn="0" w:lastRowFirstColumn="0" w:lastRowLastColumn="0"/>
            </w:pPr>
          </w:p>
        </w:tc>
        <w:tc>
          <w:tcPr>
            <w:tcW w:w="0" w:type="auto"/>
            <w:noWrap/>
            <w:vAlign w:val="center"/>
            <w:hideMark/>
          </w:tcPr>
          <w:p w14:paraId="5CDCA61C" w14:textId="77777777" w:rsidR="00231577" w:rsidRPr="00231577" w:rsidRDefault="00231577" w:rsidP="006529A6">
            <w:pPr>
              <w:pStyle w:val="TableHeading"/>
              <w:spacing w:after="0"/>
              <w:cnfStyle w:val="100000000000" w:firstRow="1" w:lastRow="0" w:firstColumn="0" w:lastColumn="0" w:oddVBand="0" w:evenVBand="0" w:oddHBand="0" w:evenHBand="0" w:firstRowFirstColumn="0" w:firstRowLastColumn="0" w:lastRowFirstColumn="0" w:lastRowLastColumn="0"/>
            </w:pPr>
            <w:r w:rsidRPr="00231577">
              <w:t>Previously ROHPG funded</w:t>
            </w:r>
          </w:p>
        </w:tc>
        <w:tc>
          <w:tcPr>
            <w:tcW w:w="0" w:type="auto"/>
            <w:vAlign w:val="center"/>
          </w:tcPr>
          <w:p w14:paraId="002E7DC0" w14:textId="14069C1C" w:rsidR="00231577" w:rsidRPr="00231577" w:rsidRDefault="00231577" w:rsidP="006529A6">
            <w:pPr>
              <w:pStyle w:val="TableHeading"/>
              <w:spacing w:after="0"/>
              <w:cnfStyle w:val="100000000000" w:firstRow="1" w:lastRow="0" w:firstColumn="0" w:lastColumn="0" w:oddVBand="0" w:evenVBand="0" w:oddHBand="0" w:evenHBand="0" w:firstRowFirstColumn="0" w:firstRowLastColumn="0" w:lastRowFirstColumn="0" w:lastRowLastColumn="0"/>
            </w:pPr>
            <w:r w:rsidRPr="00231577">
              <w:t>All ROHPG</w:t>
            </w:r>
          </w:p>
        </w:tc>
        <w:tc>
          <w:tcPr>
            <w:tcW w:w="0" w:type="auto"/>
            <w:vAlign w:val="center"/>
          </w:tcPr>
          <w:p w14:paraId="2E8AC7D1" w14:textId="1D206E27" w:rsidR="00231577" w:rsidRPr="00231577" w:rsidRDefault="00231577" w:rsidP="006529A6">
            <w:pPr>
              <w:pStyle w:val="TableHeading"/>
              <w:spacing w:after="0"/>
              <w:cnfStyle w:val="100000000000" w:firstRow="1" w:lastRow="0" w:firstColumn="0" w:lastColumn="0" w:oddVBand="0" w:evenVBand="0" w:oddHBand="0" w:evenHBand="0" w:firstRowFirstColumn="0" w:firstRowLastColumn="0" w:lastRowFirstColumn="0" w:lastRowLastColumn="0"/>
            </w:pPr>
            <w:r w:rsidRPr="00231577">
              <w:t xml:space="preserve">All </w:t>
            </w:r>
            <w:proofErr w:type="spellStart"/>
            <w:r w:rsidRPr="00231577">
              <w:t>linacs</w:t>
            </w:r>
            <w:proofErr w:type="spellEnd"/>
            <w:r w:rsidRPr="00231577">
              <w:t>*</w:t>
            </w:r>
          </w:p>
        </w:tc>
        <w:tc>
          <w:tcPr>
            <w:tcW w:w="0" w:type="auto"/>
            <w:vAlign w:val="center"/>
          </w:tcPr>
          <w:p w14:paraId="103FC81A" w14:textId="41B3ECA8" w:rsidR="00231577" w:rsidRPr="00231577" w:rsidRDefault="00231577" w:rsidP="006529A6">
            <w:pPr>
              <w:pStyle w:val="TableHeading"/>
              <w:spacing w:after="0"/>
              <w:cnfStyle w:val="100000000000" w:firstRow="1" w:lastRow="0" w:firstColumn="0" w:lastColumn="0" w:oddVBand="0" w:evenVBand="0" w:oddHBand="0" w:evenHBand="0" w:firstRowFirstColumn="0" w:firstRowLastColumn="0" w:lastRowFirstColumn="0" w:lastRowLastColumn="0"/>
            </w:pPr>
            <w:r w:rsidRPr="00231577">
              <w:t xml:space="preserve">% of </w:t>
            </w:r>
            <w:proofErr w:type="spellStart"/>
            <w:r w:rsidRPr="00231577">
              <w:t>linacs</w:t>
            </w:r>
            <w:proofErr w:type="spellEnd"/>
            <w:r w:rsidRPr="00231577">
              <w:t xml:space="preserve"> funded by ROHPG</w:t>
            </w:r>
          </w:p>
        </w:tc>
      </w:tr>
      <w:tr w:rsidR="00121A57" w:rsidRPr="00231577" w14:paraId="49524E96" w14:textId="77777777" w:rsidTr="00556800">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721B3CD" w14:textId="77777777" w:rsidR="00231577" w:rsidRPr="00231577" w:rsidRDefault="00231577" w:rsidP="006529A6">
            <w:pPr>
              <w:pStyle w:val="Tabletext"/>
            </w:pPr>
          </w:p>
        </w:tc>
        <w:tc>
          <w:tcPr>
            <w:tcW w:w="0" w:type="auto"/>
            <w:noWrap/>
            <w:hideMark/>
          </w:tcPr>
          <w:p w14:paraId="62FBB1E3" w14:textId="77777777" w:rsidR="00231577" w:rsidRPr="00231577" w:rsidRDefault="00231577" w:rsidP="006529A6">
            <w:pPr>
              <w:pStyle w:val="Tabletext"/>
              <w:cnfStyle w:val="000000000000" w:firstRow="0" w:lastRow="0" w:firstColumn="0" w:lastColumn="0" w:oddVBand="0" w:evenVBand="0" w:oddHBand="0" w:evenHBand="0" w:firstRowFirstColumn="0" w:firstRowLastColumn="0" w:lastRowFirstColumn="0" w:lastRowLastColumn="0"/>
              <w:rPr>
                <w:bCs/>
              </w:rPr>
            </w:pPr>
            <w:r w:rsidRPr="00231577">
              <w:rPr>
                <w:bCs/>
              </w:rPr>
              <w:t>Private</w:t>
            </w:r>
          </w:p>
        </w:tc>
        <w:tc>
          <w:tcPr>
            <w:tcW w:w="0" w:type="auto"/>
            <w:noWrap/>
            <w:hideMark/>
          </w:tcPr>
          <w:p w14:paraId="6CE43963" w14:textId="77777777" w:rsidR="00231577" w:rsidRPr="00231577" w:rsidRDefault="00231577" w:rsidP="006529A6">
            <w:pPr>
              <w:pStyle w:val="Tabletext"/>
              <w:cnfStyle w:val="000000000000" w:firstRow="0" w:lastRow="0" w:firstColumn="0" w:lastColumn="0" w:oddVBand="0" w:evenVBand="0" w:oddHBand="0" w:evenHBand="0" w:firstRowFirstColumn="0" w:firstRowLastColumn="0" w:lastRowFirstColumn="0" w:lastRowLastColumn="0"/>
              <w:rPr>
                <w:bCs/>
              </w:rPr>
            </w:pPr>
            <w:r w:rsidRPr="00231577">
              <w:rPr>
                <w:bCs/>
              </w:rPr>
              <w:t>Public</w:t>
            </w:r>
          </w:p>
        </w:tc>
        <w:tc>
          <w:tcPr>
            <w:tcW w:w="0" w:type="auto"/>
            <w:noWrap/>
            <w:hideMark/>
          </w:tcPr>
          <w:p w14:paraId="0A7A88B3" w14:textId="77777777" w:rsidR="00231577" w:rsidRPr="00231577" w:rsidRDefault="00231577" w:rsidP="006529A6">
            <w:pPr>
              <w:pStyle w:val="Tabletext"/>
              <w:cnfStyle w:val="000000000000" w:firstRow="0" w:lastRow="0" w:firstColumn="0" w:lastColumn="0" w:oddVBand="0" w:evenVBand="0" w:oddHBand="0" w:evenHBand="0" w:firstRowFirstColumn="0" w:firstRowLastColumn="0" w:lastRowFirstColumn="0" w:lastRowLastColumn="0"/>
              <w:rPr>
                <w:bCs/>
              </w:rPr>
            </w:pPr>
            <w:r w:rsidRPr="00231577">
              <w:rPr>
                <w:bCs/>
              </w:rPr>
              <w:t xml:space="preserve">sub-total </w:t>
            </w:r>
          </w:p>
        </w:tc>
        <w:tc>
          <w:tcPr>
            <w:tcW w:w="0" w:type="auto"/>
            <w:noWrap/>
            <w:hideMark/>
          </w:tcPr>
          <w:p w14:paraId="12EB7280" w14:textId="77777777" w:rsidR="00231577" w:rsidRPr="00231577" w:rsidRDefault="00231577" w:rsidP="006529A6">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6D944634" w14:textId="2AF9F5AF" w:rsidR="00231577" w:rsidRPr="00231577" w:rsidRDefault="00231577" w:rsidP="006529A6">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6C563173" w14:textId="77777777" w:rsidR="00231577" w:rsidRPr="00231577" w:rsidRDefault="00231577" w:rsidP="006529A6">
            <w:pPr>
              <w:pStyle w:val="Tabletext"/>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2B1B171C" w14:textId="6AB73EA7" w:rsidR="00231577" w:rsidRPr="00231577" w:rsidRDefault="00231577" w:rsidP="006529A6">
            <w:pPr>
              <w:pStyle w:val="Tabletext"/>
              <w:cnfStyle w:val="000000000000" w:firstRow="0" w:lastRow="0" w:firstColumn="0" w:lastColumn="0" w:oddVBand="0" w:evenVBand="0" w:oddHBand="0" w:evenHBand="0" w:firstRowFirstColumn="0" w:firstRowLastColumn="0" w:lastRowFirstColumn="0" w:lastRowLastColumn="0"/>
            </w:pPr>
          </w:p>
        </w:tc>
      </w:tr>
      <w:tr w:rsidR="007B225B" w:rsidRPr="0079376F" w14:paraId="0FF38104" w14:textId="77777777" w:rsidTr="0079376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4950A09D" w14:textId="079E2C75" w:rsidR="007B225B" w:rsidRPr="0079376F" w:rsidRDefault="007B225B" w:rsidP="006529A6">
            <w:pPr>
              <w:pStyle w:val="Tabletext"/>
              <w:rPr>
                <w:rFonts w:ascii="Calibri" w:hAnsi="Calibri" w:cs="Calibri"/>
                <w:szCs w:val="20"/>
              </w:rPr>
            </w:pPr>
            <w:r w:rsidRPr="0079376F">
              <w:rPr>
                <w:rFonts w:ascii="Calibri" w:hAnsi="Calibri" w:cs="Calibri"/>
                <w:szCs w:val="20"/>
              </w:rPr>
              <w:t>ACT</w:t>
            </w:r>
          </w:p>
        </w:tc>
        <w:tc>
          <w:tcPr>
            <w:tcW w:w="0" w:type="auto"/>
            <w:noWrap/>
            <w:vAlign w:val="center"/>
          </w:tcPr>
          <w:p w14:paraId="352E7DBA" w14:textId="5A1C3C79" w:rsidR="007B225B" w:rsidRPr="0079376F" w:rsidRDefault="007B225B"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w:t>
            </w:r>
          </w:p>
        </w:tc>
        <w:tc>
          <w:tcPr>
            <w:tcW w:w="0" w:type="auto"/>
            <w:noWrap/>
            <w:vAlign w:val="center"/>
          </w:tcPr>
          <w:p w14:paraId="539A287A" w14:textId="523A37AB" w:rsidR="007B225B" w:rsidRPr="0079376F" w:rsidRDefault="007B225B"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3</w:t>
            </w:r>
          </w:p>
        </w:tc>
        <w:tc>
          <w:tcPr>
            <w:tcW w:w="0" w:type="auto"/>
            <w:noWrap/>
            <w:vAlign w:val="center"/>
          </w:tcPr>
          <w:p w14:paraId="5C0FBD57" w14:textId="1E7679C2" w:rsidR="007B225B" w:rsidRPr="0079376F" w:rsidRDefault="007B225B"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4</w:t>
            </w:r>
          </w:p>
        </w:tc>
        <w:tc>
          <w:tcPr>
            <w:tcW w:w="0" w:type="auto"/>
            <w:noWrap/>
            <w:vAlign w:val="center"/>
          </w:tcPr>
          <w:p w14:paraId="62DF9775" w14:textId="4229CAC3" w:rsidR="007B225B" w:rsidRPr="0079376F" w:rsidRDefault="007B225B"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0</w:t>
            </w:r>
          </w:p>
        </w:tc>
        <w:tc>
          <w:tcPr>
            <w:tcW w:w="0" w:type="auto"/>
            <w:noWrap/>
            <w:vAlign w:val="center"/>
          </w:tcPr>
          <w:p w14:paraId="36C25013" w14:textId="58547906" w:rsidR="007B225B" w:rsidRPr="0079376F" w:rsidRDefault="007B225B"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4</w:t>
            </w:r>
          </w:p>
        </w:tc>
        <w:tc>
          <w:tcPr>
            <w:tcW w:w="0" w:type="auto"/>
            <w:noWrap/>
            <w:vAlign w:val="center"/>
          </w:tcPr>
          <w:p w14:paraId="5786CA4F" w14:textId="3BB3C162" w:rsidR="007B225B" w:rsidRPr="0079376F" w:rsidRDefault="007B225B" w:rsidP="006529A6">
            <w:pPr>
              <w:pStyle w:val="Table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79376F">
              <w:rPr>
                <w:color w:val="000000"/>
                <w:sz w:val="20"/>
                <w:szCs w:val="20"/>
              </w:rPr>
              <w:t>4</w:t>
            </w:r>
          </w:p>
        </w:tc>
        <w:tc>
          <w:tcPr>
            <w:tcW w:w="0" w:type="auto"/>
            <w:noWrap/>
            <w:vAlign w:val="center"/>
          </w:tcPr>
          <w:p w14:paraId="690C17A2" w14:textId="0CB0AA69" w:rsidR="007B225B" w:rsidRPr="0079376F" w:rsidRDefault="007B225B"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100%</w:t>
            </w:r>
          </w:p>
        </w:tc>
      </w:tr>
      <w:tr w:rsidR="00FF2D3E" w:rsidRPr="0079376F" w14:paraId="44D93673" w14:textId="77777777" w:rsidTr="0079376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175B4D36" w14:textId="4A7CA298" w:rsidR="00FF2D3E" w:rsidRPr="0079376F" w:rsidRDefault="00FF2D3E" w:rsidP="006529A6">
            <w:pPr>
              <w:pStyle w:val="Tabletext"/>
              <w:rPr>
                <w:rFonts w:ascii="Calibri" w:hAnsi="Calibri" w:cs="Calibri"/>
                <w:szCs w:val="20"/>
              </w:rPr>
            </w:pPr>
            <w:r w:rsidRPr="0079376F">
              <w:rPr>
                <w:rFonts w:ascii="Calibri" w:hAnsi="Calibri" w:cs="Calibri"/>
                <w:szCs w:val="20"/>
              </w:rPr>
              <w:t>NSW</w:t>
            </w:r>
          </w:p>
        </w:tc>
        <w:tc>
          <w:tcPr>
            <w:tcW w:w="0" w:type="auto"/>
            <w:noWrap/>
            <w:vAlign w:val="center"/>
          </w:tcPr>
          <w:p w14:paraId="24ADC30C" w14:textId="1F27D6F1" w:rsidR="00FF2D3E" w:rsidRPr="0079376F" w:rsidRDefault="00FF2D3E"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23</w:t>
            </w:r>
          </w:p>
        </w:tc>
        <w:tc>
          <w:tcPr>
            <w:tcW w:w="0" w:type="auto"/>
            <w:noWrap/>
            <w:vAlign w:val="center"/>
          </w:tcPr>
          <w:p w14:paraId="39206034" w14:textId="4628994A" w:rsidR="00FF2D3E" w:rsidRPr="0079376F" w:rsidRDefault="00FF2D3E"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38</w:t>
            </w:r>
          </w:p>
        </w:tc>
        <w:tc>
          <w:tcPr>
            <w:tcW w:w="0" w:type="auto"/>
            <w:noWrap/>
            <w:vAlign w:val="center"/>
          </w:tcPr>
          <w:p w14:paraId="2A177140" w14:textId="36F97440" w:rsidR="00FF2D3E" w:rsidRPr="0079376F" w:rsidRDefault="00FF2D3E"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61</w:t>
            </w:r>
          </w:p>
        </w:tc>
        <w:tc>
          <w:tcPr>
            <w:tcW w:w="0" w:type="auto"/>
            <w:noWrap/>
            <w:vAlign w:val="center"/>
          </w:tcPr>
          <w:p w14:paraId="60606D3A" w14:textId="1AED87AE" w:rsidR="00FF2D3E" w:rsidRPr="0079376F" w:rsidRDefault="00FF2D3E"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w:t>
            </w:r>
          </w:p>
        </w:tc>
        <w:tc>
          <w:tcPr>
            <w:tcW w:w="0" w:type="auto"/>
            <w:noWrap/>
            <w:vAlign w:val="center"/>
          </w:tcPr>
          <w:p w14:paraId="6E4B4720" w14:textId="755D8C80" w:rsidR="00FF2D3E" w:rsidRPr="0079376F" w:rsidRDefault="00FF2D3E"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62</w:t>
            </w:r>
          </w:p>
        </w:tc>
        <w:tc>
          <w:tcPr>
            <w:tcW w:w="0" w:type="auto"/>
            <w:noWrap/>
            <w:vAlign w:val="center"/>
          </w:tcPr>
          <w:p w14:paraId="58F47688" w14:textId="6730B07F" w:rsidR="00FF2D3E" w:rsidRPr="0079376F" w:rsidRDefault="00FF2D3E" w:rsidP="006529A6">
            <w:pPr>
              <w:pStyle w:val="Table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79376F">
              <w:rPr>
                <w:color w:val="000000"/>
                <w:sz w:val="20"/>
                <w:szCs w:val="20"/>
              </w:rPr>
              <w:t>63</w:t>
            </w:r>
          </w:p>
        </w:tc>
        <w:tc>
          <w:tcPr>
            <w:tcW w:w="0" w:type="auto"/>
            <w:noWrap/>
            <w:vAlign w:val="center"/>
          </w:tcPr>
          <w:p w14:paraId="35742C6E" w14:textId="2245E843" w:rsidR="00FF2D3E" w:rsidRPr="0079376F" w:rsidRDefault="00FF2D3E"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98%</w:t>
            </w:r>
          </w:p>
        </w:tc>
      </w:tr>
      <w:tr w:rsidR="00FF2D3E" w:rsidRPr="0079376F" w14:paraId="734522AE" w14:textId="77777777" w:rsidTr="0079376F">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19558A" w14:textId="77777777" w:rsidR="007518C8" w:rsidRPr="0079376F" w:rsidRDefault="007518C8" w:rsidP="006529A6">
            <w:pPr>
              <w:pStyle w:val="Tabletext"/>
              <w:rPr>
                <w:rFonts w:ascii="Calibri" w:hAnsi="Calibri" w:cs="Calibri"/>
                <w:szCs w:val="20"/>
              </w:rPr>
            </w:pPr>
            <w:r w:rsidRPr="0079376F">
              <w:rPr>
                <w:rFonts w:ascii="Calibri" w:hAnsi="Calibri" w:cs="Calibri"/>
                <w:szCs w:val="20"/>
              </w:rPr>
              <w:t>NT</w:t>
            </w:r>
          </w:p>
        </w:tc>
        <w:tc>
          <w:tcPr>
            <w:tcW w:w="0" w:type="auto"/>
            <w:noWrap/>
            <w:vAlign w:val="center"/>
            <w:hideMark/>
          </w:tcPr>
          <w:p w14:paraId="0BF375CA" w14:textId="13752CA2"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0</w:t>
            </w:r>
          </w:p>
        </w:tc>
        <w:tc>
          <w:tcPr>
            <w:tcW w:w="0" w:type="auto"/>
            <w:noWrap/>
            <w:vAlign w:val="center"/>
            <w:hideMark/>
          </w:tcPr>
          <w:p w14:paraId="15FA7404" w14:textId="1413C42E"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w:t>
            </w:r>
          </w:p>
        </w:tc>
        <w:tc>
          <w:tcPr>
            <w:tcW w:w="0" w:type="auto"/>
            <w:noWrap/>
            <w:vAlign w:val="center"/>
            <w:hideMark/>
          </w:tcPr>
          <w:p w14:paraId="444188AE" w14:textId="6F771091"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w:t>
            </w:r>
          </w:p>
        </w:tc>
        <w:tc>
          <w:tcPr>
            <w:tcW w:w="0" w:type="auto"/>
            <w:noWrap/>
            <w:vAlign w:val="center"/>
            <w:hideMark/>
          </w:tcPr>
          <w:p w14:paraId="21256324" w14:textId="76C56D50"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w:t>
            </w:r>
          </w:p>
        </w:tc>
        <w:tc>
          <w:tcPr>
            <w:tcW w:w="0" w:type="auto"/>
            <w:noWrap/>
            <w:vAlign w:val="center"/>
            <w:hideMark/>
          </w:tcPr>
          <w:p w14:paraId="32590D15" w14:textId="7AB0C900"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2</w:t>
            </w:r>
          </w:p>
        </w:tc>
        <w:tc>
          <w:tcPr>
            <w:tcW w:w="0" w:type="auto"/>
            <w:noWrap/>
            <w:vAlign w:val="center"/>
            <w:hideMark/>
          </w:tcPr>
          <w:p w14:paraId="1D57B087" w14:textId="2CDB0F65"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79376F">
              <w:rPr>
                <w:color w:val="000000"/>
                <w:sz w:val="20"/>
                <w:szCs w:val="20"/>
              </w:rPr>
              <w:t>2</w:t>
            </w:r>
          </w:p>
        </w:tc>
        <w:tc>
          <w:tcPr>
            <w:tcW w:w="0" w:type="auto"/>
            <w:noWrap/>
            <w:vAlign w:val="center"/>
            <w:hideMark/>
          </w:tcPr>
          <w:p w14:paraId="481BF2F9" w14:textId="0134CCCA"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100%</w:t>
            </w:r>
          </w:p>
        </w:tc>
      </w:tr>
      <w:tr w:rsidR="00FF2D3E" w:rsidRPr="0079376F" w14:paraId="7A2312E8" w14:textId="77777777" w:rsidTr="0079376F">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506073" w14:textId="77777777" w:rsidR="007518C8" w:rsidRPr="0079376F" w:rsidRDefault="007518C8" w:rsidP="006529A6">
            <w:pPr>
              <w:pStyle w:val="Tabletext"/>
              <w:rPr>
                <w:rFonts w:ascii="Calibri" w:hAnsi="Calibri" w:cs="Calibri"/>
                <w:szCs w:val="20"/>
              </w:rPr>
            </w:pPr>
            <w:r w:rsidRPr="0079376F">
              <w:rPr>
                <w:rFonts w:ascii="Calibri" w:hAnsi="Calibri" w:cs="Calibri"/>
                <w:szCs w:val="20"/>
              </w:rPr>
              <w:t>QLD</w:t>
            </w:r>
          </w:p>
        </w:tc>
        <w:tc>
          <w:tcPr>
            <w:tcW w:w="0" w:type="auto"/>
            <w:noWrap/>
            <w:vAlign w:val="center"/>
            <w:hideMark/>
          </w:tcPr>
          <w:p w14:paraId="2C9103B4" w14:textId="3D5596A2"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21</w:t>
            </w:r>
          </w:p>
        </w:tc>
        <w:tc>
          <w:tcPr>
            <w:tcW w:w="0" w:type="auto"/>
            <w:noWrap/>
            <w:vAlign w:val="center"/>
            <w:hideMark/>
          </w:tcPr>
          <w:p w14:paraId="5247E7C2" w14:textId="3AD94F0B"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19</w:t>
            </w:r>
          </w:p>
        </w:tc>
        <w:tc>
          <w:tcPr>
            <w:tcW w:w="0" w:type="auto"/>
            <w:noWrap/>
            <w:vAlign w:val="center"/>
            <w:hideMark/>
          </w:tcPr>
          <w:p w14:paraId="2B92CF60" w14:textId="2C34424B"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40</w:t>
            </w:r>
          </w:p>
        </w:tc>
        <w:tc>
          <w:tcPr>
            <w:tcW w:w="0" w:type="auto"/>
            <w:noWrap/>
            <w:vAlign w:val="center"/>
            <w:hideMark/>
          </w:tcPr>
          <w:p w14:paraId="3A2A5DCF" w14:textId="0C8C5B39"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2</w:t>
            </w:r>
          </w:p>
        </w:tc>
        <w:tc>
          <w:tcPr>
            <w:tcW w:w="0" w:type="auto"/>
            <w:noWrap/>
            <w:vAlign w:val="center"/>
            <w:hideMark/>
          </w:tcPr>
          <w:p w14:paraId="065D9011" w14:textId="75E666D0"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42</w:t>
            </w:r>
          </w:p>
        </w:tc>
        <w:tc>
          <w:tcPr>
            <w:tcW w:w="0" w:type="auto"/>
            <w:noWrap/>
            <w:vAlign w:val="center"/>
            <w:hideMark/>
          </w:tcPr>
          <w:p w14:paraId="4E6C82B0" w14:textId="4EC8DA92"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79376F">
              <w:rPr>
                <w:color w:val="000000"/>
                <w:sz w:val="20"/>
                <w:szCs w:val="20"/>
              </w:rPr>
              <w:t>48</w:t>
            </w:r>
          </w:p>
        </w:tc>
        <w:tc>
          <w:tcPr>
            <w:tcW w:w="0" w:type="auto"/>
            <w:noWrap/>
            <w:vAlign w:val="center"/>
            <w:hideMark/>
          </w:tcPr>
          <w:p w14:paraId="33DE81B7" w14:textId="7931AA0B"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88%</w:t>
            </w:r>
          </w:p>
        </w:tc>
      </w:tr>
      <w:tr w:rsidR="00FF2D3E" w:rsidRPr="0079376F" w14:paraId="451C6F88" w14:textId="77777777" w:rsidTr="0079376F">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994EC9" w14:textId="77777777" w:rsidR="007518C8" w:rsidRPr="0079376F" w:rsidRDefault="007518C8" w:rsidP="006529A6">
            <w:pPr>
              <w:pStyle w:val="Tabletext"/>
              <w:rPr>
                <w:rFonts w:ascii="Calibri" w:hAnsi="Calibri" w:cs="Calibri"/>
                <w:szCs w:val="20"/>
              </w:rPr>
            </w:pPr>
            <w:r w:rsidRPr="0079376F">
              <w:rPr>
                <w:rFonts w:ascii="Calibri" w:hAnsi="Calibri" w:cs="Calibri"/>
                <w:szCs w:val="20"/>
              </w:rPr>
              <w:t>SA</w:t>
            </w:r>
          </w:p>
        </w:tc>
        <w:tc>
          <w:tcPr>
            <w:tcW w:w="0" w:type="auto"/>
            <w:noWrap/>
            <w:vAlign w:val="center"/>
            <w:hideMark/>
          </w:tcPr>
          <w:p w14:paraId="4A703C47" w14:textId="676C7829"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7</w:t>
            </w:r>
          </w:p>
        </w:tc>
        <w:tc>
          <w:tcPr>
            <w:tcW w:w="0" w:type="auto"/>
            <w:noWrap/>
            <w:vAlign w:val="center"/>
            <w:hideMark/>
          </w:tcPr>
          <w:p w14:paraId="4EC53FAA" w14:textId="16C43699"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5</w:t>
            </w:r>
          </w:p>
        </w:tc>
        <w:tc>
          <w:tcPr>
            <w:tcW w:w="0" w:type="auto"/>
            <w:noWrap/>
            <w:vAlign w:val="center"/>
            <w:hideMark/>
          </w:tcPr>
          <w:p w14:paraId="00284EBA" w14:textId="467F97DF"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12</w:t>
            </w:r>
          </w:p>
        </w:tc>
        <w:tc>
          <w:tcPr>
            <w:tcW w:w="0" w:type="auto"/>
            <w:noWrap/>
            <w:vAlign w:val="center"/>
            <w:hideMark/>
          </w:tcPr>
          <w:p w14:paraId="2560F39D" w14:textId="0F55247B"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0</w:t>
            </w:r>
          </w:p>
        </w:tc>
        <w:tc>
          <w:tcPr>
            <w:tcW w:w="0" w:type="auto"/>
            <w:noWrap/>
            <w:vAlign w:val="center"/>
            <w:hideMark/>
          </w:tcPr>
          <w:p w14:paraId="136E90CD" w14:textId="565A0EE0"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12</w:t>
            </w:r>
          </w:p>
        </w:tc>
        <w:tc>
          <w:tcPr>
            <w:tcW w:w="0" w:type="auto"/>
            <w:noWrap/>
            <w:vAlign w:val="center"/>
            <w:hideMark/>
          </w:tcPr>
          <w:p w14:paraId="13B5C445" w14:textId="1B601B53"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79376F">
              <w:rPr>
                <w:color w:val="000000"/>
                <w:sz w:val="20"/>
                <w:szCs w:val="20"/>
              </w:rPr>
              <w:t>13</w:t>
            </w:r>
          </w:p>
        </w:tc>
        <w:tc>
          <w:tcPr>
            <w:tcW w:w="0" w:type="auto"/>
            <w:noWrap/>
            <w:vAlign w:val="center"/>
            <w:hideMark/>
          </w:tcPr>
          <w:p w14:paraId="3F373C98" w14:textId="441563A7"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92%</w:t>
            </w:r>
          </w:p>
        </w:tc>
      </w:tr>
      <w:tr w:rsidR="00FF2D3E" w:rsidRPr="0079376F" w14:paraId="7D8A9BFA" w14:textId="77777777" w:rsidTr="0079376F">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EF85DA" w14:textId="77777777" w:rsidR="007518C8" w:rsidRPr="0079376F" w:rsidRDefault="007518C8" w:rsidP="006529A6">
            <w:pPr>
              <w:pStyle w:val="Tabletext"/>
              <w:rPr>
                <w:rFonts w:ascii="Calibri" w:hAnsi="Calibri" w:cs="Calibri"/>
                <w:szCs w:val="20"/>
              </w:rPr>
            </w:pPr>
            <w:r w:rsidRPr="0079376F">
              <w:rPr>
                <w:rFonts w:ascii="Calibri" w:hAnsi="Calibri" w:cs="Calibri"/>
                <w:szCs w:val="20"/>
              </w:rPr>
              <w:t>TAS</w:t>
            </w:r>
          </w:p>
        </w:tc>
        <w:tc>
          <w:tcPr>
            <w:tcW w:w="0" w:type="auto"/>
            <w:noWrap/>
            <w:vAlign w:val="center"/>
            <w:hideMark/>
          </w:tcPr>
          <w:p w14:paraId="75EEE70A" w14:textId="4946B4D8"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w:t>
            </w:r>
          </w:p>
        </w:tc>
        <w:tc>
          <w:tcPr>
            <w:tcW w:w="0" w:type="auto"/>
            <w:noWrap/>
            <w:vAlign w:val="center"/>
            <w:hideMark/>
          </w:tcPr>
          <w:p w14:paraId="69226BBB" w14:textId="3A25FE63"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3</w:t>
            </w:r>
          </w:p>
        </w:tc>
        <w:tc>
          <w:tcPr>
            <w:tcW w:w="0" w:type="auto"/>
            <w:noWrap/>
            <w:vAlign w:val="center"/>
            <w:hideMark/>
          </w:tcPr>
          <w:p w14:paraId="688BE3EF" w14:textId="44FC439D"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4</w:t>
            </w:r>
          </w:p>
        </w:tc>
        <w:tc>
          <w:tcPr>
            <w:tcW w:w="0" w:type="auto"/>
            <w:noWrap/>
            <w:vAlign w:val="center"/>
            <w:hideMark/>
          </w:tcPr>
          <w:p w14:paraId="59B44374" w14:textId="42551C3D"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0</w:t>
            </w:r>
          </w:p>
        </w:tc>
        <w:tc>
          <w:tcPr>
            <w:tcW w:w="0" w:type="auto"/>
            <w:noWrap/>
            <w:vAlign w:val="center"/>
            <w:hideMark/>
          </w:tcPr>
          <w:p w14:paraId="738CAE1A" w14:textId="014635D1"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4</w:t>
            </w:r>
          </w:p>
        </w:tc>
        <w:tc>
          <w:tcPr>
            <w:tcW w:w="0" w:type="auto"/>
            <w:noWrap/>
            <w:vAlign w:val="center"/>
            <w:hideMark/>
          </w:tcPr>
          <w:p w14:paraId="77000A09" w14:textId="65185812"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79376F">
              <w:rPr>
                <w:color w:val="000000"/>
                <w:sz w:val="20"/>
                <w:szCs w:val="20"/>
              </w:rPr>
              <w:t>5</w:t>
            </w:r>
          </w:p>
        </w:tc>
        <w:tc>
          <w:tcPr>
            <w:tcW w:w="0" w:type="auto"/>
            <w:noWrap/>
            <w:vAlign w:val="center"/>
            <w:hideMark/>
          </w:tcPr>
          <w:p w14:paraId="578DFF5E" w14:textId="319D2388"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80%</w:t>
            </w:r>
          </w:p>
        </w:tc>
      </w:tr>
      <w:tr w:rsidR="00FF2D3E" w:rsidRPr="0079376F" w14:paraId="6F4985A1" w14:textId="77777777" w:rsidTr="0079376F">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8EB610" w14:textId="77777777" w:rsidR="007518C8" w:rsidRPr="0079376F" w:rsidRDefault="007518C8" w:rsidP="006529A6">
            <w:pPr>
              <w:pStyle w:val="Tabletext"/>
              <w:rPr>
                <w:rFonts w:ascii="Calibri" w:hAnsi="Calibri" w:cs="Calibri"/>
                <w:szCs w:val="20"/>
              </w:rPr>
            </w:pPr>
            <w:r w:rsidRPr="0079376F">
              <w:rPr>
                <w:rFonts w:ascii="Calibri" w:hAnsi="Calibri" w:cs="Calibri"/>
                <w:szCs w:val="20"/>
              </w:rPr>
              <w:t>VIC</w:t>
            </w:r>
          </w:p>
        </w:tc>
        <w:tc>
          <w:tcPr>
            <w:tcW w:w="0" w:type="auto"/>
            <w:noWrap/>
            <w:vAlign w:val="center"/>
            <w:hideMark/>
          </w:tcPr>
          <w:p w14:paraId="02EB618D" w14:textId="409583CA"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17</w:t>
            </w:r>
          </w:p>
        </w:tc>
        <w:tc>
          <w:tcPr>
            <w:tcW w:w="0" w:type="auto"/>
            <w:noWrap/>
            <w:vAlign w:val="center"/>
            <w:hideMark/>
          </w:tcPr>
          <w:p w14:paraId="1B0A1A9E" w14:textId="33048AEF"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23</w:t>
            </w:r>
          </w:p>
        </w:tc>
        <w:tc>
          <w:tcPr>
            <w:tcW w:w="0" w:type="auto"/>
            <w:noWrap/>
            <w:vAlign w:val="center"/>
            <w:hideMark/>
          </w:tcPr>
          <w:p w14:paraId="6DABE24F" w14:textId="120138C3"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40</w:t>
            </w:r>
          </w:p>
        </w:tc>
        <w:tc>
          <w:tcPr>
            <w:tcW w:w="0" w:type="auto"/>
            <w:noWrap/>
            <w:vAlign w:val="center"/>
            <w:hideMark/>
          </w:tcPr>
          <w:p w14:paraId="7615E968" w14:textId="05DC0FC1"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w:t>
            </w:r>
          </w:p>
        </w:tc>
        <w:tc>
          <w:tcPr>
            <w:tcW w:w="0" w:type="auto"/>
            <w:noWrap/>
            <w:vAlign w:val="center"/>
            <w:hideMark/>
          </w:tcPr>
          <w:p w14:paraId="41A82C99" w14:textId="685540EC"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41</w:t>
            </w:r>
          </w:p>
        </w:tc>
        <w:tc>
          <w:tcPr>
            <w:tcW w:w="0" w:type="auto"/>
            <w:noWrap/>
            <w:vAlign w:val="center"/>
            <w:hideMark/>
          </w:tcPr>
          <w:p w14:paraId="6BC3C01F" w14:textId="42AEE9A8"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79376F">
              <w:rPr>
                <w:color w:val="000000"/>
                <w:sz w:val="20"/>
                <w:szCs w:val="20"/>
              </w:rPr>
              <w:t>44</w:t>
            </w:r>
          </w:p>
        </w:tc>
        <w:tc>
          <w:tcPr>
            <w:tcW w:w="0" w:type="auto"/>
            <w:noWrap/>
            <w:vAlign w:val="center"/>
            <w:hideMark/>
          </w:tcPr>
          <w:p w14:paraId="4FAE5D99" w14:textId="74932110"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93%</w:t>
            </w:r>
          </w:p>
        </w:tc>
      </w:tr>
      <w:tr w:rsidR="00FF2D3E" w:rsidRPr="0079376F" w14:paraId="29FF0EF4" w14:textId="77777777" w:rsidTr="0079376F">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986387" w14:textId="77777777" w:rsidR="007518C8" w:rsidRPr="0079376F" w:rsidRDefault="007518C8" w:rsidP="006529A6">
            <w:pPr>
              <w:pStyle w:val="Tabletext"/>
              <w:rPr>
                <w:rFonts w:ascii="Calibri" w:hAnsi="Calibri" w:cs="Calibri"/>
                <w:szCs w:val="20"/>
              </w:rPr>
            </w:pPr>
            <w:r w:rsidRPr="0079376F">
              <w:rPr>
                <w:rFonts w:ascii="Calibri" w:hAnsi="Calibri" w:cs="Calibri"/>
                <w:szCs w:val="20"/>
              </w:rPr>
              <w:t>WA</w:t>
            </w:r>
          </w:p>
        </w:tc>
        <w:tc>
          <w:tcPr>
            <w:tcW w:w="0" w:type="auto"/>
            <w:noWrap/>
            <w:vAlign w:val="center"/>
            <w:hideMark/>
          </w:tcPr>
          <w:p w14:paraId="5B2F1D90" w14:textId="6FD22BFA"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13</w:t>
            </w:r>
          </w:p>
        </w:tc>
        <w:tc>
          <w:tcPr>
            <w:tcW w:w="0" w:type="auto"/>
            <w:noWrap/>
            <w:vAlign w:val="center"/>
            <w:hideMark/>
          </w:tcPr>
          <w:p w14:paraId="398E1054" w14:textId="0212557C"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5</w:t>
            </w:r>
          </w:p>
        </w:tc>
        <w:tc>
          <w:tcPr>
            <w:tcW w:w="0" w:type="auto"/>
            <w:noWrap/>
            <w:vAlign w:val="center"/>
            <w:hideMark/>
          </w:tcPr>
          <w:p w14:paraId="1A153964" w14:textId="30873202"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18</w:t>
            </w:r>
          </w:p>
        </w:tc>
        <w:tc>
          <w:tcPr>
            <w:tcW w:w="0" w:type="auto"/>
            <w:noWrap/>
            <w:vAlign w:val="center"/>
            <w:hideMark/>
          </w:tcPr>
          <w:p w14:paraId="3B4760C2" w14:textId="17EE9B42"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w:t>
            </w:r>
          </w:p>
        </w:tc>
        <w:tc>
          <w:tcPr>
            <w:tcW w:w="0" w:type="auto"/>
            <w:noWrap/>
            <w:vAlign w:val="center"/>
            <w:hideMark/>
          </w:tcPr>
          <w:p w14:paraId="3C57CB7E" w14:textId="685235F8"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19</w:t>
            </w:r>
          </w:p>
        </w:tc>
        <w:tc>
          <w:tcPr>
            <w:tcW w:w="0" w:type="auto"/>
            <w:noWrap/>
            <w:vAlign w:val="center"/>
            <w:hideMark/>
          </w:tcPr>
          <w:p w14:paraId="0F267286" w14:textId="10C4909B"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color w:val="000000"/>
                <w:sz w:val="20"/>
                <w:szCs w:val="20"/>
              </w:rPr>
            </w:pPr>
            <w:r w:rsidRPr="0079376F">
              <w:rPr>
                <w:color w:val="000000"/>
                <w:sz w:val="20"/>
                <w:szCs w:val="20"/>
              </w:rPr>
              <w:t>21</w:t>
            </w:r>
          </w:p>
        </w:tc>
        <w:tc>
          <w:tcPr>
            <w:tcW w:w="0" w:type="auto"/>
            <w:noWrap/>
            <w:vAlign w:val="center"/>
            <w:hideMark/>
          </w:tcPr>
          <w:p w14:paraId="510438AC" w14:textId="7C60FC94"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79376F">
              <w:rPr>
                <w:sz w:val="20"/>
                <w:szCs w:val="20"/>
              </w:rPr>
              <w:t>90%</w:t>
            </w:r>
          </w:p>
        </w:tc>
      </w:tr>
      <w:tr w:rsidR="00FF2D3E" w:rsidRPr="0079376F" w14:paraId="452B14DA" w14:textId="77777777" w:rsidTr="0079376F">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ED72C5" w14:textId="77777777" w:rsidR="007518C8" w:rsidRPr="0079376F" w:rsidRDefault="007518C8" w:rsidP="006529A6">
            <w:pPr>
              <w:pStyle w:val="Tabletext"/>
              <w:rPr>
                <w:rFonts w:ascii="Calibri" w:hAnsi="Calibri" w:cs="Calibri"/>
                <w:szCs w:val="20"/>
              </w:rPr>
            </w:pPr>
            <w:r w:rsidRPr="0079376F">
              <w:rPr>
                <w:rFonts w:ascii="Calibri" w:hAnsi="Calibri" w:cs="Calibri"/>
                <w:szCs w:val="20"/>
              </w:rPr>
              <w:t xml:space="preserve">Total </w:t>
            </w:r>
          </w:p>
        </w:tc>
        <w:tc>
          <w:tcPr>
            <w:tcW w:w="0" w:type="auto"/>
            <w:noWrap/>
            <w:hideMark/>
          </w:tcPr>
          <w:p w14:paraId="0858B807" w14:textId="07FF17AF"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b/>
                <w:bCs/>
                <w:szCs w:val="20"/>
              </w:rPr>
            </w:pPr>
            <w:r w:rsidRPr="0079376F">
              <w:rPr>
                <w:b/>
                <w:bCs/>
                <w:szCs w:val="20"/>
              </w:rPr>
              <w:t>83</w:t>
            </w:r>
          </w:p>
        </w:tc>
        <w:tc>
          <w:tcPr>
            <w:tcW w:w="0" w:type="auto"/>
            <w:noWrap/>
            <w:hideMark/>
          </w:tcPr>
          <w:p w14:paraId="4E988A75" w14:textId="0220DDDC"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b/>
                <w:bCs/>
                <w:szCs w:val="20"/>
              </w:rPr>
            </w:pPr>
            <w:r w:rsidRPr="0079376F">
              <w:rPr>
                <w:b/>
                <w:bCs/>
                <w:szCs w:val="20"/>
              </w:rPr>
              <w:t>97</w:t>
            </w:r>
          </w:p>
        </w:tc>
        <w:tc>
          <w:tcPr>
            <w:tcW w:w="0" w:type="auto"/>
            <w:noWrap/>
            <w:hideMark/>
          </w:tcPr>
          <w:p w14:paraId="4D0480E5" w14:textId="111D807C"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b/>
                <w:bCs/>
                <w:szCs w:val="20"/>
              </w:rPr>
            </w:pPr>
            <w:r w:rsidRPr="0079376F">
              <w:rPr>
                <w:b/>
                <w:bCs/>
                <w:szCs w:val="20"/>
              </w:rPr>
              <w:t>180</w:t>
            </w:r>
          </w:p>
        </w:tc>
        <w:tc>
          <w:tcPr>
            <w:tcW w:w="0" w:type="auto"/>
            <w:noWrap/>
            <w:hideMark/>
          </w:tcPr>
          <w:p w14:paraId="40D1BB97" w14:textId="556F64F7"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b/>
                <w:bCs/>
                <w:szCs w:val="20"/>
              </w:rPr>
            </w:pPr>
            <w:r w:rsidRPr="0079376F">
              <w:rPr>
                <w:b/>
                <w:bCs/>
                <w:szCs w:val="20"/>
              </w:rPr>
              <w:t>6</w:t>
            </w:r>
          </w:p>
        </w:tc>
        <w:tc>
          <w:tcPr>
            <w:tcW w:w="0" w:type="auto"/>
            <w:noWrap/>
            <w:hideMark/>
          </w:tcPr>
          <w:p w14:paraId="491666FF" w14:textId="53DE171A"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b/>
                <w:bCs/>
                <w:szCs w:val="20"/>
              </w:rPr>
            </w:pPr>
            <w:r w:rsidRPr="0079376F">
              <w:rPr>
                <w:b/>
                <w:bCs/>
                <w:szCs w:val="20"/>
              </w:rPr>
              <w:t>186</w:t>
            </w:r>
          </w:p>
        </w:tc>
        <w:tc>
          <w:tcPr>
            <w:tcW w:w="0" w:type="auto"/>
            <w:noWrap/>
            <w:hideMark/>
          </w:tcPr>
          <w:p w14:paraId="7B7A27FD" w14:textId="675DA31E"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b/>
                <w:bCs/>
                <w:color w:val="000000"/>
                <w:szCs w:val="20"/>
              </w:rPr>
            </w:pPr>
            <w:r w:rsidRPr="0079376F">
              <w:rPr>
                <w:b/>
                <w:bCs/>
                <w:color w:val="000000"/>
                <w:szCs w:val="20"/>
              </w:rPr>
              <w:t>200</w:t>
            </w:r>
          </w:p>
        </w:tc>
        <w:tc>
          <w:tcPr>
            <w:tcW w:w="0" w:type="auto"/>
            <w:noWrap/>
            <w:hideMark/>
          </w:tcPr>
          <w:p w14:paraId="185D0F92" w14:textId="7654CB5A" w:rsidR="007518C8" w:rsidRPr="0079376F" w:rsidRDefault="007518C8" w:rsidP="006529A6">
            <w:pPr>
              <w:pStyle w:val="Tabletext"/>
              <w:cnfStyle w:val="000000000000" w:firstRow="0" w:lastRow="0" w:firstColumn="0" w:lastColumn="0" w:oddVBand="0" w:evenVBand="0" w:oddHBand="0" w:evenHBand="0" w:firstRowFirstColumn="0" w:firstRowLastColumn="0" w:lastRowFirstColumn="0" w:lastRowLastColumn="0"/>
              <w:rPr>
                <w:b/>
                <w:bCs/>
                <w:szCs w:val="20"/>
              </w:rPr>
            </w:pPr>
            <w:r w:rsidRPr="0079376F">
              <w:rPr>
                <w:b/>
                <w:bCs/>
                <w:szCs w:val="20"/>
              </w:rPr>
              <w:t>93%</w:t>
            </w:r>
          </w:p>
        </w:tc>
      </w:tr>
    </w:tbl>
    <w:p w14:paraId="2F9769A2" w14:textId="7A50BA3F" w:rsidR="0010422E" w:rsidRPr="003919B5" w:rsidRDefault="00A91E09" w:rsidP="0079376F">
      <w:pPr>
        <w:pStyle w:val="TableNotes"/>
      </w:pPr>
      <w:r w:rsidRPr="003919B5">
        <w:t>* ‘</w:t>
      </w:r>
      <w:r w:rsidR="0010422E" w:rsidRPr="003919B5">
        <w:t xml:space="preserve">All </w:t>
      </w:r>
      <w:proofErr w:type="spellStart"/>
      <w:r w:rsidR="0010422E" w:rsidRPr="003919B5">
        <w:t>linacs</w:t>
      </w:r>
      <w:proofErr w:type="spellEnd"/>
      <w:r w:rsidRPr="003919B5">
        <w:t>’</w:t>
      </w:r>
      <w:r w:rsidR="0010422E" w:rsidRPr="003919B5">
        <w:t xml:space="preserve"> </w:t>
      </w:r>
      <w:r w:rsidR="0010422E" w:rsidRPr="0079376F">
        <w:t>is</w:t>
      </w:r>
      <w:r w:rsidR="0010422E" w:rsidRPr="003919B5">
        <w:t xml:space="preserve"> an estimate only. Sources: calculated from MBS service data and ROHPG equipment reports.</w:t>
      </w:r>
    </w:p>
    <w:p w14:paraId="14BBF4E9" w14:textId="77777777" w:rsidR="00373EE3" w:rsidRDefault="0010422E" w:rsidP="0010422E">
      <w:r w:rsidRPr="003919B5">
        <w:t xml:space="preserve">Of the </w:t>
      </w:r>
      <w:r w:rsidR="002E0B6C">
        <w:t>six</w:t>
      </w:r>
      <w:r w:rsidR="000257F5" w:rsidRPr="003919B5">
        <w:t xml:space="preserve"> previously </w:t>
      </w:r>
      <w:r w:rsidRPr="003919B5">
        <w:t xml:space="preserve">ROHPG funded </w:t>
      </w:r>
      <w:proofErr w:type="spellStart"/>
      <w:r w:rsidRPr="003919B5">
        <w:t>linacs</w:t>
      </w:r>
      <w:proofErr w:type="spellEnd"/>
      <w:r w:rsidRPr="003919B5">
        <w:t xml:space="preserve"> in 2019</w:t>
      </w:r>
      <w:r w:rsidR="00E61AD5" w:rsidRPr="003919B5">
        <w:t>–</w:t>
      </w:r>
      <w:r w:rsidRPr="003919B5">
        <w:t>20</w:t>
      </w:r>
      <w:r w:rsidR="000257F5" w:rsidRPr="003919B5">
        <w:t xml:space="preserve"> (all with a capital balance of $0), </w:t>
      </w:r>
      <w:r w:rsidR="002E0B6C">
        <w:t>one</w:t>
      </w:r>
      <w:r w:rsidR="000257F5" w:rsidRPr="003919B5">
        <w:t xml:space="preserve"> w</w:t>
      </w:r>
      <w:r w:rsidR="002E0B6C">
        <w:t>as</w:t>
      </w:r>
      <w:r w:rsidR="000257F5" w:rsidRPr="003919B5">
        <w:t xml:space="preserve"> </w:t>
      </w:r>
      <w:r w:rsidR="002E0B6C">
        <w:t xml:space="preserve">a </w:t>
      </w:r>
      <w:r w:rsidR="000257F5" w:rsidRPr="003919B5">
        <w:t xml:space="preserve">public </w:t>
      </w:r>
      <w:proofErr w:type="spellStart"/>
      <w:r w:rsidR="000257F5" w:rsidRPr="003919B5">
        <w:t>linac</w:t>
      </w:r>
      <w:proofErr w:type="spellEnd"/>
      <w:r w:rsidR="000257F5" w:rsidRPr="003919B5">
        <w:t xml:space="preserve"> that w</w:t>
      </w:r>
      <w:r w:rsidR="002E0B6C">
        <w:t>as</w:t>
      </w:r>
      <w:r w:rsidR="000257F5" w:rsidRPr="003919B5">
        <w:t xml:space="preserve"> paid in advance (Northern Territory</w:t>
      </w:r>
      <w:r w:rsidR="002E0B6C">
        <w:t>))</w:t>
      </w:r>
      <w:r w:rsidR="000257F5" w:rsidRPr="003919B5">
        <w:t xml:space="preserve">, three were public </w:t>
      </w:r>
      <w:proofErr w:type="spellStart"/>
      <w:r w:rsidR="000257F5" w:rsidRPr="003919B5">
        <w:t>linacs</w:t>
      </w:r>
      <w:proofErr w:type="spellEnd"/>
      <w:r w:rsidR="000257F5" w:rsidRPr="003919B5">
        <w:t xml:space="preserve"> that had not yet been decommissioned and two were private </w:t>
      </w:r>
      <w:proofErr w:type="spellStart"/>
      <w:r w:rsidR="000257F5" w:rsidRPr="003919B5">
        <w:t>linacs</w:t>
      </w:r>
      <w:proofErr w:type="spellEnd"/>
      <w:r w:rsidR="000257F5" w:rsidRPr="003919B5">
        <w:t xml:space="preserve"> that had not yet </w:t>
      </w:r>
      <w:r w:rsidR="00DF54FF">
        <w:t xml:space="preserve">been </w:t>
      </w:r>
      <w:r w:rsidR="000257F5" w:rsidRPr="003919B5">
        <w:t>decommissioned). There were an additional 1</w:t>
      </w:r>
      <w:r w:rsidR="002E0B6C">
        <w:t>3</w:t>
      </w:r>
      <w:r w:rsidR="000257F5" w:rsidRPr="003919B5">
        <w:t xml:space="preserve"> </w:t>
      </w:r>
      <w:proofErr w:type="spellStart"/>
      <w:r w:rsidR="000257F5" w:rsidRPr="003919B5">
        <w:t>linacs</w:t>
      </w:r>
      <w:proofErr w:type="spellEnd"/>
      <w:r w:rsidR="000257F5" w:rsidRPr="003919B5">
        <w:t xml:space="preserve"> </w:t>
      </w:r>
      <w:r w:rsidR="00DF54FF">
        <w:t>that</w:t>
      </w:r>
      <w:r w:rsidR="00DF54FF" w:rsidRPr="003919B5">
        <w:t xml:space="preserve"> </w:t>
      </w:r>
      <w:r w:rsidR="000257F5" w:rsidRPr="003919B5">
        <w:t>had previously received ROHPG funding but had subsequently been decommissioned (not included in the data analysis).</w:t>
      </w:r>
    </w:p>
    <w:p w14:paraId="229F9B69" w14:textId="77777777" w:rsidR="00373EE3" w:rsidRDefault="0010422E" w:rsidP="0010422E">
      <w:r w:rsidRPr="003919B5">
        <w:t xml:space="preserve">Analysis of </w:t>
      </w:r>
      <w:proofErr w:type="spellStart"/>
      <w:r w:rsidRPr="003919B5">
        <w:t>linac</w:t>
      </w:r>
      <w:proofErr w:type="spellEnd"/>
      <w:r w:rsidRPr="003919B5">
        <w:t xml:space="preserve"> availability by remoteness (using the Modified Monash Model</w:t>
      </w:r>
      <w:r w:rsidRPr="009B6AA8">
        <w:t xml:space="preserve"> classification (MMM)) showed that the majority of </w:t>
      </w:r>
      <w:proofErr w:type="spellStart"/>
      <w:r w:rsidRPr="009B6AA8">
        <w:t>linacs</w:t>
      </w:r>
      <w:proofErr w:type="spellEnd"/>
      <w:r w:rsidRPr="009B6AA8">
        <w:t xml:space="preserve"> (8</w:t>
      </w:r>
      <w:r w:rsidR="003919B5">
        <w:t>0</w:t>
      </w:r>
      <w:r w:rsidRPr="009B6AA8">
        <w:t>%, n=1</w:t>
      </w:r>
      <w:r w:rsidR="003919B5">
        <w:t>60</w:t>
      </w:r>
      <w:r w:rsidRPr="009B6AA8">
        <w:t xml:space="preserve">) are located in major cities (MM 1), as shown in </w:t>
      </w:r>
      <w:r w:rsidRPr="00D65C79">
        <w:fldChar w:fldCharType="begin"/>
      </w:r>
      <w:r w:rsidRPr="009B6AA8">
        <w:instrText xml:space="preserve"> REF _Ref56156485 \h </w:instrText>
      </w:r>
      <w:r w:rsidRPr="00D65C79">
        <w:fldChar w:fldCharType="separate"/>
      </w:r>
      <w:r w:rsidR="007C0448" w:rsidRPr="00D65C79">
        <w:t xml:space="preserve">Table </w:t>
      </w:r>
      <w:r w:rsidR="007C0448">
        <w:rPr>
          <w:rFonts w:hint="cs"/>
          <w:noProof/>
          <w:cs/>
        </w:rPr>
        <w:t>‎</w:t>
      </w:r>
      <w:r w:rsidR="007C0448">
        <w:rPr>
          <w:noProof/>
        </w:rPr>
        <w:t>9</w:t>
      </w:r>
      <w:r w:rsidR="007C0448">
        <w:t>.</w:t>
      </w:r>
      <w:r w:rsidR="007C0448">
        <w:rPr>
          <w:noProof/>
        </w:rPr>
        <w:t>6</w:t>
      </w:r>
      <w:r w:rsidRPr="00D65C79">
        <w:fldChar w:fldCharType="end"/>
      </w:r>
      <w:r w:rsidRPr="00D65C79">
        <w:t>. T</w:t>
      </w:r>
      <w:r w:rsidR="003919B5">
        <w:t xml:space="preserve">hirteen </w:t>
      </w:r>
      <w:r w:rsidRPr="00D65C79">
        <w:t>per</w:t>
      </w:r>
      <w:r w:rsidR="005B6959">
        <w:t xml:space="preserve"> </w:t>
      </w:r>
      <w:r w:rsidRPr="00D65C79">
        <w:t xml:space="preserve">cent of </w:t>
      </w:r>
      <w:proofErr w:type="spellStart"/>
      <w:r w:rsidRPr="00D65C79">
        <w:t>linacs</w:t>
      </w:r>
      <w:proofErr w:type="spellEnd"/>
      <w:r w:rsidRPr="00D65C79">
        <w:t xml:space="preserve"> (n=2</w:t>
      </w:r>
      <w:r w:rsidR="003919B5">
        <w:t>6</w:t>
      </w:r>
      <w:r w:rsidRPr="00D65C79">
        <w:t>) are located in regional areas (MM 2) and a further 7% (n=1</w:t>
      </w:r>
      <w:r w:rsidR="003919B5">
        <w:t>4</w:t>
      </w:r>
      <w:r w:rsidRPr="00D65C79">
        <w:t xml:space="preserve">) in rural areas (MM 3). Of the non-ROHPG funded </w:t>
      </w:r>
      <w:proofErr w:type="spellStart"/>
      <w:r w:rsidRPr="00D65C79">
        <w:t>linacs</w:t>
      </w:r>
      <w:proofErr w:type="spellEnd"/>
      <w:r w:rsidRPr="00D65C79">
        <w:t>, the vast majority (9</w:t>
      </w:r>
      <w:r w:rsidR="003919B5">
        <w:t>4</w:t>
      </w:r>
      <w:r w:rsidRPr="00D65C79">
        <w:t>%, n=</w:t>
      </w:r>
      <w:r w:rsidR="003919B5">
        <w:t>16</w:t>
      </w:r>
      <w:r w:rsidRPr="00D65C79">
        <w:t xml:space="preserve"> of </w:t>
      </w:r>
      <w:r w:rsidR="003919B5">
        <w:t>17</w:t>
      </w:r>
      <w:r w:rsidRPr="00D65C79">
        <w:t xml:space="preserve">) are located in major cities (see </w:t>
      </w:r>
      <w:r w:rsidRPr="00D65C79">
        <w:fldChar w:fldCharType="begin"/>
      </w:r>
      <w:r w:rsidRPr="009B6AA8">
        <w:instrText xml:space="preserve"> REF _Ref56156485 \h </w:instrText>
      </w:r>
      <w:r w:rsidRPr="00D65C79">
        <w:fldChar w:fldCharType="separate"/>
      </w:r>
      <w:r w:rsidR="007C0448" w:rsidRPr="00D65C79">
        <w:t xml:space="preserve">Table </w:t>
      </w:r>
      <w:r w:rsidR="007C0448">
        <w:rPr>
          <w:rFonts w:hint="cs"/>
          <w:noProof/>
          <w:cs/>
        </w:rPr>
        <w:t>‎</w:t>
      </w:r>
      <w:r w:rsidR="007C0448">
        <w:rPr>
          <w:noProof/>
        </w:rPr>
        <w:t>9</w:t>
      </w:r>
      <w:r w:rsidR="007C0448">
        <w:t>.</w:t>
      </w:r>
      <w:r w:rsidR="007C0448">
        <w:rPr>
          <w:noProof/>
        </w:rPr>
        <w:t>6</w:t>
      </w:r>
      <w:r w:rsidRPr="00D65C79">
        <w:fldChar w:fldCharType="end"/>
      </w:r>
      <w:r w:rsidRPr="00D65C79">
        <w:t>).</w:t>
      </w:r>
    </w:p>
    <w:p w14:paraId="50A31F3C" w14:textId="09AF3C0E" w:rsidR="0010422E" w:rsidRPr="009B6AA8" w:rsidRDefault="0010422E" w:rsidP="0010422E">
      <w:pPr>
        <w:pStyle w:val="Caption"/>
      </w:pPr>
      <w:bookmarkStart w:id="324" w:name="_Ref56156485"/>
      <w:r w:rsidRPr="00D65C79">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9</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6</w:t>
      </w:r>
      <w:r w:rsidR="004B24F3">
        <w:rPr>
          <w:noProof/>
        </w:rPr>
        <w:fldChar w:fldCharType="end"/>
      </w:r>
      <w:bookmarkEnd w:id="324"/>
      <w:r w:rsidRPr="00D65C79">
        <w:t xml:space="preserve">: </w:t>
      </w:r>
      <w:r w:rsidRPr="00E06173">
        <w:t xml:space="preserve">No. of </w:t>
      </w:r>
      <w:proofErr w:type="spellStart"/>
      <w:r w:rsidRPr="00E06173">
        <w:t>linacs</w:t>
      </w:r>
      <w:proofErr w:type="spellEnd"/>
      <w:r w:rsidRPr="00E06173">
        <w:t xml:space="preserve"> in Australia by remoteness (MMM), 2019</w:t>
      </w:r>
      <w:r w:rsidR="00E61AD5" w:rsidRPr="00E06173">
        <w:t>–</w:t>
      </w:r>
      <w:r w:rsidRPr="00E06173">
        <w:t>20</w:t>
      </w:r>
    </w:p>
    <w:tbl>
      <w:tblPr>
        <w:tblStyle w:val="HMATableA"/>
        <w:tblW w:w="0" w:type="auto"/>
        <w:tblInd w:w="-5" w:type="dxa"/>
        <w:tblLook w:val="04A0" w:firstRow="1" w:lastRow="0" w:firstColumn="1" w:lastColumn="0" w:noHBand="0" w:noVBand="1"/>
        <w:tblDescription w:val="Table 9.6 Number of linacs in Australia by remoteness (MMM), 2019-20. This table shows a number of linacs both funded and not funded by ROHPG, by remoteness MM 1 to MM 3."/>
      </w:tblPr>
      <w:tblGrid>
        <w:gridCol w:w="1686"/>
        <w:gridCol w:w="1144"/>
        <w:gridCol w:w="1524"/>
        <w:gridCol w:w="1814"/>
        <w:gridCol w:w="904"/>
        <w:gridCol w:w="646"/>
      </w:tblGrid>
      <w:tr w:rsidR="0010422E" w:rsidRPr="009B6AA8" w14:paraId="045431AD" w14:textId="77777777" w:rsidTr="0079376F">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CF229EC" w14:textId="77777777" w:rsidR="0010422E" w:rsidRPr="006529A6" w:rsidRDefault="0010422E" w:rsidP="00F97C6A">
            <w:pPr>
              <w:pStyle w:val="TableHeading"/>
              <w:rPr>
                <w:b/>
                <w:lang w:eastAsia="zh-CN"/>
              </w:rPr>
            </w:pPr>
            <w:r w:rsidRPr="006529A6">
              <w:rPr>
                <w:b/>
                <w:lang w:eastAsia="zh-CN"/>
              </w:rPr>
              <w:t>MMM</w:t>
            </w:r>
          </w:p>
        </w:tc>
        <w:tc>
          <w:tcPr>
            <w:tcW w:w="0" w:type="auto"/>
            <w:noWrap/>
            <w:vAlign w:val="center"/>
            <w:hideMark/>
          </w:tcPr>
          <w:p w14:paraId="113F1682" w14:textId="77777777" w:rsidR="0010422E" w:rsidRPr="009B6AA8" w:rsidRDefault="0010422E" w:rsidP="00F97C6A">
            <w:pPr>
              <w:pStyle w:val="TableHeading"/>
              <w:cnfStyle w:val="100000000000" w:firstRow="1" w:lastRow="0" w:firstColumn="0" w:lastColumn="0" w:oddVBand="0" w:evenVBand="0" w:oddHBand="0" w:evenHBand="0" w:firstRowFirstColumn="0" w:firstRowLastColumn="0" w:lastRowFirstColumn="0" w:lastRowLastColumn="0"/>
              <w:rPr>
                <w:lang w:eastAsia="zh-CN"/>
              </w:rPr>
            </w:pPr>
            <w:r w:rsidRPr="009B6AA8">
              <w:rPr>
                <w:lang w:eastAsia="zh-CN"/>
              </w:rPr>
              <w:t xml:space="preserve">Facility type </w:t>
            </w:r>
          </w:p>
        </w:tc>
        <w:tc>
          <w:tcPr>
            <w:tcW w:w="0" w:type="auto"/>
            <w:noWrap/>
            <w:vAlign w:val="center"/>
            <w:hideMark/>
          </w:tcPr>
          <w:p w14:paraId="3C4F2F8D" w14:textId="7AC77F46" w:rsidR="0010422E" w:rsidRPr="009B6AA8" w:rsidRDefault="0010422E" w:rsidP="00F97C6A">
            <w:pPr>
              <w:pStyle w:val="TableHeading"/>
              <w:cnfStyle w:val="100000000000" w:firstRow="1" w:lastRow="0" w:firstColumn="0" w:lastColumn="0" w:oddVBand="0" w:evenVBand="0" w:oddHBand="0" w:evenHBand="0" w:firstRowFirstColumn="0" w:firstRowLastColumn="0" w:lastRowFirstColumn="0" w:lastRowLastColumn="0"/>
              <w:rPr>
                <w:lang w:eastAsia="zh-CN"/>
              </w:rPr>
            </w:pPr>
            <w:r w:rsidRPr="009B6AA8">
              <w:rPr>
                <w:lang w:eastAsia="zh-CN"/>
              </w:rPr>
              <w:t>ROHPG funded</w:t>
            </w:r>
            <w:r w:rsidR="000257F5">
              <w:rPr>
                <w:lang w:eastAsia="zh-CN"/>
              </w:rPr>
              <w:t>*</w:t>
            </w:r>
          </w:p>
        </w:tc>
        <w:tc>
          <w:tcPr>
            <w:tcW w:w="0" w:type="auto"/>
            <w:noWrap/>
            <w:vAlign w:val="center"/>
            <w:hideMark/>
          </w:tcPr>
          <w:p w14:paraId="44E00226" w14:textId="4368B38E" w:rsidR="0010422E" w:rsidRPr="009B6AA8" w:rsidRDefault="0010422E" w:rsidP="00F97C6A">
            <w:pPr>
              <w:pStyle w:val="TableHeading"/>
              <w:cnfStyle w:val="100000000000" w:firstRow="1" w:lastRow="0" w:firstColumn="0" w:lastColumn="0" w:oddVBand="0" w:evenVBand="0" w:oddHBand="0" w:evenHBand="0" w:firstRowFirstColumn="0" w:firstRowLastColumn="0" w:lastRowFirstColumn="0" w:lastRowLastColumn="0"/>
              <w:rPr>
                <w:lang w:eastAsia="zh-CN"/>
              </w:rPr>
            </w:pPr>
            <w:r w:rsidRPr="009B6AA8">
              <w:rPr>
                <w:lang w:eastAsia="zh-CN"/>
              </w:rPr>
              <w:t>non</w:t>
            </w:r>
            <w:r w:rsidR="00AF3E3A">
              <w:rPr>
                <w:lang w:eastAsia="zh-CN"/>
              </w:rPr>
              <w:t>-</w:t>
            </w:r>
            <w:r w:rsidRPr="009B6AA8">
              <w:rPr>
                <w:lang w:eastAsia="zh-CN"/>
              </w:rPr>
              <w:t>ROHPG funded</w:t>
            </w:r>
          </w:p>
        </w:tc>
        <w:tc>
          <w:tcPr>
            <w:tcW w:w="0" w:type="auto"/>
            <w:noWrap/>
            <w:vAlign w:val="center"/>
            <w:hideMark/>
          </w:tcPr>
          <w:p w14:paraId="60BF420C" w14:textId="77777777" w:rsidR="0010422E" w:rsidRPr="009B6AA8" w:rsidRDefault="0010422E" w:rsidP="00F97C6A">
            <w:pPr>
              <w:pStyle w:val="TableHeading"/>
              <w:cnfStyle w:val="100000000000" w:firstRow="1" w:lastRow="0" w:firstColumn="0" w:lastColumn="0" w:oddVBand="0" w:evenVBand="0" w:oddHBand="0" w:evenHBand="0" w:firstRowFirstColumn="0" w:firstRowLastColumn="0" w:lastRowFirstColumn="0" w:lastRowLastColumn="0"/>
              <w:rPr>
                <w:lang w:eastAsia="zh-CN"/>
              </w:rPr>
            </w:pPr>
            <w:r w:rsidRPr="009B6AA8">
              <w:rPr>
                <w:lang w:eastAsia="zh-CN"/>
              </w:rPr>
              <w:t xml:space="preserve">All </w:t>
            </w:r>
            <w:proofErr w:type="spellStart"/>
            <w:r w:rsidRPr="009B6AA8">
              <w:rPr>
                <w:lang w:eastAsia="zh-CN"/>
              </w:rPr>
              <w:t>linacs</w:t>
            </w:r>
            <w:proofErr w:type="spellEnd"/>
          </w:p>
        </w:tc>
        <w:tc>
          <w:tcPr>
            <w:tcW w:w="0" w:type="auto"/>
            <w:vAlign w:val="center"/>
          </w:tcPr>
          <w:p w14:paraId="2455A2D3" w14:textId="77777777" w:rsidR="0010422E" w:rsidRPr="009B6AA8" w:rsidRDefault="0010422E" w:rsidP="00F97C6A">
            <w:pPr>
              <w:pStyle w:val="TableHeading"/>
              <w:cnfStyle w:val="100000000000" w:firstRow="1" w:lastRow="0" w:firstColumn="0" w:lastColumn="0" w:oddVBand="0" w:evenVBand="0" w:oddHBand="0" w:evenHBand="0" w:firstRowFirstColumn="0" w:firstRowLastColumn="0" w:lastRowFirstColumn="0" w:lastRowLastColumn="0"/>
              <w:rPr>
                <w:lang w:eastAsia="zh-CN"/>
              </w:rPr>
            </w:pPr>
            <w:r w:rsidRPr="009B6AA8">
              <w:rPr>
                <w:lang w:eastAsia="zh-CN"/>
              </w:rPr>
              <w:t>%</w:t>
            </w:r>
          </w:p>
        </w:tc>
      </w:tr>
      <w:tr w:rsidR="00FF2D3E" w:rsidRPr="0079376F" w14:paraId="3A7DF780" w14:textId="77777777" w:rsidTr="0079376F">
        <w:trPr>
          <w:trHeight w:val="11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027617" w14:textId="3B22C6D1" w:rsidR="00FF2D3E" w:rsidRPr="006529A6" w:rsidRDefault="00FF2D3E" w:rsidP="006529A6">
            <w:pPr>
              <w:pStyle w:val="TableofFigures"/>
              <w:rPr>
                <w:b/>
                <w:lang w:eastAsia="zh-CN"/>
              </w:rPr>
            </w:pPr>
            <w:r w:rsidRPr="006529A6">
              <w:rPr>
                <w:b/>
                <w:lang w:eastAsia="zh-CN"/>
              </w:rPr>
              <w:t xml:space="preserve">MM 1 Major City </w:t>
            </w:r>
          </w:p>
        </w:tc>
        <w:tc>
          <w:tcPr>
            <w:tcW w:w="0" w:type="auto"/>
            <w:noWrap/>
            <w:vAlign w:val="center"/>
            <w:hideMark/>
          </w:tcPr>
          <w:p w14:paraId="52792BB1" w14:textId="7777777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color w:val="000000"/>
                <w:sz w:val="18"/>
                <w:szCs w:val="18"/>
                <w:lang w:eastAsia="zh-CN"/>
              </w:rPr>
            </w:pPr>
            <w:r w:rsidRPr="0079376F">
              <w:rPr>
                <w:color w:val="000000"/>
                <w:sz w:val="18"/>
                <w:szCs w:val="18"/>
                <w:lang w:eastAsia="zh-CN"/>
              </w:rPr>
              <w:t>Private</w:t>
            </w:r>
          </w:p>
        </w:tc>
        <w:tc>
          <w:tcPr>
            <w:tcW w:w="0" w:type="auto"/>
            <w:noWrap/>
            <w:vAlign w:val="center"/>
            <w:hideMark/>
          </w:tcPr>
          <w:p w14:paraId="0D8E0F41" w14:textId="1591DB56"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sz w:val="18"/>
                <w:szCs w:val="18"/>
                <w:lang w:eastAsia="zh-CN"/>
              </w:rPr>
            </w:pPr>
            <w:r w:rsidRPr="0079376F">
              <w:rPr>
                <w:sz w:val="18"/>
                <w:szCs w:val="18"/>
                <w:lang w:eastAsia="zh-CN"/>
              </w:rPr>
              <w:t>69</w:t>
            </w:r>
          </w:p>
        </w:tc>
        <w:tc>
          <w:tcPr>
            <w:tcW w:w="0" w:type="auto"/>
            <w:noWrap/>
            <w:vAlign w:val="center"/>
            <w:hideMark/>
          </w:tcPr>
          <w:p w14:paraId="1DEBDDF3" w14:textId="179835E8"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sz w:val="18"/>
                <w:szCs w:val="18"/>
                <w:lang w:eastAsia="zh-CN"/>
              </w:rPr>
            </w:pPr>
            <w:r w:rsidRPr="0079376F">
              <w:rPr>
                <w:sz w:val="18"/>
                <w:szCs w:val="18"/>
                <w:lang w:eastAsia="zh-CN"/>
              </w:rPr>
              <w:t>13</w:t>
            </w:r>
          </w:p>
        </w:tc>
        <w:tc>
          <w:tcPr>
            <w:tcW w:w="0" w:type="auto"/>
            <w:noWrap/>
            <w:vAlign w:val="center"/>
            <w:hideMark/>
          </w:tcPr>
          <w:p w14:paraId="7CAE62A1" w14:textId="4077BB5F"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color w:val="000000"/>
                <w:sz w:val="18"/>
                <w:szCs w:val="18"/>
                <w:lang w:eastAsia="zh-CN"/>
              </w:rPr>
            </w:pPr>
            <w:r w:rsidRPr="0079376F">
              <w:rPr>
                <w:color w:val="000000"/>
                <w:sz w:val="18"/>
                <w:szCs w:val="18"/>
                <w:lang w:eastAsia="zh-CN"/>
              </w:rPr>
              <w:t>82</w:t>
            </w:r>
          </w:p>
        </w:tc>
        <w:tc>
          <w:tcPr>
            <w:tcW w:w="0" w:type="auto"/>
            <w:vAlign w:val="center"/>
          </w:tcPr>
          <w:p w14:paraId="490AB2E6" w14:textId="7777777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color w:val="000000"/>
                <w:sz w:val="18"/>
                <w:szCs w:val="18"/>
                <w:lang w:eastAsia="zh-CN"/>
              </w:rPr>
            </w:pPr>
          </w:p>
        </w:tc>
      </w:tr>
      <w:tr w:rsidR="00FF2D3E" w:rsidRPr="0079376F" w14:paraId="272AD7B1" w14:textId="77777777" w:rsidTr="0079376F">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8CAA17" w14:textId="77777777" w:rsidR="00FF2D3E" w:rsidRPr="006529A6" w:rsidRDefault="00FF2D3E" w:rsidP="006529A6">
            <w:pPr>
              <w:pStyle w:val="TableofFigures"/>
              <w:rPr>
                <w:b/>
                <w:lang w:eastAsia="zh-CN"/>
              </w:rPr>
            </w:pPr>
          </w:p>
        </w:tc>
        <w:tc>
          <w:tcPr>
            <w:tcW w:w="0" w:type="auto"/>
            <w:noWrap/>
            <w:vAlign w:val="center"/>
            <w:hideMark/>
          </w:tcPr>
          <w:p w14:paraId="6865FDDC" w14:textId="77777777"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color w:val="000000"/>
                <w:sz w:val="18"/>
                <w:szCs w:val="18"/>
                <w:lang w:eastAsia="zh-CN"/>
              </w:rPr>
            </w:pPr>
            <w:r w:rsidRPr="0079376F">
              <w:rPr>
                <w:color w:val="000000"/>
                <w:sz w:val="18"/>
                <w:szCs w:val="18"/>
                <w:lang w:eastAsia="zh-CN"/>
              </w:rPr>
              <w:t>Public</w:t>
            </w:r>
          </w:p>
        </w:tc>
        <w:tc>
          <w:tcPr>
            <w:tcW w:w="0" w:type="auto"/>
            <w:noWrap/>
            <w:vAlign w:val="center"/>
            <w:hideMark/>
          </w:tcPr>
          <w:p w14:paraId="2BC8C208" w14:textId="3A1A6204"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sz w:val="18"/>
                <w:szCs w:val="18"/>
                <w:lang w:eastAsia="zh-CN"/>
              </w:rPr>
            </w:pPr>
            <w:r w:rsidRPr="0079376F">
              <w:rPr>
                <w:sz w:val="18"/>
                <w:szCs w:val="18"/>
                <w:lang w:eastAsia="zh-CN"/>
              </w:rPr>
              <w:t>78</w:t>
            </w:r>
          </w:p>
        </w:tc>
        <w:tc>
          <w:tcPr>
            <w:tcW w:w="0" w:type="auto"/>
            <w:noWrap/>
            <w:vAlign w:val="center"/>
            <w:hideMark/>
          </w:tcPr>
          <w:p w14:paraId="4FC86FF7" w14:textId="53DAAA13"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sz w:val="18"/>
                <w:szCs w:val="18"/>
                <w:lang w:eastAsia="zh-CN"/>
              </w:rPr>
            </w:pPr>
            <w:r w:rsidRPr="0079376F">
              <w:rPr>
                <w:sz w:val="18"/>
                <w:szCs w:val="18"/>
                <w:lang w:eastAsia="zh-CN"/>
              </w:rPr>
              <w:t>0</w:t>
            </w:r>
          </w:p>
        </w:tc>
        <w:tc>
          <w:tcPr>
            <w:tcW w:w="0" w:type="auto"/>
            <w:noWrap/>
            <w:vAlign w:val="center"/>
            <w:hideMark/>
          </w:tcPr>
          <w:p w14:paraId="577C465F" w14:textId="7EE4BAC8"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color w:val="000000"/>
                <w:sz w:val="18"/>
                <w:szCs w:val="18"/>
                <w:lang w:eastAsia="zh-CN"/>
              </w:rPr>
            </w:pPr>
            <w:r w:rsidRPr="0079376F">
              <w:rPr>
                <w:color w:val="000000"/>
                <w:sz w:val="18"/>
                <w:szCs w:val="18"/>
                <w:lang w:eastAsia="zh-CN"/>
              </w:rPr>
              <w:t>78</w:t>
            </w:r>
          </w:p>
        </w:tc>
        <w:tc>
          <w:tcPr>
            <w:tcW w:w="0" w:type="auto"/>
            <w:vAlign w:val="center"/>
          </w:tcPr>
          <w:p w14:paraId="55A49D13" w14:textId="77777777"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color w:val="000000"/>
                <w:sz w:val="18"/>
                <w:szCs w:val="18"/>
                <w:lang w:eastAsia="zh-CN"/>
              </w:rPr>
            </w:pPr>
          </w:p>
        </w:tc>
      </w:tr>
      <w:tr w:rsidR="00FF2D3E" w:rsidRPr="0079376F" w14:paraId="6B382A4F" w14:textId="77777777" w:rsidTr="0079376F">
        <w:trPr>
          <w:trHeight w:val="11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A16975" w14:textId="77777777" w:rsidR="00FF2D3E" w:rsidRPr="006529A6" w:rsidRDefault="00FF2D3E" w:rsidP="006529A6">
            <w:pPr>
              <w:pStyle w:val="TableofFigures"/>
              <w:rPr>
                <w:b/>
                <w:lang w:eastAsia="zh-CN"/>
              </w:rPr>
            </w:pPr>
          </w:p>
        </w:tc>
        <w:tc>
          <w:tcPr>
            <w:tcW w:w="0" w:type="auto"/>
            <w:noWrap/>
            <w:vAlign w:val="center"/>
            <w:hideMark/>
          </w:tcPr>
          <w:p w14:paraId="18578446" w14:textId="7777777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b/>
                <w:bCs/>
                <w:color w:val="000000"/>
                <w:sz w:val="18"/>
                <w:szCs w:val="18"/>
                <w:lang w:eastAsia="zh-CN"/>
              </w:rPr>
            </w:pPr>
            <w:r w:rsidRPr="0079376F">
              <w:rPr>
                <w:b/>
                <w:bCs/>
                <w:color w:val="000000"/>
                <w:sz w:val="18"/>
                <w:szCs w:val="18"/>
                <w:lang w:eastAsia="zh-CN"/>
              </w:rPr>
              <w:t>Sub-total</w:t>
            </w:r>
          </w:p>
        </w:tc>
        <w:tc>
          <w:tcPr>
            <w:tcW w:w="0" w:type="auto"/>
            <w:noWrap/>
            <w:vAlign w:val="center"/>
            <w:hideMark/>
          </w:tcPr>
          <w:p w14:paraId="707A31F1" w14:textId="4558B995"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b/>
                <w:bCs/>
                <w:sz w:val="18"/>
                <w:szCs w:val="18"/>
                <w:lang w:eastAsia="zh-CN"/>
              </w:rPr>
            </w:pPr>
            <w:r w:rsidRPr="0079376F">
              <w:rPr>
                <w:b/>
                <w:bCs/>
                <w:color w:val="000000"/>
                <w:sz w:val="18"/>
                <w:szCs w:val="18"/>
                <w:lang w:eastAsia="zh-CN"/>
              </w:rPr>
              <w:t>147</w:t>
            </w:r>
          </w:p>
        </w:tc>
        <w:tc>
          <w:tcPr>
            <w:tcW w:w="0" w:type="auto"/>
            <w:noWrap/>
            <w:vAlign w:val="center"/>
            <w:hideMark/>
          </w:tcPr>
          <w:p w14:paraId="1ADAD374" w14:textId="77D45AB9"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b/>
                <w:bCs/>
                <w:sz w:val="18"/>
                <w:szCs w:val="18"/>
                <w:lang w:eastAsia="zh-CN"/>
              </w:rPr>
            </w:pPr>
            <w:r w:rsidRPr="0079376F">
              <w:rPr>
                <w:b/>
                <w:bCs/>
                <w:color w:val="000000"/>
                <w:sz w:val="18"/>
                <w:szCs w:val="18"/>
                <w:lang w:eastAsia="zh-CN"/>
              </w:rPr>
              <w:t>13</w:t>
            </w:r>
          </w:p>
        </w:tc>
        <w:tc>
          <w:tcPr>
            <w:tcW w:w="0" w:type="auto"/>
            <w:noWrap/>
            <w:vAlign w:val="center"/>
            <w:hideMark/>
          </w:tcPr>
          <w:p w14:paraId="57EEC801" w14:textId="1E233B73"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b/>
                <w:bCs/>
                <w:color w:val="000000"/>
                <w:sz w:val="18"/>
                <w:szCs w:val="18"/>
                <w:lang w:eastAsia="zh-CN"/>
              </w:rPr>
            </w:pPr>
            <w:r w:rsidRPr="0079376F">
              <w:rPr>
                <w:b/>
                <w:bCs/>
                <w:color w:val="000000"/>
                <w:sz w:val="18"/>
                <w:szCs w:val="18"/>
                <w:lang w:eastAsia="zh-CN"/>
              </w:rPr>
              <w:t>160</w:t>
            </w:r>
          </w:p>
        </w:tc>
        <w:tc>
          <w:tcPr>
            <w:tcW w:w="0" w:type="auto"/>
            <w:vAlign w:val="center"/>
          </w:tcPr>
          <w:p w14:paraId="7E7BB769" w14:textId="61C1B60E"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b/>
                <w:bCs/>
                <w:color w:val="000000"/>
                <w:sz w:val="18"/>
                <w:szCs w:val="18"/>
                <w:lang w:eastAsia="zh-CN"/>
              </w:rPr>
            </w:pPr>
            <w:r w:rsidRPr="0079376F">
              <w:rPr>
                <w:b/>
                <w:bCs/>
                <w:color w:val="000000"/>
                <w:sz w:val="18"/>
                <w:szCs w:val="18"/>
                <w:lang w:eastAsia="zh-CN"/>
              </w:rPr>
              <w:t>80%</w:t>
            </w:r>
          </w:p>
        </w:tc>
      </w:tr>
      <w:tr w:rsidR="00FF2D3E" w:rsidRPr="0079376F" w14:paraId="2AF4A939" w14:textId="77777777" w:rsidTr="0079376F">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4BBF994" w14:textId="3953FA5F" w:rsidR="00FF2D3E" w:rsidRPr="006529A6" w:rsidRDefault="00FF2D3E" w:rsidP="006529A6">
            <w:pPr>
              <w:pStyle w:val="TableofFigures"/>
              <w:rPr>
                <w:b/>
                <w:lang w:eastAsia="zh-CN"/>
              </w:rPr>
            </w:pPr>
            <w:r w:rsidRPr="006529A6">
              <w:rPr>
                <w:b/>
                <w:lang w:eastAsia="zh-CN"/>
              </w:rPr>
              <w:t>MM 2 Regional</w:t>
            </w:r>
          </w:p>
        </w:tc>
        <w:tc>
          <w:tcPr>
            <w:tcW w:w="0" w:type="auto"/>
            <w:noWrap/>
            <w:vAlign w:val="center"/>
            <w:hideMark/>
          </w:tcPr>
          <w:p w14:paraId="1A629DBA" w14:textId="77777777"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color w:val="000000"/>
                <w:sz w:val="18"/>
                <w:szCs w:val="18"/>
                <w:lang w:eastAsia="zh-CN"/>
              </w:rPr>
            </w:pPr>
            <w:r w:rsidRPr="0079376F">
              <w:rPr>
                <w:color w:val="000000"/>
                <w:sz w:val="18"/>
                <w:szCs w:val="18"/>
                <w:lang w:eastAsia="zh-CN"/>
              </w:rPr>
              <w:t>Private</w:t>
            </w:r>
          </w:p>
        </w:tc>
        <w:tc>
          <w:tcPr>
            <w:tcW w:w="0" w:type="auto"/>
            <w:noWrap/>
            <w:vAlign w:val="center"/>
            <w:hideMark/>
          </w:tcPr>
          <w:p w14:paraId="54499ED1" w14:textId="0D377401"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sz w:val="18"/>
                <w:szCs w:val="18"/>
                <w:lang w:eastAsia="zh-CN"/>
              </w:rPr>
            </w:pPr>
            <w:r w:rsidRPr="0079376F">
              <w:rPr>
                <w:sz w:val="18"/>
                <w:szCs w:val="18"/>
                <w:lang w:eastAsia="zh-CN"/>
              </w:rPr>
              <w:t>13</w:t>
            </w:r>
          </w:p>
        </w:tc>
        <w:tc>
          <w:tcPr>
            <w:tcW w:w="0" w:type="auto"/>
            <w:noWrap/>
            <w:vAlign w:val="center"/>
            <w:hideMark/>
          </w:tcPr>
          <w:p w14:paraId="275EA53F" w14:textId="49AEAF41"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sz w:val="18"/>
                <w:szCs w:val="18"/>
                <w:lang w:eastAsia="zh-CN"/>
              </w:rPr>
            </w:pPr>
            <w:r w:rsidRPr="0079376F">
              <w:rPr>
                <w:sz w:val="18"/>
                <w:szCs w:val="18"/>
                <w:lang w:eastAsia="zh-CN"/>
              </w:rPr>
              <w:t>0</w:t>
            </w:r>
          </w:p>
        </w:tc>
        <w:tc>
          <w:tcPr>
            <w:tcW w:w="0" w:type="auto"/>
            <w:noWrap/>
            <w:vAlign w:val="center"/>
            <w:hideMark/>
          </w:tcPr>
          <w:p w14:paraId="74F63C3F" w14:textId="193E030E"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color w:val="000000"/>
                <w:sz w:val="18"/>
                <w:szCs w:val="18"/>
                <w:lang w:eastAsia="zh-CN"/>
              </w:rPr>
            </w:pPr>
            <w:r w:rsidRPr="0079376F">
              <w:rPr>
                <w:color w:val="000000"/>
                <w:sz w:val="18"/>
                <w:szCs w:val="18"/>
                <w:lang w:eastAsia="zh-CN"/>
              </w:rPr>
              <w:t>13</w:t>
            </w:r>
          </w:p>
        </w:tc>
        <w:tc>
          <w:tcPr>
            <w:tcW w:w="0" w:type="auto"/>
            <w:vAlign w:val="center"/>
          </w:tcPr>
          <w:p w14:paraId="25723F57" w14:textId="77777777"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color w:val="000000"/>
                <w:sz w:val="18"/>
                <w:szCs w:val="18"/>
                <w:lang w:eastAsia="zh-CN"/>
              </w:rPr>
            </w:pPr>
          </w:p>
        </w:tc>
      </w:tr>
      <w:tr w:rsidR="00FF2D3E" w:rsidRPr="0079376F" w14:paraId="0A6032D3" w14:textId="77777777" w:rsidTr="0079376F">
        <w:trPr>
          <w:trHeight w:val="113"/>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70CC787" w14:textId="77777777" w:rsidR="00FF2D3E" w:rsidRPr="006529A6" w:rsidRDefault="00FF2D3E" w:rsidP="006529A6">
            <w:pPr>
              <w:pStyle w:val="TableofFigures"/>
              <w:rPr>
                <w:b/>
                <w:lang w:eastAsia="zh-CN"/>
              </w:rPr>
            </w:pPr>
          </w:p>
        </w:tc>
        <w:tc>
          <w:tcPr>
            <w:tcW w:w="0" w:type="auto"/>
            <w:noWrap/>
            <w:vAlign w:val="center"/>
            <w:hideMark/>
          </w:tcPr>
          <w:p w14:paraId="104F3507" w14:textId="7777777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color w:val="000000"/>
                <w:sz w:val="18"/>
                <w:szCs w:val="18"/>
                <w:lang w:eastAsia="zh-CN"/>
              </w:rPr>
            </w:pPr>
            <w:r w:rsidRPr="0079376F">
              <w:rPr>
                <w:color w:val="000000"/>
                <w:sz w:val="18"/>
                <w:szCs w:val="18"/>
                <w:lang w:eastAsia="zh-CN"/>
              </w:rPr>
              <w:t>Public</w:t>
            </w:r>
          </w:p>
        </w:tc>
        <w:tc>
          <w:tcPr>
            <w:tcW w:w="0" w:type="auto"/>
            <w:noWrap/>
            <w:vAlign w:val="center"/>
            <w:hideMark/>
          </w:tcPr>
          <w:p w14:paraId="49B1FCBF" w14:textId="348C6F28"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sz w:val="18"/>
                <w:szCs w:val="18"/>
                <w:lang w:eastAsia="zh-CN"/>
              </w:rPr>
            </w:pPr>
            <w:r w:rsidRPr="0079376F">
              <w:rPr>
                <w:sz w:val="18"/>
                <w:szCs w:val="18"/>
                <w:lang w:eastAsia="zh-CN"/>
              </w:rPr>
              <w:t>13</w:t>
            </w:r>
          </w:p>
        </w:tc>
        <w:tc>
          <w:tcPr>
            <w:tcW w:w="0" w:type="auto"/>
            <w:noWrap/>
            <w:vAlign w:val="center"/>
            <w:hideMark/>
          </w:tcPr>
          <w:p w14:paraId="4C3A15DC" w14:textId="31C956C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sz w:val="18"/>
                <w:szCs w:val="18"/>
                <w:lang w:eastAsia="zh-CN"/>
              </w:rPr>
            </w:pPr>
            <w:r w:rsidRPr="0079376F">
              <w:rPr>
                <w:sz w:val="18"/>
                <w:szCs w:val="18"/>
                <w:lang w:eastAsia="zh-CN"/>
              </w:rPr>
              <w:t>0</w:t>
            </w:r>
          </w:p>
        </w:tc>
        <w:tc>
          <w:tcPr>
            <w:tcW w:w="0" w:type="auto"/>
            <w:noWrap/>
            <w:vAlign w:val="center"/>
            <w:hideMark/>
          </w:tcPr>
          <w:p w14:paraId="6B657708" w14:textId="77C90775"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color w:val="000000"/>
                <w:sz w:val="18"/>
                <w:szCs w:val="18"/>
                <w:lang w:eastAsia="zh-CN"/>
              </w:rPr>
            </w:pPr>
            <w:r w:rsidRPr="0079376F">
              <w:rPr>
                <w:color w:val="000000"/>
                <w:sz w:val="18"/>
                <w:szCs w:val="18"/>
                <w:lang w:eastAsia="zh-CN"/>
              </w:rPr>
              <w:t>13</w:t>
            </w:r>
          </w:p>
        </w:tc>
        <w:tc>
          <w:tcPr>
            <w:tcW w:w="0" w:type="auto"/>
            <w:vAlign w:val="center"/>
          </w:tcPr>
          <w:p w14:paraId="2E944D24" w14:textId="7777777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color w:val="000000"/>
                <w:sz w:val="18"/>
                <w:szCs w:val="18"/>
                <w:lang w:eastAsia="zh-CN"/>
              </w:rPr>
            </w:pPr>
          </w:p>
        </w:tc>
      </w:tr>
      <w:tr w:rsidR="00FF2D3E" w:rsidRPr="0079376F" w14:paraId="7BB2C3CD" w14:textId="77777777" w:rsidTr="0079376F">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78A8CD7" w14:textId="77777777" w:rsidR="00FF2D3E" w:rsidRPr="006529A6" w:rsidRDefault="00FF2D3E" w:rsidP="006529A6">
            <w:pPr>
              <w:pStyle w:val="TableofFigures"/>
              <w:rPr>
                <w:b/>
                <w:lang w:eastAsia="zh-CN"/>
              </w:rPr>
            </w:pPr>
          </w:p>
        </w:tc>
        <w:tc>
          <w:tcPr>
            <w:tcW w:w="0" w:type="auto"/>
            <w:noWrap/>
            <w:vAlign w:val="center"/>
            <w:hideMark/>
          </w:tcPr>
          <w:p w14:paraId="0949D2D3" w14:textId="77777777"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b/>
                <w:bCs/>
                <w:color w:val="000000"/>
                <w:sz w:val="18"/>
                <w:szCs w:val="18"/>
                <w:lang w:eastAsia="zh-CN"/>
              </w:rPr>
            </w:pPr>
            <w:r w:rsidRPr="0079376F">
              <w:rPr>
                <w:b/>
                <w:bCs/>
                <w:color w:val="000000"/>
                <w:sz w:val="18"/>
                <w:szCs w:val="18"/>
                <w:lang w:eastAsia="zh-CN"/>
              </w:rPr>
              <w:t>Sub-total</w:t>
            </w:r>
          </w:p>
        </w:tc>
        <w:tc>
          <w:tcPr>
            <w:tcW w:w="0" w:type="auto"/>
            <w:noWrap/>
            <w:vAlign w:val="center"/>
            <w:hideMark/>
          </w:tcPr>
          <w:p w14:paraId="70299D66" w14:textId="7E1CEE79"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b/>
                <w:bCs/>
                <w:sz w:val="18"/>
                <w:szCs w:val="18"/>
                <w:lang w:eastAsia="zh-CN"/>
              </w:rPr>
            </w:pPr>
            <w:r w:rsidRPr="0079376F">
              <w:rPr>
                <w:b/>
                <w:bCs/>
                <w:sz w:val="18"/>
                <w:szCs w:val="18"/>
                <w:lang w:eastAsia="zh-CN"/>
              </w:rPr>
              <w:t>26</w:t>
            </w:r>
          </w:p>
        </w:tc>
        <w:tc>
          <w:tcPr>
            <w:tcW w:w="0" w:type="auto"/>
            <w:noWrap/>
            <w:vAlign w:val="center"/>
            <w:hideMark/>
          </w:tcPr>
          <w:p w14:paraId="07884D77" w14:textId="301DE088"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b/>
                <w:bCs/>
                <w:sz w:val="18"/>
                <w:szCs w:val="18"/>
                <w:lang w:eastAsia="zh-CN"/>
              </w:rPr>
            </w:pPr>
            <w:r w:rsidRPr="0079376F">
              <w:rPr>
                <w:b/>
                <w:bCs/>
                <w:sz w:val="18"/>
                <w:szCs w:val="18"/>
                <w:lang w:eastAsia="zh-CN"/>
              </w:rPr>
              <w:t>0</w:t>
            </w:r>
          </w:p>
        </w:tc>
        <w:tc>
          <w:tcPr>
            <w:tcW w:w="0" w:type="auto"/>
            <w:noWrap/>
            <w:vAlign w:val="center"/>
            <w:hideMark/>
          </w:tcPr>
          <w:p w14:paraId="13108801" w14:textId="2BAAACF0"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b/>
                <w:bCs/>
                <w:color w:val="000000"/>
                <w:sz w:val="18"/>
                <w:szCs w:val="18"/>
                <w:lang w:eastAsia="zh-CN"/>
              </w:rPr>
            </w:pPr>
            <w:r w:rsidRPr="0079376F">
              <w:rPr>
                <w:b/>
                <w:bCs/>
                <w:sz w:val="18"/>
                <w:szCs w:val="18"/>
                <w:lang w:eastAsia="zh-CN"/>
              </w:rPr>
              <w:t>26</w:t>
            </w:r>
          </w:p>
        </w:tc>
        <w:tc>
          <w:tcPr>
            <w:tcW w:w="0" w:type="auto"/>
            <w:vAlign w:val="center"/>
          </w:tcPr>
          <w:p w14:paraId="7C3E438F" w14:textId="75E77BED"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b/>
                <w:bCs/>
                <w:color w:val="000000"/>
                <w:sz w:val="18"/>
                <w:szCs w:val="18"/>
                <w:lang w:eastAsia="zh-CN"/>
              </w:rPr>
            </w:pPr>
            <w:r w:rsidRPr="0079376F">
              <w:rPr>
                <w:b/>
                <w:bCs/>
                <w:color w:val="000000"/>
                <w:sz w:val="18"/>
                <w:szCs w:val="18"/>
                <w:lang w:eastAsia="zh-CN"/>
              </w:rPr>
              <w:t>13%</w:t>
            </w:r>
          </w:p>
        </w:tc>
      </w:tr>
      <w:tr w:rsidR="00FF2D3E" w:rsidRPr="0079376F" w14:paraId="6798A6F0" w14:textId="77777777" w:rsidTr="0079376F">
        <w:trPr>
          <w:trHeight w:val="11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0E7D3F" w14:textId="0E55D8DD" w:rsidR="00FF2D3E" w:rsidRPr="006529A6" w:rsidRDefault="00FF2D3E" w:rsidP="006529A6">
            <w:pPr>
              <w:pStyle w:val="TableofFigures"/>
              <w:rPr>
                <w:b/>
                <w:lang w:eastAsia="zh-CN"/>
              </w:rPr>
            </w:pPr>
            <w:r w:rsidRPr="006529A6">
              <w:rPr>
                <w:b/>
                <w:lang w:eastAsia="zh-CN"/>
              </w:rPr>
              <w:t xml:space="preserve">MM 3 Rural </w:t>
            </w:r>
          </w:p>
        </w:tc>
        <w:tc>
          <w:tcPr>
            <w:tcW w:w="0" w:type="auto"/>
            <w:noWrap/>
            <w:vAlign w:val="center"/>
            <w:hideMark/>
          </w:tcPr>
          <w:p w14:paraId="0AE7916A" w14:textId="7777777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color w:val="000000"/>
                <w:sz w:val="18"/>
                <w:szCs w:val="18"/>
                <w:lang w:eastAsia="zh-CN"/>
              </w:rPr>
            </w:pPr>
            <w:r w:rsidRPr="0079376F">
              <w:rPr>
                <w:color w:val="000000"/>
                <w:sz w:val="18"/>
                <w:szCs w:val="18"/>
                <w:lang w:eastAsia="zh-CN"/>
              </w:rPr>
              <w:t>Private</w:t>
            </w:r>
          </w:p>
        </w:tc>
        <w:tc>
          <w:tcPr>
            <w:tcW w:w="0" w:type="auto"/>
            <w:noWrap/>
            <w:vAlign w:val="center"/>
            <w:hideMark/>
          </w:tcPr>
          <w:p w14:paraId="70C23379" w14:textId="07372A82"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sz w:val="18"/>
                <w:szCs w:val="18"/>
                <w:lang w:eastAsia="zh-CN"/>
              </w:rPr>
            </w:pPr>
            <w:r w:rsidRPr="0079376F">
              <w:rPr>
                <w:sz w:val="18"/>
                <w:szCs w:val="18"/>
                <w:lang w:eastAsia="zh-CN"/>
              </w:rPr>
              <w:t>3</w:t>
            </w:r>
          </w:p>
        </w:tc>
        <w:tc>
          <w:tcPr>
            <w:tcW w:w="0" w:type="auto"/>
            <w:noWrap/>
            <w:vAlign w:val="center"/>
            <w:hideMark/>
          </w:tcPr>
          <w:p w14:paraId="653D89FD" w14:textId="58752BF1"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sz w:val="18"/>
                <w:szCs w:val="18"/>
                <w:lang w:eastAsia="zh-CN"/>
              </w:rPr>
            </w:pPr>
            <w:r w:rsidRPr="0079376F">
              <w:rPr>
                <w:sz w:val="18"/>
                <w:szCs w:val="18"/>
                <w:lang w:eastAsia="zh-CN"/>
              </w:rPr>
              <w:t>0</w:t>
            </w:r>
          </w:p>
        </w:tc>
        <w:tc>
          <w:tcPr>
            <w:tcW w:w="0" w:type="auto"/>
            <w:noWrap/>
            <w:vAlign w:val="center"/>
            <w:hideMark/>
          </w:tcPr>
          <w:p w14:paraId="04E39172" w14:textId="53E1CFDC"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color w:val="000000"/>
                <w:sz w:val="18"/>
                <w:szCs w:val="18"/>
                <w:lang w:eastAsia="zh-CN"/>
              </w:rPr>
            </w:pPr>
            <w:r w:rsidRPr="0079376F">
              <w:rPr>
                <w:color w:val="000000"/>
                <w:sz w:val="18"/>
                <w:szCs w:val="18"/>
                <w:lang w:eastAsia="zh-CN"/>
              </w:rPr>
              <w:t>3</w:t>
            </w:r>
          </w:p>
        </w:tc>
        <w:tc>
          <w:tcPr>
            <w:tcW w:w="0" w:type="auto"/>
            <w:vAlign w:val="center"/>
          </w:tcPr>
          <w:p w14:paraId="294F706C" w14:textId="7777777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color w:val="000000"/>
                <w:sz w:val="18"/>
                <w:szCs w:val="18"/>
                <w:lang w:eastAsia="zh-CN"/>
              </w:rPr>
            </w:pPr>
          </w:p>
        </w:tc>
      </w:tr>
      <w:tr w:rsidR="00FF2D3E" w:rsidRPr="0079376F" w14:paraId="08892B78" w14:textId="77777777" w:rsidTr="0079376F">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noWrap/>
          </w:tcPr>
          <w:p w14:paraId="66493EDE" w14:textId="77777777" w:rsidR="00FF2D3E" w:rsidRPr="006529A6" w:rsidRDefault="00FF2D3E" w:rsidP="006529A6">
            <w:pPr>
              <w:pStyle w:val="TableofFigures"/>
              <w:rPr>
                <w:b/>
                <w:lang w:eastAsia="zh-CN"/>
              </w:rPr>
            </w:pPr>
          </w:p>
        </w:tc>
        <w:tc>
          <w:tcPr>
            <w:tcW w:w="0" w:type="auto"/>
            <w:noWrap/>
            <w:vAlign w:val="center"/>
            <w:hideMark/>
          </w:tcPr>
          <w:p w14:paraId="22FDCA41" w14:textId="77777777"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color w:val="000000"/>
                <w:sz w:val="18"/>
                <w:szCs w:val="18"/>
                <w:lang w:eastAsia="zh-CN"/>
              </w:rPr>
            </w:pPr>
            <w:r w:rsidRPr="0079376F">
              <w:rPr>
                <w:color w:val="000000"/>
                <w:sz w:val="18"/>
                <w:szCs w:val="18"/>
                <w:lang w:eastAsia="zh-CN"/>
              </w:rPr>
              <w:t>Public</w:t>
            </w:r>
          </w:p>
        </w:tc>
        <w:tc>
          <w:tcPr>
            <w:tcW w:w="0" w:type="auto"/>
            <w:noWrap/>
            <w:vAlign w:val="center"/>
            <w:hideMark/>
          </w:tcPr>
          <w:p w14:paraId="7D44DFE6" w14:textId="7574ACC7"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sz w:val="18"/>
                <w:szCs w:val="18"/>
                <w:lang w:eastAsia="zh-CN"/>
              </w:rPr>
            </w:pPr>
            <w:r w:rsidRPr="0079376F">
              <w:rPr>
                <w:sz w:val="18"/>
                <w:szCs w:val="18"/>
                <w:lang w:eastAsia="zh-CN"/>
              </w:rPr>
              <w:t>10</w:t>
            </w:r>
          </w:p>
        </w:tc>
        <w:tc>
          <w:tcPr>
            <w:tcW w:w="0" w:type="auto"/>
            <w:noWrap/>
            <w:vAlign w:val="center"/>
            <w:hideMark/>
          </w:tcPr>
          <w:p w14:paraId="564E74E9" w14:textId="49BD9277"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sz w:val="18"/>
                <w:szCs w:val="18"/>
                <w:lang w:eastAsia="zh-CN"/>
              </w:rPr>
            </w:pPr>
            <w:r w:rsidRPr="0079376F">
              <w:rPr>
                <w:sz w:val="18"/>
                <w:szCs w:val="18"/>
                <w:lang w:eastAsia="zh-CN"/>
              </w:rPr>
              <w:t>1</w:t>
            </w:r>
          </w:p>
        </w:tc>
        <w:tc>
          <w:tcPr>
            <w:tcW w:w="0" w:type="auto"/>
            <w:noWrap/>
            <w:vAlign w:val="center"/>
            <w:hideMark/>
          </w:tcPr>
          <w:p w14:paraId="1AE80050" w14:textId="4B2CFBED"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color w:val="000000"/>
                <w:sz w:val="18"/>
                <w:szCs w:val="18"/>
                <w:lang w:eastAsia="zh-CN"/>
              </w:rPr>
            </w:pPr>
            <w:r w:rsidRPr="0079376F">
              <w:rPr>
                <w:color w:val="000000"/>
                <w:sz w:val="18"/>
                <w:szCs w:val="18"/>
                <w:lang w:eastAsia="zh-CN"/>
              </w:rPr>
              <w:t>11</w:t>
            </w:r>
          </w:p>
        </w:tc>
        <w:tc>
          <w:tcPr>
            <w:tcW w:w="0" w:type="auto"/>
            <w:vAlign w:val="center"/>
          </w:tcPr>
          <w:p w14:paraId="5160C598" w14:textId="77777777"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color w:val="000000"/>
                <w:sz w:val="18"/>
                <w:szCs w:val="18"/>
                <w:lang w:eastAsia="zh-CN"/>
              </w:rPr>
            </w:pPr>
          </w:p>
        </w:tc>
      </w:tr>
      <w:tr w:rsidR="00FF2D3E" w:rsidRPr="0079376F" w14:paraId="04C0787B" w14:textId="77777777" w:rsidTr="0079376F">
        <w:trPr>
          <w:trHeight w:val="113"/>
        </w:trPr>
        <w:tc>
          <w:tcPr>
            <w:cnfStyle w:val="001000000000" w:firstRow="0" w:lastRow="0" w:firstColumn="1" w:lastColumn="0" w:oddVBand="0" w:evenVBand="0" w:oddHBand="0" w:evenHBand="0" w:firstRowFirstColumn="0" w:firstRowLastColumn="0" w:lastRowFirstColumn="0" w:lastRowLastColumn="0"/>
            <w:tcW w:w="0" w:type="auto"/>
            <w:noWrap/>
          </w:tcPr>
          <w:p w14:paraId="11554681" w14:textId="77777777" w:rsidR="00FF2D3E" w:rsidRPr="006529A6" w:rsidRDefault="00FF2D3E" w:rsidP="006529A6">
            <w:pPr>
              <w:pStyle w:val="TableofFigures"/>
              <w:rPr>
                <w:b/>
                <w:lang w:eastAsia="zh-CN"/>
              </w:rPr>
            </w:pPr>
          </w:p>
        </w:tc>
        <w:tc>
          <w:tcPr>
            <w:tcW w:w="0" w:type="auto"/>
            <w:noWrap/>
            <w:vAlign w:val="bottom"/>
            <w:hideMark/>
          </w:tcPr>
          <w:p w14:paraId="0F7E8747" w14:textId="7777777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b/>
                <w:bCs/>
                <w:color w:val="000000"/>
                <w:sz w:val="18"/>
                <w:szCs w:val="18"/>
                <w:lang w:eastAsia="zh-CN"/>
              </w:rPr>
            </w:pPr>
            <w:r w:rsidRPr="0079376F">
              <w:rPr>
                <w:b/>
                <w:bCs/>
                <w:color w:val="000000"/>
                <w:sz w:val="18"/>
                <w:szCs w:val="18"/>
                <w:lang w:eastAsia="zh-CN"/>
              </w:rPr>
              <w:t>Sub-total</w:t>
            </w:r>
          </w:p>
        </w:tc>
        <w:tc>
          <w:tcPr>
            <w:tcW w:w="0" w:type="auto"/>
            <w:noWrap/>
            <w:vAlign w:val="bottom"/>
            <w:hideMark/>
          </w:tcPr>
          <w:p w14:paraId="04185C0E" w14:textId="02BF235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b/>
                <w:bCs/>
                <w:sz w:val="18"/>
                <w:szCs w:val="18"/>
                <w:lang w:eastAsia="zh-CN"/>
              </w:rPr>
            </w:pPr>
            <w:r w:rsidRPr="0079376F">
              <w:rPr>
                <w:b/>
                <w:bCs/>
                <w:sz w:val="18"/>
                <w:szCs w:val="18"/>
                <w:lang w:eastAsia="zh-CN"/>
              </w:rPr>
              <w:t>13</w:t>
            </w:r>
          </w:p>
        </w:tc>
        <w:tc>
          <w:tcPr>
            <w:tcW w:w="0" w:type="auto"/>
            <w:noWrap/>
            <w:vAlign w:val="bottom"/>
            <w:hideMark/>
          </w:tcPr>
          <w:p w14:paraId="35902D79" w14:textId="4DE1A16A"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b/>
                <w:bCs/>
                <w:sz w:val="18"/>
                <w:szCs w:val="18"/>
                <w:lang w:eastAsia="zh-CN"/>
              </w:rPr>
            </w:pPr>
            <w:r w:rsidRPr="0079376F">
              <w:rPr>
                <w:b/>
                <w:bCs/>
                <w:sz w:val="18"/>
                <w:szCs w:val="18"/>
                <w:lang w:eastAsia="zh-CN"/>
              </w:rPr>
              <w:t>1</w:t>
            </w:r>
          </w:p>
        </w:tc>
        <w:tc>
          <w:tcPr>
            <w:tcW w:w="0" w:type="auto"/>
            <w:noWrap/>
            <w:vAlign w:val="bottom"/>
            <w:hideMark/>
          </w:tcPr>
          <w:p w14:paraId="772D511F" w14:textId="2944EF7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b/>
                <w:bCs/>
                <w:color w:val="000000"/>
                <w:sz w:val="18"/>
                <w:szCs w:val="18"/>
                <w:lang w:eastAsia="zh-CN"/>
              </w:rPr>
            </w:pPr>
            <w:r w:rsidRPr="0079376F">
              <w:rPr>
                <w:b/>
                <w:bCs/>
                <w:sz w:val="18"/>
                <w:szCs w:val="18"/>
                <w:lang w:eastAsia="zh-CN"/>
              </w:rPr>
              <w:t>14</w:t>
            </w:r>
          </w:p>
        </w:tc>
        <w:tc>
          <w:tcPr>
            <w:tcW w:w="0" w:type="auto"/>
            <w:vAlign w:val="bottom"/>
          </w:tcPr>
          <w:p w14:paraId="208E0E1F" w14:textId="77777777" w:rsidR="00FF2D3E" w:rsidRPr="0079376F" w:rsidRDefault="00FF2D3E" w:rsidP="006529A6">
            <w:pPr>
              <w:pStyle w:val="TableofFigures"/>
              <w:cnfStyle w:val="000000000000" w:firstRow="0" w:lastRow="0" w:firstColumn="0" w:lastColumn="0" w:oddVBand="0" w:evenVBand="0" w:oddHBand="0" w:evenHBand="0" w:firstRowFirstColumn="0" w:firstRowLastColumn="0" w:lastRowFirstColumn="0" w:lastRowLastColumn="0"/>
              <w:rPr>
                <w:b/>
                <w:bCs/>
                <w:color w:val="000000"/>
                <w:sz w:val="18"/>
                <w:szCs w:val="18"/>
                <w:lang w:eastAsia="zh-CN"/>
              </w:rPr>
            </w:pPr>
            <w:r w:rsidRPr="0079376F">
              <w:rPr>
                <w:b/>
                <w:bCs/>
                <w:color w:val="000000"/>
                <w:sz w:val="18"/>
                <w:szCs w:val="18"/>
                <w:lang w:eastAsia="zh-CN"/>
              </w:rPr>
              <w:t>7%</w:t>
            </w:r>
          </w:p>
        </w:tc>
      </w:tr>
      <w:tr w:rsidR="00FF2D3E" w:rsidRPr="0079376F" w14:paraId="7DDED08F" w14:textId="77777777" w:rsidTr="0079376F">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1EC22C" w14:textId="77777777" w:rsidR="00FF2D3E" w:rsidRPr="006529A6" w:rsidRDefault="00FF2D3E" w:rsidP="006529A6">
            <w:pPr>
              <w:pStyle w:val="TableofFigures"/>
              <w:rPr>
                <w:b/>
                <w:lang w:eastAsia="zh-CN"/>
              </w:rPr>
            </w:pPr>
            <w:r w:rsidRPr="006529A6">
              <w:rPr>
                <w:b/>
                <w:lang w:eastAsia="zh-CN"/>
              </w:rPr>
              <w:t>Total</w:t>
            </w:r>
          </w:p>
        </w:tc>
        <w:tc>
          <w:tcPr>
            <w:tcW w:w="0" w:type="auto"/>
          </w:tcPr>
          <w:p w14:paraId="66DAC985" w14:textId="46BE71C1"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bCs/>
                <w:color w:val="000000"/>
                <w:sz w:val="18"/>
                <w:szCs w:val="18"/>
                <w:lang w:eastAsia="zh-CN"/>
              </w:rPr>
            </w:pPr>
          </w:p>
        </w:tc>
        <w:tc>
          <w:tcPr>
            <w:tcW w:w="0" w:type="auto"/>
            <w:noWrap/>
            <w:hideMark/>
          </w:tcPr>
          <w:p w14:paraId="7271CE0D" w14:textId="28A963FE"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b/>
                <w:bCs/>
                <w:sz w:val="18"/>
                <w:szCs w:val="18"/>
                <w:lang w:eastAsia="zh-CN"/>
              </w:rPr>
            </w:pPr>
            <w:r w:rsidRPr="0079376F">
              <w:rPr>
                <w:b/>
                <w:bCs/>
                <w:sz w:val="18"/>
                <w:szCs w:val="18"/>
                <w:lang w:eastAsia="zh-CN"/>
              </w:rPr>
              <w:t>186</w:t>
            </w:r>
          </w:p>
        </w:tc>
        <w:tc>
          <w:tcPr>
            <w:tcW w:w="0" w:type="auto"/>
            <w:noWrap/>
            <w:hideMark/>
          </w:tcPr>
          <w:p w14:paraId="12FAC7A7" w14:textId="056DD9A0"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b/>
                <w:bCs/>
                <w:sz w:val="18"/>
                <w:szCs w:val="18"/>
                <w:lang w:eastAsia="zh-CN"/>
              </w:rPr>
            </w:pPr>
            <w:r w:rsidRPr="0079376F">
              <w:rPr>
                <w:b/>
                <w:bCs/>
                <w:sz w:val="18"/>
                <w:szCs w:val="18"/>
                <w:lang w:eastAsia="zh-CN"/>
              </w:rPr>
              <w:t>14</w:t>
            </w:r>
          </w:p>
        </w:tc>
        <w:tc>
          <w:tcPr>
            <w:tcW w:w="0" w:type="auto"/>
            <w:noWrap/>
            <w:hideMark/>
          </w:tcPr>
          <w:p w14:paraId="39CA201E" w14:textId="5AB697B4"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b/>
                <w:bCs/>
                <w:sz w:val="18"/>
                <w:szCs w:val="18"/>
                <w:lang w:eastAsia="zh-CN"/>
              </w:rPr>
            </w:pPr>
            <w:r w:rsidRPr="0079376F">
              <w:rPr>
                <w:b/>
                <w:bCs/>
                <w:sz w:val="18"/>
                <w:szCs w:val="18"/>
                <w:lang w:eastAsia="zh-CN"/>
              </w:rPr>
              <w:t>200</w:t>
            </w:r>
          </w:p>
        </w:tc>
        <w:tc>
          <w:tcPr>
            <w:tcW w:w="0" w:type="auto"/>
          </w:tcPr>
          <w:p w14:paraId="1A3EFF8F" w14:textId="77777777" w:rsidR="00FF2D3E" w:rsidRPr="0079376F" w:rsidRDefault="00FF2D3E" w:rsidP="006529A6">
            <w:pPr>
              <w:pStyle w:val="TableofFigures"/>
              <w:cnfStyle w:val="000000010000" w:firstRow="0" w:lastRow="0" w:firstColumn="0" w:lastColumn="0" w:oddVBand="0" w:evenVBand="0" w:oddHBand="0" w:evenHBand="1" w:firstRowFirstColumn="0" w:firstRowLastColumn="0" w:lastRowFirstColumn="0" w:lastRowLastColumn="0"/>
              <w:rPr>
                <w:b/>
                <w:bCs/>
                <w:sz w:val="18"/>
                <w:szCs w:val="18"/>
                <w:lang w:eastAsia="zh-CN"/>
              </w:rPr>
            </w:pPr>
            <w:r w:rsidRPr="0079376F">
              <w:rPr>
                <w:b/>
                <w:bCs/>
                <w:sz w:val="18"/>
                <w:szCs w:val="18"/>
                <w:lang w:eastAsia="zh-CN"/>
              </w:rPr>
              <w:t>100%</w:t>
            </w:r>
          </w:p>
        </w:tc>
      </w:tr>
    </w:tbl>
    <w:p w14:paraId="74FB03A8" w14:textId="77777777" w:rsidR="0079376F" w:rsidRDefault="000257F5" w:rsidP="0079376F">
      <w:pPr>
        <w:pStyle w:val="TableNotes"/>
      </w:pPr>
      <w:r>
        <w:t xml:space="preserve">* ROHPG funded includes currently funded and previously funded </w:t>
      </w:r>
      <w:proofErr w:type="spellStart"/>
      <w:r>
        <w:t>linacs</w:t>
      </w:r>
      <w:proofErr w:type="spellEnd"/>
    </w:p>
    <w:p w14:paraId="67F40651" w14:textId="0AD3A8AF" w:rsidR="0010422E" w:rsidRPr="009B6AA8" w:rsidRDefault="0010422E" w:rsidP="0079376F">
      <w:pPr>
        <w:pStyle w:val="TableNotes"/>
      </w:pPr>
      <w:r w:rsidRPr="009B6AA8">
        <w:t>Sources: calculated from MBS service data and ROHPG equipment reports.</w:t>
      </w:r>
    </w:p>
    <w:p w14:paraId="17A341BF" w14:textId="24D3BEFE" w:rsidR="0010422E" w:rsidRPr="00D65C79" w:rsidRDefault="0010422E" w:rsidP="0010422E">
      <w:pPr>
        <w:spacing w:before="240"/>
      </w:pPr>
      <w:r w:rsidRPr="009B6AA8">
        <w:lastRenderedPageBreak/>
        <w:t xml:space="preserve">There has been an estimated growth in overall </w:t>
      </w:r>
      <w:proofErr w:type="spellStart"/>
      <w:r w:rsidRPr="009B6AA8">
        <w:t>linac</w:t>
      </w:r>
      <w:proofErr w:type="spellEnd"/>
      <w:r w:rsidRPr="009B6AA8">
        <w:t xml:space="preserve"> number</w:t>
      </w:r>
      <w:r w:rsidR="00DF54FF">
        <w:t>s</w:t>
      </w:r>
      <w:r w:rsidRPr="009B6AA8">
        <w:t xml:space="preserve"> of 2</w:t>
      </w:r>
      <w:r w:rsidR="003919B5">
        <w:t>6</w:t>
      </w:r>
      <w:r w:rsidRPr="009B6AA8">
        <w:t>% (an additional 4</w:t>
      </w:r>
      <w:r w:rsidR="003919B5">
        <w:t>1</w:t>
      </w:r>
      <w:r w:rsidRPr="009B6AA8">
        <w:t xml:space="preserve"> </w:t>
      </w:r>
      <w:proofErr w:type="spellStart"/>
      <w:r w:rsidRPr="009B6AA8">
        <w:t>linacs</w:t>
      </w:r>
      <w:proofErr w:type="spellEnd"/>
      <w:r w:rsidRPr="009B6AA8">
        <w:t>) from 2013</w:t>
      </w:r>
      <w:r w:rsidR="00E61AD5" w:rsidRPr="009B6AA8">
        <w:t>–</w:t>
      </w:r>
      <w:r w:rsidRPr="009B6AA8">
        <w:t xml:space="preserve">14 when there were 159 </w:t>
      </w:r>
      <w:proofErr w:type="spellStart"/>
      <w:r w:rsidRPr="009B6AA8">
        <w:t>linacs</w:t>
      </w:r>
      <w:proofErr w:type="spellEnd"/>
      <w:r w:rsidRPr="009B6AA8">
        <w:t xml:space="preserve"> in Australia to 20</w:t>
      </w:r>
      <w:r w:rsidR="003919B5">
        <w:t>0</w:t>
      </w:r>
      <w:r w:rsidRPr="009B6AA8">
        <w:t xml:space="preserve"> in 2019</w:t>
      </w:r>
      <w:r w:rsidR="00E61AD5" w:rsidRPr="009B6AA8">
        <w:t>–</w:t>
      </w:r>
      <w:r w:rsidRPr="009B6AA8">
        <w:t xml:space="preserve">20 (see </w:t>
      </w:r>
      <w:r w:rsidRPr="00D65C79">
        <w:fldChar w:fldCharType="begin"/>
      </w:r>
      <w:r w:rsidRPr="009B6AA8">
        <w:instrText xml:space="preserve"> REF _Ref56156514 \h </w:instrText>
      </w:r>
      <w:r w:rsidRPr="00D65C79">
        <w:fldChar w:fldCharType="separate"/>
      </w:r>
      <w:r w:rsidR="007C0448" w:rsidRPr="00D65C79">
        <w:t xml:space="preserve">Table </w:t>
      </w:r>
      <w:r w:rsidR="007C0448">
        <w:rPr>
          <w:rFonts w:hint="cs"/>
          <w:noProof/>
          <w:cs/>
        </w:rPr>
        <w:t>‎</w:t>
      </w:r>
      <w:r w:rsidR="007C0448">
        <w:rPr>
          <w:noProof/>
        </w:rPr>
        <w:t>9</w:t>
      </w:r>
      <w:r w:rsidR="007C0448">
        <w:t>.</w:t>
      </w:r>
      <w:r w:rsidR="007C0448">
        <w:rPr>
          <w:noProof/>
        </w:rPr>
        <w:t>7</w:t>
      </w:r>
      <w:r w:rsidRPr="00D65C79">
        <w:fldChar w:fldCharType="end"/>
      </w:r>
      <w:r w:rsidRPr="00D65C79">
        <w:t>). The majority of this growth has occurred in the private sector</w:t>
      </w:r>
      <w:r w:rsidR="00DF54FF">
        <w:t>,</w:t>
      </w:r>
      <w:r w:rsidRPr="00D65C79">
        <w:t xml:space="preserve"> which has seen an overall increase of </w:t>
      </w:r>
      <w:r w:rsidR="003919B5">
        <w:t>66</w:t>
      </w:r>
      <w:r w:rsidRPr="00D65C79">
        <w:t>% (</w:t>
      </w:r>
      <w:r w:rsidR="003919B5">
        <w:t>39</w:t>
      </w:r>
      <w:r w:rsidRPr="00D65C79">
        <w:t xml:space="preserve"> </w:t>
      </w:r>
      <w:proofErr w:type="spellStart"/>
      <w:r w:rsidRPr="00D65C79">
        <w:t>linacs</w:t>
      </w:r>
      <w:proofErr w:type="spellEnd"/>
      <w:r w:rsidRPr="00D65C79">
        <w:t>) in this timeframe, compared to 2% (</w:t>
      </w:r>
      <w:r w:rsidR="003919B5">
        <w:t>2</w:t>
      </w:r>
      <w:r w:rsidRPr="00D65C79">
        <w:t xml:space="preserve"> </w:t>
      </w:r>
      <w:proofErr w:type="spellStart"/>
      <w:r w:rsidRPr="00D65C79">
        <w:t>linacs</w:t>
      </w:r>
      <w:proofErr w:type="spellEnd"/>
      <w:r w:rsidRPr="00D65C79">
        <w:t xml:space="preserve">) in the public sector (see </w:t>
      </w:r>
      <w:r w:rsidRPr="00D65C79">
        <w:fldChar w:fldCharType="begin"/>
      </w:r>
      <w:r w:rsidRPr="009B6AA8">
        <w:instrText xml:space="preserve"> REF _Ref56156514 \h </w:instrText>
      </w:r>
      <w:r w:rsidRPr="00D65C79">
        <w:fldChar w:fldCharType="separate"/>
      </w:r>
      <w:r w:rsidR="007C0448" w:rsidRPr="00D65C79">
        <w:t xml:space="preserve">Table </w:t>
      </w:r>
      <w:r w:rsidR="007C0448">
        <w:rPr>
          <w:rFonts w:hint="cs"/>
          <w:noProof/>
          <w:cs/>
        </w:rPr>
        <w:t>‎</w:t>
      </w:r>
      <w:r w:rsidR="007C0448">
        <w:rPr>
          <w:noProof/>
        </w:rPr>
        <w:t>9</w:t>
      </w:r>
      <w:r w:rsidR="007C0448">
        <w:t>.</w:t>
      </w:r>
      <w:r w:rsidR="007C0448">
        <w:rPr>
          <w:noProof/>
        </w:rPr>
        <w:t>7</w:t>
      </w:r>
      <w:r w:rsidRPr="00D65C79">
        <w:fldChar w:fldCharType="end"/>
      </w:r>
      <w:r w:rsidRPr="00D65C79">
        <w:t>).</w:t>
      </w:r>
    </w:p>
    <w:p w14:paraId="6D1DFA93" w14:textId="5CC9A53E" w:rsidR="0010422E" w:rsidRPr="00D65C79" w:rsidRDefault="0010422E" w:rsidP="0010422E">
      <w:pPr>
        <w:spacing w:before="240"/>
      </w:pPr>
      <w:r w:rsidRPr="00D65C79">
        <w:t>Analysis by remoteness showed that the growth in major cities has been predominately in the private sector (</w:t>
      </w:r>
      <w:r w:rsidR="003919B5">
        <w:t>55</w:t>
      </w:r>
      <w:r w:rsidRPr="00D65C79">
        <w:t xml:space="preserve">% growth, and additional </w:t>
      </w:r>
      <w:r w:rsidR="003919B5">
        <w:t>29</w:t>
      </w:r>
      <w:r w:rsidRPr="00D65C79">
        <w:t xml:space="preserve"> </w:t>
      </w:r>
      <w:proofErr w:type="spellStart"/>
      <w:r w:rsidRPr="00D65C79">
        <w:t>linacs</w:t>
      </w:r>
      <w:proofErr w:type="spellEnd"/>
      <w:r w:rsidRPr="00D65C79">
        <w:t xml:space="preserve">), compared to </w:t>
      </w:r>
      <w:r w:rsidR="003919B5">
        <w:t>4</w:t>
      </w:r>
      <w:r w:rsidRPr="00D65C79">
        <w:t xml:space="preserve">% in the public sector (additional </w:t>
      </w:r>
      <w:r w:rsidR="003919B5">
        <w:t>3</w:t>
      </w:r>
      <w:r w:rsidRPr="00D65C79">
        <w:t xml:space="preserve"> </w:t>
      </w:r>
      <w:proofErr w:type="spellStart"/>
      <w:r w:rsidRPr="00D65C79">
        <w:t>linacs</w:t>
      </w:r>
      <w:proofErr w:type="spellEnd"/>
      <w:r w:rsidRPr="00D65C79">
        <w:t xml:space="preserve">). In regional areas, the growth in private sector </w:t>
      </w:r>
      <w:proofErr w:type="spellStart"/>
      <w:r w:rsidRPr="00D65C79">
        <w:t>linacs</w:t>
      </w:r>
      <w:proofErr w:type="spellEnd"/>
      <w:r w:rsidRPr="00D65C79">
        <w:t xml:space="preserve"> (225%, 9 additional </w:t>
      </w:r>
      <w:proofErr w:type="spellStart"/>
      <w:r w:rsidRPr="00D65C79">
        <w:t>linacs</w:t>
      </w:r>
      <w:proofErr w:type="spellEnd"/>
      <w:r w:rsidRPr="00D65C79">
        <w:t xml:space="preserve">) has been offset by a small decrease in public sector </w:t>
      </w:r>
      <w:proofErr w:type="spellStart"/>
      <w:r w:rsidRPr="00D65C79">
        <w:t>linacs</w:t>
      </w:r>
      <w:proofErr w:type="spellEnd"/>
      <w:r w:rsidRPr="00D65C79">
        <w:t xml:space="preserve"> (</w:t>
      </w:r>
      <w:r w:rsidR="00456D25">
        <w:t>7</w:t>
      </w:r>
      <w:r w:rsidRPr="00D65C79">
        <w:t xml:space="preserve">% decrease or </w:t>
      </w:r>
      <w:r w:rsidR="00456D25">
        <w:t>1</w:t>
      </w:r>
      <w:r w:rsidRPr="00D65C79">
        <w:t xml:space="preserve"> fewer </w:t>
      </w:r>
      <w:proofErr w:type="spellStart"/>
      <w:r w:rsidRPr="00D65C79">
        <w:t>linac</w:t>
      </w:r>
      <w:proofErr w:type="spellEnd"/>
      <w:r w:rsidRPr="00D65C79">
        <w:t xml:space="preserve">). In rural areas, </w:t>
      </w:r>
      <w:r w:rsidR="00DF54FF">
        <w:t xml:space="preserve">the </w:t>
      </w:r>
      <w:r w:rsidRPr="00D65C79">
        <w:t xml:space="preserve">private sector has </w:t>
      </w:r>
      <w:r w:rsidR="00456D25">
        <w:t xml:space="preserve">increased the number of </w:t>
      </w:r>
      <w:proofErr w:type="spellStart"/>
      <w:r w:rsidR="00456D25">
        <w:t>linacs</w:t>
      </w:r>
      <w:proofErr w:type="spellEnd"/>
      <w:r w:rsidR="00456D25">
        <w:t xml:space="preserve"> from two to three</w:t>
      </w:r>
      <w:r w:rsidRPr="00D65C79">
        <w:t xml:space="preserve">, but </w:t>
      </w:r>
      <w:r w:rsidR="00DF54FF">
        <w:t xml:space="preserve">the </w:t>
      </w:r>
      <w:r w:rsidRPr="00D65C79">
        <w:t xml:space="preserve">public sector has remained constant at 11 </w:t>
      </w:r>
      <w:proofErr w:type="spellStart"/>
      <w:r w:rsidRPr="00D65C79">
        <w:t>linacs</w:t>
      </w:r>
      <w:proofErr w:type="spellEnd"/>
      <w:r w:rsidRPr="00D65C79">
        <w:t xml:space="preserve">. See </w:t>
      </w:r>
      <w:r w:rsidRPr="00D65C79">
        <w:fldChar w:fldCharType="begin"/>
      </w:r>
      <w:r w:rsidRPr="009B6AA8">
        <w:instrText xml:space="preserve"> REF _Ref56156514 \h </w:instrText>
      </w:r>
      <w:r w:rsidRPr="00D65C79">
        <w:fldChar w:fldCharType="separate"/>
      </w:r>
      <w:r w:rsidR="007C0448" w:rsidRPr="00D65C79">
        <w:t xml:space="preserve">Table </w:t>
      </w:r>
      <w:r w:rsidR="007C0448">
        <w:rPr>
          <w:rFonts w:hint="cs"/>
          <w:noProof/>
          <w:cs/>
        </w:rPr>
        <w:t>‎</w:t>
      </w:r>
      <w:r w:rsidR="007C0448">
        <w:rPr>
          <w:noProof/>
        </w:rPr>
        <w:t>9</w:t>
      </w:r>
      <w:r w:rsidR="007C0448">
        <w:t>.</w:t>
      </w:r>
      <w:r w:rsidR="007C0448">
        <w:rPr>
          <w:noProof/>
        </w:rPr>
        <w:t>7</w:t>
      </w:r>
      <w:r w:rsidRPr="00D65C79">
        <w:fldChar w:fldCharType="end"/>
      </w:r>
      <w:r w:rsidRPr="00D65C79">
        <w:t>.</w:t>
      </w:r>
    </w:p>
    <w:p w14:paraId="3222D077" w14:textId="0AC3F972" w:rsidR="0010422E" w:rsidRPr="00E06173" w:rsidRDefault="0010422E" w:rsidP="0010422E">
      <w:pPr>
        <w:pStyle w:val="Caption"/>
      </w:pPr>
      <w:bookmarkStart w:id="325" w:name="_Ref56156514"/>
      <w:r w:rsidRPr="00D65C79">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9</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7</w:t>
      </w:r>
      <w:r w:rsidR="004B24F3">
        <w:rPr>
          <w:noProof/>
        </w:rPr>
        <w:fldChar w:fldCharType="end"/>
      </w:r>
      <w:bookmarkEnd w:id="325"/>
      <w:r w:rsidRPr="00D65C79">
        <w:t xml:space="preserve">: </w:t>
      </w:r>
      <w:r w:rsidRPr="00E06173">
        <w:t xml:space="preserve">No. of </w:t>
      </w:r>
      <w:proofErr w:type="spellStart"/>
      <w:r w:rsidRPr="00E06173">
        <w:t>linacs</w:t>
      </w:r>
      <w:proofErr w:type="spellEnd"/>
      <w:r w:rsidRPr="00E06173">
        <w:t>* in Australia by remoteness (MMM), 2013</w:t>
      </w:r>
      <w:r w:rsidR="00E61AD5" w:rsidRPr="00E06173">
        <w:t>–</w:t>
      </w:r>
      <w:r w:rsidRPr="00E06173">
        <w:t>14 to 2019</w:t>
      </w:r>
      <w:r w:rsidR="00E61AD5" w:rsidRPr="00E06173">
        <w:t>–</w:t>
      </w:r>
      <w:r w:rsidRPr="00E06173">
        <w:t>20</w:t>
      </w:r>
    </w:p>
    <w:tbl>
      <w:tblPr>
        <w:tblStyle w:val="HMATableA"/>
        <w:tblW w:w="5000" w:type="pct"/>
        <w:tblInd w:w="-5" w:type="dxa"/>
        <w:tblLook w:val="04A0" w:firstRow="1" w:lastRow="0" w:firstColumn="1" w:lastColumn="0" w:noHBand="0" w:noVBand="1"/>
        <w:tblCaption w:val="Table 9.7 Number of linacs in Australia by remoteness (MMM), 2013-14 to 2019-20"/>
        <w:tblDescription w:val="Table showing number of linacs both funded and not funded by ROHPG, by remoteness MM 1 to MM 3, for the years 2013-14 to 2019-20."/>
      </w:tblPr>
      <w:tblGrid>
        <w:gridCol w:w="2005"/>
        <w:gridCol w:w="2009"/>
        <w:gridCol w:w="2007"/>
        <w:gridCol w:w="2007"/>
        <w:gridCol w:w="2007"/>
      </w:tblGrid>
      <w:tr w:rsidR="003919B5" w:rsidRPr="0079376F" w14:paraId="6FA66939" w14:textId="77777777" w:rsidTr="009B713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99" w:type="pct"/>
            <w:noWrap/>
            <w:vAlign w:val="center"/>
            <w:hideMark/>
          </w:tcPr>
          <w:p w14:paraId="31954D07" w14:textId="77777777" w:rsidR="003919B5" w:rsidRPr="0079376F" w:rsidRDefault="003919B5" w:rsidP="006529A6">
            <w:pPr>
              <w:pStyle w:val="TableHeading"/>
              <w:rPr>
                <w:lang w:eastAsia="zh-CN"/>
              </w:rPr>
            </w:pPr>
            <w:r w:rsidRPr="0079376F">
              <w:rPr>
                <w:lang w:eastAsia="zh-CN"/>
              </w:rPr>
              <w:t>MMM</w:t>
            </w:r>
          </w:p>
        </w:tc>
        <w:tc>
          <w:tcPr>
            <w:tcW w:w="1001" w:type="pct"/>
            <w:vAlign w:val="center"/>
            <w:hideMark/>
          </w:tcPr>
          <w:p w14:paraId="47B8E560" w14:textId="77777777" w:rsidR="003919B5" w:rsidRPr="0079376F" w:rsidRDefault="003919B5" w:rsidP="006529A6">
            <w:pPr>
              <w:pStyle w:val="TableHeading"/>
              <w:cnfStyle w:val="100000000000" w:firstRow="1" w:lastRow="0" w:firstColumn="0" w:lastColumn="0" w:oddVBand="0" w:evenVBand="0" w:oddHBand="0" w:evenHBand="0" w:firstRowFirstColumn="0" w:firstRowLastColumn="0" w:lastRowFirstColumn="0" w:lastRowLastColumn="0"/>
              <w:rPr>
                <w:lang w:eastAsia="zh-CN"/>
              </w:rPr>
            </w:pPr>
            <w:r w:rsidRPr="0079376F">
              <w:rPr>
                <w:lang w:eastAsia="zh-CN"/>
              </w:rPr>
              <w:t>Facility type</w:t>
            </w:r>
          </w:p>
        </w:tc>
        <w:tc>
          <w:tcPr>
            <w:tcW w:w="1000" w:type="pct"/>
            <w:noWrap/>
            <w:vAlign w:val="center"/>
            <w:hideMark/>
          </w:tcPr>
          <w:p w14:paraId="1B4479EE" w14:textId="77777777" w:rsidR="003919B5" w:rsidRPr="0079376F" w:rsidRDefault="003919B5" w:rsidP="006529A6">
            <w:pPr>
              <w:pStyle w:val="TableHeading"/>
              <w:cnfStyle w:val="100000000000" w:firstRow="1" w:lastRow="0" w:firstColumn="0" w:lastColumn="0" w:oddVBand="0" w:evenVBand="0" w:oddHBand="0" w:evenHBand="0" w:firstRowFirstColumn="0" w:firstRowLastColumn="0" w:lastRowFirstColumn="0" w:lastRowLastColumn="0"/>
              <w:rPr>
                <w:lang w:eastAsia="zh-CN"/>
              </w:rPr>
            </w:pPr>
            <w:r w:rsidRPr="0079376F">
              <w:rPr>
                <w:lang w:eastAsia="zh-CN"/>
              </w:rPr>
              <w:t>2013–14</w:t>
            </w:r>
          </w:p>
        </w:tc>
        <w:tc>
          <w:tcPr>
            <w:tcW w:w="1000" w:type="pct"/>
            <w:noWrap/>
            <w:vAlign w:val="center"/>
            <w:hideMark/>
          </w:tcPr>
          <w:p w14:paraId="2D066213" w14:textId="77777777" w:rsidR="003919B5" w:rsidRPr="0079376F" w:rsidRDefault="003919B5" w:rsidP="006529A6">
            <w:pPr>
              <w:pStyle w:val="TableHeading"/>
              <w:cnfStyle w:val="100000000000" w:firstRow="1" w:lastRow="0" w:firstColumn="0" w:lastColumn="0" w:oddVBand="0" w:evenVBand="0" w:oddHBand="0" w:evenHBand="0" w:firstRowFirstColumn="0" w:firstRowLastColumn="0" w:lastRowFirstColumn="0" w:lastRowLastColumn="0"/>
              <w:rPr>
                <w:lang w:eastAsia="zh-CN"/>
              </w:rPr>
            </w:pPr>
            <w:r w:rsidRPr="0079376F">
              <w:rPr>
                <w:lang w:eastAsia="zh-CN"/>
              </w:rPr>
              <w:t>2019–20</w:t>
            </w:r>
          </w:p>
        </w:tc>
        <w:tc>
          <w:tcPr>
            <w:tcW w:w="1000" w:type="pct"/>
            <w:noWrap/>
            <w:vAlign w:val="center"/>
            <w:hideMark/>
          </w:tcPr>
          <w:p w14:paraId="68ED38BC" w14:textId="77777777" w:rsidR="003919B5" w:rsidRPr="0079376F" w:rsidRDefault="003919B5" w:rsidP="006529A6">
            <w:pPr>
              <w:pStyle w:val="TableHeading"/>
              <w:cnfStyle w:val="100000000000" w:firstRow="1" w:lastRow="0" w:firstColumn="0" w:lastColumn="0" w:oddVBand="0" w:evenVBand="0" w:oddHBand="0" w:evenHBand="0" w:firstRowFirstColumn="0" w:firstRowLastColumn="0" w:lastRowFirstColumn="0" w:lastRowLastColumn="0"/>
              <w:rPr>
                <w:lang w:eastAsia="zh-CN"/>
              </w:rPr>
            </w:pPr>
            <w:r w:rsidRPr="0079376F">
              <w:rPr>
                <w:lang w:eastAsia="zh-CN"/>
              </w:rPr>
              <w:t>% growth</w:t>
            </w:r>
          </w:p>
        </w:tc>
      </w:tr>
      <w:tr w:rsidR="00FF2D3E" w:rsidRPr="0079376F" w14:paraId="1D8B430C" w14:textId="77777777" w:rsidTr="0079376F">
        <w:trPr>
          <w:trHeight w:val="293"/>
        </w:trPr>
        <w:tc>
          <w:tcPr>
            <w:cnfStyle w:val="001000000000" w:firstRow="0" w:lastRow="0" w:firstColumn="1" w:lastColumn="0" w:oddVBand="0" w:evenVBand="0" w:oddHBand="0" w:evenHBand="0" w:firstRowFirstColumn="0" w:firstRowLastColumn="0" w:lastRowFirstColumn="0" w:lastRowLastColumn="0"/>
            <w:tcW w:w="999" w:type="pct"/>
            <w:noWrap/>
            <w:vAlign w:val="center"/>
            <w:hideMark/>
          </w:tcPr>
          <w:p w14:paraId="12DBAF49" w14:textId="77777777" w:rsidR="00FF2D3E" w:rsidRPr="006529A6" w:rsidRDefault="00FF2D3E" w:rsidP="006529A6">
            <w:pPr>
              <w:pStyle w:val="Tabletext"/>
              <w:rPr>
                <w:b/>
              </w:rPr>
            </w:pPr>
            <w:r w:rsidRPr="006529A6">
              <w:rPr>
                <w:b/>
              </w:rPr>
              <w:t>MM 1</w:t>
            </w:r>
          </w:p>
          <w:p w14:paraId="5E1FA33F" w14:textId="751108E4" w:rsidR="00FF2D3E" w:rsidRPr="006529A6" w:rsidRDefault="00FF2D3E" w:rsidP="006529A6">
            <w:pPr>
              <w:pStyle w:val="Tabletext"/>
              <w:rPr>
                <w:b/>
              </w:rPr>
            </w:pPr>
            <w:r w:rsidRPr="006529A6">
              <w:rPr>
                <w:b/>
              </w:rPr>
              <w:t xml:space="preserve">Major city </w:t>
            </w:r>
          </w:p>
        </w:tc>
        <w:tc>
          <w:tcPr>
            <w:tcW w:w="1001" w:type="pct"/>
            <w:vAlign w:val="center"/>
            <w:hideMark/>
          </w:tcPr>
          <w:p w14:paraId="7EC68552"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Private</w:t>
            </w:r>
          </w:p>
        </w:tc>
        <w:tc>
          <w:tcPr>
            <w:tcW w:w="1000" w:type="pct"/>
            <w:noWrap/>
            <w:vAlign w:val="center"/>
            <w:hideMark/>
          </w:tcPr>
          <w:p w14:paraId="20F58809"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53</w:t>
            </w:r>
          </w:p>
        </w:tc>
        <w:tc>
          <w:tcPr>
            <w:tcW w:w="1000" w:type="pct"/>
            <w:noWrap/>
            <w:vAlign w:val="center"/>
            <w:hideMark/>
          </w:tcPr>
          <w:p w14:paraId="067094D2"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82</w:t>
            </w:r>
          </w:p>
        </w:tc>
        <w:tc>
          <w:tcPr>
            <w:tcW w:w="1000" w:type="pct"/>
            <w:noWrap/>
            <w:vAlign w:val="center"/>
            <w:hideMark/>
          </w:tcPr>
          <w:p w14:paraId="2809DDB5"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55%</w:t>
            </w:r>
          </w:p>
        </w:tc>
      </w:tr>
      <w:tr w:rsidR="00FF2D3E" w:rsidRPr="0079376F" w14:paraId="0E6D8674" w14:textId="77777777" w:rsidTr="0079376F">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0297D21E" w14:textId="77777777" w:rsidR="00FF2D3E" w:rsidRPr="006529A6" w:rsidRDefault="00FF2D3E" w:rsidP="006529A6">
            <w:pPr>
              <w:pStyle w:val="Tabletext"/>
              <w:rPr>
                <w:b/>
              </w:rPr>
            </w:pPr>
          </w:p>
        </w:tc>
        <w:tc>
          <w:tcPr>
            <w:tcW w:w="1001" w:type="pct"/>
            <w:vAlign w:val="center"/>
            <w:hideMark/>
          </w:tcPr>
          <w:p w14:paraId="15648991"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Public</w:t>
            </w:r>
          </w:p>
        </w:tc>
        <w:tc>
          <w:tcPr>
            <w:tcW w:w="1000" w:type="pct"/>
            <w:noWrap/>
            <w:vAlign w:val="center"/>
            <w:hideMark/>
          </w:tcPr>
          <w:p w14:paraId="4CFE29CA"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75</w:t>
            </w:r>
          </w:p>
        </w:tc>
        <w:tc>
          <w:tcPr>
            <w:tcW w:w="1000" w:type="pct"/>
            <w:noWrap/>
            <w:vAlign w:val="center"/>
            <w:hideMark/>
          </w:tcPr>
          <w:p w14:paraId="4D95F802"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78</w:t>
            </w:r>
          </w:p>
        </w:tc>
        <w:tc>
          <w:tcPr>
            <w:tcW w:w="1000" w:type="pct"/>
            <w:noWrap/>
            <w:vAlign w:val="center"/>
            <w:hideMark/>
          </w:tcPr>
          <w:p w14:paraId="0D584576"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4%</w:t>
            </w:r>
          </w:p>
        </w:tc>
      </w:tr>
      <w:tr w:rsidR="00FF2D3E" w:rsidRPr="0079376F" w14:paraId="289E333A" w14:textId="77777777" w:rsidTr="0079376F">
        <w:trPr>
          <w:trHeight w:val="293"/>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1ACBC7AA" w14:textId="77777777" w:rsidR="00FF2D3E" w:rsidRPr="006529A6" w:rsidRDefault="00FF2D3E" w:rsidP="006529A6">
            <w:pPr>
              <w:pStyle w:val="Tabletext"/>
              <w:rPr>
                <w:b/>
              </w:rPr>
            </w:pPr>
          </w:p>
        </w:tc>
        <w:tc>
          <w:tcPr>
            <w:tcW w:w="1001" w:type="pct"/>
            <w:vAlign w:val="center"/>
            <w:hideMark/>
          </w:tcPr>
          <w:p w14:paraId="16B78F17"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Sub-total</w:t>
            </w:r>
          </w:p>
        </w:tc>
        <w:tc>
          <w:tcPr>
            <w:tcW w:w="1000" w:type="pct"/>
            <w:noWrap/>
            <w:vAlign w:val="center"/>
            <w:hideMark/>
          </w:tcPr>
          <w:p w14:paraId="1AF92007"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128</w:t>
            </w:r>
          </w:p>
        </w:tc>
        <w:tc>
          <w:tcPr>
            <w:tcW w:w="1000" w:type="pct"/>
            <w:noWrap/>
            <w:vAlign w:val="center"/>
            <w:hideMark/>
          </w:tcPr>
          <w:p w14:paraId="624E68A2"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160</w:t>
            </w:r>
          </w:p>
        </w:tc>
        <w:tc>
          <w:tcPr>
            <w:tcW w:w="1000" w:type="pct"/>
            <w:noWrap/>
            <w:vAlign w:val="center"/>
            <w:hideMark/>
          </w:tcPr>
          <w:p w14:paraId="7511029D"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25%</w:t>
            </w:r>
          </w:p>
        </w:tc>
      </w:tr>
      <w:tr w:rsidR="00FF2D3E" w:rsidRPr="0079376F" w14:paraId="50D19A52" w14:textId="77777777" w:rsidTr="0079376F">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9" w:type="pct"/>
            <w:noWrap/>
            <w:vAlign w:val="center"/>
            <w:hideMark/>
          </w:tcPr>
          <w:p w14:paraId="1F85486A" w14:textId="77777777" w:rsidR="00373EE3" w:rsidRPr="006529A6" w:rsidRDefault="00FF2D3E" w:rsidP="006529A6">
            <w:pPr>
              <w:pStyle w:val="Tabletext"/>
              <w:rPr>
                <w:b/>
              </w:rPr>
            </w:pPr>
            <w:r w:rsidRPr="006529A6">
              <w:rPr>
                <w:b/>
              </w:rPr>
              <w:t>MM 2</w:t>
            </w:r>
          </w:p>
          <w:p w14:paraId="58200B04" w14:textId="3EB0CBC0" w:rsidR="00FF2D3E" w:rsidRPr="006529A6" w:rsidRDefault="00FF2D3E" w:rsidP="006529A6">
            <w:pPr>
              <w:pStyle w:val="Tabletext"/>
              <w:rPr>
                <w:b/>
              </w:rPr>
            </w:pPr>
            <w:r w:rsidRPr="006529A6">
              <w:rPr>
                <w:b/>
              </w:rPr>
              <w:t>Regional</w:t>
            </w:r>
          </w:p>
        </w:tc>
        <w:tc>
          <w:tcPr>
            <w:tcW w:w="1001" w:type="pct"/>
            <w:vAlign w:val="center"/>
            <w:hideMark/>
          </w:tcPr>
          <w:p w14:paraId="60537536"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Private</w:t>
            </w:r>
          </w:p>
        </w:tc>
        <w:tc>
          <w:tcPr>
            <w:tcW w:w="1000" w:type="pct"/>
            <w:noWrap/>
            <w:vAlign w:val="center"/>
            <w:hideMark/>
          </w:tcPr>
          <w:p w14:paraId="7CC493DF"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4</w:t>
            </w:r>
          </w:p>
        </w:tc>
        <w:tc>
          <w:tcPr>
            <w:tcW w:w="1000" w:type="pct"/>
            <w:noWrap/>
            <w:vAlign w:val="center"/>
            <w:hideMark/>
          </w:tcPr>
          <w:p w14:paraId="1C69CA80"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13</w:t>
            </w:r>
          </w:p>
        </w:tc>
        <w:tc>
          <w:tcPr>
            <w:tcW w:w="1000" w:type="pct"/>
            <w:noWrap/>
            <w:vAlign w:val="center"/>
            <w:hideMark/>
          </w:tcPr>
          <w:p w14:paraId="218A46FA"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225%</w:t>
            </w:r>
          </w:p>
        </w:tc>
      </w:tr>
      <w:tr w:rsidR="00FF2D3E" w:rsidRPr="0079376F" w14:paraId="06B4EBEB" w14:textId="77777777" w:rsidTr="0079376F">
        <w:trPr>
          <w:trHeight w:val="293"/>
        </w:trPr>
        <w:tc>
          <w:tcPr>
            <w:cnfStyle w:val="001000000000" w:firstRow="0" w:lastRow="0" w:firstColumn="1" w:lastColumn="0" w:oddVBand="0" w:evenVBand="0" w:oddHBand="0" w:evenHBand="0" w:firstRowFirstColumn="0" w:firstRowLastColumn="0" w:lastRowFirstColumn="0" w:lastRowLastColumn="0"/>
            <w:tcW w:w="999" w:type="pct"/>
            <w:noWrap/>
            <w:vAlign w:val="center"/>
            <w:hideMark/>
          </w:tcPr>
          <w:p w14:paraId="141A09CB" w14:textId="1BB3B311" w:rsidR="00FF2D3E" w:rsidRPr="006529A6" w:rsidRDefault="00FF2D3E" w:rsidP="006529A6">
            <w:pPr>
              <w:pStyle w:val="Tabletext"/>
              <w:rPr>
                <w:b/>
              </w:rPr>
            </w:pPr>
          </w:p>
        </w:tc>
        <w:tc>
          <w:tcPr>
            <w:tcW w:w="1001" w:type="pct"/>
            <w:vAlign w:val="center"/>
            <w:hideMark/>
          </w:tcPr>
          <w:p w14:paraId="45F66798"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Public</w:t>
            </w:r>
          </w:p>
        </w:tc>
        <w:tc>
          <w:tcPr>
            <w:tcW w:w="1000" w:type="pct"/>
            <w:noWrap/>
            <w:vAlign w:val="center"/>
            <w:hideMark/>
          </w:tcPr>
          <w:p w14:paraId="18F10A90"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14</w:t>
            </w:r>
          </w:p>
        </w:tc>
        <w:tc>
          <w:tcPr>
            <w:tcW w:w="1000" w:type="pct"/>
            <w:noWrap/>
            <w:vAlign w:val="center"/>
            <w:hideMark/>
          </w:tcPr>
          <w:p w14:paraId="722EEFB4"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13</w:t>
            </w:r>
          </w:p>
        </w:tc>
        <w:tc>
          <w:tcPr>
            <w:tcW w:w="1000" w:type="pct"/>
            <w:noWrap/>
            <w:vAlign w:val="center"/>
            <w:hideMark/>
          </w:tcPr>
          <w:p w14:paraId="0DAED1D7"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-7%</w:t>
            </w:r>
          </w:p>
        </w:tc>
      </w:tr>
      <w:tr w:rsidR="00FF2D3E" w:rsidRPr="0079376F" w14:paraId="0FC7E6A6" w14:textId="77777777" w:rsidTr="0079376F">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9" w:type="pct"/>
            <w:noWrap/>
            <w:vAlign w:val="center"/>
            <w:hideMark/>
          </w:tcPr>
          <w:p w14:paraId="65CB3C6F" w14:textId="4FE092EC" w:rsidR="00FF2D3E" w:rsidRPr="006529A6" w:rsidRDefault="00FF2D3E" w:rsidP="006529A6">
            <w:pPr>
              <w:pStyle w:val="Tabletext"/>
              <w:rPr>
                <w:b/>
              </w:rPr>
            </w:pPr>
          </w:p>
        </w:tc>
        <w:tc>
          <w:tcPr>
            <w:tcW w:w="1001" w:type="pct"/>
            <w:vAlign w:val="center"/>
            <w:hideMark/>
          </w:tcPr>
          <w:p w14:paraId="40DA52A7"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Sub-total</w:t>
            </w:r>
          </w:p>
        </w:tc>
        <w:tc>
          <w:tcPr>
            <w:tcW w:w="1000" w:type="pct"/>
            <w:noWrap/>
            <w:vAlign w:val="center"/>
            <w:hideMark/>
          </w:tcPr>
          <w:p w14:paraId="12A1B2D4"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18</w:t>
            </w:r>
          </w:p>
        </w:tc>
        <w:tc>
          <w:tcPr>
            <w:tcW w:w="1000" w:type="pct"/>
            <w:noWrap/>
            <w:vAlign w:val="center"/>
            <w:hideMark/>
          </w:tcPr>
          <w:p w14:paraId="6056208B"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26</w:t>
            </w:r>
          </w:p>
        </w:tc>
        <w:tc>
          <w:tcPr>
            <w:tcW w:w="1000" w:type="pct"/>
            <w:noWrap/>
            <w:vAlign w:val="center"/>
            <w:hideMark/>
          </w:tcPr>
          <w:p w14:paraId="632B50CE"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44%</w:t>
            </w:r>
          </w:p>
        </w:tc>
      </w:tr>
      <w:tr w:rsidR="00FF2D3E" w:rsidRPr="0079376F" w14:paraId="36206B5C" w14:textId="77777777" w:rsidTr="0079376F">
        <w:trPr>
          <w:trHeight w:val="293"/>
        </w:trPr>
        <w:tc>
          <w:tcPr>
            <w:cnfStyle w:val="001000000000" w:firstRow="0" w:lastRow="0" w:firstColumn="1" w:lastColumn="0" w:oddVBand="0" w:evenVBand="0" w:oddHBand="0" w:evenHBand="0" w:firstRowFirstColumn="0" w:firstRowLastColumn="0" w:lastRowFirstColumn="0" w:lastRowLastColumn="0"/>
            <w:tcW w:w="999" w:type="pct"/>
            <w:noWrap/>
            <w:vAlign w:val="center"/>
            <w:hideMark/>
          </w:tcPr>
          <w:p w14:paraId="3FCCB3F6" w14:textId="77777777" w:rsidR="00FF2D3E" w:rsidRPr="006529A6" w:rsidRDefault="00FF2D3E" w:rsidP="006529A6">
            <w:pPr>
              <w:pStyle w:val="Tabletext"/>
              <w:rPr>
                <w:b/>
              </w:rPr>
            </w:pPr>
            <w:r w:rsidRPr="006529A6">
              <w:rPr>
                <w:b/>
              </w:rPr>
              <w:t>MM 3</w:t>
            </w:r>
          </w:p>
          <w:p w14:paraId="02E832CB" w14:textId="24868DE6" w:rsidR="00FF2D3E" w:rsidRPr="006529A6" w:rsidRDefault="00FF2D3E" w:rsidP="006529A6">
            <w:pPr>
              <w:pStyle w:val="Tabletext"/>
              <w:rPr>
                <w:b/>
              </w:rPr>
            </w:pPr>
            <w:r w:rsidRPr="006529A6">
              <w:rPr>
                <w:b/>
              </w:rPr>
              <w:t xml:space="preserve">Rural </w:t>
            </w:r>
          </w:p>
        </w:tc>
        <w:tc>
          <w:tcPr>
            <w:tcW w:w="1001" w:type="pct"/>
            <w:vAlign w:val="center"/>
            <w:hideMark/>
          </w:tcPr>
          <w:p w14:paraId="20F149F9"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Private</w:t>
            </w:r>
          </w:p>
        </w:tc>
        <w:tc>
          <w:tcPr>
            <w:tcW w:w="1000" w:type="pct"/>
            <w:noWrap/>
            <w:vAlign w:val="center"/>
            <w:hideMark/>
          </w:tcPr>
          <w:p w14:paraId="63AFA016"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2</w:t>
            </w:r>
          </w:p>
        </w:tc>
        <w:tc>
          <w:tcPr>
            <w:tcW w:w="1000" w:type="pct"/>
            <w:noWrap/>
            <w:vAlign w:val="center"/>
            <w:hideMark/>
          </w:tcPr>
          <w:p w14:paraId="639D5989"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3</w:t>
            </w:r>
          </w:p>
        </w:tc>
        <w:tc>
          <w:tcPr>
            <w:tcW w:w="1000" w:type="pct"/>
            <w:noWrap/>
            <w:vAlign w:val="center"/>
            <w:hideMark/>
          </w:tcPr>
          <w:p w14:paraId="2680CC0A"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50%</w:t>
            </w:r>
          </w:p>
        </w:tc>
      </w:tr>
      <w:tr w:rsidR="00FF2D3E" w:rsidRPr="0079376F" w14:paraId="605C9336" w14:textId="77777777" w:rsidTr="0079376F">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9" w:type="pct"/>
            <w:noWrap/>
            <w:vAlign w:val="center"/>
            <w:hideMark/>
          </w:tcPr>
          <w:p w14:paraId="14C36617" w14:textId="3B40CB86" w:rsidR="00FF2D3E" w:rsidRPr="006529A6" w:rsidRDefault="00FF2D3E" w:rsidP="006529A6">
            <w:pPr>
              <w:pStyle w:val="Tabletext"/>
              <w:rPr>
                <w:b/>
              </w:rPr>
            </w:pPr>
          </w:p>
        </w:tc>
        <w:tc>
          <w:tcPr>
            <w:tcW w:w="1001" w:type="pct"/>
            <w:vAlign w:val="center"/>
            <w:hideMark/>
          </w:tcPr>
          <w:p w14:paraId="273046A4"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Public</w:t>
            </w:r>
          </w:p>
        </w:tc>
        <w:tc>
          <w:tcPr>
            <w:tcW w:w="1000" w:type="pct"/>
            <w:noWrap/>
            <w:vAlign w:val="center"/>
            <w:hideMark/>
          </w:tcPr>
          <w:p w14:paraId="0212C398"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11</w:t>
            </w:r>
          </w:p>
        </w:tc>
        <w:tc>
          <w:tcPr>
            <w:tcW w:w="1000" w:type="pct"/>
            <w:noWrap/>
            <w:vAlign w:val="center"/>
            <w:hideMark/>
          </w:tcPr>
          <w:p w14:paraId="24E652AC"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11</w:t>
            </w:r>
          </w:p>
        </w:tc>
        <w:tc>
          <w:tcPr>
            <w:tcW w:w="1000" w:type="pct"/>
            <w:noWrap/>
            <w:vAlign w:val="center"/>
            <w:hideMark/>
          </w:tcPr>
          <w:p w14:paraId="32FE49A8"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0%</w:t>
            </w:r>
          </w:p>
        </w:tc>
      </w:tr>
      <w:tr w:rsidR="00FF2D3E" w:rsidRPr="0079376F" w14:paraId="434E7029" w14:textId="77777777" w:rsidTr="0079376F">
        <w:trPr>
          <w:trHeight w:val="293"/>
        </w:trPr>
        <w:tc>
          <w:tcPr>
            <w:cnfStyle w:val="001000000000" w:firstRow="0" w:lastRow="0" w:firstColumn="1" w:lastColumn="0" w:oddVBand="0" w:evenVBand="0" w:oddHBand="0" w:evenHBand="0" w:firstRowFirstColumn="0" w:firstRowLastColumn="0" w:lastRowFirstColumn="0" w:lastRowLastColumn="0"/>
            <w:tcW w:w="999" w:type="pct"/>
            <w:noWrap/>
            <w:vAlign w:val="center"/>
            <w:hideMark/>
          </w:tcPr>
          <w:p w14:paraId="5A886F02" w14:textId="201B6F5A" w:rsidR="00FF2D3E" w:rsidRPr="006529A6" w:rsidRDefault="00FF2D3E" w:rsidP="006529A6">
            <w:pPr>
              <w:pStyle w:val="Tabletext"/>
              <w:rPr>
                <w:b/>
              </w:rPr>
            </w:pPr>
          </w:p>
        </w:tc>
        <w:tc>
          <w:tcPr>
            <w:tcW w:w="1001" w:type="pct"/>
            <w:vAlign w:val="center"/>
            <w:hideMark/>
          </w:tcPr>
          <w:p w14:paraId="3F178B40"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Sub-total</w:t>
            </w:r>
          </w:p>
        </w:tc>
        <w:tc>
          <w:tcPr>
            <w:tcW w:w="1000" w:type="pct"/>
            <w:noWrap/>
            <w:vAlign w:val="center"/>
            <w:hideMark/>
          </w:tcPr>
          <w:p w14:paraId="0545E2D5"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13</w:t>
            </w:r>
          </w:p>
        </w:tc>
        <w:tc>
          <w:tcPr>
            <w:tcW w:w="1000" w:type="pct"/>
            <w:noWrap/>
            <w:vAlign w:val="center"/>
            <w:hideMark/>
          </w:tcPr>
          <w:p w14:paraId="651BAAEB"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14</w:t>
            </w:r>
          </w:p>
        </w:tc>
        <w:tc>
          <w:tcPr>
            <w:tcW w:w="1000" w:type="pct"/>
            <w:noWrap/>
            <w:vAlign w:val="center"/>
            <w:hideMark/>
          </w:tcPr>
          <w:p w14:paraId="7178D348"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8%</w:t>
            </w:r>
          </w:p>
        </w:tc>
      </w:tr>
      <w:tr w:rsidR="00FF2D3E" w:rsidRPr="0079376F" w14:paraId="467D1AAA" w14:textId="77777777" w:rsidTr="0079376F">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9" w:type="pct"/>
            <w:noWrap/>
            <w:vAlign w:val="center"/>
            <w:hideMark/>
          </w:tcPr>
          <w:p w14:paraId="3331AA3D" w14:textId="77777777" w:rsidR="00FF2D3E" w:rsidRPr="006529A6" w:rsidRDefault="00FF2D3E" w:rsidP="006529A6">
            <w:pPr>
              <w:pStyle w:val="Tabletext"/>
              <w:rPr>
                <w:b/>
              </w:rPr>
            </w:pPr>
            <w:r w:rsidRPr="006529A6">
              <w:rPr>
                <w:b/>
              </w:rPr>
              <w:t xml:space="preserve">Total </w:t>
            </w:r>
          </w:p>
        </w:tc>
        <w:tc>
          <w:tcPr>
            <w:tcW w:w="1001" w:type="pct"/>
            <w:vAlign w:val="center"/>
            <w:hideMark/>
          </w:tcPr>
          <w:p w14:paraId="135CBBBB"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Private</w:t>
            </w:r>
          </w:p>
        </w:tc>
        <w:tc>
          <w:tcPr>
            <w:tcW w:w="1000" w:type="pct"/>
            <w:noWrap/>
            <w:vAlign w:val="center"/>
            <w:hideMark/>
          </w:tcPr>
          <w:p w14:paraId="679AB90B"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59</w:t>
            </w:r>
          </w:p>
        </w:tc>
        <w:tc>
          <w:tcPr>
            <w:tcW w:w="1000" w:type="pct"/>
            <w:noWrap/>
            <w:vAlign w:val="center"/>
            <w:hideMark/>
          </w:tcPr>
          <w:p w14:paraId="35B9B91B"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98</w:t>
            </w:r>
          </w:p>
        </w:tc>
        <w:tc>
          <w:tcPr>
            <w:tcW w:w="1000" w:type="pct"/>
            <w:noWrap/>
            <w:vAlign w:val="center"/>
            <w:hideMark/>
          </w:tcPr>
          <w:p w14:paraId="30FF200B"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66%</w:t>
            </w:r>
          </w:p>
        </w:tc>
      </w:tr>
      <w:tr w:rsidR="00FF2D3E" w:rsidRPr="0079376F" w14:paraId="1D7F397D" w14:textId="77777777" w:rsidTr="0079376F">
        <w:trPr>
          <w:trHeight w:val="293"/>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4874CF56" w14:textId="77777777" w:rsidR="00FF2D3E" w:rsidRPr="006529A6" w:rsidRDefault="00FF2D3E" w:rsidP="006529A6">
            <w:pPr>
              <w:pStyle w:val="Tabletext"/>
              <w:rPr>
                <w:b/>
              </w:rPr>
            </w:pPr>
          </w:p>
        </w:tc>
        <w:tc>
          <w:tcPr>
            <w:tcW w:w="1001" w:type="pct"/>
            <w:vAlign w:val="center"/>
            <w:hideMark/>
          </w:tcPr>
          <w:p w14:paraId="4442FF71"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Public</w:t>
            </w:r>
          </w:p>
        </w:tc>
        <w:tc>
          <w:tcPr>
            <w:tcW w:w="1000" w:type="pct"/>
            <w:noWrap/>
            <w:vAlign w:val="center"/>
            <w:hideMark/>
          </w:tcPr>
          <w:p w14:paraId="594E6CCA"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100</w:t>
            </w:r>
          </w:p>
        </w:tc>
        <w:tc>
          <w:tcPr>
            <w:tcW w:w="1000" w:type="pct"/>
            <w:noWrap/>
            <w:vAlign w:val="center"/>
            <w:hideMark/>
          </w:tcPr>
          <w:p w14:paraId="30B059F3"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102</w:t>
            </w:r>
          </w:p>
        </w:tc>
        <w:tc>
          <w:tcPr>
            <w:tcW w:w="1000" w:type="pct"/>
            <w:noWrap/>
            <w:vAlign w:val="center"/>
            <w:hideMark/>
          </w:tcPr>
          <w:p w14:paraId="78778D93" w14:textId="77777777" w:rsidR="00FF2D3E" w:rsidRPr="006529A6" w:rsidRDefault="00FF2D3E" w:rsidP="006529A6">
            <w:pPr>
              <w:pStyle w:val="Tabletext"/>
              <w:cnfStyle w:val="000000000000" w:firstRow="0" w:lastRow="0" w:firstColumn="0" w:lastColumn="0" w:oddVBand="0" w:evenVBand="0" w:oddHBand="0" w:evenHBand="0" w:firstRowFirstColumn="0" w:firstRowLastColumn="0" w:lastRowFirstColumn="0" w:lastRowLastColumn="0"/>
            </w:pPr>
            <w:r w:rsidRPr="006529A6">
              <w:t>2%</w:t>
            </w:r>
          </w:p>
        </w:tc>
      </w:tr>
      <w:tr w:rsidR="00FF2D3E" w:rsidRPr="0079376F" w14:paraId="0603C465" w14:textId="77777777" w:rsidTr="0079376F">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99" w:type="pct"/>
            <w:noWrap/>
            <w:vAlign w:val="center"/>
            <w:hideMark/>
          </w:tcPr>
          <w:p w14:paraId="108F2342" w14:textId="77777777" w:rsidR="00FF2D3E" w:rsidRPr="006529A6" w:rsidRDefault="00FF2D3E" w:rsidP="006529A6">
            <w:pPr>
              <w:pStyle w:val="Tabletext"/>
              <w:rPr>
                <w:b/>
              </w:rPr>
            </w:pPr>
            <w:r w:rsidRPr="006529A6">
              <w:rPr>
                <w:b/>
              </w:rPr>
              <w:t xml:space="preserve">Total all </w:t>
            </w:r>
            <w:proofErr w:type="spellStart"/>
            <w:r w:rsidRPr="006529A6">
              <w:rPr>
                <w:b/>
              </w:rPr>
              <w:t>linacs</w:t>
            </w:r>
            <w:proofErr w:type="spellEnd"/>
          </w:p>
        </w:tc>
        <w:tc>
          <w:tcPr>
            <w:tcW w:w="1001" w:type="pct"/>
            <w:vAlign w:val="center"/>
          </w:tcPr>
          <w:p w14:paraId="34CD3844" w14:textId="3763F3DC"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p>
        </w:tc>
        <w:tc>
          <w:tcPr>
            <w:tcW w:w="1000" w:type="pct"/>
            <w:noWrap/>
            <w:vAlign w:val="center"/>
            <w:hideMark/>
          </w:tcPr>
          <w:p w14:paraId="3FF469F6"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159</w:t>
            </w:r>
          </w:p>
        </w:tc>
        <w:tc>
          <w:tcPr>
            <w:tcW w:w="1000" w:type="pct"/>
            <w:noWrap/>
            <w:vAlign w:val="center"/>
            <w:hideMark/>
          </w:tcPr>
          <w:p w14:paraId="1E91D35E"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200</w:t>
            </w:r>
          </w:p>
        </w:tc>
        <w:tc>
          <w:tcPr>
            <w:tcW w:w="1000" w:type="pct"/>
            <w:noWrap/>
            <w:vAlign w:val="center"/>
            <w:hideMark/>
          </w:tcPr>
          <w:p w14:paraId="5B667E2F" w14:textId="77777777" w:rsidR="00FF2D3E" w:rsidRPr="006529A6" w:rsidRDefault="00FF2D3E" w:rsidP="006529A6">
            <w:pPr>
              <w:pStyle w:val="Tabletext"/>
              <w:cnfStyle w:val="000000010000" w:firstRow="0" w:lastRow="0" w:firstColumn="0" w:lastColumn="0" w:oddVBand="0" w:evenVBand="0" w:oddHBand="0" w:evenHBand="1" w:firstRowFirstColumn="0" w:firstRowLastColumn="0" w:lastRowFirstColumn="0" w:lastRowLastColumn="0"/>
            </w:pPr>
            <w:r w:rsidRPr="006529A6">
              <w:t>26%</w:t>
            </w:r>
          </w:p>
        </w:tc>
      </w:tr>
    </w:tbl>
    <w:p w14:paraId="383AEFD8" w14:textId="33AB21C7" w:rsidR="0010422E" w:rsidRPr="009B6AA8" w:rsidRDefault="0010422E" w:rsidP="0079376F">
      <w:pPr>
        <w:pStyle w:val="TableNotes"/>
      </w:pPr>
      <w:r w:rsidRPr="009B6AA8">
        <w:t>*</w:t>
      </w:r>
      <w:proofErr w:type="spellStart"/>
      <w:r w:rsidRPr="009B6AA8">
        <w:t>Linac</w:t>
      </w:r>
      <w:proofErr w:type="spellEnd"/>
      <w:r w:rsidRPr="009B6AA8">
        <w:t xml:space="preserve"> numbers are an estimate only as they have not been verified with </w:t>
      </w:r>
      <w:r w:rsidR="007A75A8">
        <w:t>facilities</w:t>
      </w:r>
      <w:r w:rsidRPr="009B6AA8">
        <w:t>.</w:t>
      </w:r>
      <w:r w:rsidR="003919B5">
        <w:t xml:space="preserve"> Public </w:t>
      </w:r>
      <w:proofErr w:type="spellStart"/>
      <w:r w:rsidR="003919B5">
        <w:t>linacs</w:t>
      </w:r>
      <w:proofErr w:type="spellEnd"/>
      <w:r w:rsidR="003919B5">
        <w:t xml:space="preserve"> include known public-private partnerships</w:t>
      </w:r>
      <w:r w:rsidR="00DF54FF">
        <w:t xml:space="preserve">; </w:t>
      </w:r>
      <w:r w:rsidRPr="009B6AA8">
        <w:t>Sources: calculated from MBS service data and ROHPG equipment reports.</w:t>
      </w:r>
    </w:p>
    <w:p w14:paraId="170ECE4F" w14:textId="42E9C7CE" w:rsidR="0010422E" w:rsidRPr="009B6AA8" w:rsidRDefault="00733B81" w:rsidP="009B713D">
      <w:pPr>
        <w:pStyle w:val="Heading3"/>
        <w:pageBreakBefore/>
      </w:pPr>
      <w:bookmarkStart w:id="326" w:name="_Ref56159558"/>
      <w:bookmarkStart w:id="327" w:name="_Toc59198515"/>
      <w:bookmarkStart w:id="328" w:name="_Toc66193996"/>
      <w:bookmarkStart w:id="329" w:name="_Toc73696724"/>
      <w:r>
        <w:lastRenderedPageBreak/>
        <w:t xml:space="preserve">Appendix D </w:t>
      </w:r>
      <w:r w:rsidR="0010422E" w:rsidRPr="009B6AA8">
        <w:t>RT waiting time data (AIHW)</w:t>
      </w:r>
      <w:bookmarkEnd w:id="326"/>
      <w:bookmarkEnd w:id="327"/>
      <w:bookmarkEnd w:id="328"/>
      <w:bookmarkEnd w:id="329"/>
    </w:p>
    <w:p w14:paraId="2E0D7B9A" w14:textId="77777777" w:rsidR="0010422E" w:rsidRPr="009B6AA8" w:rsidRDefault="0010422E" w:rsidP="0010422E">
      <w:pPr>
        <w:pStyle w:val="Caption"/>
      </w:pPr>
      <w:r w:rsidRPr="009B6AA8">
        <w:rPr>
          <w:lang w:eastAsia="zh-CN"/>
        </w:rPr>
        <w:t>Radiotherapy waiting times by remoteness area of usual residence, Australia, 2018–19</w:t>
      </w:r>
    </w:p>
    <w:tbl>
      <w:tblPr>
        <w:tblStyle w:val="HMATableA"/>
        <w:tblW w:w="5000" w:type="pct"/>
        <w:tblInd w:w="-5" w:type="dxa"/>
        <w:tblLook w:val="04A0" w:firstRow="1" w:lastRow="0" w:firstColumn="1" w:lastColumn="0" w:noHBand="0" w:noVBand="1"/>
        <w:tblCaption w:val="Radiotherapy waiting times by remoteness area of usual residence, Australia, 2018-19"/>
        <w:tblDescription w:val="Appendix D table shows the Radiotherapy waiting times by remoteness area of usual residence, Australia, 2018-19. This Table showing number of RT courses and waiting time in days for remoteness areas."/>
      </w:tblPr>
      <w:tblGrid>
        <w:gridCol w:w="3154"/>
        <w:gridCol w:w="2634"/>
        <w:gridCol w:w="2636"/>
        <w:gridCol w:w="1611"/>
      </w:tblGrid>
      <w:tr w:rsidR="0010422E" w:rsidRPr="006529A6" w14:paraId="2028B26D" w14:textId="77777777" w:rsidTr="009B713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19" w:type="pct"/>
            <w:vAlign w:val="center"/>
            <w:hideMark/>
          </w:tcPr>
          <w:p w14:paraId="564B80AF" w14:textId="77777777" w:rsidR="0010422E" w:rsidRPr="006529A6" w:rsidRDefault="0010422E" w:rsidP="006529A6">
            <w:pPr>
              <w:pStyle w:val="TableHeading"/>
            </w:pPr>
            <w:r w:rsidRPr="006529A6">
              <w:t>Measure</w:t>
            </w:r>
          </w:p>
        </w:tc>
        <w:tc>
          <w:tcPr>
            <w:tcW w:w="1530" w:type="pct"/>
            <w:noWrap/>
            <w:vAlign w:val="center"/>
            <w:hideMark/>
          </w:tcPr>
          <w:p w14:paraId="2994AD31" w14:textId="77777777" w:rsidR="0010422E" w:rsidRPr="006529A6" w:rsidRDefault="0010422E" w:rsidP="006529A6">
            <w:pPr>
              <w:pStyle w:val="TableHeading"/>
              <w:cnfStyle w:val="100000000000" w:firstRow="1" w:lastRow="0" w:firstColumn="0" w:lastColumn="0" w:oddVBand="0" w:evenVBand="0" w:oddHBand="0" w:evenHBand="0" w:firstRowFirstColumn="0" w:firstRowLastColumn="0" w:lastRowFirstColumn="0" w:lastRowLastColumn="0"/>
            </w:pPr>
            <w:r w:rsidRPr="006529A6">
              <w:t>Remoteness area</w:t>
            </w:r>
          </w:p>
        </w:tc>
        <w:tc>
          <w:tcPr>
            <w:tcW w:w="1531" w:type="pct"/>
            <w:vAlign w:val="center"/>
            <w:hideMark/>
          </w:tcPr>
          <w:p w14:paraId="47C4EEB1" w14:textId="77777777" w:rsidR="0010422E" w:rsidRPr="006529A6" w:rsidRDefault="0010422E" w:rsidP="006529A6">
            <w:pPr>
              <w:pStyle w:val="TableHeading"/>
              <w:cnfStyle w:val="100000000000" w:firstRow="1" w:lastRow="0" w:firstColumn="0" w:lastColumn="0" w:oddVBand="0" w:evenVBand="0" w:oddHBand="0" w:evenHBand="0" w:firstRowFirstColumn="0" w:firstRowLastColumn="0" w:lastRowFirstColumn="0" w:lastRowLastColumn="0"/>
            </w:pPr>
            <w:r w:rsidRPr="006529A6">
              <w:t>Number of courses with valid waiting times data</w:t>
            </w:r>
          </w:p>
        </w:tc>
        <w:tc>
          <w:tcPr>
            <w:tcW w:w="1020" w:type="pct"/>
            <w:vAlign w:val="center"/>
            <w:hideMark/>
          </w:tcPr>
          <w:p w14:paraId="6905D77D" w14:textId="77777777" w:rsidR="0010422E" w:rsidRPr="006529A6" w:rsidRDefault="0010422E" w:rsidP="006529A6">
            <w:pPr>
              <w:pStyle w:val="TableHeading"/>
              <w:cnfStyle w:val="100000000000" w:firstRow="1" w:lastRow="0" w:firstColumn="0" w:lastColumn="0" w:oddVBand="0" w:evenVBand="0" w:oddHBand="0" w:evenHBand="0" w:firstRowFirstColumn="0" w:firstRowLastColumn="0" w:lastRowFirstColumn="0" w:lastRowLastColumn="0"/>
            </w:pPr>
            <w:r w:rsidRPr="006529A6">
              <w:t>Waiting time (days)</w:t>
            </w:r>
          </w:p>
        </w:tc>
      </w:tr>
      <w:tr w:rsidR="00FF2D3E" w:rsidRPr="009B6AA8" w14:paraId="438BB48B" w14:textId="77777777" w:rsidTr="009B713D">
        <w:trPr>
          <w:trHeight w:val="285"/>
        </w:trPr>
        <w:tc>
          <w:tcPr>
            <w:cnfStyle w:val="001000000000" w:firstRow="0" w:lastRow="0" w:firstColumn="1" w:lastColumn="0" w:oddVBand="0" w:evenVBand="0" w:oddHBand="0" w:evenHBand="0" w:firstRowFirstColumn="0" w:firstRowLastColumn="0" w:lastRowFirstColumn="0" w:lastRowLastColumn="0"/>
            <w:tcW w:w="919" w:type="pct"/>
            <w:noWrap/>
            <w:hideMark/>
          </w:tcPr>
          <w:p w14:paraId="5451B52C" w14:textId="77777777" w:rsidR="00FF2D3E" w:rsidRPr="006529A6" w:rsidRDefault="00FF2D3E" w:rsidP="009B713D">
            <w:pPr>
              <w:pStyle w:val="Tabletext"/>
              <w:rPr>
                <w:b/>
                <w:lang w:eastAsia="zh-CN"/>
              </w:rPr>
            </w:pPr>
            <w:r w:rsidRPr="006529A6">
              <w:rPr>
                <w:b/>
                <w:lang w:eastAsia="zh-CN"/>
              </w:rPr>
              <w:t>50% started treatment within (days)</w:t>
            </w:r>
          </w:p>
        </w:tc>
        <w:tc>
          <w:tcPr>
            <w:tcW w:w="1530" w:type="pct"/>
            <w:noWrap/>
            <w:hideMark/>
          </w:tcPr>
          <w:p w14:paraId="5DA02DF4" w14:textId="7C17ECD6"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 xml:space="preserve">Major cities </w:t>
            </w:r>
          </w:p>
        </w:tc>
        <w:tc>
          <w:tcPr>
            <w:tcW w:w="1531" w:type="pct"/>
            <w:noWrap/>
            <w:hideMark/>
          </w:tcPr>
          <w:p w14:paraId="650FC2BA"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47,697</w:t>
            </w:r>
          </w:p>
        </w:tc>
        <w:tc>
          <w:tcPr>
            <w:tcW w:w="1020" w:type="pct"/>
            <w:noWrap/>
            <w:hideMark/>
          </w:tcPr>
          <w:p w14:paraId="28AE58A7"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10</w:t>
            </w:r>
          </w:p>
        </w:tc>
      </w:tr>
      <w:tr w:rsidR="00FF2D3E" w:rsidRPr="009B6AA8" w14:paraId="03716A45" w14:textId="77777777" w:rsidTr="009B713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9" w:type="pct"/>
            <w:noWrap/>
          </w:tcPr>
          <w:p w14:paraId="619A02F9" w14:textId="77777777" w:rsidR="00FF2D3E" w:rsidRPr="006529A6" w:rsidRDefault="00FF2D3E" w:rsidP="009B713D">
            <w:pPr>
              <w:pStyle w:val="Tabletext"/>
              <w:rPr>
                <w:b/>
                <w:lang w:eastAsia="zh-CN"/>
              </w:rPr>
            </w:pPr>
          </w:p>
        </w:tc>
        <w:tc>
          <w:tcPr>
            <w:tcW w:w="1530" w:type="pct"/>
            <w:noWrap/>
            <w:hideMark/>
          </w:tcPr>
          <w:p w14:paraId="6C70F96C"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Inner regional</w:t>
            </w:r>
          </w:p>
        </w:tc>
        <w:tc>
          <w:tcPr>
            <w:tcW w:w="1531" w:type="pct"/>
            <w:noWrap/>
            <w:hideMark/>
          </w:tcPr>
          <w:p w14:paraId="451DA4D0"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15,687</w:t>
            </w:r>
          </w:p>
        </w:tc>
        <w:tc>
          <w:tcPr>
            <w:tcW w:w="1020" w:type="pct"/>
            <w:noWrap/>
            <w:hideMark/>
          </w:tcPr>
          <w:p w14:paraId="1D488DB7"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11</w:t>
            </w:r>
          </w:p>
        </w:tc>
      </w:tr>
      <w:tr w:rsidR="00FF2D3E" w:rsidRPr="009B6AA8" w14:paraId="4A6B9B35" w14:textId="77777777" w:rsidTr="009B713D">
        <w:trPr>
          <w:trHeight w:val="285"/>
        </w:trPr>
        <w:tc>
          <w:tcPr>
            <w:cnfStyle w:val="001000000000" w:firstRow="0" w:lastRow="0" w:firstColumn="1" w:lastColumn="0" w:oddVBand="0" w:evenVBand="0" w:oddHBand="0" w:evenHBand="0" w:firstRowFirstColumn="0" w:firstRowLastColumn="0" w:lastRowFirstColumn="0" w:lastRowLastColumn="0"/>
            <w:tcW w:w="919" w:type="pct"/>
            <w:noWrap/>
          </w:tcPr>
          <w:p w14:paraId="310682CD" w14:textId="77777777" w:rsidR="00FF2D3E" w:rsidRPr="006529A6" w:rsidRDefault="00FF2D3E" w:rsidP="009B713D">
            <w:pPr>
              <w:pStyle w:val="Tabletext"/>
              <w:rPr>
                <w:b/>
                <w:lang w:eastAsia="zh-CN"/>
              </w:rPr>
            </w:pPr>
          </w:p>
        </w:tc>
        <w:tc>
          <w:tcPr>
            <w:tcW w:w="1530" w:type="pct"/>
            <w:noWrap/>
            <w:hideMark/>
          </w:tcPr>
          <w:p w14:paraId="61D4D2FB"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Outer regional</w:t>
            </w:r>
          </w:p>
        </w:tc>
        <w:tc>
          <w:tcPr>
            <w:tcW w:w="1531" w:type="pct"/>
            <w:noWrap/>
            <w:hideMark/>
          </w:tcPr>
          <w:p w14:paraId="3CAEBF3A"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6,005</w:t>
            </w:r>
          </w:p>
        </w:tc>
        <w:tc>
          <w:tcPr>
            <w:tcW w:w="1020" w:type="pct"/>
            <w:noWrap/>
            <w:hideMark/>
          </w:tcPr>
          <w:p w14:paraId="16EAD7F5"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11</w:t>
            </w:r>
          </w:p>
        </w:tc>
      </w:tr>
      <w:tr w:rsidR="00FF2D3E" w:rsidRPr="009B6AA8" w14:paraId="315EA6BF" w14:textId="77777777" w:rsidTr="009B713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9" w:type="pct"/>
            <w:noWrap/>
          </w:tcPr>
          <w:p w14:paraId="1D2E2BDA" w14:textId="77777777" w:rsidR="00FF2D3E" w:rsidRPr="006529A6" w:rsidRDefault="00FF2D3E" w:rsidP="009B713D">
            <w:pPr>
              <w:pStyle w:val="Tabletext"/>
              <w:rPr>
                <w:b/>
                <w:lang w:eastAsia="zh-CN"/>
              </w:rPr>
            </w:pPr>
          </w:p>
        </w:tc>
        <w:tc>
          <w:tcPr>
            <w:tcW w:w="1530" w:type="pct"/>
            <w:noWrap/>
            <w:hideMark/>
          </w:tcPr>
          <w:p w14:paraId="0F551DBE" w14:textId="43E7898D"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 xml:space="preserve">Remote </w:t>
            </w:r>
          </w:p>
        </w:tc>
        <w:tc>
          <w:tcPr>
            <w:tcW w:w="1531" w:type="pct"/>
            <w:noWrap/>
            <w:hideMark/>
          </w:tcPr>
          <w:p w14:paraId="4F62C9CE"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515</w:t>
            </w:r>
          </w:p>
        </w:tc>
        <w:tc>
          <w:tcPr>
            <w:tcW w:w="1020" w:type="pct"/>
            <w:noWrap/>
            <w:hideMark/>
          </w:tcPr>
          <w:p w14:paraId="1BE4BE21"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10</w:t>
            </w:r>
          </w:p>
        </w:tc>
      </w:tr>
      <w:tr w:rsidR="00FF2D3E" w:rsidRPr="009B6AA8" w14:paraId="08A39F12" w14:textId="77777777" w:rsidTr="009B713D">
        <w:trPr>
          <w:trHeight w:val="285"/>
        </w:trPr>
        <w:tc>
          <w:tcPr>
            <w:cnfStyle w:val="001000000000" w:firstRow="0" w:lastRow="0" w:firstColumn="1" w:lastColumn="0" w:oddVBand="0" w:evenVBand="0" w:oddHBand="0" w:evenHBand="0" w:firstRowFirstColumn="0" w:firstRowLastColumn="0" w:lastRowFirstColumn="0" w:lastRowLastColumn="0"/>
            <w:tcW w:w="919" w:type="pct"/>
            <w:noWrap/>
          </w:tcPr>
          <w:p w14:paraId="172FAE0D" w14:textId="77777777" w:rsidR="00FF2D3E" w:rsidRPr="006529A6" w:rsidRDefault="00FF2D3E" w:rsidP="009B713D">
            <w:pPr>
              <w:pStyle w:val="Tabletext"/>
              <w:rPr>
                <w:b/>
                <w:lang w:eastAsia="zh-CN"/>
              </w:rPr>
            </w:pPr>
          </w:p>
        </w:tc>
        <w:tc>
          <w:tcPr>
            <w:tcW w:w="1530" w:type="pct"/>
            <w:noWrap/>
            <w:hideMark/>
          </w:tcPr>
          <w:p w14:paraId="1B34F933" w14:textId="41FA39D2"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 xml:space="preserve">Very remote </w:t>
            </w:r>
          </w:p>
        </w:tc>
        <w:tc>
          <w:tcPr>
            <w:tcW w:w="1531" w:type="pct"/>
            <w:noWrap/>
            <w:hideMark/>
          </w:tcPr>
          <w:p w14:paraId="5A48D026"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257</w:t>
            </w:r>
          </w:p>
        </w:tc>
        <w:tc>
          <w:tcPr>
            <w:tcW w:w="1020" w:type="pct"/>
            <w:noWrap/>
            <w:hideMark/>
          </w:tcPr>
          <w:p w14:paraId="36662B9B"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9</w:t>
            </w:r>
          </w:p>
        </w:tc>
      </w:tr>
      <w:tr w:rsidR="00FF2D3E" w:rsidRPr="009B6AA8" w14:paraId="333EAC42" w14:textId="77777777" w:rsidTr="009B713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9" w:type="pct"/>
            <w:noWrap/>
          </w:tcPr>
          <w:p w14:paraId="081A2D24" w14:textId="77777777" w:rsidR="00FF2D3E" w:rsidRPr="006529A6" w:rsidRDefault="00FF2D3E" w:rsidP="009B713D">
            <w:pPr>
              <w:pStyle w:val="Tabletext"/>
              <w:rPr>
                <w:b/>
                <w:lang w:eastAsia="zh-CN"/>
              </w:rPr>
            </w:pPr>
          </w:p>
        </w:tc>
        <w:tc>
          <w:tcPr>
            <w:tcW w:w="1530" w:type="pct"/>
            <w:noWrap/>
            <w:hideMark/>
          </w:tcPr>
          <w:p w14:paraId="6F426902"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 xml:space="preserve">RA not stated </w:t>
            </w:r>
          </w:p>
        </w:tc>
        <w:tc>
          <w:tcPr>
            <w:tcW w:w="1531" w:type="pct"/>
            <w:noWrap/>
            <w:hideMark/>
          </w:tcPr>
          <w:p w14:paraId="61C37500"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3,606</w:t>
            </w:r>
          </w:p>
        </w:tc>
        <w:tc>
          <w:tcPr>
            <w:tcW w:w="1020" w:type="pct"/>
            <w:noWrap/>
            <w:hideMark/>
          </w:tcPr>
          <w:p w14:paraId="226C63D5"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9</w:t>
            </w:r>
          </w:p>
        </w:tc>
      </w:tr>
      <w:tr w:rsidR="00FF2D3E" w:rsidRPr="009B6AA8" w14:paraId="49A3A9C7" w14:textId="77777777" w:rsidTr="009B713D">
        <w:trPr>
          <w:trHeight w:val="285"/>
        </w:trPr>
        <w:tc>
          <w:tcPr>
            <w:cnfStyle w:val="001000000000" w:firstRow="0" w:lastRow="0" w:firstColumn="1" w:lastColumn="0" w:oddVBand="0" w:evenVBand="0" w:oddHBand="0" w:evenHBand="0" w:firstRowFirstColumn="0" w:firstRowLastColumn="0" w:lastRowFirstColumn="0" w:lastRowLastColumn="0"/>
            <w:tcW w:w="919" w:type="pct"/>
            <w:noWrap/>
            <w:hideMark/>
          </w:tcPr>
          <w:p w14:paraId="06633D91" w14:textId="77777777" w:rsidR="00FF2D3E" w:rsidRPr="006529A6" w:rsidRDefault="00FF2D3E" w:rsidP="009B713D">
            <w:pPr>
              <w:pStyle w:val="Tabletext"/>
              <w:rPr>
                <w:b/>
                <w:lang w:eastAsia="zh-CN"/>
              </w:rPr>
            </w:pPr>
            <w:r w:rsidRPr="006529A6">
              <w:rPr>
                <w:b/>
                <w:lang w:eastAsia="zh-CN"/>
              </w:rPr>
              <w:t>90% started treatment within (days)</w:t>
            </w:r>
          </w:p>
        </w:tc>
        <w:tc>
          <w:tcPr>
            <w:tcW w:w="1530" w:type="pct"/>
            <w:noWrap/>
            <w:hideMark/>
          </w:tcPr>
          <w:p w14:paraId="283D9222" w14:textId="1AF405EB"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 xml:space="preserve">Major cities </w:t>
            </w:r>
          </w:p>
        </w:tc>
        <w:tc>
          <w:tcPr>
            <w:tcW w:w="1531" w:type="pct"/>
            <w:noWrap/>
            <w:hideMark/>
          </w:tcPr>
          <w:p w14:paraId="5D1BED81"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47,697</w:t>
            </w:r>
          </w:p>
        </w:tc>
        <w:tc>
          <w:tcPr>
            <w:tcW w:w="1020" w:type="pct"/>
            <w:noWrap/>
            <w:hideMark/>
          </w:tcPr>
          <w:p w14:paraId="13734ED3"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27</w:t>
            </w:r>
          </w:p>
        </w:tc>
      </w:tr>
      <w:tr w:rsidR="00FF2D3E" w:rsidRPr="009B6AA8" w14:paraId="198E9780" w14:textId="77777777" w:rsidTr="009B713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9" w:type="pct"/>
            <w:noWrap/>
          </w:tcPr>
          <w:p w14:paraId="26B508D1" w14:textId="77777777" w:rsidR="00FF2D3E" w:rsidRPr="006529A6" w:rsidRDefault="00FF2D3E" w:rsidP="009B713D">
            <w:pPr>
              <w:pStyle w:val="Tabletext"/>
              <w:rPr>
                <w:b/>
                <w:lang w:eastAsia="zh-CN"/>
              </w:rPr>
            </w:pPr>
          </w:p>
        </w:tc>
        <w:tc>
          <w:tcPr>
            <w:tcW w:w="1530" w:type="pct"/>
            <w:noWrap/>
            <w:hideMark/>
          </w:tcPr>
          <w:p w14:paraId="0A200562"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Inner regional</w:t>
            </w:r>
          </w:p>
        </w:tc>
        <w:tc>
          <w:tcPr>
            <w:tcW w:w="1531" w:type="pct"/>
            <w:noWrap/>
            <w:hideMark/>
          </w:tcPr>
          <w:p w14:paraId="097B30B6"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15,687</w:t>
            </w:r>
          </w:p>
        </w:tc>
        <w:tc>
          <w:tcPr>
            <w:tcW w:w="1020" w:type="pct"/>
            <w:noWrap/>
            <w:hideMark/>
          </w:tcPr>
          <w:p w14:paraId="56085AC2"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27</w:t>
            </w:r>
          </w:p>
        </w:tc>
      </w:tr>
      <w:tr w:rsidR="00FF2D3E" w:rsidRPr="009B6AA8" w14:paraId="325C3982" w14:textId="77777777" w:rsidTr="009B713D">
        <w:trPr>
          <w:trHeight w:val="285"/>
        </w:trPr>
        <w:tc>
          <w:tcPr>
            <w:cnfStyle w:val="001000000000" w:firstRow="0" w:lastRow="0" w:firstColumn="1" w:lastColumn="0" w:oddVBand="0" w:evenVBand="0" w:oddHBand="0" w:evenHBand="0" w:firstRowFirstColumn="0" w:firstRowLastColumn="0" w:lastRowFirstColumn="0" w:lastRowLastColumn="0"/>
            <w:tcW w:w="919" w:type="pct"/>
            <w:noWrap/>
          </w:tcPr>
          <w:p w14:paraId="0E56C6DF" w14:textId="77777777" w:rsidR="00FF2D3E" w:rsidRPr="006529A6" w:rsidRDefault="00FF2D3E" w:rsidP="009B713D">
            <w:pPr>
              <w:pStyle w:val="Tabletext"/>
              <w:rPr>
                <w:b/>
                <w:lang w:eastAsia="zh-CN"/>
              </w:rPr>
            </w:pPr>
          </w:p>
        </w:tc>
        <w:tc>
          <w:tcPr>
            <w:tcW w:w="1530" w:type="pct"/>
            <w:noWrap/>
            <w:hideMark/>
          </w:tcPr>
          <w:p w14:paraId="3218036C"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Outer regional</w:t>
            </w:r>
          </w:p>
        </w:tc>
        <w:tc>
          <w:tcPr>
            <w:tcW w:w="1531" w:type="pct"/>
            <w:noWrap/>
            <w:hideMark/>
          </w:tcPr>
          <w:p w14:paraId="5E4818BB"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6,005</w:t>
            </w:r>
          </w:p>
        </w:tc>
        <w:tc>
          <w:tcPr>
            <w:tcW w:w="1020" w:type="pct"/>
            <w:noWrap/>
            <w:hideMark/>
          </w:tcPr>
          <w:p w14:paraId="0EE99740"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26</w:t>
            </w:r>
          </w:p>
        </w:tc>
      </w:tr>
      <w:tr w:rsidR="00FF2D3E" w:rsidRPr="009B6AA8" w14:paraId="30407980" w14:textId="77777777" w:rsidTr="009B713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9" w:type="pct"/>
            <w:noWrap/>
          </w:tcPr>
          <w:p w14:paraId="1717001A" w14:textId="77777777" w:rsidR="00FF2D3E" w:rsidRPr="006529A6" w:rsidRDefault="00FF2D3E" w:rsidP="009B713D">
            <w:pPr>
              <w:pStyle w:val="Tabletext"/>
              <w:rPr>
                <w:b/>
                <w:lang w:eastAsia="zh-CN"/>
              </w:rPr>
            </w:pPr>
          </w:p>
        </w:tc>
        <w:tc>
          <w:tcPr>
            <w:tcW w:w="1530" w:type="pct"/>
            <w:noWrap/>
            <w:hideMark/>
          </w:tcPr>
          <w:p w14:paraId="686BB10C" w14:textId="77BEACD2"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 xml:space="preserve">Remote </w:t>
            </w:r>
          </w:p>
        </w:tc>
        <w:tc>
          <w:tcPr>
            <w:tcW w:w="1531" w:type="pct"/>
            <w:noWrap/>
            <w:hideMark/>
          </w:tcPr>
          <w:p w14:paraId="0673FDC4"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515</w:t>
            </w:r>
          </w:p>
        </w:tc>
        <w:tc>
          <w:tcPr>
            <w:tcW w:w="1020" w:type="pct"/>
            <w:noWrap/>
            <w:hideMark/>
          </w:tcPr>
          <w:p w14:paraId="2ADB0AF7"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28</w:t>
            </w:r>
          </w:p>
        </w:tc>
      </w:tr>
      <w:tr w:rsidR="00FF2D3E" w:rsidRPr="009B6AA8" w14:paraId="45A4FB9E" w14:textId="77777777" w:rsidTr="009B713D">
        <w:trPr>
          <w:trHeight w:val="285"/>
        </w:trPr>
        <w:tc>
          <w:tcPr>
            <w:cnfStyle w:val="001000000000" w:firstRow="0" w:lastRow="0" w:firstColumn="1" w:lastColumn="0" w:oddVBand="0" w:evenVBand="0" w:oddHBand="0" w:evenHBand="0" w:firstRowFirstColumn="0" w:firstRowLastColumn="0" w:lastRowFirstColumn="0" w:lastRowLastColumn="0"/>
            <w:tcW w:w="919" w:type="pct"/>
            <w:noWrap/>
          </w:tcPr>
          <w:p w14:paraId="34820030" w14:textId="77777777" w:rsidR="00FF2D3E" w:rsidRPr="006529A6" w:rsidRDefault="00FF2D3E" w:rsidP="009B713D">
            <w:pPr>
              <w:pStyle w:val="Tabletext"/>
              <w:rPr>
                <w:b/>
                <w:lang w:eastAsia="zh-CN"/>
              </w:rPr>
            </w:pPr>
          </w:p>
        </w:tc>
        <w:tc>
          <w:tcPr>
            <w:tcW w:w="1530" w:type="pct"/>
            <w:noWrap/>
            <w:hideMark/>
          </w:tcPr>
          <w:p w14:paraId="7A4DFF5C" w14:textId="310A2D42"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 xml:space="preserve">Very remote </w:t>
            </w:r>
          </w:p>
        </w:tc>
        <w:tc>
          <w:tcPr>
            <w:tcW w:w="1531" w:type="pct"/>
            <w:noWrap/>
            <w:hideMark/>
          </w:tcPr>
          <w:p w14:paraId="1D4A6908"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257</w:t>
            </w:r>
          </w:p>
        </w:tc>
        <w:tc>
          <w:tcPr>
            <w:tcW w:w="1020" w:type="pct"/>
            <w:noWrap/>
            <w:hideMark/>
          </w:tcPr>
          <w:p w14:paraId="4AAC0E14" w14:textId="77777777" w:rsidR="00FF2D3E" w:rsidRPr="009B6AA8" w:rsidRDefault="00FF2D3E" w:rsidP="009B713D">
            <w:pPr>
              <w:pStyle w:val="Tabletext"/>
              <w:cnfStyle w:val="000000000000" w:firstRow="0" w:lastRow="0" w:firstColumn="0" w:lastColumn="0" w:oddVBand="0" w:evenVBand="0" w:oddHBand="0" w:evenHBand="0" w:firstRowFirstColumn="0" w:firstRowLastColumn="0" w:lastRowFirstColumn="0" w:lastRowLastColumn="0"/>
              <w:rPr>
                <w:lang w:eastAsia="zh-CN"/>
              </w:rPr>
            </w:pPr>
            <w:r w:rsidRPr="009B6AA8">
              <w:rPr>
                <w:lang w:eastAsia="zh-CN"/>
              </w:rPr>
              <w:t>23</w:t>
            </w:r>
          </w:p>
        </w:tc>
      </w:tr>
      <w:tr w:rsidR="00FF2D3E" w:rsidRPr="009B6AA8" w14:paraId="10B4CA61" w14:textId="77777777" w:rsidTr="009B713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19" w:type="pct"/>
            <w:noWrap/>
          </w:tcPr>
          <w:p w14:paraId="6555BAE2" w14:textId="77777777" w:rsidR="00FF2D3E" w:rsidRPr="006529A6" w:rsidRDefault="00FF2D3E" w:rsidP="009B713D">
            <w:pPr>
              <w:pStyle w:val="Tabletext"/>
              <w:rPr>
                <w:b/>
                <w:lang w:eastAsia="zh-CN"/>
              </w:rPr>
            </w:pPr>
          </w:p>
        </w:tc>
        <w:tc>
          <w:tcPr>
            <w:tcW w:w="1530" w:type="pct"/>
            <w:noWrap/>
            <w:hideMark/>
          </w:tcPr>
          <w:p w14:paraId="24EF4BD1"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 xml:space="preserve">RA not stated </w:t>
            </w:r>
          </w:p>
        </w:tc>
        <w:tc>
          <w:tcPr>
            <w:tcW w:w="1531" w:type="pct"/>
            <w:noWrap/>
            <w:hideMark/>
          </w:tcPr>
          <w:p w14:paraId="0B3C50FE"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3,606</w:t>
            </w:r>
          </w:p>
        </w:tc>
        <w:tc>
          <w:tcPr>
            <w:tcW w:w="1020" w:type="pct"/>
            <w:noWrap/>
            <w:hideMark/>
          </w:tcPr>
          <w:p w14:paraId="23FBDF5D" w14:textId="77777777" w:rsidR="00FF2D3E" w:rsidRPr="009B6AA8" w:rsidRDefault="00FF2D3E" w:rsidP="009B713D">
            <w:pPr>
              <w:pStyle w:val="Tabletext"/>
              <w:cnfStyle w:val="000000010000" w:firstRow="0" w:lastRow="0" w:firstColumn="0" w:lastColumn="0" w:oddVBand="0" w:evenVBand="0" w:oddHBand="0" w:evenHBand="1" w:firstRowFirstColumn="0" w:firstRowLastColumn="0" w:lastRowFirstColumn="0" w:lastRowLastColumn="0"/>
              <w:rPr>
                <w:lang w:eastAsia="zh-CN"/>
              </w:rPr>
            </w:pPr>
            <w:r w:rsidRPr="009B6AA8">
              <w:rPr>
                <w:lang w:eastAsia="zh-CN"/>
              </w:rPr>
              <w:t>23</w:t>
            </w:r>
          </w:p>
        </w:tc>
      </w:tr>
    </w:tbl>
    <w:p w14:paraId="76715AB1" w14:textId="0A3620E9" w:rsidR="00E7621C" w:rsidRPr="00D65C79" w:rsidRDefault="0010422E" w:rsidP="0079376F">
      <w:pPr>
        <w:pStyle w:val="TableNotes"/>
      </w:pPr>
      <w:r w:rsidRPr="009B6AA8">
        <w:t xml:space="preserve">Source: </w:t>
      </w:r>
      <w:hyperlink r:id="rId23" w:history="1">
        <w:r w:rsidRPr="00E7621C">
          <w:rPr>
            <w:rStyle w:val="Hyperlink"/>
          </w:rPr>
          <w:t>AIHW Radiotherapy in Australia 2018–19 data</w:t>
        </w:r>
      </w:hyperlink>
    </w:p>
    <w:p w14:paraId="095786B7" w14:textId="612A9C24" w:rsidR="00373EE3" w:rsidRDefault="00733B81" w:rsidP="009B713D">
      <w:pPr>
        <w:pStyle w:val="Heading3"/>
        <w:pageBreakBefore/>
      </w:pPr>
      <w:bookmarkStart w:id="330" w:name="_Ref56383228"/>
      <w:bookmarkStart w:id="331" w:name="_Toc59198516"/>
      <w:bookmarkStart w:id="332" w:name="_Toc66193997"/>
      <w:bookmarkStart w:id="333" w:name="_Toc73696725"/>
      <w:r>
        <w:lastRenderedPageBreak/>
        <w:t xml:space="preserve">Appendix E </w:t>
      </w:r>
      <w:r w:rsidR="00036908" w:rsidRPr="00D65C79">
        <w:t xml:space="preserve">Analysis of service </w:t>
      </w:r>
      <w:r w:rsidR="006465F3" w:rsidRPr="00D65C79">
        <w:t>provision of</w:t>
      </w:r>
      <w:r w:rsidR="00036908" w:rsidRPr="00D65C79">
        <w:t xml:space="preserve"> radiotherapy </w:t>
      </w:r>
      <w:r w:rsidR="007A75A8">
        <w:t>facilities</w:t>
      </w:r>
      <w:bookmarkEnd w:id="321"/>
      <w:bookmarkEnd w:id="330"/>
      <w:bookmarkEnd w:id="331"/>
      <w:bookmarkEnd w:id="332"/>
      <w:bookmarkEnd w:id="333"/>
    </w:p>
    <w:p w14:paraId="5BD6D83C" w14:textId="77777777" w:rsidR="00373EE3" w:rsidRDefault="00036908" w:rsidP="009B713D">
      <w:pPr>
        <w:pStyle w:val="Heading4"/>
      </w:pPr>
      <w:r w:rsidRPr="009B6AA8">
        <w:t xml:space="preserve">Comparison of private </w:t>
      </w:r>
      <w:r w:rsidRPr="009B713D">
        <w:t>and</w:t>
      </w:r>
      <w:r w:rsidRPr="009B6AA8">
        <w:t xml:space="preserve"> public </w:t>
      </w:r>
      <w:r w:rsidR="007A75A8">
        <w:t>facilities</w:t>
      </w:r>
    </w:p>
    <w:p w14:paraId="12006810" w14:textId="77777777" w:rsidR="00373EE3" w:rsidRPr="00E06173" w:rsidRDefault="00036908" w:rsidP="00DF2D1F">
      <w:r w:rsidRPr="009B6AA8">
        <w:t xml:space="preserve">Under the current rules of the ROHPG, both public and private </w:t>
      </w:r>
      <w:r w:rsidR="007A75A8">
        <w:t>facilities</w:t>
      </w:r>
      <w:r w:rsidRPr="009B6AA8">
        <w:t xml:space="preserve"> receive a set contribution o</w:t>
      </w:r>
      <w:r w:rsidR="00EB7D53" w:rsidRPr="009B6AA8">
        <w:t>f</w:t>
      </w:r>
      <w:r w:rsidRPr="009B6AA8">
        <w:t xml:space="preserve"> </w:t>
      </w:r>
      <w:r w:rsidRPr="009B6AA8">
        <w:rPr>
          <w:rFonts w:ascii="Times New Roman" w:hAnsi="Times New Roman" w:cs="Times New Roman"/>
        </w:rPr>
        <w:t>$</w:t>
      </w:r>
      <w:r w:rsidRPr="009B6AA8">
        <w:t xml:space="preserve">3 million toward the purchase of a </w:t>
      </w:r>
      <w:proofErr w:type="spellStart"/>
      <w:r w:rsidRPr="009B6AA8">
        <w:t>linac</w:t>
      </w:r>
      <w:proofErr w:type="spellEnd"/>
      <w:r w:rsidRPr="009B6AA8">
        <w:t xml:space="preserve">. Private </w:t>
      </w:r>
      <w:r w:rsidR="007A75A8">
        <w:t>facilities</w:t>
      </w:r>
      <w:r w:rsidRPr="009B6AA8">
        <w:t xml:space="preserve"> receive this contribution on an eight-year funding cycle (equating to $375,000 per annum) compared to a ten-year cycle for public </w:t>
      </w:r>
      <w:r w:rsidR="007A75A8">
        <w:t>facilities</w:t>
      </w:r>
      <w:r w:rsidRPr="009B6AA8">
        <w:t xml:space="preserve"> (equating to $300,000 per annum). This results in a higher annual payment to private </w:t>
      </w:r>
      <w:r w:rsidR="007A75A8">
        <w:t>facilities</w:t>
      </w:r>
      <w:r w:rsidRPr="009B6AA8">
        <w:t xml:space="preserve"> and </w:t>
      </w:r>
      <w:r w:rsidRPr="00E06173">
        <w:t xml:space="preserve">enables more frequent turnover of </w:t>
      </w:r>
      <w:proofErr w:type="spellStart"/>
      <w:r w:rsidRPr="00E06173">
        <w:t>linacs</w:t>
      </w:r>
      <w:proofErr w:type="spellEnd"/>
      <w:r w:rsidRPr="00E06173">
        <w:t xml:space="preserve"> in private facilities.</w:t>
      </w:r>
    </w:p>
    <w:p w14:paraId="3360F132" w14:textId="77777777" w:rsidR="00373EE3" w:rsidRDefault="00036908" w:rsidP="00DF2D1F">
      <w:r w:rsidRPr="009B6AA8">
        <w:t xml:space="preserve">This difference in funding structure between public and private RT </w:t>
      </w:r>
      <w:r w:rsidR="007A75A8">
        <w:t>facilities</w:t>
      </w:r>
      <w:r w:rsidRPr="009B6AA8">
        <w:t xml:space="preserve"> was based on the assumption that private facilities were providing a higher number of treatment fractions (or services) per annum, and therefore would require a shorter turnover period (as </w:t>
      </w:r>
      <w:proofErr w:type="spellStart"/>
      <w:r w:rsidRPr="009B6AA8">
        <w:t>linacs</w:t>
      </w:r>
      <w:proofErr w:type="spellEnd"/>
      <w:r w:rsidRPr="009B6AA8">
        <w:t xml:space="preserve"> would reach the end of their useful life, notionally 82,800</w:t>
      </w:r>
      <w:r w:rsidRPr="00D65C79">
        <w:rPr>
          <w:rStyle w:val="FootnoteReference"/>
        </w:rPr>
        <w:footnoteReference w:id="13"/>
      </w:r>
      <w:r w:rsidRPr="00D65C79">
        <w:t xml:space="preserve"> services faster).</w:t>
      </w:r>
    </w:p>
    <w:p w14:paraId="2C913FCC" w14:textId="77777777" w:rsidR="00373EE3" w:rsidRDefault="00036908" w:rsidP="00DF2D1F">
      <w:r w:rsidRPr="00D65C79">
        <w:t xml:space="preserve">To determine the strength of the evidence behind this assumption, both MBS service data and </w:t>
      </w:r>
      <w:r w:rsidRPr="009B6AA8">
        <w:t>AIHW data were used to compare the difference in service activity profiles between the public and private sectors.</w:t>
      </w:r>
    </w:p>
    <w:p w14:paraId="25CB58EF" w14:textId="77777777" w:rsidR="00373EE3" w:rsidRDefault="00036908" w:rsidP="00DF2D1F">
      <w:pPr>
        <w:pStyle w:val="Heading5"/>
      </w:pPr>
      <w:r w:rsidRPr="009B6AA8">
        <w:t xml:space="preserve">MBS </w:t>
      </w:r>
      <w:r w:rsidR="00375E68">
        <w:t>s</w:t>
      </w:r>
      <w:r w:rsidR="00375E68" w:rsidRPr="009B6AA8">
        <w:t>ervices</w:t>
      </w:r>
    </w:p>
    <w:p w14:paraId="2879B366" w14:textId="77777777" w:rsidR="00373EE3" w:rsidRDefault="00036908" w:rsidP="00DF2D1F">
      <w:r w:rsidRPr="009B6AA8">
        <w:t>Services billed through the MBS are individual RT fractions. Patients are likely to receive several fractions a</w:t>
      </w:r>
      <w:r w:rsidR="00242093" w:rsidRPr="009B6AA8">
        <w:t>s</w:t>
      </w:r>
      <w:r w:rsidRPr="009B6AA8">
        <w:t xml:space="preserve"> part of their treatment course. The number of fractions each patient receives varies based on the type of cancer, RT technique used and other patient care needs. There is an emerging trend </w:t>
      </w:r>
      <w:r w:rsidR="00577DBF">
        <w:t>in</w:t>
      </w:r>
      <w:r w:rsidR="00577DBF" w:rsidRPr="009B6AA8">
        <w:t xml:space="preserve"> </w:t>
      </w:r>
      <w:r w:rsidRPr="009B6AA8">
        <w:t xml:space="preserve">RT towards </w:t>
      </w:r>
      <w:proofErr w:type="spellStart"/>
      <w:r w:rsidRPr="009B6AA8">
        <w:t>hypofractionation</w:t>
      </w:r>
      <w:proofErr w:type="spellEnd"/>
      <w:r w:rsidRPr="009B6AA8">
        <w:t>, i.e. use of higher doses of radiotherapy delivered more precisely to reduce the number of fractions required per treatment course. For example, prostate cancer used to be set at an average of 20</w:t>
      </w:r>
      <w:r w:rsidR="00E61AD5" w:rsidRPr="009B6AA8">
        <w:t>–</w:t>
      </w:r>
      <w:r w:rsidRPr="009B6AA8">
        <w:t xml:space="preserve">25 fractions per </w:t>
      </w:r>
      <w:r w:rsidR="00D65C79" w:rsidRPr="009B6AA8">
        <w:t>course and</w:t>
      </w:r>
      <w:r w:rsidRPr="009B6AA8">
        <w:t xml:space="preserve"> is now recommended an average of 15 fractions per course (information from public </w:t>
      </w:r>
      <w:r w:rsidR="00C62BBC">
        <w:t>facility</w:t>
      </w:r>
      <w:r w:rsidRPr="009B6AA8">
        <w:t xml:space="preserve"> feedback).</w:t>
      </w:r>
    </w:p>
    <w:p w14:paraId="4CCC6305" w14:textId="77777777" w:rsidR="00373EE3" w:rsidRDefault="00036908" w:rsidP="00DF2D1F">
      <w:r w:rsidRPr="009B6AA8">
        <w:t xml:space="preserve">Some public </w:t>
      </w:r>
      <w:r w:rsidR="007A75A8">
        <w:t>facilities</w:t>
      </w:r>
      <w:r w:rsidRPr="009B6AA8">
        <w:t xml:space="preserve"> indicated that a proportion of the RT services delivered through their facilities </w:t>
      </w:r>
      <w:r w:rsidR="00577DBF">
        <w:t>is</w:t>
      </w:r>
      <w:r w:rsidR="00577DBF" w:rsidRPr="009B6AA8">
        <w:t xml:space="preserve"> </w:t>
      </w:r>
      <w:r w:rsidRPr="009B6AA8">
        <w:t xml:space="preserve">not billed through the MBS. This is a limitation of the use of MBS data to estimate </w:t>
      </w:r>
      <w:proofErr w:type="spellStart"/>
      <w:r w:rsidRPr="009B6AA8">
        <w:t>linac</w:t>
      </w:r>
      <w:proofErr w:type="spellEnd"/>
      <w:r w:rsidRPr="009B6AA8">
        <w:t xml:space="preserve"> service throughput in public facilities and it should be noted that the figures may be underestimated.</w:t>
      </w:r>
    </w:p>
    <w:p w14:paraId="05822A7F" w14:textId="77777777" w:rsidR="00373EE3" w:rsidRPr="009B713D" w:rsidRDefault="00036908" w:rsidP="009B713D">
      <w:pPr>
        <w:pStyle w:val="Heading6"/>
      </w:pPr>
      <w:r w:rsidRPr="009B713D">
        <w:t xml:space="preserve">Annual volume of services (fractions) per </w:t>
      </w:r>
      <w:proofErr w:type="spellStart"/>
      <w:r w:rsidRPr="009B713D">
        <w:t>linac</w:t>
      </w:r>
      <w:proofErr w:type="spellEnd"/>
    </w:p>
    <w:p w14:paraId="42EE7AE5" w14:textId="57FFA5A2" w:rsidR="006465F3" w:rsidRPr="009B6AA8" w:rsidRDefault="0082131F" w:rsidP="006529A6">
      <w:r w:rsidRPr="00D65C79">
        <w:rPr>
          <w:highlight w:val="yellow"/>
        </w:rPr>
        <w:fldChar w:fldCharType="begin"/>
      </w:r>
      <w:r w:rsidRPr="009B6AA8">
        <w:instrText xml:space="preserve"> REF _Ref56167325 \h </w:instrText>
      </w:r>
      <w:r w:rsidRPr="00D65C79">
        <w:rPr>
          <w:highlight w:val="yellow"/>
        </w:rPr>
      </w:r>
      <w:r w:rsidRPr="00D65C79">
        <w:rPr>
          <w:highlight w:val="yellow"/>
        </w:rPr>
        <w:fldChar w:fldCharType="separate"/>
      </w:r>
      <w:r w:rsidR="007C0448" w:rsidRPr="00D65C79">
        <w:t xml:space="preserve">Figure </w:t>
      </w:r>
      <w:r w:rsidR="007C0448">
        <w:rPr>
          <w:rFonts w:hint="cs"/>
          <w:noProof/>
          <w:cs/>
        </w:rPr>
        <w:t>‎</w:t>
      </w:r>
      <w:r w:rsidR="007C0448">
        <w:rPr>
          <w:noProof/>
        </w:rPr>
        <w:t>9</w:t>
      </w:r>
      <w:r w:rsidR="007C0448" w:rsidRPr="00D65C79">
        <w:t>.</w:t>
      </w:r>
      <w:r w:rsidR="007C0448">
        <w:rPr>
          <w:noProof/>
        </w:rPr>
        <w:t>2</w:t>
      </w:r>
      <w:r w:rsidRPr="00D65C79">
        <w:rPr>
          <w:highlight w:val="yellow"/>
        </w:rPr>
        <w:fldChar w:fldCharType="end"/>
      </w:r>
      <w:r w:rsidRPr="00D65C79">
        <w:t xml:space="preserve"> </w:t>
      </w:r>
      <w:r w:rsidR="00036908" w:rsidRPr="00D65C79">
        <w:t xml:space="preserve">shows the annual number of RT services claimed through the MBS (equates to fractions) divided by the number of operational </w:t>
      </w:r>
      <w:proofErr w:type="spellStart"/>
      <w:r w:rsidR="00036908" w:rsidRPr="00D65C79">
        <w:t>linacs</w:t>
      </w:r>
      <w:proofErr w:type="spellEnd"/>
      <w:r w:rsidR="00036908" w:rsidRPr="00D65C79">
        <w:rPr>
          <w:rStyle w:val="FootnoteReference"/>
        </w:rPr>
        <w:footnoteReference w:id="14"/>
      </w:r>
      <w:r w:rsidR="00036908" w:rsidRPr="00D65C79">
        <w:t xml:space="preserve">, providing the metric ‘annual services per </w:t>
      </w:r>
      <w:proofErr w:type="spellStart"/>
      <w:r w:rsidR="00036908" w:rsidRPr="00D65C79">
        <w:t>linac</w:t>
      </w:r>
      <w:proofErr w:type="spellEnd"/>
      <w:r w:rsidR="00036908" w:rsidRPr="00D65C79">
        <w:t xml:space="preserve">’. The data shows that there is a breadth of service volume in both private and public facilities ranging from as low as 1,000 services per </w:t>
      </w:r>
      <w:proofErr w:type="spellStart"/>
      <w:r w:rsidR="00036908" w:rsidRPr="00D65C79">
        <w:t>linac</w:t>
      </w:r>
      <w:proofErr w:type="spellEnd"/>
      <w:r w:rsidR="00036908" w:rsidRPr="00D65C79">
        <w:t xml:space="preserve"> to over 10,000 services per </w:t>
      </w:r>
      <w:proofErr w:type="spellStart"/>
      <w:r w:rsidR="00036908" w:rsidRPr="00D65C79">
        <w:t>linac</w:t>
      </w:r>
      <w:proofErr w:type="spellEnd"/>
      <w:r w:rsidR="00036908" w:rsidRPr="00D65C79">
        <w:t xml:space="preserve">. However, caution must be used in interpreting the very low or very high service volumes that may be an </w:t>
      </w:r>
      <w:proofErr w:type="spellStart"/>
      <w:r w:rsidR="00036908" w:rsidRPr="00D65C79">
        <w:t>artifact</w:t>
      </w:r>
      <w:proofErr w:type="spellEnd"/>
      <w:r w:rsidR="00036908" w:rsidRPr="00D65C79">
        <w:t xml:space="preserve"> of the data (e.g. incorrect number</w:t>
      </w:r>
      <w:r w:rsidR="00036908" w:rsidRPr="009B6AA8">
        <w:t xml:space="preserve"> of </w:t>
      </w:r>
      <w:proofErr w:type="spellStart"/>
      <w:r w:rsidR="00036908" w:rsidRPr="009B6AA8">
        <w:t>linacs</w:t>
      </w:r>
      <w:proofErr w:type="spellEnd"/>
      <w:r w:rsidR="00036908" w:rsidRPr="009B6AA8">
        <w:t xml:space="preserve"> used in the calculation, or provision of services for a partial year only). The majority of private facilities averaged between 4,000 to 8,000 services per annum per </w:t>
      </w:r>
      <w:proofErr w:type="spellStart"/>
      <w:r w:rsidR="00036908" w:rsidRPr="009B6AA8">
        <w:t>linac</w:t>
      </w:r>
      <w:proofErr w:type="spellEnd"/>
      <w:r w:rsidR="00036908" w:rsidRPr="009B6AA8">
        <w:t xml:space="preserve">, and between 5,000 and 8,000 services per annum per </w:t>
      </w:r>
      <w:proofErr w:type="spellStart"/>
      <w:r w:rsidR="00036908" w:rsidRPr="009B6AA8">
        <w:t>linac</w:t>
      </w:r>
      <w:proofErr w:type="spellEnd"/>
      <w:r w:rsidR="00036908" w:rsidRPr="009B6AA8">
        <w:t xml:space="preserve"> in public facilities. The drop in services per annum observed in private facilities in 2017</w:t>
      </w:r>
      <w:r w:rsidR="00E61AD5" w:rsidRPr="009B6AA8">
        <w:t>–</w:t>
      </w:r>
      <w:r w:rsidR="00036908" w:rsidRPr="009B6AA8">
        <w:t>18 (</w:t>
      </w:r>
      <w:r w:rsidR="00577DBF" w:rsidRPr="009B6AA8">
        <w:t>medium</w:t>
      </w:r>
      <w:r w:rsidR="00577DBF">
        <w:t>-</w:t>
      </w:r>
      <w:r w:rsidR="00036908" w:rsidRPr="009B6AA8">
        <w:t xml:space="preserve">blue bar) most likely reflects the introduction of new </w:t>
      </w:r>
      <w:proofErr w:type="spellStart"/>
      <w:r w:rsidR="00036908" w:rsidRPr="009B6AA8">
        <w:t>linacs</w:t>
      </w:r>
      <w:proofErr w:type="spellEnd"/>
      <w:r w:rsidR="00036908" w:rsidRPr="009B6AA8">
        <w:t xml:space="preserve"> during this year, which are known to take time to reach optimal throughput levels (e.g. time to establish referral pathways).</w:t>
      </w:r>
    </w:p>
    <w:p w14:paraId="461476EE" w14:textId="5953CA07" w:rsidR="00036908" w:rsidRDefault="0082131F" w:rsidP="00DF2D1F">
      <w:r w:rsidRPr="00D65C79">
        <w:rPr>
          <w:highlight w:val="yellow"/>
        </w:rPr>
        <w:fldChar w:fldCharType="begin"/>
      </w:r>
      <w:r w:rsidRPr="009B6AA8">
        <w:instrText xml:space="preserve"> REF _Ref56167373 \h </w:instrText>
      </w:r>
      <w:r w:rsidRPr="00D65C79">
        <w:rPr>
          <w:highlight w:val="yellow"/>
        </w:rPr>
      </w:r>
      <w:r w:rsidRPr="00D65C79">
        <w:rPr>
          <w:highlight w:val="yellow"/>
        </w:rPr>
        <w:fldChar w:fldCharType="separate"/>
      </w:r>
      <w:r w:rsidR="007C0448" w:rsidRPr="00D65C79">
        <w:t xml:space="preserve">Figure </w:t>
      </w:r>
      <w:r w:rsidR="007C0448">
        <w:rPr>
          <w:rFonts w:hint="cs"/>
          <w:noProof/>
          <w:cs/>
        </w:rPr>
        <w:t>‎</w:t>
      </w:r>
      <w:r w:rsidR="007C0448">
        <w:rPr>
          <w:noProof/>
        </w:rPr>
        <w:t>9</w:t>
      </w:r>
      <w:r w:rsidR="007C0448" w:rsidRPr="00D65C79">
        <w:t>.</w:t>
      </w:r>
      <w:r w:rsidR="007C0448">
        <w:rPr>
          <w:noProof/>
        </w:rPr>
        <w:t>3</w:t>
      </w:r>
      <w:r w:rsidRPr="00D65C79">
        <w:rPr>
          <w:highlight w:val="yellow"/>
        </w:rPr>
        <w:fldChar w:fldCharType="end"/>
      </w:r>
      <w:r w:rsidRPr="00D65C79">
        <w:t xml:space="preserve"> </w:t>
      </w:r>
      <w:r w:rsidR="006465F3" w:rsidRPr="00D65C79">
        <w:t xml:space="preserve">shows the average (mean) number of services per </w:t>
      </w:r>
      <w:proofErr w:type="spellStart"/>
      <w:r w:rsidR="006465F3" w:rsidRPr="00D65C79">
        <w:t>linac</w:t>
      </w:r>
      <w:proofErr w:type="spellEnd"/>
      <w:r w:rsidR="006465F3" w:rsidRPr="00D65C79">
        <w:t xml:space="preserve"> per annum from 2013</w:t>
      </w:r>
      <w:r w:rsidR="00E61AD5" w:rsidRPr="009B6AA8">
        <w:t>–</w:t>
      </w:r>
      <w:r w:rsidR="006465F3" w:rsidRPr="009B6AA8">
        <w:t>14 to 2019</w:t>
      </w:r>
      <w:r w:rsidR="00E61AD5" w:rsidRPr="009B6AA8">
        <w:t>–</w:t>
      </w:r>
      <w:r w:rsidR="006465F3" w:rsidRPr="009B6AA8">
        <w:t>20. This shows relatively consistent averages over the seven-year timeframe, at approximately 6,000 services per annum.</w:t>
      </w:r>
    </w:p>
    <w:p w14:paraId="7E7A5351" w14:textId="77777777" w:rsidR="00BC705E" w:rsidRPr="009B713D" w:rsidRDefault="00BC705E" w:rsidP="009B713D"/>
    <w:p w14:paraId="3AE2A3E0" w14:textId="77777777" w:rsidR="006465F3" w:rsidRPr="009B6AA8" w:rsidRDefault="006465F3" w:rsidP="00DF2D1F">
      <w:pPr>
        <w:pStyle w:val="Caption"/>
        <w:sectPr w:rsidR="006465F3" w:rsidRPr="009B6AA8" w:rsidSect="009B713D">
          <w:footerReference w:type="default" r:id="rId24"/>
          <w:pgSz w:w="11906" w:h="16838" w:code="9"/>
          <w:pgMar w:top="1304" w:right="1134" w:bottom="737" w:left="737" w:header="284" w:footer="0" w:gutter="0"/>
          <w:cols w:space="708"/>
          <w:docGrid w:linePitch="360"/>
        </w:sectPr>
      </w:pPr>
    </w:p>
    <w:p w14:paraId="1A236CA5" w14:textId="5049C0EF" w:rsidR="00036908" w:rsidRPr="009B6AA8" w:rsidRDefault="00036908" w:rsidP="00DF2D1F">
      <w:pPr>
        <w:pStyle w:val="Caption"/>
      </w:pPr>
      <w:bookmarkStart w:id="334" w:name="_Ref56167325"/>
      <w:r w:rsidRPr="00D65C79">
        <w:lastRenderedPageBreak/>
        <w:t xml:space="preserve">Figure </w:t>
      </w:r>
      <w:r w:rsidR="007B4ED4" w:rsidRPr="00D65C79">
        <w:fldChar w:fldCharType="begin"/>
      </w:r>
      <w:r w:rsidR="007B4ED4" w:rsidRPr="009B6AA8">
        <w:instrText xml:space="preserve"> STYLEREF 1 \s </w:instrText>
      </w:r>
      <w:r w:rsidR="007B4ED4" w:rsidRPr="00D65C79">
        <w:fldChar w:fldCharType="separate"/>
      </w:r>
      <w:r w:rsidR="007C0448">
        <w:rPr>
          <w:rFonts w:hint="cs"/>
          <w:noProof/>
          <w:cs/>
        </w:rPr>
        <w:t>‎</w:t>
      </w:r>
      <w:r w:rsidR="007C0448">
        <w:rPr>
          <w:noProof/>
        </w:rPr>
        <w:t>9</w:t>
      </w:r>
      <w:r w:rsidR="007B4ED4" w:rsidRPr="00D65C79">
        <w:rPr>
          <w:noProof/>
        </w:rPr>
        <w:fldChar w:fldCharType="end"/>
      </w:r>
      <w:r w:rsidR="006A4D42" w:rsidRPr="00D65C79">
        <w:t>.</w:t>
      </w:r>
      <w:r w:rsidR="007B4ED4" w:rsidRPr="00D65C79">
        <w:fldChar w:fldCharType="begin"/>
      </w:r>
      <w:r w:rsidR="007B4ED4" w:rsidRPr="009B6AA8">
        <w:instrText xml:space="preserve"> SEQ Figure \* ARABIC \s 1 </w:instrText>
      </w:r>
      <w:r w:rsidR="007B4ED4" w:rsidRPr="00D65C79">
        <w:fldChar w:fldCharType="separate"/>
      </w:r>
      <w:r w:rsidR="007C0448">
        <w:rPr>
          <w:noProof/>
        </w:rPr>
        <w:t>2</w:t>
      </w:r>
      <w:r w:rsidR="007B4ED4" w:rsidRPr="00D65C79">
        <w:rPr>
          <w:noProof/>
        </w:rPr>
        <w:fldChar w:fldCharType="end"/>
      </w:r>
      <w:bookmarkEnd w:id="334"/>
      <w:r w:rsidRPr="00D65C79">
        <w:t xml:space="preserve"> </w:t>
      </w:r>
      <w:r w:rsidRPr="00E06173">
        <w:t xml:space="preserve">Distribution of annual services per </w:t>
      </w:r>
      <w:proofErr w:type="spellStart"/>
      <w:r w:rsidR="00577DBF" w:rsidRPr="00E06173">
        <w:t>linac</w:t>
      </w:r>
      <w:proofErr w:type="spellEnd"/>
      <w:r w:rsidR="00577DBF" w:rsidRPr="00E06173">
        <w:t xml:space="preserve"> </w:t>
      </w:r>
      <w:r w:rsidRPr="00E06173">
        <w:t>2013</w:t>
      </w:r>
      <w:r w:rsidR="00E61AD5" w:rsidRPr="00E06173">
        <w:t>–</w:t>
      </w:r>
      <w:r w:rsidRPr="00E06173">
        <w:t>14 to 2019</w:t>
      </w:r>
      <w:r w:rsidR="00E61AD5" w:rsidRPr="00E06173">
        <w:t>–</w:t>
      </w:r>
      <w:r w:rsidRPr="00E06173">
        <w:t xml:space="preserve">20 by </w:t>
      </w:r>
      <w:r w:rsidR="00C62BBC" w:rsidRPr="00E06173">
        <w:t>facility</w:t>
      </w:r>
      <w:r w:rsidRPr="00E06173">
        <w:t xml:space="preserve"> type</w:t>
      </w:r>
    </w:p>
    <w:p w14:paraId="5C0BA3CC" w14:textId="3F348D00" w:rsidR="00036908" w:rsidRPr="00D65C79" w:rsidRDefault="00456D25" w:rsidP="006529A6">
      <w:r w:rsidRPr="00456D25">
        <w:rPr>
          <w:noProof/>
          <w:lang w:eastAsia="en-AU"/>
        </w:rPr>
        <w:drawing>
          <wp:inline distT="0" distB="0" distL="0" distR="0" wp14:anchorId="49A96CD9" wp14:editId="28C70BE1">
            <wp:extent cx="7170420" cy="5666654"/>
            <wp:effectExtent l="0" t="0" r="0" b="0"/>
            <wp:docPr id="83" name="Picture 83" descr="Figure 9.2 Distribution of annual services per linac 2013-14 to 2019-20 by facility type -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igure 9.2 Distribution of annual services per linac 2013-14 to 2019-20 by facility type - bar grap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410" cy="5685613"/>
                    </a:xfrm>
                    <a:prstGeom prst="rect">
                      <a:avLst/>
                    </a:prstGeom>
                    <a:noFill/>
                    <a:ln>
                      <a:noFill/>
                    </a:ln>
                  </pic:spPr>
                </pic:pic>
              </a:graphicData>
            </a:graphic>
          </wp:inline>
        </w:drawing>
      </w:r>
    </w:p>
    <w:p w14:paraId="5D00CFAD" w14:textId="77777777" w:rsidR="006529A6" w:rsidRDefault="00036908" w:rsidP="0079376F">
      <w:pPr>
        <w:pStyle w:val="TableNotes"/>
      </w:pPr>
      <w:r w:rsidRPr="00D65C79">
        <w:t xml:space="preserve">X = mean, </w:t>
      </w:r>
      <w:r w:rsidRPr="00D65C79">
        <w:sym w:font="Symbol" w:char="F02D"/>
      </w:r>
      <w:r w:rsidRPr="00D65C79">
        <w:t xml:space="preserve"> = median, box = upper and lower quartiles, </w:t>
      </w:r>
      <w:r w:rsidRPr="00D65C79">
        <w:sym w:font="Symbol" w:char="F05E"/>
      </w:r>
      <w:r w:rsidRPr="00D65C79">
        <w:t xml:space="preserve"> = lowest (or highest) value, dots = values, dots beyond </w:t>
      </w:r>
      <w:r w:rsidRPr="00D65C79">
        <w:sym w:font="Symbol" w:char="F05E"/>
      </w:r>
      <w:r w:rsidRPr="00D65C79">
        <w:t xml:space="preserve"> = outliers not used in calculations for mean, median or quartiles.</w:t>
      </w:r>
    </w:p>
    <w:p w14:paraId="66448B15" w14:textId="4CF7E45E" w:rsidR="00036908" w:rsidRPr="00D65C79" w:rsidRDefault="00036908" w:rsidP="0079376F">
      <w:pPr>
        <w:pStyle w:val="TableNotes"/>
      </w:pPr>
      <w:r w:rsidRPr="00D65C79">
        <w:t>Source: Calculated from MBS data and ROHPG Equipment reports</w:t>
      </w:r>
    </w:p>
    <w:p w14:paraId="70C49360" w14:textId="6549CE0C" w:rsidR="00036908" w:rsidRPr="00E06173" w:rsidRDefault="00036908" w:rsidP="00DF2D1F">
      <w:pPr>
        <w:pStyle w:val="Caption"/>
      </w:pPr>
      <w:bookmarkStart w:id="335" w:name="_Ref56167373"/>
      <w:r w:rsidRPr="00D65C79">
        <w:lastRenderedPageBreak/>
        <w:t xml:space="preserve">Figure </w:t>
      </w:r>
      <w:r w:rsidR="007B4ED4" w:rsidRPr="00D65C79">
        <w:fldChar w:fldCharType="begin"/>
      </w:r>
      <w:r w:rsidR="007B4ED4" w:rsidRPr="009B6AA8">
        <w:instrText xml:space="preserve"> STYLEREF 1 \s </w:instrText>
      </w:r>
      <w:r w:rsidR="007B4ED4" w:rsidRPr="00D65C79">
        <w:fldChar w:fldCharType="separate"/>
      </w:r>
      <w:r w:rsidR="007C0448">
        <w:rPr>
          <w:rFonts w:hint="cs"/>
          <w:noProof/>
          <w:cs/>
        </w:rPr>
        <w:t>‎</w:t>
      </w:r>
      <w:r w:rsidR="007C0448">
        <w:rPr>
          <w:noProof/>
        </w:rPr>
        <w:t>9</w:t>
      </w:r>
      <w:r w:rsidR="007B4ED4" w:rsidRPr="00D65C79">
        <w:rPr>
          <w:noProof/>
        </w:rPr>
        <w:fldChar w:fldCharType="end"/>
      </w:r>
      <w:r w:rsidR="006A4D42" w:rsidRPr="00D65C79">
        <w:t>.</w:t>
      </w:r>
      <w:r w:rsidR="007B4ED4" w:rsidRPr="00D65C79">
        <w:fldChar w:fldCharType="begin"/>
      </w:r>
      <w:r w:rsidR="007B4ED4" w:rsidRPr="009B6AA8">
        <w:instrText xml:space="preserve"> SEQ Figure \* ARABIC \s 1 </w:instrText>
      </w:r>
      <w:r w:rsidR="007B4ED4" w:rsidRPr="00D65C79">
        <w:fldChar w:fldCharType="separate"/>
      </w:r>
      <w:r w:rsidR="007C0448">
        <w:rPr>
          <w:noProof/>
        </w:rPr>
        <w:t>3</w:t>
      </w:r>
      <w:r w:rsidR="007B4ED4" w:rsidRPr="00D65C79">
        <w:rPr>
          <w:noProof/>
        </w:rPr>
        <w:fldChar w:fldCharType="end"/>
      </w:r>
      <w:bookmarkEnd w:id="335"/>
      <w:r w:rsidRPr="00D65C79">
        <w:t xml:space="preserve">: </w:t>
      </w:r>
      <w:r w:rsidRPr="00E06173">
        <w:t xml:space="preserve">Average number of services per </w:t>
      </w:r>
      <w:proofErr w:type="spellStart"/>
      <w:r w:rsidRPr="00E06173">
        <w:t>linac</w:t>
      </w:r>
      <w:proofErr w:type="spellEnd"/>
      <w:r w:rsidRPr="00E06173">
        <w:t xml:space="preserve"> per annum –private /public</w:t>
      </w:r>
    </w:p>
    <w:p w14:paraId="4056C715" w14:textId="16825595" w:rsidR="00036908" w:rsidRPr="00D65C79" w:rsidRDefault="007D5B1A" w:rsidP="00264535">
      <w:r w:rsidRPr="007D5B1A">
        <w:rPr>
          <w:noProof/>
          <w:lang w:eastAsia="en-AU"/>
        </w:rPr>
        <w:drawing>
          <wp:inline distT="0" distB="0" distL="0" distR="0" wp14:anchorId="7D06C547" wp14:editId="337996DE">
            <wp:extent cx="8507251" cy="3733800"/>
            <wp:effectExtent l="0" t="0" r="8255" b="0"/>
            <wp:docPr id="76" name="Picture 76" descr="Figure 9.3 Average number of services per linac per annum - private/public -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9.3 Average number of services per linac per annum - private/public - bar grap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07251" cy="3733800"/>
                    </a:xfrm>
                    <a:prstGeom prst="rect">
                      <a:avLst/>
                    </a:prstGeom>
                    <a:noFill/>
                    <a:ln>
                      <a:noFill/>
                    </a:ln>
                  </pic:spPr>
                </pic:pic>
              </a:graphicData>
            </a:graphic>
          </wp:inline>
        </w:drawing>
      </w:r>
    </w:p>
    <w:p w14:paraId="5C20382F" w14:textId="77777777" w:rsidR="00036908" w:rsidRPr="00D65C79" w:rsidRDefault="00036908" w:rsidP="00264535">
      <w:pPr>
        <w:pStyle w:val="TableNotes"/>
      </w:pPr>
      <w:r w:rsidRPr="00D65C79">
        <w:t>Sources: calculated from MBS service data and ROHPG equipment reports</w:t>
      </w:r>
    </w:p>
    <w:p w14:paraId="004F489F" w14:textId="10D785BA" w:rsidR="006465F3" w:rsidRPr="009B713D" w:rsidRDefault="006465F3" w:rsidP="009B713D"/>
    <w:p w14:paraId="3731D9B5" w14:textId="77777777" w:rsidR="00BC705E" w:rsidRPr="00BC705E" w:rsidRDefault="00BC705E" w:rsidP="00DF2D1F">
      <w:pPr>
        <w:sectPr w:rsidR="00BC705E" w:rsidRPr="00BC705E" w:rsidSect="001070DC">
          <w:pgSz w:w="16838" w:h="11906" w:orient="landscape" w:code="9"/>
          <w:pgMar w:top="737" w:right="1304" w:bottom="1134" w:left="737" w:header="567" w:footer="284" w:gutter="0"/>
          <w:cols w:space="708"/>
          <w:docGrid w:linePitch="360"/>
        </w:sectPr>
      </w:pPr>
    </w:p>
    <w:p w14:paraId="2D396E6A" w14:textId="77777777" w:rsidR="00373EE3" w:rsidRPr="009B713D" w:rsidRDefault="00036908" w:rsidP="009B713D">
      <w:pPr>
        <w:pStyle w:val="Heading6"/>
      </w:pPr>
      <w:r w:rsidRPr="00D65C79">
        <w:lastRenderedPageBreak/>
        <w:t>Service delivery by remoteness area</w:t>
      </w:r>
    </w:p>
    <w:p w14:paraId="32F66F8C" w14:textId="77777777" w:rsidR="00373EE3" w:rsidRDefault="00036908" w:rsidP="00DF2D1F">
      <w:r w:rsidRPr="00D65C79">
        <w:t>It is expected that rural and regional facili</w:t>
      </w:r>
      <w:r w:rsidRPr="009B6AA8">
        <w:t>ties will have lower throughput than metropolitan facilities. With a significant number of private facilities being located in regional areas, further segmentation of the MBS service data was undertaken to determine whether the comparatively lower volume of services being provided through private could be accounted for by their remoteness or MMM classification.</w:t>
      </w:r>
    </w:p>
    <w:p w14:paraId="400C3331" w14:textId="77777777" w:rsidR="00373EE3" w:rsidRDefault="007144B5" w:rsidP="00DF2D1F">
      <w:r w:rsidRPr="00D65C79">
        <w:fldChar w:fldCharType="begin"/>
      </w:r>
      <w:r w:rsidRPr="009B6AA8">
        <w:instrText xml:space="preserve"> REF _Ref56168190 \h </w:instrText>
      </w:r>
      <w:r w:rsidRPr="00D65C79">
        <w:fldChar w:fldCharType="separate"/>
      </w:r>
      <w:r w:rsidR="007C0448" w:rsidRPr="009B6AA8">
        <w:t xml:space="preserve">Table </w:t>
      </w:r>
      <w:r w:rsidR="007C0448">
        <w:rPr>
          <w:rFonts w:hint="cs"/>
          <w:noProof/>
          <w:cs/>
        </w:rPr>
        <w:t>‎</w:t>
      </w:r>
      <w:r w:rsidR="007C0448">
        <w:rPr>
          <w:noProof/>
        </w:rPr>
        <w:t>9</w:t>
      </w:r>
      <w:r w:rsidR="007C0448">
        <w:t>.</w:t>
      </w:r>
      <w:r w:rsidR="007C0448">
        <w:rPr>
          <w:noProof/>
        </w:rPr>
        <w:t>8</w:t>
      </w:r>
      <w:r w:rsidRPr="00D65C79">
        <w:fldChar w:fldCharType="end"/>
      </w:r>
      <w:r w:rsidRPr="00D65C79">
        <w:t xml:space="preserve"> </w:t>
      </w:r>
      <w:r w:rsidR="00036908" w:rsidRPr="00D65C79">
        <w:t xml:space="preserve">show the average (mean) number of services per annum per </w:t>
      </w:r>
      <w:proofErr w:type="spellStart"/>
      <w:r w:rsidR="00036908" w:rsidRPr="00D65C79">
        <w:t>linac</w:t>
      </w:r>
      <w:proofErr w:type="spellEnd"/>
      <w:r w:rsidR="00036908" w:rsidRPr="00D65C79">
        <w:t xml:space="preserve"> by remoteness area (MMM) area. This shows that there is little difference between the average number of services per </w:t>
      </w:r>
      <w:proofErr w:type="spellStart"/>
      <w:r w:rsidR="00036908" w:rsidRPr="00D65C79">
        <w:t>linac</w:t>
      </w:r>
      <w:proofErr w:type="spellEnd"/>
      <w:r w:rsidR="00036908" w:rsidRPr="00D65C79">
        <w:t xml:space="preserve"> in private or public facilities in major cities and regional areas, and that public </w:t>
      </w:r>
      <w:r w:rsidR="007A75A8">
        <w:t>facilities</w:t>
      </w:r>
      <w:r w:rsidR="00036908" w:rsidRPr="00D65C79">
        <w:t xml:space="preserve"> average a higher number of services per </w:t>
      </w:r>
      <w:proofErr w:type="spellStart"/>
      <w:r w:rsidR="00036908" w:rsidRPr="00D65C79">
        <w:t>li</w:t>
      </w:r>
      <w:r w:rsidR="00A62690" w:rsidRPr="009B6AA8">
        <w:t>na</w:t>
      </w:r>
      <w:r w:rsidR="00036908" w:rsidRPr="009B6AA8">
        <w:t>c</w:t>
      </w:r>
      <w:proofErr w:type="spellEnd"/>
      <w:r w:rsidR="00036908" w:rsidRPr="009B6AA8">
        <w:t xml:space="preserve"> per annum in rural areas. Contrary to expectation, regional facilities (private and public) had a higher average number of services per annum per </w:t>
      </w:r>
      <w:proofErr w:type="spellStart"/>
      <w:r w:rsidR="00036908" w:rsidRPr="009B6AA8">
        <w:t>linac</w:t>
      </w:r>
      <w:proofErr w:type="spellEnd"/>
      <w:r w:rsidR="00036908" w:rsidRPr="009B6AA8">
        <w:t xml:space="preserve"> than facilities in major cities. In rural areas, the average number of services per </w:t>
      </w:r>
      <w:proofErr w:type="spellStart"/>
      <w:r w:rsidR="00036908" w:rsidRPr="009B6AA8">
        <w:t>l</w:t>
      </w:r>
      <w:r w:rsidR="00242093" w:rsidRPr="009B6AA8">
        <w:t>inac</w:t>
      </w:r>
      <w:proofErr w:type="spellEnd"/>
      <w:r w:rsidR="00036908" w:rsidRPr="009B6AA8">
        <w:t xml:space="preserve"> per annum decreased for private facilities in 2017</w:t>
      </w:r>
      <w:r w:rsidR="00E61AD5" w:rsidRPr="009B6AA8">
        <w:t>–</w:t>
      </w:r>
      <w:r w:rsidR="00036908" w:rsidRPr="009B6AA8">
        <w:t>18, with moderate increases in 2018</w:t>
      </w:r>
      <w:r w:rsidR="00E61AD5" w:rsidRPr="009B6AA8">
        <w:t>–</w:t>
      </w:r>
      <w:r w:rsidR="00036908" w:rsidRPr="009B6AA8">
        <w:t>19 and 2019</w:t>
      </w:r>
      <w:r w:rsidR="00E61AD5" w:rsidRPr="009B6AA8">
        <w:t>–</w:t>
      </w:r>
      <w:r w:rsidR="00036908" w:rsidRPr="009B6AA8">
        <w:t>20. This is likely to reflect the increase in the number of private facilities operating in rural areas in 2017</w:t>
      </w:r>
      <w:r w:rsidR="00E61AD5" w:rsidRPr="009B6AA8">
        <w:t>–</w:t>
      </w:r>
      <w:r w:rsidR="00036908" w:rsidRPr="009B6AA8">
        <w:t>18.</w:t>
      </w:r>
    </w:p>
    <w:p w14:paraId="4E5A1CA2" w14:textId="332225AD" w:rsidR="00036908" w:rsidRPr="00E06173" w:rsidRDefault="00036908" w:rsidP="00DF2D1F">
      <w:pPr>
        <w:pStyle w:val="Caption"/>
      </w:pPr>
      <w:bookmarkStart w:id="336" w:name="_Ref56168190"/>
      <w:r w:rsidRPr="009B6AA8">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9</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8</w:t>
      </w:r>
      <w:r w:rsidR="004B24F3">
        <w:rPr>
          <w:noProof/>
        </w:rPr>
        <w:fldChar w:fldCharType="end"/>
      </w:r>
      <w:bookmarkEnd w:id="336"/>
      <w:r w:rsidRPr="00C837DC">
        <w:t xml:space="preserve"> </w:t>
      </w:r>
      <w:r w:rsidRPr="00E06173">
        <w:t xml:space="preserve">Mean annual services per </w:t>
      </w:r>
      <w:proofErr w:type="spellStart"/>
      <w:r w:rsidR="00577DBF" w:rsidRPr="00E06173">
        <w:t>linac</w:t>
      </w:r>
      <w:proofErr w:type="spellEnd"/>
      <w:r w:rsidR="00577DBF" w:rsidRPr="00E06173">
        <w:t xml:space="preserve"> </w:t>
      </w:r>
      <w:r w:rsidRPr="00E06173">
        <w:t>by MMM</w:t>
      </w:r>
    </w:p>
    <w:tbl>
      <w:tblPr>
        <w:tblStyle w:val="HMATableA"/>
        <w:tblW w:w="5000" w:type="pct"/>
        <w:tblInd w:w="-5" w:type="dxa"/>
        <w:tblLook w:val="04A0" w:firstRow="1" w:lastRow="0" w:firstColumn="1" w:lastColumn="0" w:noHBand="0" w:noVBand="1"/>
        <w:tblDescription w:val="Table 9.8 is a list of the Annual services per MMM classification. This table contains 6 heading columns: 1. Year this data was taken, 2. Facility type (public or private), 3. MM1 major city data, 4. MM2 Regional data, 5. MM3 Rural data, and 6. data for all areas."/>
      </w:tblPr>
      <w:tblGrid>
        <w:gridCol w:w="1506"/>
        <w:gridCol w:w="1506"/>
        <w:gridCol w:w="1830"/>
        <w:gridCol w:w="1858"/>
        <w:gridCol w:w="1505"/>
        <w:gridCol w:w="1830"/>
      </w:tblGrid>
      <w:tr w:rsidR="007144B5" w:rsidRPr="009B6AA8" w14:paraId="57634938" w14:textId="77777777" w:rsidTr="0094155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50" w:type="pct"/>
            <w:noWrap/>
            <w:vAlign w:val="center"/>
            <w:hideMark/>
          </w:tcPr>
          <w:p w14:paraId="616B1188" w14:textId="08497B69" w:rsidR="007144B5" w:rsidRPr="00D65C79" w:rsidRDefault="007144B5" w:rsidP="00264535">
            <w:pPr>
              <w:pStyle w:val="TableHeading"/>
            </w:pPr>
            <w:r w:rsidRPr="00D65C79">
              <w:t>Year</w:t>
            </w:r>
          </w:p>
        </w:tc>
        <w:tc>
          <w:tcPr>
            <w:tcW w:w="750" w:type="pct"/>
            <w:noWrap/>
            <w:vAlign w:val="center"/>
            <w:hideMark/>
          </w:tcPr>
          <w:p w14:paraId="638C7AC0" w14:textId="78C4D62E" w:rsidR="007144B5" w:rsidRPr="009B6AA8" w:rsidRDefault="007144B5" w:rsidP="00264535">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9B6AA8">
              <w:rPr>
                <w:rFonts w:ascii="Calibri" w:hAnsi="Calibri" w:cs="Calibri"/>
                <w:color w:val="000000"/>
              </w:rPr>
              <w:t>Facility type</w:t>
            </w:r>
          </w:p>
        </w:tc>
        <w:tc>
          <w:tcPr>
            <w:tcW w:w="912" w:type="pct"/>
            <w:noWrap/>
            <w:vAlign w:val="center"/>
            <w:hideMark/>
          </w:tcPr>
          <w:p w14:paraId="1C526236" w14:textId="77777777" w:rsidR="007144B5" w:rsidRPr="009B6AA8" w:rsidRDefault="007144B5" w:rsidP="00264535">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9B6AA8">
              <w:rPr>
                <w:rFonts w:ascii="Calibri" w:hAnsi="Calibri" w:cs="Calibri"/>
                <w:color w:val="000000"/>
              </w:rPr>
              <w:t>MM1</w:t>
            </w:r>
          </w:p>
          <w:p w14:paraId="1F4E0A9E" w14:textId="65354B51" w:rsidR="007144B5" w:rsidRPr="009B6AA8" w:rsidRDefault="007144B5" w:rsidP="00264535">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9B6AA8">
              <w:rPr>
                <w:rFonts w:ascii="Calibri" w:hAnsi="Calibri" w:cs="Calibri"/>
                <w:color w:val="000000"/>
              </w:rPr>
              <w:t>Major city</w:t>
            </w:r>
          </w:p>
        </w:tc>
        <w:tc>
          <w:tcPr>
            <w:tcW w:w="926" w:type="pct"/>
            <w:noWrap/>
            <w:vAlign w:val="center"/>
            <w:hideMark/>
          </w:tcPr>
          <w:p w14:paraId="28CC9D09" w14:textId="77777777" w:rsidR="007144B5" w:rsidRPr="009B6AA8" w:rsidRDefault="007144B5" w:rsidP="00264535">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9B6AA8">
              <w:rPr>
                <w:rFonts w:ascii="Calibri" w:hAnsi="Calibri" w:cs="Calibri"/>
                <w:color w:val="000000"/>
              </w:rPr>
              <w:t>MM2</w:t>
            </w:r>
          </w:p>
          <w:p w14:paraId="0FFA1456" w14:textId="48976241" w:rsidR="007144B5" w:rsidRPr="009B6AA8" w:rsidRDefault="007144B5" w:rsidP="00264535">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9B6AA8">
              <w:rPr>
                <w:rFonts w:ascii="Calibri" w:hAnsi="Calibri" w:cs="Calibri"/>
                <w:color w:val="000000"/>
              </w:rPr>
              <w:t>Regional</w:t>
            </w:r>
          </w:p>
        </w:tc>
        <w:tc>
          <w:tcPr>
            <w:tcW w:w="750" w:type="pct"/>
            <w:noWrap/>
            <w:vAlign w:val="center"/>
            <w:hideMark/>
          </w:tcPr>
          <w:p w14:paraId="11672349" w14:textId="77777777" w:rsidR="007144B5" w:rsidRPr="009B6AA8" w:rsidRDefault="007144B5" w:rsidP="00264535">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9B6AA8">
              <w:rPr>
                <w:rFonts w:ascii="Calibri" w:hAnsi="Calibri" w:cs="Calibri"/>
                <w:color w:val="000000"/>
              </w:rPr>
              <w:t>MM3</w:t>
            </w:r>
          </w:p>
          <w:p w14:paraId="07EADEEB" w14:textId="72A12CCE" w:rsidR="007144B5" w:rsidRPr="009B6AA8" w:rsidRDefault="007144B5" w:rsidP="00264535">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9B6AA8">
              <w:rPr>
                <w:rFonts w:ascii="Calibri" w:hAnsi="Calibri" w:cs="Calibri"/>
                <w:color w:val="000000"/>
              </w:rPr>
              <w:t>Rural</w:t>
            </w:r>
          </w:p>
        </w:tc>
        <w:tc>
          <w:tcPr>
            <w:tcW w:w="912" w:type="pct"/>
            <w:noWrap/>
            <w:vAlign w:val="center"/>
            <w:hideMark/>
          </w:tcPr>
          <w:p w14:paraId="58768F46" w14:textId="37E77ED7" w:rsidR="007144B5" w:rsidRPr="009B6AA8" w:rsidRDefault="00EE6090" w:rsidP="00264535">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All areas</w:t>
            </w:r>
          </w:p>
        </w:tc>
      </w:tr>
      <w:tr w:rsidR="00220513" w:rsidRPr="009B6AA8" w14:paraId="44437B4A"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noWrap/>
            <w:vAlign w:val="center"/>
            <w:hideMark/>
          </w:tcPr>
          <w:p w14:paraId="16FCCC8D" w14:textId="3861768E" w:rsidR="00220513" w:rsidRPr="00264535" w:rsidRDefault="00220513" w:rsidP="00264535">
            <w:pPr>
              <w:pStyle w:val="Tabletext"/>
              <w:rPr>
                <w:b/>
              </w:rPr>
            </w:pPr>
            <w:r w:rsidRPr="00264535">
              <w:rPr>
                <w:b/>
              </w:rPr>
              <w:t>2013–14</w:t>
            </w:r>
          </w:p>
        </w:tc>
        <w:tc>
          <w:tcPr>
            <w:tcW w:w="750" w:type="pct"/>
            <w:noWrap/>
            <w:vAlign w:val="center"/>
            <w:hideMark/>
          </w:tcPr>
          <w:p w14:paraId="7B400394"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Private</w:t>
            </w:r>
          </w:p>
        </w:tc>
        <w:tc>
          <w:tcPr>
            <w:tcW w:w="912" w:type="pct"/>
            <w:noWrap/>
            <w:vAlign w:val="center"/>
            <w:hideMark/>
          </w:tcPr>
          <w:p w14:paraId="61D6341B" w14:textId="37223C80"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6,607</w:t>
            </w:r>
          </w:p>
        </w:tc>
        <w:tc>
          <w:tcPr>
            <w:tcW w:w="926" w:type="pct"/>
            <w:noWrap/>
            <w:vAlign w:val="center"/>
            <w:hideMark/>
          </w:tcPr>
          <w:p w14:paraId="7199ED03" w14:textId="5B9FA749"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5,677</w:t>
            </w:r>
          </w:p>
        </w:tc>
        <w:tc>
          <w:tcPr>
            <w:tcW w:w="750" w:type="pct"/>
            <w:noWrap/>
            <w:vAlign w:val="center"/>
            <w:hideMark/>
          </w:tcPr>
          <w:p w14:paraId="392679EF" w14:textId="0DA6B01E"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5,198</w:t>
            </w:r>
          </w:p>
        </w:tc>
        <w:tc>
          <w:tcPr>
            <w:tcW w:w="912" w:type="pct"/>
            <w:noWrap/>
            <w:vAlign w:val="center"/>
            <w:hideMark/>
          </w:tcPr>
          <w:p w14:paraId="1420AAC1" w14:textId="203B9BBB"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6,483</w:t>
            </w:r>
          </w:p>
        </w:tc>
      </w:tr>
      <w:tr w:rsidR="00220513" w:rsidRPr="009B6AA8" w14:paraId="4B18584A" w14:textId="77777777" w:rsidTr="009415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6BDDA32B" w14:textId="77777777" w:rsidR="00220513" w:rsidRPr="00264535" w:rsidRDefault="00220513" w:rsidP="00264535">
            <w:pPr>
              <w:pStyle w:val="Tabletext"/>
              <w:rPr>
                <w:b/>
              </w:rPr>
            </w:pPr>
          </w:p>
        </w:tc>
        <w:tc>
          <w:tcPr>
            <w:tcW w:w="750" w:type="pct"/>
            <w:noWrap/>
            <w:vAlign w:val="center"/>
            <w:hideMark/>
          </w:tcPr>
          <w:p w14:paraId="30C987EE" w14:textId="7777777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Public</w:t>
            </w:r>
          </w:p>
        </w:tc>
        <w:tc>
          <w:tcPr>
            <w:tcW w:w="912" w:type="pct"/>
            <w:noWrap/>
            <w:vAlign w:val="center"/>
            <w:hideMark/>
          </w:tcPr>
          <w:p w14:paraId="3E709119" w14:textId="5BE28465"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6,550</w:t>
            </w:r>
          </w:p>
        </w:tc>
        <w:tc>
          <w:tcPr>
            <w:tcW w:w="926" w:type="pct"/>
            <w:noWrap/>
            <w:vAlign w:val="center"/>
            <w:hideMark/>
          </w:tcPr>
          <w:p w14:paraId="7F7B4B8A" w14:textId="5EAA67DB"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6,580</w:t>
            </w:r>
          </w:p>
        </w:tc>
        <w:tc>
          <w:tcPr>
            <w:tcW w:w="750" w:type="pct"/>
            <w:noWrap/>
            <w:vAlign w:val="center"/>
            <w:hideMark/>
          </w:tcPr>
          <w:p w14:paraId="380DD6B5" w14:textId="31CB6DC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4,837</w:t>
            </w:r>
          </w:p>
        </w:tc>
        <w:tc>
          <w:tcPr>
            <w:tcW w:w="912" w:type="pct"/>
            <w:noWrap/>
            <w:vAlign w:val="center"/>
            <w:hideMark/>
          </w:tcPr>
          <w:p w14:paraId="05F2B50D" w14:textId="367F91A4"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6,363</w:t>
            </w:r>
          </w:p>
        </w:tc>
      </w:tr>
      <w:tr w:rsidR="00220513" w:rsidRPr="009B6AA8" w14:paraId="035BA4A2"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7FFFDAEE" w14:textId="77777777" w:rsidR="00220513" w:rsidRPr="00264535" w:rsidRDefault="00220513" w:rsidP="00264535">
            <w:pPr>
              <w:pStyle w:val="Tabletext"/>
              <w:rPr>
                <w:b/>
              </w:rPr>
            </w:pPr>
          </w:p>
        </w:tc>
        <w:tc>
          <w:tcPr>
            <w:tcW w:w="750" w:type="pct"/>
            <w:noWrap/>
            <w:vAlign w:val="center"/>
            <w:hideMark/>
          </w:tcPr>
          <w:p w14:paraId="157EEAAE"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 xml:space="preserve">Total </w:t>
            </w:r>
          </w:p>
        </w:tc>
        <w:tc>
          <w:tcPr>
            <w:tcW w:w="912" w:type="pct"/>
            <w:noWrap/>
            <w:vAlign w:val="center"/>
            <w:hideMark/>
          </w:tcPr>
          <w:p w14:paraId="40FDBF65" w14:textId="2DDA3D35"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6,574</w:t>
            </w:r>
          </w:p>
        </w:tc>
        <w:tc>
          <w:tcPr>
            <w:tcW w:w="926" w:type="pct"/>
            <w:noWrap/>
            <w:vAlign w:val="center"/>
            <w:hideMark/>
          </w:tcPr>
          <w:p w14:paraId="61A469A5" w14:textId="13998905"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6,329</w:t>
            </w:r>
          </w:p>
        </w:tc>
        <w:tc>
          <w:tcPr>
            <w:tcW w:w="750" w:type="pct"/>
            <w:noWrap/>
            <w:vAlign w:val="center"/>
            <w:hideMark/>
          </w:tcPr>
          <w:p w14:paraId="7B75C49E" w14:textId="7BF84090"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4,892</w:t>
            </w:r>
          </w:p>
        </w:tc>
        <w:tc>
          <w:tcPr>
            <w:tcW w:w="912" w:type="pct"/>
            <w:noWrap/>
            <w:vAlign w:val="center"/>
            <w:hideMark/>
          </w:tcPr>
          <w:p w14:paraId="7004CDE4" w14:textId="5474E52F"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6,408</w:t>
            </w:r>
          </w:p>
        </w:tc>
      </w:tr>
      <w:tr w:rsidR="00220513" w:rsidRPr="009B6AA8" w14:paraId="14E6F058" w14:textId="77777777" w:rsidTr="009415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noWrap/>
            <w:vAlign w:val="center"/>
            <w:hideMark/>
          </w:tcPr>
          <w:p w14:paraId="6DC7979E" w14:textId="0E1E934F" w:rsidR="00220513" w:rsidRPr="00264535" w:rsidRDefault="00220513" w:rsidP="00264535">
            <w:pPr>
              <w:pStyle w:val="Tabletext"/>
              <w:rPr>
                <w:b/>
              </w:rPr>
            </w:pPr>
            <w:r w:rsidRPr="00264535">
              <w:rPr>
                <w:b/>
              </w:rPr>
              <w:t>2014–15</w:t>
            </w:r>
          </w:p>
        </w:tc>
        <w:tc>
          <w:tcPr>
            <w:tcW w:w="750" w:type="pct"/>
            <w:noWrap/>
            <w:vAlign w:val="center"/>
            <w:hideMark/>
          </w:tcPr>
          <w:p w14:paraId="1D106E27" w14:textId="7777777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Private</w:t>
            </w:r>
          </w:p>
        </w:tc>
        <w:tc>
          <w:tcPr>
            <w:tcW w:w="912" w:type="pct"/>
            <w:noWrap/>
            <w:vAlign w:val="center"/>
            <w:hideMark/>
          </w:tcPr>
          <w:p w14:paraId="1A5E9B6C" w14:textId="396F3D96"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6,260</w:t>
            </w:r>
          </w:p>
        </w:tc>
        <w:tc>
          <w:tcPr>
            <w:tcW w:w="926" w:type="pct"/>
            <w:noWrap/>
            <w:vAlign w:val="center"/>
            <w:hideMark/>
          </w:tcPr>
          <w:p w14:paraId="3A7D3C20" w14:textId="1B35E489"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5,852</w:t>
            </w:r>
          </w:p>
        </w:tc>
        <w:tc>
          <w:tcPr>
            <w:tcW w:w="750" w:type="pct"/>
            <w:noWrap/>
            <w:vAlign w:val="center"/>
            <w:hideMark/>
          </w:tcPr>
          <w:p w14:paraId="717872CF" w14:textId="1E22397B"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4,668</w:t>
            </w:r>
          </w:p>
        </w:tc>
        <w:tc>
          <w:tcPr>
            <w:tcW w:w="912" w:type="pct"/>
            <w:noWrap/>
            <w:vAlign w:val="center"/>
            <w:hideMark/>
          </w:tcPr>
          <w:p w14:paraId="34D97193" w14:textId="43A1B87F"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6,178</w:t>
            </w:r>
          </w:p>
        </w:tc>
      </w:tr>
      <w:tr w:rsidR="00220513" w:rsidRPr="009B6AA8" w14:paraId="1DBE9BB6"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7A9F0E92" w14:textId="77777777" w:rsidR="00220513" w:rsidRPr="00264535" w:rsidRDefault="00220513" w:rsidP="00264535">
            <w:pPr>
              <w:pStyle w:val="Tabletext"/>
              <w:rPr>
                <w:b/>
              </w:rPr>
            </w:pPr>
          </w:p>
        </w:tc>
        <w:tc>
          <w:tcPr>
            <w:tcW w:w="750" w:type="pct"/>
            <w:noWrap/>
            <w:vAlign w:val="center"/>
            <w:hideMark/>
          </w:tcPr>
          <w:p w14:paraId="42FEF67E"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Public</w:t>
            </w:r>
          </w:p>
        </w:tc>
        <w:tc>
          <w:tcPr>
            <w:tcW w:w="912" w:type="pct"/>
            <w:noWrap/>
            <w:vAlign w:val="center"/>
            <w:hideMark/>
          </w:tcPr>
          <w:p w14:paraId="4A431890" w14:textId="08EB00B4"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6,630</w:t>
            </w:r>
          </w:p>
        </w:tc>
        <w:tc>
          <w:tcPr>
            <w:tcW w:w="926" w:type="pct"/>
            <w:noWrap/>
            <w:vAlign w:val="center"/>
            <w:hideMark/>
          </w:tcPr>
          <w:p w14:paraId="0B122F85" w14:textId="0AE437D9"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6,514</w:t>
            </w:r>
          </w:p>
        </w:tc>
        <w:tc>
          <w:tcPr>
            <w:tcW w:w="750" w:type="pct"/>
            <w:noWrap/>
            <w:vAlign w:val="center"/>
            <w:hideMark/>
          </w:tcPr>
          <w:p w14:paraId="53B5C7AC" w14:textId="15222252"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5,258</w:t>
            </w:r>
          </w:p>
        </w:tc>
        <w:tc>
          <w:tcPr>
            <w:tcW w:w="912" w:type="pct"/>
            <w:noWrap/>
            <w:vAlign w:val="center"/>
            <w:hideMark/>
          </w:tcPr>
          <w:p w14:paraId="7FBA00D3" w14:textId="046FB2E2"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6,451</w:t>
            </w:r>
          </w:p>
        </w:tc>
      </w:tr>
      <w:tr w:rsidR="00220513" w:rsidRPr="009B6AA8" w14:paraId="2527FF8A" w14:textId="77777777" w:rsidTr="009415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34684EBD" w14:textId="77777777" w:rsidR="00220513" w:rsidRPr="00264535" w:rsidRDefault="00220513" w:rsidP="00264535">
            <w:pPr>
              <w:pStyle w:val="Tabletext"/>
              <w:rPr>
                <w:b/>
              </w:rPr>
            </w:pPr>
          </w:p>
        </w:tc>
        <w:tc>
          <w:tcPr>
            <w:tcW w:w="750" w:type="pct"/>
            <w:noWrap/>
            <w:vAlign w:val="center"/>
            <w:hideMark/>
          </w:tcPr>
          <w:p w14:paraId="20A1764A" w14:textId="7777777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 xml:space="preserve">Total </w:t>
            </w:r>
          </w:p>
        </w:tc>
        <w:tc>
          <w:tcPr>
            <w:tcW w:w="912" w:type="pct"/>
            <w:noWrap/>
            <w:vAlign w:val="center"/>
            <w:hideMark/>
          </w:tcPr>
          <w:p w14:paraId="6D43AF40" w14:textId="73B76673"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6,464</w:t>
            </w:r>
          </w:p>
        </w:tc>
        <w:tc>
          <w:tcPr>
            <w:tcW w:w="926" w:type="pct"/>
            <w:noWrap/>
            <w:vAlign w:val="center"/>
            <w:hideMark/>
          </w:tcPr>
          <w:p w14:paraId="58A71732" w14:textId="0989353E"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6,305</w:t>
            </w:r>
          </w:p>
        </w:tc>
        <w:tc>
          <w:tcPr>
            <w:tcW w:w="750" w:type="pct"/>
            <w:noWrap/>
            <w:vAlign w:val="center"/>
            <w:hideMark/>
          </w:tcPr>
          <w:p w14:paraId="1D31B734" w14:textId="3B73BD3C"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5,174</w:t>
            </w:r>
          </w:p>
        </w:tc>
        <w:tc>
          <w:tcPr>
            <w:tcW w:w="912" w:type="pct"/>
            <w:noWrap/>
            <w:vAlign w:val="center"/>
            <w:hideMark/>
          </w:tcPr>
          <w:p w14:paraId="174DF7CC" w14:textId="12DB1B09"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6,339</w:t>
            </w:r>
          </w:p>
        </w:tc>
      </w:tr>
      <w:tr w:rsidR="00220513" w:rsidRPr="009B6AA8" w14:paraId="748B0EC9"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noWrap/>
            <w:vAlign w:val="center"/>
            <w:hideMark/>
          </w:tcPr>
          <w:p w14:paraId="0A830DFA" w14:textId="276483B4" w:rsidR="00220513" w:rsidRPr="00264535" w:rsidRDefault="00220513" w:rsidP="00264535">
            <w:pPr>
              <w:pStyle w:val="Tabletext"/>
              <w:rPr>
                <w:b/>
              </w:rPr>
            </w:pPr>
            <w:r w:rsidRPr="00264535">
              <w:rPr>
                <w:b/>
              </w:rPr>
              <w:t>2015–16</w:t>
            </w:r>
          </w:p>
        </w:tc>
        <w:tc>
          <w:tcPr>
            <w:tcW w:w="750" w:type="pct"/>
            <w:noWrap/>
            <w:vAlign w:val="center"/>
            <w:hideMark/>
          </w:tcPr>
          <w:p w14:paraId="60BBF62D"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Private</w:t>
            </w:r>
          </w:p>
        </w:tc>
        <w:tc>
          <w:tcPr>
            <w:tcW w:w="912" w:type="pct"/>
            <w:noWrap/>
            <w:vAlign w:val="center"/>
            <w:hideMark/>
          </w:tcPr>
          <w:p w14:paraId="25E00BB1" w14:textId="2406978C"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6,111</w:t>
            </w:r>
          </w:p>
        </w:tc>
        <w:tc>
          <w:tcPr>
            <w:tcW w:w="926" w:type="pct"/>
            <w:noWrap/>
            <w:vAlign w:val="center"/>
            <w:hideMark/>
          </w:tcPr>
          <w:p w14:paraId="1F2D5BFF" w14:textId="47CAC105"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4,331</w:t>
            </w:r>
          </w:p>
        </w:tc>
        <w:tc>
          <w:tcPr>
            <w:tcW w:w="750" w:type="pct"/>
            <w:noWrap/>
            <w:vAlign w:val="center"/>
            <w:hideMark/>
          </w:tcPr>
          <w:p w14:paraId="2A2EFF2F" w14:textId="66308EB4"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4,534</w:t>
            </w:r>
          </w:p>
        </w:tc>
        <w:tc>
          <w:tcPr>
            <w:tcW w:w="912" w:type="pct"/>
            <w:noWrap/>
            <w:vAlign w:val="center"/>
            <w:hideMark/>
          </w:tcPr>
          <w:p w14:paraId="680074BB" w14:textId="75C0808D"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5,835</w:t>
            </w:r>
          </w:p>
        </w:tc>
      </w:tr>
      <w:tr w:rsidR="00220513" w:rsidRPr="009B6AA8" w14:paraId="4C9FF177" w14:textId="77777777" w:rsidTr="009415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15C32198" w14:textId="77777777" w:rsidR="00220513" w:rsidRPr="00264535" w:rsidRDefault="00220513" w:rsidP="00264535">
            <w:pPr>
              <w:pStyle w:val="Tabletext"/>
              <w:rPr>
                <w:b/>
              </w:rPr>
            </w:pPr>
          </w:p>
        </w:tc>
        <w:tc>
          <w:tcPr>
            <w:tcW w:w="750" w:type="pct"/>
            <w:noWrap/>
            <w:vAlign w:val="center"/>
            <w:hideMark/>
          </w:tcPr>
          <w:p w14:paraId="79EC7F55" w14:textId="7777777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Public</w:t>
            </w:r>
          </w:p>
        </w:tc>
        <w:tc>
          <w:tcPr>
            <w:tcW w:w="912" w:type="pct"/>
            <w:noWrap/>
            <w:vAlign w:val="center"/>
            <w:hideMark/>
          </w:tcPr>
          <w:p w14:paraId="00DDEC26" w14:textId="0E622B35"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6,005</w:t>
            </w:r>
          </w:p>
        </w:tc>
        <w:tc>
          <w:tcPr>
            <w:tcW w:w="926" w:type="pct"/>
            <w:noWrap/>
            <w:vAlign w:val="center"/>
            <w:hideMark/>
          </w:tcPr>
          <w:p w14:paraId="5CB9227A" w14:textId="7A7C54B4"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6,812</w:t>
            </w:r>
          </w:p>
        </w:tc>
        <w:tc>
          <w:tcPr>
            <w:tcW w:w="750" w:type="pct"/>
            <w:noWrap/>
            <w:vAlign w:val="center"/>
            <w:hideMark/>
          </w:tcPr>
          <w:p w14:paraId="456C96C3" w14:textId="077805F4"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5,975</w:t>
            </w:r>
          </w:p>
        </w:tc>
        <w:tc>
          <w:tcPr>
            <w:tcW w:w="912" w:type="pct"/>
            <w:noWrap/>
            <w:vAlign w:val="center"/>
            <w:hideMark/>
          </w:tcPr>
          <w:p w14:paraId="71E0801E" w14:textId="18CB1CDB"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6,101</w:t>
            </w:r>
          </w:p>
        </w:tc>
      </w:tr>
      <w:tr w:rsidR="00220513" w:rsidRPr="009B6AA8" w14:paraId="57B8F0B0"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2EFF31BB" w14:textId="77777777" w:rsidR="00220513" w:rsidRPr="00264535" w:rsidRDefault="00220513" w:rsidP="00264535">
            <w:pPr>
              <w:pStyle w:val="Tabletext"/>
              <w:rPr>
                <w:b/>
              </w:rPr>
            </w:pPr>
          </w:p>
        </w:tc>
        <w:tc>
          <w:tcPr>
            <w:tcW w:w="750" w:type="pct"/>
            <w:noWrap/>
            <w:vAlign w:val="center"/>
            <w:hideMark/>
          </w:tcPr>
          <w:p w14:paraId="0F23A210"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 xml:space="preserve">Total </w:t>
            </w:r>
          </w:p>
        </w:tc>
        <w:tc>
          <w:tcPr>
            <w:tcW w:w="912" w:type="pct"/>
            <w:noWrap/>
            <w:vAlign w:val="center"/>
            <w:hideMark/>
          </w:tcPr>
          <w:p w14:paraId="650CEC18" w14:textId="706215D6"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6,051</w:t>
            </w:r>
          </w:p>
        </w:tc>
        <w:tc>
          <w:tcPr>
            <w:tcW w:w="926" w:type="pct"/>
            <w:noWrap/>
            <w:vAlign w:val="center"/>
            <w:hideMark/>
          </w:tcPr>
          <w:p w14:paraId="3BCA3BF8" w14:textId="7B03A264"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5,733</w:t>
            </w:r>
          </w:p>
        </w:tc>
        <w:tc>
          <w:tcPr>
            <w:tcW w:w="750" w:type="pct"/>
            <w:noWrap/>
            <w:vAlign w:val="center"/>
            <w:hideMark/>
          </w:tcPr>
          <w:p w14:paraId="586B7E78" w14:textId="18AA65CB"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5,753</w:t>
            </w:r>
          </w:p>
        </w:tc>
        <w:tc>
          <w:tcPr>
            <w:tcW w:w="912" w:type="pct"/>
            <w:noWrap/>
            <w:vAlign w:val="center"/>
            <w:hideMark/>
          </w:tcPr>
          <w:p w14:paraId="2EDFB895" w14:textId="64F4B348"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5,990</w:t>
            </w:r>
          </w:p>
        </w:tc>
      </w:tr>
      <w:tr w:rsidR="00220513" w:rsidRPr="009B6AA8" w14:paraId="1A3233F6" w14:textId="77777777" w:rsidTr="009415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noWrap/>
            <w:vAlign w:val="center"/>
            <w:hideMark/>
          </w:tcPr>
          <w:p w14:paraId="6CF6717E" w14:textId="18E7C394" w:rsidR="00220513" w:rsidRPr="00264535" w:rsidRDefault="00220513" w:rsidP="00264535">
            <w:pPr>
              <w:pStyle w:val="Tabletext"/>
              <w:rPr>
                <w:b/>
              </w:rPr>
            </w:pPr>
            <w:r w:rsidRPr="00264535">
              <w:rPr>
                <w:b/>
              </w:rPr>
              <w:t>2016–17</w:t>
            </w:r>
          </w:p>
        </w:tc>
        <w:tc>
          <w:tcPr>
            <w:tcW w:w="750" w:type="pct"/>
            <w:noWrap/>
            <w:vAlign w:val="center"/>
            <w:hideMark/>
          </w:tcPr>
          <w:p w14:paraId="456CDBA5" w14:textId="7777777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Private</w:t>
            </w:r>
          </w:p>
        </w:tc>
        <w:tc>
          <w:tcPr>
            <w:tcW w:w="912" w:type="pct"/>
            <w:noWrap/>
            <w:vAlign w:val="center"/>
            <w:hideMark/>
          </w:tcPr>
          <w:p w14:paraId="7C331FEE" w14:textId="1CC36E5A"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5,898</w:t>
            </w:r>
          </w:p>
        </w:tc>
        <w:tc>
          <w:tcPr>
            <w:tcW w:w="926" w:type="pct"/>
            <w:noWrap/>
            <w:vAlign w:val="center"/>
            <w:hideMark/>
          </w:tcPr>
          <w:p w14:paraId="505CE93E" w14:textId="2E4AB486"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6,135</w:t>
            </w:r>
          </w:p>
        </w:tc>
        <w:tc>
          <w:tcPr>
            <w:tcW w:w="750" w:type="pct"/>
            <w:noWrap/>
            <w:vAlign w:val="center"/>
            <w:hideMark/>
          </w:tcPr>
          <w:p w14:paraId="176CCC10" w14:textId="45191E10"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4,654</w:t>
            </w:r>
          </w:p>
        </w:tc>
        <w:tc>
          <w:tcPr>
            <w:tcW w:w="912" w:type="pct"/>
            <w:noWrap/>
            <w:vAlign w:val="center"/>
            <w:hideMark/>
          </w:tcPr>
          <w:p w14:paraId="43DD41CD" w14:textId="37BB55AB"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5,897</w:t>
            </w:r>
          </w:p>
        </w:tc>
      </w:tr>
      <w:tr w:rsidR="00220513" w:rsidRPr="009B6AA8" w14:paraId="2273A047"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130019B8" w14:textId="77777777" w:rsidR="00220513" w:rsidRPr="00264535" w:rsidRDefault="00220513" w:rsidP="00264535">
            <w:pPr>
              <w:pStyle w:val="Tabletext"/>
              <w:rPr>
                <w:b/>
              </w:rPr>
            </w:pPr>
          </w:p>
        </w:tc>
        <w:tc>
          <w:tcPr>
            <w:tcW w:w="750" w:type="pct"/>
            <w:noWrap/>
            <w:vAlign w:val="center"/>
            <w:hideMark/>
          </w:tcPr>
          <w:p w14:paraId="05E767E9"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Public</w:t>
            </w:r>
          </w:p>
        </w:tc>
        <w:tc>
          <w:tcPr>
            <w:tcW w:w="912" w:type="pct"/>
            <w:noWrap/>
            <w:vAlign w:val="center"/>
            <w:hideMark/>
          </w:tcPr>
          <w:p w14:paraId="198A14BD" w14:textId="2BD4D5BC"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5,892</w:t>
            </w:r>
          </w:p>
        </w:tc>
        <w:tc>
          <w:tcPr>
            <w:tcW w:w="926" w:type="pct"/>
            <w:noWrap/>
            <w:vAlign w:val="center"/>
            <w:hideMark/>
          </w:tcPr>
          <w:p w14:paraId="614A47E3" w14:textId="4878E08B"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5,820</w:t>
            </w:r>
          </w:p>
        </w:tc>
        <w:tc>
          <w:tcPr>
            <w:tcW w:w="750" w:type="pct"/>
            <w:noWrap/>
            <w:vAlign w:val="center"/>
            <w:hideMark/>
          </w:tcPr>
          <w:p w14:paraId="79B4B643" w14:textId="3BC87DB0"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6,477</w:t>
            </w:r>
          </w:p>
        </w:tc>
        <w:tc>
          <w:tcPr>
            <w:tcW w:w="912" w:type="pct"/>
            <w:noWrap/>
            <w:vAlign w:val="center"/>
            <w:hideMark/>
          </w:tcPr>
          <w:p w14:paraId="24C130A3" w14:textId="440FC5C2"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5,946</w:t>
            </w:r>
          </w:p>
        </w:tc>
      </w:tr>
      <w:tr w:rsidR="00220513" w:rsidRPr="009B6AA8" w14:paraId="054E2AEF" w14:textId="77777777" w:rsidTr="009415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48D88D13" w14:textId="77777777" w:rsidR="00220513" w:rsidRPr="00264535" w:rsidRDefault="00220513" w:rsidP="00264535">
            <w:pPr>
              <w:pStyle w:val="Tabletext"/>
              <w:rPr>
                <w:b/>
              </w:rPr>
            </w:pPr>
          </w:p>
        </w:tc>
        <w:tc>
          <w:tcPr>
            <w:tcW w:w="750" w:type="pct"/>
            <w:noWrap/>
            <w:vAlign w:val="center"/>
            <w:hideMark/>
          </w:tcPr>
          <w:p w14:paraId="36A8DE1B" w14:textId="7777777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 xml:space="preserve">Total </w:t>
            </w:r>
          </w:p>
        </w:tc>
        <w:tc>
          <w:tcPr>
            <w:tcW w:w="912" w:type="pct"/>
            <w:noWrap/>
            <w:vAlign w:val="center"/>
            <w:hideMark/>
          </w:tcPr>
          <w:p w14:paraId="075D813D" w14:textId="5B290AA2"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5,895</w:t>
            </w:r>
          </w:p>
        </w:tc>
        <w:tc>
          <w:tcPr>
            <w:tcW w:w="926" w:type="pct"/>
            <w:noWrap/>
            <w:vAlign w:val="center"/>
            <w:hideMark/>
          </w:tcPr>
          <w:p w14:paraId="2933A2F4" w14:textId="50D0A6C1"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5,946</w:t>
            </w:r>
          </w:p>
        </w:tc>
        <w:tc>
          <w:tcPr>
            <w:tcW w:w="750" w:type="pct"/>
            <w:noWrap/>
            <w:vAlign w:val="center"/>
            <w:hideMark/>
          </w:tcPr>
          <w:p w14:paraId="3CFF4168" w14:textId="25B2D68C"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6,216</w:t>
            </w:r>
          </w:p>
        </w:tc>
        <w:tc>
          <w:tcPr>
            <w:tcW w:w="912" w:type="pct"/>
            <w:noWrap/>
            <w:vAlign w:val="center"/>
            <w:hideMark/>
          </w:tcPr>
          <w:p w14:paraId="277D19A9" w14:textId="67749D54"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5,925</w:t>
            </w:r>
          </w:p>
        </w:tc>
      </w:tr>
      <w:tr w:rsidR="00220513" w:rsidRPr="009B6AA8" w14:paraId="79C10D3D"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noWrap/>
            <w:vAlign w:val="center"/>
            <w:hideMark/>
          </w:tcPr>
          <w:p w14:paraId="22D1D1B1" w14:textId="76D384B2" w:rsidR="00220513" w:rsidRPr="00264535" w:rsidRDefault="00220513" w:rsidP="00264535">
            <w:pPr>
              <w:pStyle w:val="Tabletext"/>
              <w:rPr>
                <w:b/>
              </w:rPr>
            </w:pPr>
            <w:r w:rsidRPr="00264535">
              <w:rPr>
                <w:b/>
              </w:rPr>
              <w:t>2017–18</w:t>
            </w:r>
          </w:p>
        </w:tc>
        <w:tc>
          <w:tcPr>
            <w:tcW w:w="750" w:type="pct"/>
            <w:noWrap/>
            <w:vAlign w:val="center"/>
            <w:hideMark/>
          </w:tcPr>
          <w:p w14:paraId="666635FC"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Private</w:t>
            </w:r>
          </w:p>
        </w:tc>
        <w:tc>
          <w:tcPr>
            <w:tcW w:w="912" w:type="pct"/>
            <w:noWrap/>
            <w:vAlign w:val="center"/>
            <w:hideMark/>
          </w:tcPr>
          <w:p w14:paraId="7A31F7B5" w14:textId="7ACC5BC9"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5,286</w:t>
            </w:r>
          </w:p>
        </w:tc>
        <w:tc>
          <w:tcPr>
            <w:tcW w:w="926" w:type="pct"/>
            <w:noWrap/>
            <w:vAlign w:val="center"/>
            <w:hideMark/>
          </w:tcPr>
          <w:p w14:paraId="69F8E1EC" w14:textId="7A718FA8"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5,570</w:t>
            </w:r>
          </w:p>
        </w:tc>
        <w:tc>
          <w:tcPr>
            <w:tcW w:w="750" w:type="pct"/>
            <w:noWrap/>
            <w:vAlign w:val="center"/>
            <w:hideMark/>
          </w:tcPr>
          <w:p w14:paraId="0C000EA7" w14:textId="2AB9D000"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3,515</w:t>
            </w:r>
          </w:p>
        </w:tc>
        <w:tc>
          <w:tcPr>
            <w:tcW w:w="912" w:type="pct"/>
            <w:noWrap/>
            <w:vAlign w:val="center"/>
            <w:hideMark/>
          </w:tcPr>
          <w:p w14:paraId="793ED011" w14:textId="6A0830F3"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5,266</w:t>
            </w:r>
          </w:p>
        </w:tc>
      </w:tr>
      <w:tr w:rsidR="00220513" w:rsidRPr="009B6AA8" w14:paraId="37C6D854" w14:textId="77777777" w:rsidTr="009415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7E25E11B" w14:textId="77777777" w:rsidR="00220513" w:rsidRPr="00264535" w:rsidRDefault="00220513" w:rsidP="00264535">
            <w:pPr>
              <w:pStyle w:val="Tabletext"/>
              <w:rPr>
                <w:b/>
              </w:rPr>
            </w:pPr>
          </w:p>
        </w:tc>
        <w:tc>
          <w:tcPr>
            <w:tcW w:w="750" w:type="pct"/>
            <w:noWrap/>
            <w:vAlign w:val="center"/>
            <w:hideMark/>
          </w:tcPr>
          <w:p w14:paraId="0E39C412" w14:textId="7777777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Public</w:t>
            </w:r>
          </w:p>
        </w:tc>
        <w:tc>
          <w:tcPr>
            <w:tcW w:w="912" w:type="pct"/>
            <w:noWrap/>
            <w:vAlign w:val="center"/>
            <w:hideMark/>
          </w:tcPr>
          <w:p w14:paraId="5923925F" w14:textId="30EB7862"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5,687</w:t>
            </w:r>
          </w:p>
        </w:tc>
        <w:tc>
          <w:tcPr>
            <w:tcW w:w="926" w:type="pct"/>
            <w:noWrap/>
            <w:vAlign w:val="center"/>
            <w:hideMark/>
          </w:tcPr>
          <w:p w14:paraId="44B32A51" w14:textId="32F018AF"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6,358</w:t>
            </w:r>
          </w:p>
        </w:tc>
        <w:tc>
          <w:tcPr>
            <w:tcW w:w="750" w:type="pct"/>
            <w:noWrap/>
            <w:vAlign w:val="center"/>
            <w:hideMark/>
          </w:tcPr>
          <w:p w14:paraId="286B3D2B" w14:textId="35ADE664"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6,391</w:t>
            </w:r>
          </w:p>
        </w:tc>
        <w:tc>
          <w:tcPr>
            <w:tcW w:w="912" w:type="pct"/>
            <w:noWrap/>
            <w:vAlign w:val="center"/>
            <w:hideMark/>
          </w:tcPr>
          <w:p w14:paraId="351668FF" w14:textId="24425A84"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5,848</w:t>
            </w:r>
          </w:p>
        </w:tc>
      </w:tr>
      <w:tr w:rsidR="00220513" w:rsidRPr="009B6AA8" w14:paraId="0186DBFA"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6265D240" w14:textId="77777777" w:rsidR="00220513" w:rsidRPr="00264535" w:rsidRDefault="00220513" w:rsidP="00264535">
            <w:pPr>
              <w:pStyle w:val="Tabletext"/>
              <w:rPr>
                <w:b/>
              </w:rPr>
            </w:pPr>
          </w:p>
        </w:tc>
        <w:tc>
          <w:tcPr>
            <w:tcW w:w="750" w:type="pct"/>
            <w:noWrap/>
            <w:vAlign w:val="center"/>
            <w:hideMark/>
          </w:tcPr>
          <w:p w14:paraId="773FC2E1"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 xml:space="preserve">Total </w:t>
            </w:r>
          </w:p>
        </w:tc>
        <w:tc>
          <w:tcPr>
            <w:tcW w:w="912" w:type="pct"/>
            <w:noWrap/>
            <w:vAlign w:val="center"/>
            <w:hideMark/>
          </w:tcPr>
          <w:p w14:paraId="64242593" w14:textId="321A9225"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5,493</w:t>
            </w:r>
          </w:p>
        </w:tc>
        <w:tc>
          <w:tcPr>
            <w:tcW w:w="926" w:type="pct"/>
            <w:noWrap/>
            <w:vAlign w:val="center"/>
            <w:hideMark/>
          </w:tcPr>
          <w:p w14:paraId="59C271B6" w14:textId="52C63661"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5,994</w:t>
            </w:r>
          </w:p>
        </w:tc>
        <w:tc>
          <w:tcPr>
            <w:tcW w:w="750" w:type="pct"/>
            <w:noWrap/>
            <w:vAlign w:val="center"/>
            <w:hideMark/>
          </w:tcPr>
          <w:p w14:paraId="13912FE2" w14:textId="66D08159"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5,816</w:t>
            </w:r>
          </w:p>
        </w:tc>
        <w:tc>
          <w:tcPr>
            <w:tcW w:w="912" w:type="pct"/>
            <w:noWrap/>
            <w:vAlign w:val="center"/>
            <w:hideMark/>
          </w:tcPr>
          <w:p w14:paraId="43E69FA2" w14:textId="429C9FB5"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5,579</w:t>
            </w:r>
          </w:p>
        </w:tc>
      </w:tr>
      <w:tr w:rsidR="00220513" w:rsidRPr="009B6AA8" w14:paraId="5AC3D50A" w14:textId="77777777" w:rsidTr="009415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noWrap/>
            <w:vAlign w:val="center"/>
            <w:hideMark/>
          </w:tcPr>
          <w:p w14:paraId="2DB1BC4B" w14:textId="14342E23" w:rsidR="00220513" w:rsidRPr="00264535" w:rsidRDefault="00220513" w:rsidP="00264535">
            <w:pPr>
              <w:pStyle w:val="Tabletext"/>
              <w:rPr>
                <w:b/>
              </w:rPr>
            </w:pPr>
            <w:r w:rsidRPr="00264535">
              <w:rPr>
                <w:b/>
              </w:rPr>
              <w:t>2018–19</w:t>
            </w:r>
          </w:p>
        </w:tc>
        <w:tc>
          <w:tcPr>
            <w:tcW w:w="750" w:type="pct"/>
            <w:noWrap/>
            <w:vAlign w:val="center"/>
            <w:hideMark/>
          </w:tcPr>
          <w:p w14:paraId="1691651D" w14:textId="7777777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Private</w:t>
            </w:r>
          </w:p>
        </w:tc>
        <w:tc>
          <w:tcPr>
            <w:tcW w:w="912" w:type="pct"/>
            <w:noWrap/>
            <w:vAlign w:val="center"/>
            <w:hideMark/>
          </w:tcPr>
          <w:p w14:paraId="62E0BCAC" w14:textId="75C5CDB8"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5,720</w:t>
            </w:r>
          </w:p>
        </w:tc>
        <w:tc>
          <w:tcPr>
            <w:tcW w:w="926" w:type="pct"/>
            <w:noWrap/>
            <w:vAlign w:val="center"/>
            <w:hideMark/>
          </w:tcPr>
          <w:p w14:paraId="62B2FE58" w14:textId="041316FD"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6,204</w:t>
            </w:r>
          </w:p>
        </w:tc>
        <w:tc>
          <w:tcPr>
            <w:tcW w:w="750" w:type="pct"/>
            <w:noWrap/>
            <w:vAlign w:val="center"/>
            <w:hideMark/>
          </w:tcPr>
          <w:p w14:paraId="07D44EB0" w14:textId="59FAE5A9"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4,491</w:t>
            </w:r>
          </w:p>
        </w:tc>
        <w:tc>
          <w:tcPr>
            <w:tcW w:w="912" w:type="pct"/>
            <w:noWrap/>
            <w:vAlign w:val="center"/>
            <w:hideMark/>
          </w:tcPr>
          <w:p w14:paraId="76DB6BCF" w14:textId="64D6350F"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5,737</w:t>
            </w:r>
          </w:p>
        </w:tc>
      </w:tr>
      <w:tr w:rsidR="00220513" w:rsidRPr="009B6AA8" w14:paraId="4C99B9ED"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25D0CFC1" w14:textId="77777777" w:rsidR="00220513" w:rsidRPr="00264535" w:rsidRDefault="00220513" w:rsidP="00264535">
            <w:pPr>
              <w:pStyle w:val="Tabletext"/>
              <w:rPr>
                <w:b/>
              </w:rPr>
            </w:pPr>
          </w:p>
        </w:tc>
        <w:tc>
          <w:tcPr>
            <w:tcW w:w="750" w:type="pct"/>
            <w:noWrap/>
            <w:vAlign w:val="center"/>
            <w:hideMark/>
          </w:tcPr>
          <w:p w14:paraId="56BEE0E6"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Public</w:t>
            </w:r>
          </w:p>
        </w:tc>
        <w:tc>
          <w:tcPr>
            <w:tcW w:w="912" w:type="pct"/>
            <w:noWrap/>
            <w:vAlign w:val="center"/>
            <w:hideMark/>
          </w:tcPr>
          <w:p w14:paraId="73C6C3D3" w14:textId="3939E56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5,906</w:t>
            </w:r>
          </w:p>
        </w:tc>
        <w:tc>
          <w:tcPr>
            <w:tcW w:w="926" w:type="pct"/>
            <w:noWrap/>
            <w:vAlign w:val="center"/>
            <w:hideMark/>
          </w:tcPr>
          <w:p w14:paraId="2B53618D" w14:textId="53736ED1"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6,166</w:t>
            </w:r>
          </w:p>
        </w:tc>
        <w:tc>
          <w:tcPr>
            <w:tcW w:w="750" w:type="pct"/>
            <w:noWrap/>
            <w:vAlign w:val="center"/>
            <w:hideMark/>
          </w:tcPr>
          <w:p w14:paraId="38D22747" w14:textId="2FD231B6"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6,913</w:t>
            </w:r>
          </w:p>
        </w:tc>
        <w:tc>
          <w:tcPr>
            <w:tcW w:w="912" w:type="pct"/>
            <w:noWrap/>
            <w:vAlign w:val="center"/>
            <w:hideMark/>
          </w:tcPr>
          <w:p w14:paraId="7139AC73" w14:textId="7711425E"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6,045</w:t>
            </w:r>
          </w:p>
        </w:tc>
      </w:tr>
      <w:tr w:rsidR="00220513" w:rsidRPr="009B6AA8" w14:paraId="5D7F0A26" w14:textId="77777777" w:rsidTr="009415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407EA691" w14:textId="77777777" w:rsidR="00220513" w:rsidRPr="00264535" w:rsidRDefault="00220513" w:rsidP="00264535">
            <w:pPr>
              <w:pStyle w:val="Tabletext"/>
              <w:rPr>
                <w:b/>
              </w:rPr>
            </w:pPr>
          </w:p>
        </w:tc>
        <w:tc>
          <w:tcPr>
            <w:tcW w:w="750" w:type="pct"/>
            <w:noWrap/>
            <w:vAlign w:val="center"/>
            <w:hideMark/>
          </w:tcPr>
          <w:p w14:paraId="55C8F0FA" w14:textId="7777777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 xml:space="preserve">Total </w:t>
            </w:r>
          </w:p>
        </w:tc>
        <w:tc>
          <w:tcPr>
            <w:tcW w:w="912" w:type="pct"/>
            <w:noWrap/>
            <w:vAlign w:val="center"/>
            <w:hideMark/>
          </w:tcPr>
          <w:p w14:paraId="18D17AAB" w14:textId="7A15548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5,813</w:t>
            </w:r>
          </w:p>
        </w:tc>
        <w:tc>
          <w:tcPr>
            <w:tcW w:w="926" w:type="pct"/>
            <w:noWrap/>
            <w:vAlign w:val="center"/>
            <w:hideMark/>
          </w:tcPr>
          <w:p w14:paraId="375BAF6A" w14:textId="244F63C0"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6,183</w:t>
            </w:r>
          </w:p>
        </w:tc>
        <w:tc>
          <w:tcPr>
            <w:tcW w:w="750" w:type="pct"/>
            <w:noWrap/>
            <w:vAlign w:val="center"/>
            <w:hideMark/>
          </w:tcPr>
          <w:p w14:paraId="53653F50" w14:textId="1A16EAA4"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6,394</w:t>
            </w:r>
          </w:p>
        </w:tc>
        <w:tc>
          <w:tcPr>
            <w:tcW w:w="912" w:type="pct"/>
            <w:noWrap/>
            <w:vAlign w:val="center"/>
            <w:hideMark/>
          </w:tcPr>
          <w:p w14:paraId="6E3AB6AD" w14:textId="706F35DE"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rPr>
                <w:b/>
                <w:bCs/>
              </w:rPr>
            </w:pPr>
            <w:r w:rsidRPr="009B6AA8">
              <w:rPr>
                <w:b/>
                <w:bCs/>
              </w:rPr>
              <w:t>5,899</w:t>
            </w:r>
          </w:p>
        </w:tc>
      </w:tr>
      <w:tr w:rsidR="00220513" w:rsidRPr="009B6AA8" w14:paraId="58DF6C49"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noWrap/>
            <w:vAlign w:val="center"/>
            <w:hideMark/>
          </w:tcPr>
          <w:p w14:paraId="6DB54505" w14:textId="36F8EF89" w:rsidR="00220513" w:rsidRPr="00264535" w:rsidRDefault="00220513" w:rsidP="00264535">
            <w:pPr>
              <w:pStyle w:val="Tabletext"/>
              <w:rPr>
                <w:b/>
              </w:rPr>
            </w:pPr>
            <w:r w:rsidRPr="00264535">
              <w:rPr>
                <w:b/>
              </w:rPr>
              <w:t>2019–20</w:t>
            </w:r>
          </w:p>
        </w:tc>
        <w:tc>
          <w:tcPr>
            <w:tcW w:w="750" w:type="pct"/>
            <w:noWrap/>
            <w:vAlign w:val="center"/>
            <w:hideMark/>
          </w:tcPr>
          <w:p w14:paraId="5E25BC43"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rsidRPr="009B6AA8">
              <w:t>Private</w:t>
            </w:r>
          </w:p>
        </w:tc>
        <w:tc>
          <w:tcPr>
            <w:tcW w:w="912" w:type="pct"/>
            <w:noWrap/>
            <w:vAlign w:val="center"/>
            <w:hideMark/>
          </w:tcPr>
          <w:p w14:paraId="68B44276" w14:textId="7D420F5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t>5,961</w:t>
            </w:r>
          </w:p>
        </w:tc>
        <w:tc>
          <w:tcPr>
            <w:tcW w:w="926" w:type="pct"/>
            <w:noWrap/>
            <w:vAlign w:val="center"/>
            <w:hideMark/>
          </w:tcPr>
          <w:p w14:paraId="666686D3" w14:textId="31B36716"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t>6,245</w:t>
            </w:r>
          </w:p>
        </w:tc>
        <w:tc>
          <w:tcPr>
            <w:tcW w:w="750" w:type="pct"/>
            <w:noWrap/>
            <w:vAlign w:val="center"/>
            <w:hideMark/>
          </w:tcPr>
          <w:p w14:paraId="064F4451" w14:textId="6070E465"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t>5,920</w:t>
            </w:r>
          </w:p>
        </w:tc>
        <w:tc>
          <w:tcPr>
            <w:tcW w:w="912" w:type="pct"/>
            <w:noWrap/>
            <w:vAlign w:val="center"/>
            <w:hideMark/>
          </w:tcPr>
          <w:p w14:paraId="29FC8DFA" w14:textId="59F3D415"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pPr>
            <w:r>
              <w:t>5,966</w:t>
            </w:r>
          </w:p>
        </w:tc>
      </w:tr>
      <w:tr w:rsidR="00220513" w:rsidRPr="009B6AA8" w14:paraId="1540D56A" w14:textId="77777777" w:rsidTr="009415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0E4A1CC4" w14:textId="77777777" w:rsidR="00220513" w:rsidRPr="00264535" w:rsidRDefault="00220513" w:rsidP="00264535">
            <w:pPr>
              <w:pStyle w:val="Tabletext"/>
              <w:rPr>
                <w:b/>
              </w:rPr>
            </w:pPr>
          </w:p>
        </w:tc>
        <w:tc>
          <w:tcPr>
            <w:tcW w:w="750" w:type="pct"/>
            <w:noWrap/>
            <w:vAlign w:val="center"/>
            <w:hideMark/>
          </w:tcPr>
          <w:p w14:paraId="4C3E426D" w14:textId="77777777"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Public</w:t>
            </w:r>
          </w:p>
        </w:tc>
        <w:tc>
          <w:tcPr>
            <w:tcW w:w="912" w:type="pct"/>
            <w:noWrap/>
            <w:vAlign w:val="center"/>
            <w:hideMark/>
          </w:tcPr>
          <w:p w14:paraId="0B87246C" w14:textId="33FFB562"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t>6,109</w:t>
            </w:r>
          </w:p>
        </w:tc>
        <w:tc>
          <w:tcPr>
            <w:tcW w:w="926" w:type="pct"/>
            <w:noWrap/>
            <w:vAlign w:val="center"/>
            <w:hideMark/>
          </w:tcPr>
          <w:p w14:paraId="5A8CE806" w14:textId="027F99A4"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w:t>
            </w:r>
            <w:r>
              <w:t>569</w:t>
            </w:r>
          </w:p>
        </w:tc>
        <w:tc>
          <w:tcPr>
            <w:tcW w:w="750" w:type="pct"/>
            <w:noWrap/>
            <w:vAlign w:val="center"/>
            <w:hideMark/>
          </w:tcPr>
          <w:p w14:paraId="6AAE0F22" w14:textId="1F0260A9"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6,497</w:t>
            </w:r>
          </w:p>
        </w:tc>
        <w:tc>
          <w:tcPr>
            <w:tcW w:w="912" w:type="pct"/>
            <w:noWrap/>
            <w:vAlign w:val="center"/>
            <w:hideMark/>
          </w:tcPr>
          <w:p w14:paraId="32878D34" w14:textId="194AB196" w:rsidR="00220513" w:rsidRPr="009B6AA8" w:rsidRDefault="00220513" w:rsidP="00264535">
            <w:pPr>
              <w:pStyle w:val="Tabletext"/>
              <w:cnfStyle w:val="000000010000" w:firstRow="0" w:lastRow="0" w:firstColumn="0" w:lastColumn="0" w:oddVBand="0" w:evenVBand="0" w:oddHBand="0" w:evenHBand="1" w:firstRowFirstColumn="0" w:firstRowLastColumn="0" w:lastRowFirstColumn="0" w:lastRowLastColumn="0"/>
            </w:pPr>
            <w:r w:rsidRPr="009B6AA8">
              <w:t>6</w:t>
            </w:r>
            <w:r>
              <w:t>,248</w:t>
            </w:r>
          </w:p>
        </w:tc>
      </w:tr>
      <w:tr w:rsidR="00220513" w:rsidRPr="009B6AA8" w14:paraId="6EA4C704" w14:textId="77777777" w:rsidTr="00941558">
        <w:trPr>
          <w:trHeight w:val="20"/>
        </w:trPr>
        <w:tc>
          <w:tcPr>
            <w:cnfStyle w:val="001000000000" w:firstRow="0" w:lastRow="0" w:firstColumn="1" w:lastColumn="0" w:oddVBand="0" w:evenVBand="0" w:oddHBand="0" w:evenHBand="0" w:firstRowFirstColumn="0" w:firstRowLastColumn="0" w:lastRowFirstColumn="0" w:lastRowLastColumn="0"/>
            <w:tcW w:w="750" w:type="pct"/>
            <w:vAlign w:val="center"/>
            <w:hideMark/>
          </w:tcPr>
          <w:p w14:paraId="73480EF5" w14:textId="77777777" w:rsidR="00220513" w:rsidRPr="00264535" w:rsidRDefault="00220513" w:rsidP="00264535">
            <w:pPr>
              <w:pStyle w:val="Tabletext"/>
              <w:rPr>
                <w:b/>
              </w:rPr>
            </w:pPr>
          </w:p>
        </w:tc>
        <w:tc>
          <w:tcPr>
            <w:tcW w:w="750" w:type="pct"/>
            <w:noWrap/>
            <w:vAlign w:val="center"/>
            <w:hideMark/>
          </w:tcPr>
          <w:p w14:paraId="2E72C9D6" w14:textId="77777777"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 xml:space="preserve">Total </w:t>
            </w:r>
          </w:p>
        </w:tc>
        <w:tc>
          <w:tcPr>
            <w:tcW w:w="912" w:type="pct"/>
            <w:noWrap/>
            <w:vAlign w:val="center"/>
            <w:hideMark/>
          </w:tcPr>
          <w:p w14:paraId="04B5E1E6" w14:textId="3680E266"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Pr>
                <w:b/>
                <w:bCs/>
              </w:rPr>
              <w:t>6,033</w:t>
            </w:r>
          </w:p>
        </w:tc>
        <w:tc>
          <w:tcPr>
            <w:tcW w:w="926" w:type="pct"/>
            <w:noWrap/>
            <w:vAlign w:val="center"/>
            <w:hideMark/>
          </w:tcPr>
          <w:p w14:paraId="50A7EF26" w14:textId="7AA7AD2C"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sidRPr="009B6AA8">
              <w:rPr>
                <w:b/>
                <w:bCs/>
              </w:rPr>
              <w:t>6,</w:t>
            </w:r>
            <w:r>
              <w:rPr>
                <w:b/>
                <w:bCs/>
              </w:rPr>
              <w:t>407</w:t>
            </w:r>
          </w:p>
        </w:tc>
        <w:tc>
          <w:tcPr>
            <w:tcW w:w="750" w:type="pct"/>
            <w:noWrap/>
            <w:vAlign w:val="center"/>
            <w:hideMark/>
          </w:tcPr>
          <w:p w14:paraId="558E604B" w14:textId="43CA8983"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Pr>
                <w:b/>
                <w:bCs/>
              </w:rPr>
              <w:t>6,373</w:t>
            </w:r>
          </w:p>
        </w:tc>
        <w:tc>
          <w:tcPr>
            <w:tcW w:w="912" w:type="pct"/>
            <w:noWrap/>
            <w:vAlign w:val="center"/>
            <w:hideMark/>
          </w:tcPr>
          <w:p w14:paraId="5210EEC4" w14:textId="2EA747A6" w:rsidR="00220513" w:rsidRPr="009B6AA8" w:rsidRDefault="00220513" w:rsidP="00264535">
            <w:pPr>
              <w:pStyle w:val="Tabletext"/>
              <w:cnfStyle w:val="000000000000" w:firstRow="0" w:lastRow="0" w:firstColumn="0" w:lastColumn="0" w:oddVBand="0" w:evenVBand="0" w:oddHBand="0" w:evenHBand="0" w:firstRowFirstColumn="0" w:firstRowLastColumn="0" w:lastRowFirstColumn="0" w:lastRowLastColumn="0"/>
              <w:rPr>
                <w:b/>
                <w:bCs/>
              </w:rPr>
            </w:pPr>
            <w:r>
              <w:rPr>
                <w:b/>
                <w:bCs/>
              </w:rPr>
              <w:t>6,106</w:t>
            </w:r>
          </w:p>
        </w:tc>
      </w:tr>
    </w:tbl>
    <w:p w14:paraId="629D5A1B" w14:textId="4273E149" w:rsidR="00036908" w:rsidRPr="009B6AA8" w:rsidRDefault="007144B5" w:rsidP="0079376F">
      <w:pPr>
        <w:pStyle w:val="TableNotes"/>
      </w:pPr>
      <w:r w:rsidRPr="009B6AA8">
        <w:t xml:space="preserve"> </w:t>
      </w:r>
      <w:r w:rsidR="00036908" w:rsidRPr="009B6AA8">
        <w:t>Sources: calculated from MBS service data and ROHPG equipment reports</w:t>
      </w:r>
    </w:p>
    <w:p w14:paraId="49969DB7" w14:textId="0EC2932F" w:rsidR="00036908" w:rsidRPr="009B6AA8" w:rsidRDefault="00036908" w:rsidP="00DF2D1F">
      <w:pPr>
        <w:pStyle w:val="Heading6"/>
      </w:pPr>
      <w:r w:rsidRPr="009B6AA8">
        <w:t>Treatment courses</w:t>
      </w:r>
    </w:p>
    <w:p w14:paraId="50C1EF2E" w14:textId="77777777" w:rsidR="00373EE3" w:rsidRDefault="00036908" w:rsidP="00DF2D1F">
      <w:r w:rsidRPr="009B6AA8">
        <w:t xml:space="preserve">Consultation with </w:t>
      </w:r>
      <w:r w:rsidR="007A75A8">
        <w:t>facilities</w:t>
      </w:r>
      <w:r w:rsidRPr="009B6AA8">
        <w:t xml:space="preserve"> and clinicians indicated that the volume of MBS services may not be an accurate representation of current practices in RT cancer care. New treatment techniques have resulted in patients receiving higher doses of radiation over fewer fractions.</w:t>
      </w:r>
    </w:p>
    <w:p w14:paraId="1228AD5B" w14:textId="6881A5C9" w:rsidR="00036908" w:rsidRDefault="00036908" w:rsidP="00DF2D1F">
      <w:r w:rsidRPr="009B6AA8">
        <w:t xml:space="preserve">The volume of treatment courses as reported by the AIHW annual report on RT was also analysed to compare public and private facility throughput. </w:t>
      </w:r>
      <w:r w:rsidR="00DC3C64">
        <w:fldChar w:fldCharType="begin"/>
      </w:r>
      <w:r w:rsidR="00DC3C64">
        <w:instrText xml:space="preserve"> REF _Ref57702914 \h </w:instrText>
      </w:r>
      <w:r w:rsidR="00DC3C64">
        <w:fldChar w:fldCharType="separate"/>
      </w:r>
      <w:r w:rsidR="007C0448" w:rsidRPr="009B6AA8">
        <w:t xml:space="preserve">Table </w:t>
      </w:r>
      <w:r w:rsidR="007C0448">
        <w:rPr>
          <w:rFonts w:hint="cs"/>
          <w:noProof/>
          <w:cs/>
        </w:rPr>
        <w:t>‎</w:t>
      </w:r>
      <w:r w:rsidR="007C0448">
        <w:rPr>
          <w:noProof/>
        </w:rPr>
        <w:t>9</w:t>
      </w:r>
      <w:r w:rsidR="007C0448">
        <w:t>.</w:t>
      </w:r>
      <w:r w:rsidR="007C0448">
        <w:rPr>
          <w:noProof/>
        </w:rPr>
        <w:t>9</w:t>
      </w:r>
      <w:r w:rsidR="00DC3C64">
        <w:fldChar w:fldCharType="end"/>
      </w:r>
      <w:r w:rsidRPr="009B6AA8">
        <w:t xml:space="preserve"> shows the reported RT treatment courses delivered through public and private facilities nationally between 2014</w:t>
      </w:r>
      <w:r w:rsidR="00E61AD5" w:rsidRPr="009B6AA8">
        <w:t>–</w:t>
      </w:r>
      <w:r w:rsidRPr="009B6AA8">
        <w:t>15 and 2018</w:t>
      </w:r>
      <w:r w:rsidR="00E61AD5" w:rsidRPr="009B6AA8">
        <w:t>–</w:t>
      </w:r>
      <w:r w:rsidRPr="009B6AA8">
        <w:t xml:space="preserve">19 from AIHW, averaged by the number of operational </w:t>
      </w:r>
      <w:proofErr w:type="spellStart"/>
      <w:r w:rsidRPr="009B6AA8">
        <w:t>linacs</w:t>
      </w:r>
      <w:proofErr w:type="spellEnd"/>
      <w:r w:rsidRPr="009B6AA8">
        <w:t xml:space="preserve"> based on ROHPG equipment data and MBS </w:t>
      </w:r>
      <w:proofErr w:type="spellStart"/>
      <w:r w:rsidRPr="009B6AA8">
        <w:t>linac</w:t>
      </w:r>
      <w:proofErr w:type="spellEnd"/>
      <w:r w:rsidRPr="009B6AA8">
        <w:t xml:space="preserve"> data. The analysis indicates that on a per </w:t>
      </w:r>
      <w:proofErr w:type="spellStart"/>
      <w:r w:rsidRPr="009B6AA8">
        <w:t>linac</w:t>
      </w:r>
      <w:proofErr w:type="spellEnd"/>
      <w:r w:rsidRPr="009B6AA8">
        <w:t xml:space="preserve"> basis, public facilities provide approximately two-thirds of the annual RT courses.</w:t>
      </w:r>
    </w:p>
    <w:p w14:paraId="3D8F4244" w14:textId="448FA2B9" w:rsidR="00036908" w:rsidRPr="00D65C79" w:rsidRDefault="00036908" w:rsidP="00DF2D1F">
      <w:pPr>
        <w:pStyle w:val="Caption"/>
      </w:pPr>
      <w:bookmarkStart w:id="337" w:name="_Ref57702914"/>
      <w:r w:rsidRPr="009B6AA8">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9</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9</w:t>
      </w:r>
      <w:r w:rsidR="004B24F3">
        <w:rPr>
          <w:noProof/>
        </w:rPr>
        <w:fldChar w:fldCharType="end"/>
      </w:r>
      <w:bookmarkEnd w:id="337"/>
      <w:r w:rsidRPr="00D65C79">
        <w:t xml:space="preserve"> </w:t>
      </w:r>
      <w:r w:rsidRPr="00E06173">
        <w:t>Treatment courses delivered, number of active</w:t>
      </w:r>
      <w:r w:rsidR="00A92CDD" w:rsidRPr="00E06173">
        <w:t xml:space="preserve"> </w:t>
      </w:r>
      <w:proofErr w:type="spellStart"/>
      <w:r w:rsidR="00A92CDD" w:rsidRPr="00E06173">
        <w:t>linacs</w:t>
      </w:r>
      <w:proofErr w:type="spellEnd"/>
      <w:r w:rsidR="00A92CDD" w:rsidRPr="00E06173">
        <w:t xml:space="preserve"> </w:t>
      </w:r>
      <w:r w:rsidRPr="00E06173">
        <w:t xml:space="preserve">and courses per </w:t>
      </w:r>
      <w:proofErr w:type="spellStart"/>
      <w:r w:rsidR="00A92CDD" w:rsidRPr="00E06173">
        <w:t>linac</w:t>
      </w:r>
      <w:proofErr w:type="spellEnd"/>
    </w:p>
    <w:tbl>
      <w:tblPr>
        <w:tblStyle w:val="HMATableA"/>
        <w:tblW w:w="5000" w:type="pct"/>
        <w:tblLook w:val="04A0" w:firstRow="1" w:lastRow="0" w:firstColumn="1" w:lastColumn="0" w:noHBand="0" w:noVBand="1"/>
        <w:tblDescription w:val="Table 9.9 Treatment courses delivered, number of active linacs and courses per linac.  This table show the treatment courses delivered. This table contains 6 heading columns: 1. Type of facility, 2. Number of courses, 3. Number of linacs, 4. Average courses per linac, 5. Per cent (public or private), for the years 2014-15 to 2018-19."/>
      </w:tblPr>
      <w:tblGrid>
        <w:gridCol w:w="1336"/>
        <w:gridCol w:w="1626"/>
        <w:gridCol w:w="1301"/>
        <w:gridCol w:w="1584"/>
        <w:gridCol w:w="2645"/>
        <w:gridCol w:w="1543"/>
      </w:tblGrid>
      <w:tr w:rsidR="00036908" w:rsidRPr="009B6AA8" w14:paraId="1929396C" w14:textId="77777777" w:rsidTr="00941558">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666" w:type="pct"/>
            <w:noWrap/>
            <w:vAlign w:val="center"/>
            <w:hideMark/>
          </w:tcPr>
          <w:p w14:paraId="3BEE0C1C" w14:textId="77777777" w:rsidR="00036908" w:rsidRPr="00D65C79" w:rsidRDefault="00036908" w:rsidP="00264535">
            <w:pPr>
              <w:pStyle w:val="TableHeading"/>
            </w:pPr>
            <w:r w:rsidRPr="00D65C79">
              <w:t>Year</w:t>
            </w:r>
          </w:p>
        </w:tc>
        <w:tc>
          <w:tcPr>
            <w:tcW w:w="810" w:type="pct"/>
            <w:noWrap/>
            <w:vAlign w:val="center"/>
            <w:hideMark/>
          </w:tcPr>
          <w:p w14:paraId="36536D1B" w14:textId="77777777" w:rsidR="00036908" w:rsidRPr="00D65C79" w:rsidRDefault="00036908" w:rsidP="00264535">
            <w:pPr>
              <w:pStyle w:val="TableHeading"/>
              <w:cnfStyle w:val="100000000000" w:firstRow="1" w:lastRow="0" w:firstColumn="0" w:lastColumn="0" w:oddVBand="0" w:evenVBand="0" w:oddHBand="0" w:evenHBand="0" w:firstRowFirstColumn="0" w:firstRowLastColumn="0" w:lastRowFirstColumn="0" w:lastRowLastColumn="0"/>
            </w:pPr>
            <w:r w:rsidRPr="00D65C79">
              <w:t>Type</w:t>
            </w:r>
          </w:p>
        </w:tc>
        <w:tc>
          <w:tcPr>
            <w:tcW w:w="648" w:type="pct"/>
            <w:noWrap/>
            <w:vAlign w:val="center"/>
            <w:hideMark/>
          </w:tcPr>
          <w:p w14:paraId="398D83F8" w14:textId="77777777" w:rsidR="00036908" w:rsidRPr="009B6AA8" w:rsidRDefault="00036908" w:rsidP="00264535">
            <w:pPr>
              <w:pStyle w:val="TableHeading"/>
              <w:cnfStyle w:val="100000000000" w:firstRow="1" w:lastRow="0" w:firstColumn="0" w:lastColumn="0" w:oddVBand="0" w:evenVBand="0" w:oddHBand="0" w:evenHBand="0" w:firstRowFirstColumn="0" w:firstRowLastColumn="0" w:lastRowFirstColumn="0" w:lastRowLastColumn="0"/>
            </w:pPr>
            <w:r w:rsidRPr="009B6AA8">
              <w:t>Courses</w:t>
            </w:r>
          </w:p>
        </w:tc>
        <w:tc>
          <w:tcPr>
            <w:tcW w:w="789" w:type="pct"/>
            <w:noWrap/>
            <w:vAlign w:val="center"/>
            <w:hideMark/>
          </w:tcPr>
          <w:p w14:paraId="050C8ECC" w14:textId="77777777" w:rsidR="00036908" w:rsidRPr="009B6AA8" w:rsidRDefault="00036908" w:rsidP="00264535">
            <w:pPr>
              <w:pStyle w:val="TableHeading"/>
              <w:cnfStyle w:val="100000000000" w:firstRow="1" w:lastRow="0" w:firstColumn="0" w:lastColumn="0" w:oddVBand="0" w:evenVBand="0" w:oddHBand="0" w:evenHBand="0" w:firstRowFirstColumn="0" w:firstRowLastColumn="0" w:lastRowFirstColumn="0" w:lastRowLastColumn="0"/>
            </w:pPr>
            <w:r w:rsidRPr="009B6AA8">
              <w:t xml:space="preserve">No. </w:t>
            </w:r>
            <w:proofErr w:type="spellStart"/>
            <w:r w:rsidRPr="009B6AA8">
              <w:t>linacs</w:t>
            </w:r>
            <w:proofErr w:type="spellEnd"/>
          </w:p>
        </w:tc>
        <w:tc>
          <w:tcPr>
            <w:tcW w:w="1318" w:type="pct"/>
            <w:noWrap/>
            <w:vAlign w:val="center"/>
            <w:hideMark/>
          </w:tcPr>
          <w:p w14:paraId="4DCEE972" w14:textId="77777777" w:rsidR="00036908" w:rsidRPr="009B6AA8" w:rsidRDefault="00036908" w:rsidP="00264535">
            <w:pPr>
              <w:pStyle w:val="TableHeading"/>
              <w:cnfStyle w:val="100000000000" w:firstRow="1" w:lastRow="0" w:firstColumn="0" w:lastColumn="0" w:oddVBand="0" w:evenVBand="0" w:oddHBand="0" w:evenHBand="0" w:firstRowFirstColumn="0" w:firstRowLastColumn="0" w:lastRowFirstColumn="0" w:lastRowLastColumn="0"/>
            </w:pPr>
            <w:r w:rsidRPr="009B6AA8">
              <w:t xml:space="preserve">Average no. courses per </w:t>
            </w:r>
            <w:proofErr w:type="spellStart"/>
            <w:r w:rsidRPr="009B6AA8">
              <w:t>linac</w:t>
            </w:r>
            <w:proofErr w:type="spellEnd"/>
          </w:p>
        </w:tc>
        <w:tc>
          <w:tcPr>
            <w:tcW w:w="769" w:type="pct"/>
            <w:vAlign w:val="center"/>
          </w:tcPr>
          <w:p w14:paraId="15DEA33E" w14:textId="58A7BD59" w:rsidR="00DC3C64" w:rsidRPr="009B6AA8" w:rsidRDefault="00DC3C64" w:rsidP="00264535">
            <w:pPr>
              <w:pStyle w:val="TableHeading"/>
              <w:cnfStyle w:val="100000000000" w:firstRow="1" w:lastRow="0" w:firstColumn="0" w:lastColumn="0" w:oddVBand="0" w:evenVBand="0" w:oddHBand="0" w:evenHBand="0" w:firstRowFirstColumn="0" w:firstRowLastColumn="0" w:lastRowFirstColumn="0" w:lastRowLastColumn="0"/>
            </w:pPr>
            <w:r>
              <w:t>%</w:t>
            </w:r>
          </w:p>
        </w:tc>
      </w:tr>
      <w:tr w:rsidR="00FF2D3E" w:rsidRPr="009B6AA8" w14:paraId="5FDC1AF6" w14:textId="77777777" w:rsidTr="00941558">
        <w:trPr>
          <w:trHeight w:val="285"/>
        </w:trPr>
        <w:tc>
          <w:tcPr>
            <w:cnfStyle w:val="001000000000" w:firstRow="0" w:lastRow="0" w:firstColumn="1" w:lastColumn="0" w:oddVBand="0" w:evenVBand="0" w:oddHBand="0" w:evenHBand="0" w:firstRowFirstColumn="0" w:firstRowLastColumn="0" w:lastRowFirstColumn="0" w:lastRowLastColumn="0"/>
            <w:tcW w:w="666" w:type="pct"/>
            <w:noWrap/>
            <w:vAlign w:val="center"/>
            <w:hideMark/>
          </w:tcPr>
          <w:p w14:paraId="5D8CAB0A" w14:textId="1AC51DD5" w:rsidR="00FF2D3E" w:rsidRPr="00264535" w:rsidRDefault="00FF2D3E" w:rsidP="00264535">
            <w:pPr>
              <w:pStyle w:val="Tabletext"/>
              <w:rPr>
                <w:b/>
              </w:rPr>
            </w:pPr>
            <w:r w:rsidRPr="00264535">
              <w:rPr>
                <w:b/>
              </w:rPr>
              <w:t>2014–15</w:t>
            </w:r>
          </w:p>
        </w:tc>
        <w:tc>
          <w:tcPr>
            <w:tcW w:w="810" w:type="pct"/>
            <w:noWrap/>
            <w:vAlign w:val="center"/>
            <w:hideMark/>
          </w:tcPr>
          <w:p w14:paraId="788A916B"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Private</w:t>
            </w:r>
          </w:p>
        </w:tc>
        <w:tc>
          <w:tcPr>
            <w:tcW w:w="648" w:type="pct"/>
            <w:noWrap/>
            <w:vAlign w:val="center"/>
            <w:hideMark/>
          </w:tcPr>
          <w:p w14:paraId="76F9C08F"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16,595</w:t>
            </w:r>
          </w:p>
        </w:tc>
        <w:tc>
          <w:tcPr>
            <w:tcW w:w="789" w:type="pct"/>
            <w:noWrap/>
            <w:vAlign w:val="center"/>
            <w:hideMark/>
          </w:tcPr>
          <w:p w14:paraId="665D368B"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70</w:t>
            </w:r>
          </w:p>
        </w:tc>
        <w:tc>
          <w:tcPr>
            <w:tcW w:w="1318" w:type="pct"/>
            <w:noWrap/>
            <w:vAlign w:val="center"/>
            <w:hideMark/>
          </w:tcPr>
          <w:p w14:paraId="2102516F"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237</w:t>
            </w:r>
          </w:p>
        </w:tc>
        <w:tc>
          <w:tcPr>
            <w:tcW w:w="769" w:type="pct"/>
            <w:vAlign w:val="center"/>
          </w:tcPr>
          <w:p w14:paraId="70FAC81E"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30%</w:t>
            </w:r>
          </w:p>
        </w:tc>
      </w:tr>
      <w:tr w:rsidR="00FF2D3E" w:rsidRPr="009B6AA8" w14:paraId="35C68EEF" w14:textId="77777777" w:rsidTr="0094155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 w:type="pct"/>
            <w:vAlign w:val="center"/>
            <w:hideMark/>
          </w:tcPr>
          <w:p w14:paraId="1A033725" w14:textId="77777777" w:rsidR="00FF2D3E" w:rsidRPr="00264535" w:rsidRDefault="00FF2D3E" w:rsidP="00264535">
            <w:pPr>
              <w:pStyle w:val="Tabletext"/>
              <w:rPr>
                <w:b/>
              </w:rPr>
            </w:pPr>
          </w:p>
        </w:tc>
        <w:tc>
          <w:tcPr>
            <w:tcW w:w="810" w:type="pct"/>
            <w:noWrap/>
            <w:vAlign w:val="center"/>
            <w:hideMark/>
          </w:tcPr>
          <w:p w14:paraId="08674FE0"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Public</w:t>
            </w:r>
          </w:p>
        </w:tc>
        <w:tc>
          <w:tcPr>
            <w:tcW w:w="648" w:type="pct"/>
            <w:noWrap/>
            <w:vAlign w:val="center"/>
            <w:hideMark/>
          </w:tcPr>
          <w:p w14:paraId="7E6FF826"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39,781</w:t>
            </w:r>
          </w:p>
        </w:tc>
        <w:tc>
          <w:tcPr>
            <w:tcW w:w="789" w:type="pct"/>
            <w:noWrap/>
            <w:vAlign w:val="center"/>
            <w:hideMark/>
          </w:tcPr>
          <w:p w14:paraId="288FB75A"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101</w:t>
            </w:r>
          </w:p>
        </w:tc>
        <w:tc>
          <w:tcPr>
            <w:tcW w:w="1318" w:type="pct"/>
            <w:noWrap/>
            <w:vAlign w:val="center"/>
            <w:hideMark/>
          </w:tcPr>
          <w:p w14:paraId="2C79C0C0"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394</w:t>
            </w:r>
          </w:p>
        </w:tc>
        <w:tc>
          <w:tcPr>
            <w:tcW w:w="769" w:type="pct"/>
            <w:vAlign w:val="center"/>
          </w:tcPr>
          <w:p w14:paraId="55E46369"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70%</w:t>
            </w:r>
          </w:p>
        </w:tc>
      </w:tr>
      <w:tr w:rsidR="00FF2D3E" w:rsidRPr="009B6AA8" w14:paraId="08EBB27D" w14:textId="77777777" w:rsidTr="00941558">
        <w:trPr>
          <w:trHeight w:val="285"/>
        </w:trPr>
        <w:tc>
          <w:tcPr>
            <w:cnfStyle w:val="001000000000" w:firstRow="0" w:lastRow="0" w:firstColumn="1" w:lastColumn="0" w:oddVBand="0" w:evenVBand="0" w:oddHBand="0" w:evenHBand="0" w:firstRowFirstColumn="0" w:firstRowLastColumn="0" w:lastRowFirstColumn="0" w:lastRowLastColumn="0"/>
            <w:tcW w:w="666" w:type="pct"/>
            <w:noWrap/>
            <w:vAlign w:val="center"/>
            <w:hideMark/>
          </w:tcPr>
          <w:p w14:paraId="1D662DDC" w14:textId="7FA40931" w:rsidR="00FF2D3E" w:rsidRPr="00264535" w:rsidRDefault="00FF2D3E" w:rsidP="00264535">
            <w:pPr>
              <w:pStyle w:val="Tabletext"/>
              <w:rPr>
                <w:b/>
              </w:rPr>
            </w:pPr>
            <w:r w:rsidRPr="00264535">
              <w:rPr>
                <w:b/>
              </w:rPr>
              <w:t>2015–16</w:t>
            </w:r>
          </w:p>
        </w:tc>
        <w:tc>
          <w:tcPr>
            <w:tcW w:w="810" w:type="pct"/>
            <w:noWrap/>
            <w:vAlign w:val="center"/>
            <w:hideMark/>
          </w:tcPr>
          <w:p w14:paraId="73FA0BE3"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Private</w:t>
            </w:r>
          </w:p>
        </w:tc>
        <w:tc>
          <w:tcPr>
            <w:tcW w:w="648" w:type="pct"/>
            <w:noWrap/>
            <w:vAlign w:val="center"/>
            <w:hideMark/>
          </w:tcPr>
          <w:p w14:paraId="5AA701CB"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19,953</w:t>
            </w:r>
          </w:p>
        </w:tc>
        <w:tc>
          <w:tcPr>
            <w:tcW w:w="789" w:type="pct"/>
            <w:noWrap/>
            <w:vAlign w:val="center"/>
            <w:hideMark/>
          </w:tcPr>
          <w:p w14:paraId="53FCAC2D"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77</w:t>
            </w:r>
          </w:p>
        </w:tc>
        <w:tc>
          <w:tcPr>
            <w:tcW w:w="1318" w:type="pct"/>
            <w:noWrap/>
            <w:vAlign w:val="center"/>
            <w:hideMark/>
          </w:tcPr>
          <w:p w14:paraId="1F66159D"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259</w:t>
            </w:r>
          </w:p>
        </w:tc>
        <w:tc>
          <w:tcPr>
            <w:tcW w:w="769" w:type="pct"/>
            <w:vAlign w:val="center"/>
          </w:tcPr>
          <w:p w14:paraId="2A57E4A7"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38%</w:t>
            </w:r>
          </w:p>
        </w:tc>
      </w:tr>
      <w:tr w:rsidR="00FF2D3E" w:rsidRPr="009B6AA8" w14:paraId="7D9F2D58" w14:textId="77777777" w:rsidTr="0094155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 w:type="pct"/>
            <w:vAlign w:val="center"/>
            <w:hideMark/>
          </w:tcPr>
          <w:p w14:paraId="552B1464" w14:textId="77777777" w:rsidR="00FF2D3E" w:rsidRPr="00264535" w:rsidRDefault="00FF2D3E" w:rsidP="00264535">
            <w:pPr>
              <w:pStyle w:val="Tabletext"/>
              <w:rPr>
                <w:b/>
              </w:rPr>
            </w:pPr>
          </w:p>
        </w:tc>
        <w:tc>
          <w:tcPr>
            <w:tcW w:w="810" w:type="pct"/>
            <w:noWrap/>
            <w:vAlign w:val="center"/>
            <w:hideMark/>
          </w:tcPr>
          <w:p w14:paraId="70BA15E5"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Public</w:t>
            </w:r>
          </w:p>
        </w:tc>
        <w:tc>
          <w:tcPr>
            <w:tcW w:w="648" w:type="pct"/>
            <w:noWrap/>
            <w:vAlign w:val="center"/>
            <w:hideMark/>
          </w:tcPr>
          <w:p w14:paraId="2DE6DCAA"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40,627</w:t>
            </w:r>
          </w:p>
        </w:tc>
        <w:tc>
          <w:tcPr>
            <w:tcW w:w="789" w:type="pct"/>
            <w:noWrap/>
            <w:vAlign w:val="center"/>
            <w:hideMark/>
          </w:tcPr>
          <w:p w14:paraId="0CAC43F2"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107</w:t>
            </w:r>
          </w:p>
        </w:tc>
        <w:tc>
          <w:tcPr>
            <w:tcW w:w="1318" w:type="pct"/>
            <w:noWrap/>
            <w:vAlign w:val="center"/>
            <w:hideMark/>
          </w:tcPr>
          <w:p w14:paraId="47B75AC1"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380</w:t>
            </w:r>
          </w:p>
        </w:tc>
        <w:tc>
          <w:tcPr>
            <w:tcW w:w="769" w:type="pct"/>
            <w:vAlign w:val="center"/>
          </w:tcPr>
          <w:p w14:paraId="60216EA9"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62%</w:t>
            </w:r>
          </w:p>
        </w:tc>
      </w:tr>
      <w:tr w:rsidR="00FF2D3E" w:rsidRPr="009B6AA8" w14:paraId="5B8808DA" w14:textId="77777777" w:rsidTr="00941558">
        <w:trPr>
          <w:trHeight w:val="285"/>
        </w:trPr>
        <w:tc>
          <w:tcPr>
            <w:cnfStyle w:val="001000000000" w:firstRow="0" w:lastRow="0" w:firstColumn="1" w:lastColumn="0" w:oddVBand="0" w:evenVBand="0" w:oddHBand="0" w:evenHBand="0" w:firstRowFirstColumn="0" w:firstRowLastColumn="0" w:lastRowFirstColumn="0" w:lastRowLastColumn="0"/>
            <w:tcW w:w="666" w:type="pct"/>
            <w:noWrap/>
            <w:vAlign w:val="center"/>
            <w:hideMark/>
          </w:tcPr>
          <w:p w14:paraId="5E9B9502" w14:textId="3D83639E" w:rsidR="00FF2D3E" w:rsidRPr="00264535" w:rsidRDefault="00FF2D3E" w:rsidP="00264535">
            <w:pPr>
              <w:pStyle w:val="Tabletext"/>
              <w:rPr>
                <w:b/>
              </w:rPr>
            </w:pPr>
            <w:r w:rsidRPr="00264535">
              <w:rPr>
                <w:b/>
              </w:rPr>
              <w:t>2016–17</w:t>
            </w:r>
          </w:p>
        </w:tc>
        <w:tc>
          <w:tcPr>
            <w:tcW w:w="810" w:type="pct"/>
            <w:noWrap/>
            <w:vAlign w:val="center"/>
            <w:hideMark/>
          </w:tcPr>
          <w:p w14:paraId="11B05A4D"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Private</w:t>
            </w:r>
          </w:p>
        </w:tc>
        <w:tc>
          <w:tcPr>
            <w:tcW w:w="648" w:type="pct"/>
            <w:noWrap/>
            <w:vAlign w:val="center"/>
            <w:hideMark/>
          </w:tcPr>
          <w:p w14:paraId="3584F704"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18,471</w:t>
            </w:r>
          </w:p>
        </w:tc>
        <w:tc>
          <w:tcPr>
            <w:tcW w:w="789" w:type="pct"/>
            <w:noWrap/>
            <w:vAlign w:val="center"/>
            <w:hideMark/>
          </w:tcPr>
          <w:p w14:paraId="49053363"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80</w:t>
            </w:r>
          </w:p>
        </w:tc>
        <w:tc>
          <w:tcPr>
            <w:tcW w:w="1318" w:type="pct"/>
            <w:noWrap/>
            <w:vAlign w:val="center"/>
            <w:hideMark/>
          </w:tcPr>
          <w:p w14:paraId="67913C1F"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231</w:t>
            </w:r>
          </w:p>
        </w:tc>
        <w:tc>
          <w:tcPr>
            <w:tcW w:w="769" w:type="pct"/>
            <w:vAlign w:val="center"/>
          </w:tcPr>
          <w:p w14:paraId="49BC6553"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41%</w:t>
            </w:r>
          </w:p>
        </w:tc>
      </w:tr>
      <w:tr w:rsidR="00FF2D3E" w:rsidRPr="009B6AA8" w14:paraId="6E884C38" w14:textId="77777777" w:rsidTr="0094155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 w:type="pct"/>
            <w:vAlign w:val="center"/>
            <w:hideMark/>
          </w:tcPr>
          <w:p w14:paraId="0CC87C06" w14:textId="77777777" w:rsidR="00FF2D3E" w:rsidRPr="00264535" w:rsidRDefault="00FF2D3E" w:rsidP="00264535">
            <w:pPr>
              <w:pStyle w:val="Tabletext"/>
              <w:rPr>
                <w:b/>
              </w:rPr>
            </w:pPr>
          </w:p>
        </w:tc>
        <w:tc>
          <w:tcPr>
            <w:tcW w:w="810" w:type="pct"/>
            <w:noWrap/>
            <w:vAlign w:val="center"/>
            <w:hideMark/>
          </w:tcPr>
          <w:p w14:paraId="024AAA15"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Public</w:t>
            </w:r>
          </w:p>
        </w:tc>
        <w:tc>
          <w:tcPr>
            <w:tcW w:w="648" w:type="pct"/>
            <w:noWrap/>
            <w:vAlign w:val="center"/>
            <w:hideMark/>
          </w:tcPr>
          <w:p w14:paraId="056B8814"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45,060</w:t>
            </w:r>
          </w:p>
        </w:tc>
        <w:tc>
          <w:tcPr>
            <w:tcW w:w="789" w:type="pct"/>
            <w:noWrap/>
            <w:vAlign w:val="center"/>
            <w:hideMark/>
          </w:tcPr>
          <w:p w14:paraId="09500D56"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111</w:t>
            </w:r>
          </w:p>
        </w:tc>
        <w:tc>
          <w:tcPr>
            <w:tcW w:w="1318" w:type="pct"/>
            <w:noWrap/>
            <w:vAlign w:val="center"/>
            <w:hideMark/>
          </w:tcPr>
          <w:p w14:paraId="5F1C4AD6"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406</w:t>
            </w:r>
          </w:p>
        </w:tc>
        <w:tc>
          <w:tcPr>
            <w:tcW w:w="769" w:type="pct"/>
            <w:vAlign w:val="center"/>
          </w:tcPr>
          <w:p w14:paraId="5B6FE3F0"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59%</w:t>
            </w:r>
          </w:p>
        </w:tc>
      </w:tr>
      <w:tr w:rsidR="00FF2D3E" w:rsidRPr="009B6AA8" w14:paraId="1EB36FDC" w14:textId="77777777" w:rsidTr="00941558">
        <w:trPr>
          <w:trHeight w:val="285"/>
        </w:trPr>
        <w:tc>
          <w:tcPr>
            <w:cnfStyle w:val="001000000000" w:firstRow="0" w:lastRow="0" w:firstColumn="1" w:lastColumn="0" w:oddVBand="0" w:evenVBand="0" w:oddHBand="0" w:evenHBand="0" w:firstRowFirstColumn="0" w:firstRowLastColumn="0" w:lastRowFirstColumn="0" w:lastRowLastColumn="0"/>
            <w:tcW w:w="666" w:type="pct"/>
            <w:noWrap/>
            <w:vAlign w:val="center"/>
            <w:hideMark/>
          </w:tcPr>
          <w:p w14:paraId="7DE0FEF8" w14:textId="596263B0" w:rsidR="00FF2D3E" w:rsidRPr="00264535" w:rsidRDefault="00FF2D3E" w:rsidP="00264535">
            <w:pPr>
              <w:pStyle w:val="Tabletext"/>
              <w:rPr>
                <w:b/>
              </w:rPr>
            </w:pPr>
            <w:r w:rsidRPr="00264535">
              <w:rPr>
                <w:b/>
              </w:rPr>
              <w:t>2017–18</w:t>
            </w:r>
          </w:p>
        </w:tc>
        <w:tc>
          <w:tcPr>
            <w:tcW w:w="810" w:type="pct"/>
            <w:noWrap/>
            <w:vAlign w:val="center"/>
            <w:hideMark/>
          </w:tcPr>
          <w:p w14:paraId="3BA26F66"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Private</w:t>
            </w:r>
          </w:p>
        </w:tc>
        <w:tc>
          <w:tcPr>
            <w:tcW w:w="648" w:type="pct"/>
            <w:noWrap/>
            <w:vAlign w:val="center"/>
            <w:hideMark/>
          </w:tcPr>
          <w:p w14:paraId="619866E8"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21,850</w:t>
            </w:r>
          </w:p>
        </w:tc>
        <w:tc>
          <w:tcPr>
            <w:tcW w:w="789" w:type="pct"/>
            <w:noWrap/>
            <w:vAlign w:val="center"/>
            <w:hideMark/>
          </w:tcPr>
          <w:p w14:paraId="2EB0BDBB"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95</w:t>
            </w:r>
          </w:p>
        </w:tc>
        <w:tc>
          <w:tcPr>
            <w:tcW w:w="1318" w:type="pct"/>
            <w:noWrap/>
            <w:vAlign w:val="center"/>
            <w:hideMark/>
          </w:tcPr>
          <w:p w14:paraId="4D6B748B"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230</w:t>
            </w:r>
          </w:p>
        </w:tc>
        <w:tc>
          <w:tcPr>
            <w:tcW w:w="769" w:type="pct"/>
            <w:vAlign w:val="center"/>
          </w:tcPr>
          <w:p w14:paraId="2E62C885"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36%</w:t>
            </w:r>
          </w:p>
        </w:tc>
      </w:tr>
      <w:tr w:rsidR="00FF2D3E" w:rsidRPr="009B6AA8" w14:paraId="0E0604FF" w14:textId="77777777" w:rsidTr="0094155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 w:type="pct"/>
            <w:vAlign w:val="center"/>
            <w:hideMark/>
          </w:tcPr>
          <w:p w14:paraId="64D700B8" w14:textId="77777777" w:rsidR="00FF2D3E" w:rsidRPr="00264535" w:rsidRDefault="00FF2D3E" w:rsidP="00264535">
            <w:pPr>
              <w:pStyle w:val="Tabletext"/>
              <w:rPr>
                <w:b/>
              </w:rPr>
            </w:pPr>
          </w:p>
        </w:tc>
        <w:tc>
          <w:tcPr>
            <w:tcW w:w="810" w:type="pct"/>
            <w:noWrap/>
            <w:vAlign w:val="center"/>
            <w:hideMark/>
          </w:tcPr>
          <w:p w14:paraId="27437CB8"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Public</w:t>
            </w:r>
          </w:p>
        </w:tc>
        <w:tc>
          <w:tcPr>
            <w:tcW w:w="648" w:type="pct"/>
            <w:noWrap/>
            <w:vAlign w:val="center"/>
            <w:hideMark/>
          </w:tcPr>
          <w:p w14:paraId="63146B92"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45,923</w:t>
            </w:r>
          </w:p>
        </w:tc>
        <w:tc>
          <w:tcPr>
            <w:tcW w:w="789" w:type="pct"/>
            <w:noWrap/>
            <w:vAlign w:val="center"/>
            <w:hideMark/>
          </w:tcPr>
          <w:p w14:paraId="216F99E1"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111</w:t>
            </w:r>
          </w:p>
        </w:tc>
        <w:tc>
          <w:tcPr>
            <w:tcW w:w="1318" w:type="pct"/>
            <w:noWrap/>
            <w:vAlign w:val="center"/>
            <w:hideMark/>
          </w:tcPr>
          <w:p w14:paraId="516F1E69"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414</w:t>
            </w:r>
          </w:p>
        </w:tc>
        <w:tc>
          <w:tcPr>
            <w:tcW w:w="769" w:type="pct"/>
            <w:vAlign w:val="center"/>
          </w:tcPr>
          <w:p w14:paraId="2EEE7B89"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64%</w:t>
            </w:r>
          </w:p>
        </w:tc>
      </w:tr>
      <w:tr w:rsidR="00FF2D3E" w:rsidRPr="009B6AA8" w14:paraId="3A5E6254" w14:textId="77777777" w:rsidTr="00941558">
        <w:trPr>
          <w:trHeight w:val="285"/>
        </w:trPr>
        <w:tc>
          <w:tcPr>
            <w:cnfStyle w:val="001000000000" w:firstRow="0" w:lastRow="0" w:firstColumn="1" w:lastColumn="0" w:oddVBand="0" w:evenVBand="0" w:oddHBand="0" w:evenHBand="0" w:firstRowFirstColumn="0" w:firstRowLastColumn="0" w:lastRowFirstColumn="0" w:lastRowLastColumn="0"/>
            <w:tcW w:w="666" w:type="pct"/>
            <w:noWrap/>
            <w:vAlign w:val="center"/>
            <w:hideMark/>
          </w:tcPr>
          <w:p w14:paraId="17FA7664" w14:textId="00D3AA46" w:rsidR="00FF2D3E" w:rsidRPr="00264535" w:rsidRDefault="00FF2D3E" w:rsidP="00264535">
            <w:pPr>
              <w:pStyle w:val="Tabletext"/>
              <w:rPr>
                <w:b/>
              </w:rPr>
            </w:pPr>
            <w:r w:rsidRPr="00264535">
              <w:rPr>
                <w:b/>
              </w:rPr>
              <w:t>2018–19</w:t>
            </w:r>
          </w:p>
        </w:tc>
        <w:tc>
          <w:tcPr>
            <w:tcW w:w="810" w:type="pct"/>
            <w:noWrap/>
            <w:vAlign w:val="center"/>
            <w:hideMark/>
          </w:tcPr>
          <w:p w14:paraId="7E9CA64D"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Private</w:t>
            </w:r>
          </w:p>
        </w:tc>
        <w:tc>
          <w:tcPr>
            <w:tcW w:w="648" w:type="pct"/>
            <w:noWrap/>
            <w:vAlign w:val="center"/>
            <w:hideMark/>
          </w:tcPr>
          <w:p w14:paraId="5AA4DF38"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26,899</w:t>
            </w:r>
          </w:p>
        </w:tc>
        <w:tc>
          <w:tcPr>
            <w:tcW w:w="789" w:type="pct"/>
            <w:noWrap/>
            <w:vAlign w:val="center"/>
            <w:hideMark/>
          </w:tcPr>
          <w:p w14:paraId="02143BF1"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94</w:t>
            </w:r>
          </w:p>
        </w:tc>
        <w:tc>
          <w:tcPr>
            <w:tcW w:w="1318" w:type="pct"/>
            <w:noWrap/>
            <w:vAlign w:val="center"/>
            <w:hideMark/>
          </w:tcPr>
          <w:p w14:paraId="5D4C42CC"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286</w:t>
            </w:r>
          </w:p>
        </w:tc>
        <w:tc>
          <w:tcPr>
            <w:tcW w:w="769" w:type="pct"/>
            <w:vAlign w:val="center"/>
          </w:tcPr>
          <w:p w14:paraId="51AB796E" w14:textId="77777777" w:rsidR="00FF2D3E" w:rsidRPr="009B6AA8" w:rsidRDefault="00FF2D3E" w:rsidP="00264535">
            <w:pPr>
              <w:pStyle w:val="Tabletext"/>
              <w:cnfStyle w:val="000000000000" w:firstRow="0" w:lastRow="0" w:firstColumn="0" w:lastColumn="0" w:oddVBand="0" w:evenVBand="0" w:oddHBand="0" w:evenHBand="0" w:firstRowFirstColumn="0" w:firstRowLastColumn="0" w:lastRowFirstColumn="0" w:lastRowLastColumn="0"/>
            </w:pPr>
            <w:r w:rsidRPr="009B6AA8">
              <w:t>36%</w:t>
            </w:r>
          </w:p>
        </w:tc>
      </w:tr>
      <w:tr w:rsidR="00FF2D3E" w:rsidRPr="009B6AA8" w14:paraId="77C216F7" w14:textId="77777777" w:rsidTr="0094155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 w:type="pct"/>
            <w:vAlign w:val="center"/>
            <w:hideMark/>
          </w:tcPr>
          <w:p w14:paraId="51EF0389" w14:textId="77777777" w:rsidR="00FF2D3E" w:rsidRPr="00264535" w:rsidRDefault="00FF2D3E" w:rsidP="00264535">
            <w:pPr>
              <w:pStyle w:val="Tabletext"/>
              <w:rPr>
                <w:b/>
              </w:rPr>
            </w:pPr>
          </w:p>
        </w:tc>
        <w:tc>
          <w:tcPr>
            <w:tcW w:w="810" w:type="pct"/>
            <w:noWrap/>
            <w:vAlign w:val="center"/>
            <w:hideMark/>
          </w:tcPr>
          <w:p w14:paraId="5967827F"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Public</w:t>
            </w:r>
          </w:p>
        </w:tc>
        <w:tc>
          <w:tcPr>
            <w:tcW w:w="648" w:type="pct"/>
            <w:noWrap/>
            <w:vAlign w:val="center"/>
            <w:hideMark/>
          </w:tcPr>
          <w:p w14:paraId="73063945"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47,300</w:t>
            </w:r>
          </w:p>
        </w:tc>
        <w:tc>
          <w:tcPr>
            <w:tcW w:w="789" w:type="pct"/>
            <w:noWrap/>
            <w:vAlign w:val="center"/>
            <w:hideMark/>
          </w:tcPr>
          <w:p w14:paraId="50D004ED"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106</w:t>
            </w:r>
          </w:p>
        </w:tc>
        <w:tc>
          <w:tcPr>
            <w:tcW w:w="1318" w:type="pct"/>
            <w:noWrap/>
            <w:vAlign w:val="center"/>
            <w:hideMark/>
          </w:tcPr>
          <w:p w14:paraId="5759D17C"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446</w:t>
            </w:r>
          </w:p>
        </w:tc>
        <w:tc>
          <w:tcPr>
            <w:tcW w:w="769" w:type="pct"/>
            <w:vAlign w:val="center"/>
          </w:tcPr>
          <w:p w14:paraId="2BC676A3" w14:textId="77777777" w:rsidR="00FF2D3E" w:rsidRPr="009B6AA8" w:rsidRDefault="00FF2D3E" w:rsidP="00264535">
            <w:pPr>
              <w:pStyle w:val="Tabletext"/>
              <w:cnfStyle w:val="000000010000" w:firstRow="0" w:lastRow="0" w:firstColumn="0" w:lastColumn="0" w:oddVBand="0" w:evenVBand="0" w:oddHBand="0" w:evenHBand="1" w:firstRowFirstColumn="0" w:firstRowLastColumn="0" w:lastRowFirstColumn="0" w:lastRowLastColumn="0"/>
            </w:pPr>
            <w:r w:rsidRPr="009B6AA8">
              <w:t>64%</w:t>
            </w:r>
          </w:p>
        </w:tc>
      </w:tr>
    </w:tbl>
    <w:p w14:paraId="6BF7F412" w14:textId="1E3C7F59" w:rsidR="00036908" w:rsidRPr="009B6AA8" w:rsidRDefault="00036908" w:rsidP="0079376F">
      <w:pPr>
        <w:pStyle w:val="TableNotes"/>
      </w:pPr>
      <w:r w:rsidRPr="009B6AA8">
        <w:t>Sources: calculated using data from AIHW radiotherapy in 2018</w:t>
      </w:r>
      <w:r w:rsidR="00E61AD5" w:rsidRPr="009B6AA8">
        <w:t>–</w:t>
      </w:r>
      <w:r w:rsidRPr="009B6AA8">
        <w:t>19 and ROHPG equipment report</w:t>
      </w:r>
    </w:p>
    <w:p w14:paraId="4467F4D8" w14:textId="77777777" w:rsidR="00373EE3" w:rsidRDefault="00DC3C64" w:rsidP="00DF2D1F">
      <w:pPr>
        <w:pStyle w:val="Heading5"/>
      </w:pPr>
      <w:bookmarkStart w:id="338" w:name="_Hlk55815906"/>
      <w:r w:rsidRPr="009B6AA8">
        <w:t>Finding</w:t>
      </w:r>
    </w:p>
    <w:p w14:paraId="33D77A82" w14:textId="77777777" w:rsidR="00373EE3" w:rsidRDefault="00DC3C64" w:rsidP="00DC3C64">
      <w:r w:rsidRPr="009B6AA8">
        <w:t xml:space="preserve">There is little evidence to suggest that there is a significant difference in the service throughput of public and private </w:t>
      </w:r>
      <w:r>
        <w:t>facilities</w:t>
      </w:r>
      <w:r w:rsidRPr="009B6AA8">
        <w:t xml:space="preserve"> to warrant different rates of ROHPG payments. However, it should be noted that the data analysed has been based on averages and has not considered the complexity of individual cases or treatments provided.</w:t>
      </w:r>
    </w:p>
    <w:p w14:paraId="3D5C309D" w14:textId="467014A6" w:rsidR="00242093" w:rsidRPr="009B6AA8" w:rsidRDefault="00DC3C64" w:rsidP="001070DC">
      <w:r w:rsidRPr="009B6AA8">
        <w:t xml:space="preserve">As shown in </w:t>
      </w:r>
      <w:r w:rsidRPr="00D65C79">
        <w:fldChar w:fldCharType="begin"/>
      </w:r>
      <w:r w:rsidRPr="009B6AA8">
        <w:instrText xml:space="preserve"> REF _Ref56166891 \h  \* MERGEFORMAT </w:instrText>
      </w:r>
      <w:r w:rsidRPr="00D65C79">
        <w:fldChar w:fldCharType="separate"/>
      </w:r>
      <w:r w:rsidR="007C0448" w:rsidRPr="00D65C79">
        <w:t xml:space="preserve">Figure </w:t>
      </w:r>
      <w:r w:rsidR="007C0448">
        <w:rPr>
          <w:rFonts w:hint="cs"/>
          <w:noProof/>
          <w:cs/>
        </w:rPr>
        <w:t>‎</w:t>
      </w:r>
      <w:r w:rsidR="007C0448">
        <w:rPr>
          <w:noProof/>
        </w:rPr>
        <w:t>9</w:t>
      </w:r>
      <w:r w:rsidR="007C0448" w:rsidRPr="00D65C79">
        <w:rPr>
          <w:noProof/>
        </w:rPr>
        <w:t>.</w:t>
      </w:r>
      <w:r w:rsidR="007C0448">
        <w:rPr>
          <w:noProof/>
        </w:rPr>
        <w:t>4</w:t>
      </w:r>
      <w:r w:rsidRPr="00D65C79">
        <w:fldChar w:fldCharType="end"/>
      </w:r>
      <w:r w:rsidRPr="00D65C79">
        <w:t>, it must also be noted that</w:t>
      </w:r>
      <w:r w:rsidR="00577DBF">
        <w:t>,</w:t>
      </w:r>
      <w:r w:rsidRPr="00D65C79">
        <w:t xml:space="preserve"> while </w:t>
      </w:r>
      <w:r w:rsidR="00577DBF">
        <w:t xml:space="preserve">the </w:t>
      </w:r>
      <w:r w:rsidRPr="00D65C79">
        <w:t xml:space="preserve">average number of MBS services per year is approximately 6,000 per </w:t>
      </w:r>
      <w:proofErr w:type="spellStart"/>
      <w:r w:rsidRPr="00D65C79">
        <w:t>linac</w:t>
      </w:r>
      <w:proofErr w:type="spellEnd"/>
      <w:r w:rsidRPr="00D65C79">
        <w:t xml:space="preserve"> in both public and private facilities, the throughput at individual sites is greatly varied and some sites did claim 8,000 or more services per year per </w:t>
      </w:r>
      <w:proofErr w:type="spellStart"/>
      <w:r w:rsidRPr="00D65C79">
        <w:t>linac</w:t>
      </w:r>
      <w:proofErr w:type="spellEnd"/>
      <w:r w:rsidRPr="00D65C79">
        <w:t>. In 2019</w:t>
      </w:r>
      <w:r w:rsidRPr="009B6AA8">
        <w:t>–20, there were 1</w:t>
      </w:r>
      <w:r>
        <w:t>7</w:t>
      </w:r>
      <w:r w:rsidRPr="009B6AA8">
        <w:t xml:space="preserve"> private and </w:t>
      </w:r>
      <w:r>
        <w:t>eight</w:t>
      </w:r>
      <w:r w:rsidRPr="009B6AA8">
        <w:t xml:space="preserve"> public facilities that indicated an annual service usage of 8,000 or more per </w:t>
      </w:r>
      <w:proofErr w:type="spellStart"/>
      <w:r w:rsidRPr="009B6AA8">
        <w:t>linac</w:t>
      </w:r>
      <w:proofErr w:type="spellEnd"/>
      <w:r w:rsidRPr="009B6AA8">
        <w:t xml:space="preserve">. Conversely, there were also public and private facilities that recorded </w:t>
      </w:r>
      <w:r w:rsidR="00072591">
        <w:t>fewer</w:t>
      </w:r>
      <w:r w:rsidR="00072591" w:rsidRPr="009B6AA8">
        <w:t xml:space="preserve"> </w:t>
      </w:r>
      <w:r w:rsidRPr="009B6AA8">
        <w:t xml:space="preserve">than 3,000 services per </w:t>
      </w:r>
      <w:proofErr w:type="spellStart"/>
      <w:r w:rsidRPr="009B6AA8">
        <w:t>linac</w:t>
      </w:r>
      <w:proofErr w:type="spellEnd"/>
      <w:r w:rsidRPr="009B6AA8">
        <w:t xml:space="preserve"> per year. In 2019–20, there were </w:t>
      </w:r>
      <w:r>
        <w:t>19</w:t>
      </w:r>
      <w:r w:rsidRPr="009B6AA8">
        <w:t xml:space="preserve"> private and </w:t>
      </w:r>
      <w:r>
        <w:t>six</w:t>
      </w:r>
      <w:r w:rsidRPr="009B6AA8">
        <w:t xml:space="preserve"> public facilities with </w:t>
      </w:r>
      <w:r w:rsidR="00072591">
        <w:t>fewer</w:t>
      </w:r>
      <w:r w:rsidR="00072591" w:rsidRPr="009B6AA8">
        <w:t xml:space="preserve"> </w:t>
      </w:r>
      <w:r w:rsidRPr="009B6AA8">
        <w:t xml:space="preserve">than 3,000 services per </w:t>
      </w:r>
      <w:proofErr w:type="spellStart"/>
      <w:r w:rsidRPr="009B6AA8">
        <w:t>linac</w:t>
      </w:r>
      <w:proofErr w:type="spellEnd"/>
      <w:r w:rsidRPr="009B6AA8">
        <w:t>.</w:t>
      </w:r>
    </w:p>
    <w:p w14:paraId="387ADB17" w14:textId="35275254" w:rsidR="00242093" w:rsidRPr="009B6AA8" w:rsidRDefault="00242093" w:rsidP="00036908">
      <w:pPr>
        <w:sectPr w:rsidR="00242093" w:rsidRPr="009B6AA8" w:rsidSect="001070DC">
          <w:pgSz w:w="11906" w:h="16838" w:code="9"/>
          <w:pgMar w:top="1304" w:right="1134" w:bottom="737" w:left="737" w:header="567" w:footer="284" w:gutter="0"/>
          <w:cols w:space="708"/>
          <w:docGrid w:linePitch="360"/>
        </w:sectPr>
      </w:pPr>
    </w:p>
    <w:p w14:paraId="5E88E675" w14:textId="77777777" w:rsidR="00373EE3" w:rsidRPr="00E06173" w:rsidRDefault="00036908" w:rsidP="00036908">
      <w:pPr>
        <w:pStyle w:val="Caption"/>
      </w:pPr>
      <w:bookmarkStart w:id="339" w:name="_Ref56166891"/>
      <w:bookmarkEnd w:id="338"/>
      <w:r w:rsidRPr="00D65C79">
        <w:lastRenderedPageBreak/>
        <w:t xml:space="preserve">Figure </w:t>
      </w:r>
      <w:r w:rsidR="007B4ED4" w:rsidRPr="00D65C79">
        <w:fldChar w:fldCharType="begin"/>
      </w:r>
      <w:r w:rsidR="007B4ED4" w:rsidRPr="009B6AA8">
        <w:instrText xml:space="preserve"> STYLEREF 1 \s </w:instrText>
      </w:r>
      <w:r w:rsidR="007B4ED4" w:rsidRPr="00D65C79">
        <w:fldChar w:fldCharType="separate"/>
      </w:r>
      <w:r w:rsidR="007C0448">
        <w:rPr>
          <w:rFonts w:hint="cs"/>
          <w:noProof/>
          <w:cs/>
        </w:rPr>
        <w:t>‎</w:t>
      </w:r>
      <w:r w:rsidR="007C0448">
        <w:rPr>
          <w:noProof/>
        </w:rPr>
        <w:t>9</w:t>
      </w:r>
      <w:r w:rsidR="007B4ED4" w:rsidRPr="00D65C79">
        <w:rPr>
          <w:noProof/>
        </w:rPr>
        <w:fldChar w:fldCharType="end"/>
      </w:r>
      <w:r w:rsidR="006A4D42" w:rsidRPr="00D65C79">
        <w:t>.</w:t>
      </w:r>
      <w:r w:rsidR="007B4ED4" w:rsidRPr="00D65C79">
        <w:fldChar w:fldCharType="begin"/>
      </w:r>
      <w:r w:rsidR="007B4ED4" w:rsidRPr="009B6AA8">
        <w:instrText xml:space="preserve"> SEQ Figure \* ARABIC \s 1 </w:instrText>
      </w:r>
      <w:r w:rsidR="007B4ED4" w:rsidRPr="00D65C79">
        <w:fldChar w:fldCharType="separate"/>
      </w:r>
      <w:r w:rsidR="007C0448">
        <w:rPr>
          <w:noProof/>
        </w:rPr>
        <w:t>4</w:t>
      </w:r>
      <w:r w:rsidR="007B4ED4" w:rsidRPr="00D65C79">
        <w:rPr>
          <w:noProof/>
        </w:rPr>
        <w:fldChar w:fldCharType="end"/>
      </w:r>
      <w:bookmarkEnd w:id="339"/>
      <w:r w:rsidRPr="00D65C79">
        <w:t xml:space="preserve">: </w:t>
      </w:r>
      <w:r w:rsidRPr="00E06173">
        <w:t xml:space="preserve">Number of facilities </w:t>
      </w:r>
      <w:r w:rsidR="00242093" w:rsidRPr="00E06173">
        <w:t xml:space="preserve">grouped by volume of </w:t>
      </w:r>
      <w:r w:rsidRPr="00E06173">
        <w:t xml:space="preserve">annual services per </w:t>
      </w:r>
      <w:proofErr w:type="spellStart"/>
      <w:r w:rsidRPr="00E06173">
        <w:t>linac</w:t>
      </w:r>
      <w:proofErr w:type="spellEnd"/>
      <w:r w:rsidR="00242093" w:rsidRPr="00E06173">
        <w:t>, 2019</w:t>
      </w:r>
      <w:r w:rsidR="00E61AD5" w:rsidRPr="00E06173">
        <w:t>–</w:t>
      </w:r>
      <w:r w:rsidR="00242093" w:rsidRPr="00E06173">
        <w:t>20</w:t>
      </w:r>
    </w:p>
    <w:p w14:paraId="4C6A6E34" w14:textId="42B5F9DB" w:rsidR="00345322" w:rsidRPr="00D65C79" w:rsidRDefault="00255344" w:rsidP="00264535">
      <w:r w:rsidRPr="00255344">
        <w:rPr>
          <w:noProof/>
          <w:lang w:eastAsia="en-AU"/>
        </w:rPr>
        <w:drawing>
          <wp:inline distT="0" distB="0" distL="0" distR="0" wp14:anchorId="1EA7D3F7" wp14:editId="20967D34">
            <wp:extent cx="6834645" cy="3314700"/>
            <wp:effectExtent l="0" t="0" r="4445" b="0"/>
            <wp:docPr id="77" name="Picture 77" descr="Figure 9.4 Number of facilities grouped by volume of annual services per linac, 2019-20 -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9.4 Number of facilities grouped by volume of annual services per linac, 2019-20 - bar grap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39537" cy="3317073"/>
                    </a:xfrm>
                    <a:prstGeom prst="rect">
                      <a:avLst/>
                    </a:prstGeom>
                    <a:noFill/>
                    <a:ln>
                      <a:noFill/>
                    </a:ln>
                  </pic:spPr>
                </pic:pic>
              </a:graphicData>
            </a:graphic>
          </wp:inline>
        </w:drawing>
      </w:r>
    </w:p>
    <w:p w14:paraId="49614194" w14:textId="6037FDFE" w:rsidR="008F1508" w:rsidRDefault="008F1508" w:rsidP="0079376F">
      <w:pPr>
        <w:pStyle w:val="TableNotes"/>
      </w:pPr>
    </w:p>
    <w:p w14:paraId="226AD266" w14:textId="77777777" w:rsidR="00A74A9F" w:rsidRPr="009B6AA8" w:rsidRDefault="00A74A9F" w:rsidP="00A74A9F">
      <w:pPr>
        <w:sectPr w:rsidR="00A74A9F" w:rsidRPr="009B6AA8" w:rsidSect="001070DC">
          <w:pgSz w:w="16838" w:h="11906" w:orient="landscape" w:code="9"/>
          <w:pgMar w:top="737" w:right="1304" w:bottom="1134" w:left="737" w:header="567" w:footer="284" w:gutter="0"/>
          <w:cols w:space="708"/>
          <w:docGrid w:linePitch="360"/>
        </w:sectPr>
      </w:pPr>
    </w:p>
    <w:p w14:paraId="707613AE" w14:textId="0911DDB0" w:rsidR="0010422E" w:rsidRPr="00D65C79" w:rsidRDefault="00733B81" w:rsidP="00DF2D1F">
      <w:pPr>
        <w:pStyle w:val="Heading3"/>
      </w:pPr>
      <w:bookmarkStart w:id="340" w:name="_Ref56338501"/>
      <w:bookmarkStart w:id="341" w:name="_Toc59198517"/>
      <w:bookmarkStart w:id="342" w:name="_Toc66193998"/>
      <w:bookmarkStart w:id="343" w:name="_Toc73696726"/>
      <w:r>
        <w:lastRenderedPageBreak/>
        <w:t xml:space="preserve">Appendix F </w:t>
      </w:r>
      <w:r w:rsidR="0010422E" w:rsidRPr="00D65C79">
        <w:t>Bulk-billing rates</w:t>
      </w:r>
      <w:bookmarkEnd w:id="340"/>
      <w:bookmarkEnd w:id="341"/>
      <w:bookmarkEnd w:id="342"/>
      <w:bookmarkEnd w:id="343"/>
    </w:p>
    <w:p w14:paraId="7CDDFA56" w14:textId="3DEBE689" w:rsidR="0010422E" w:rsidRPr="00E06173" w:rsidRDefault="0010422E" w:rsidP="0010422E">
      <w:pPr>
        <w:pStyle w:val="Caption"/>
      </w:pPr>
      <w:r w:rsidRPr="00D65C79">
        <w:t xml:space="preserve">Figure </w:t>
      </w:r>
      <w:r w:rsidR="007B4ED4" w:rsidRPr="00D65C79">
        <w:fldChar w:fldCharType="begin"/>
      </w:r>
      <w:r w:rsidR="007B4ED4" w:rsidRPr="009B6AA8">
        <w:instrText xml:space="preserve"> STYLEREF 1 \s </w:instrText>
      </w:r>
      <w:r w:rsidR="007B4ED4" w:rsidRPr="00D65C79">
        <w:fldChar w:fldCharType="separate"/>
      </w:r>
      <w:r w:rsidR="007C0448">
        <w:rPr>
          <w:rFonts w:hint="cs"/>
          <w:noProof/>
          <w:cs/>
        </w:rPr>
        <w:t>‎</w:t>
      </w:r>
      <w:r w:rsidR="007C0448">
        <w:rPr>
          <w:noProof/>
        </w:rPr>
        <w:t>9</w:t>
      </w:r>
      <w:r w:rsidR="007B4ED4" w:rsidRPr="00D65C79">
        <w:rPr>
          <w:noProof/>
        </w:rPr>
        <w:fldChar w:fldCharType="end"/>
      </w:r>
      <w:r w:rsidRPr="00D65C79">
        <w:t>.</w:t>
      </w:r>
      <w:r w:rsidR="007B4ED4" w:rsidRPr="00D65C79">
        <w:fldChar w:fldCharType="begin"/>
      </w:r>
      <w:r w:rsidR="007B4ED4" w:rsidRPr="009B6AA8">
        <w:instrText xml:space="preserve"> SEQ Figure \* ARABIC \s 1 </w:instrText>
      </w:r>
      <w:r w:rsidR="007B4ED4" w:rsidRPr="00D65C79">
        <w:fldChar w:fldCharType="separate"/>
      </w:r>
      <w:r w:rsidR="007C0448">
        <w:rPr>
          <w:noProof/>
        </w:rPr>
        <w:t>5</w:t>
      </w:r>
      <w:r w:rsidR="007B4ED4" w:rsidRPr="00D65C79">
        <w:rPr>
          <w:noProof/>
        </w:rPr>
        <w:fldChar w:fldCharType="end"/>
      </w:r>
      <w:r w:rsidRPr="00D65C79">
        <w:t xml:space="preserve">: </w:t>
      </w:r>
      <w:r w:rsidRPr="00E06173">
        <w:t xml:space="preserve">Rate of bulk-billing among private </w:t>
      </w:r>
      <w:r w:rsidR="007A75A8" w:rsidRPr="00E06173">
        <w:t>facilities</w:t>
      </w:r>
      <w:r w:rsidRPr="00E06173">
        <w:t xml:space="preserve"> in 2019</w:t>
      </w:r>
      <w:r w:rsidR="00E61AD5" w:rsidRPr="00E06173">
        <w:t>–</w:t>
      </w:r>
      <w:r w:rsidRPr="00E06173">
        <w:t>20 by remoteness (MMM)*</w:t>
      </w:r>
    </w:p>
    <w:p w14:paraId="0D9DB815" w14:textId="77777777" w:rsidR="0010422E" w:rsidRPr="00D65C79" w:rsidRDefault="0010422E" w:rsidP="0010422E">
      <w:r w:rsidRPr="00D65C79">
        <w:rPr>
          <w:noProof/>
          <w:lang w:eastAsia="en-AU"/>
        </w:rPr>
        <w:drawing>
          <wp:inline distT="0" distB="0" distL="0" distR="0" wp14:anchorId="3AD3C207" wp14:editId="72F71A87">
            <wp:extent cx="7520344" cy="4937760"/>
            <wp:effectExtent l="0" t="0" r="4445" b="0"/>
            <wp:docPr id="8" name="Picture 8" descr="Figure 9.5 Rate of bulk-billing among private facilities in 2019-20 by remoteness (MMM) -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9.5 Rate of bulk-billing among private facilities in 2019-20 by remoteness (MMM) - bar grap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47237" cy="4955418"/>
                    </a:xfrm>
                    <a:prstGeom prst="rect">
                      <a:avLst/>
                    </a:prstGeom>
                    <a:noFill/>
                    <a:ln>
                      <a:noFill/>
                    </a:ln>
                  </pic:spPr>
                </pic:pic>
              </a:graphicData>
            </a:graphic>
          </wp:inline>
        </w:drawing>
      </w:r>
    </w:p>
    <w:p w14:paraId="61050315" w14:textId="53E52614" w:rsidR="00373EE3" w:rsidRDefault="006A4D42" w:rsidP="0079376F">
      <w:pPr>
        <w:pStyle w:val="TableNotes"/>
      </w:pPr>
      <w:r w:rsidRPr="00D65C79">
        <w:t xml:space="preserve">Source: MBS bulk-billing data for RT services. MM1 = Major City, MM2 = Regional area, MM3 = </w:t>
      </w:r>
      <w:r w:rsidR="0026103D">
        <w:t>R</w:t>
      </w:r>
      <w:r w:rsidR="0026103D" w:rsidRPr="00D65C79">
        <w:t xml:space="preserve">ural </w:t>
      </w:r>
      <w:r w:rsidRPr="00D65C79">
        <w:t>area</w:t>
      </w:r>
    </w:p>
    <w:p w14:paraId="447E4514" w14:textId="77777777" w:rsidR="00264535" w:rsidRDefault="00264535" w:rsidP="0079376F">
      <w:pPr>
        <w:pStyle w:val="TableNotes"/>
        <w:sectPr w:rsidR="00264535" w:rsidSect="00264535">
          <w:pgSz w:w="16838" w:h="11906" w:orient="landscape" w:code="9"/>
          <w:pgMar w:top="737" w:right="1304" w:bottom="1134" w:left="737" w:header="567" w:footer="284" w:gutter="0"/>
          <w:cols w:space="708"/>
          <w:docGrid w:linePitch="360"/>
        </w:sectPr>
      </w:pPr>
    </w:p>
    <w:p w14:paraId="52F39973" w14:textId="70DB676D" w:rsidR="004E4ADE" w:rsidRDefault="00733B81" w:rsidP="00941558">
      <w:pPr>
        <w:pStyle w:val="Heading3"/>
        <w:pageBreakBefore/>
      </w:pPr>
      <w:bookmarkStart w:id="344" w:name="_Ref57638983"/>
      <w:bookmarkStart w:id="345" w:name="_Toc59198518"/>
      <w:bookmarkStart w:id="346" w:name="_Toc66193999"/>
      <w:bookmarkStart w:id="347" w:name="_Toc73696727"/>
      <w:r>
        <w:lastRenderedPageBreak/>
        <w:t xml:space="preserve">Appendix G </w:t>
      </w:r>
      <w:r w:rsidR="00FE6D8C">
        <w:t>Example</w:t>
      </w:r>
      <w:r w:rsidR="004E4ADE">
        <w:t xml:space="preserve"> scoring matrix for </w:t>
      </w:r>
      <w:r w:rsidR="00FE6D8C">
        <w:t>application</w:t>
      </w:r>
      <w:r w:rsidR="004E4ADE">
        <w:t xml:space="preserve"> criteria</w:t>
      </w:r>
      <w:bookmarkEnd w:id="344"/>
      <w:bookmarkEnd w:id="345"/>
      <w:bookmarkEnd w:id="346"/>
      <w:bookmarkEnd w:id="347"/>
    </w:p>
    <w:p w14:paraId="5F8DADB3" w14:textId="77777777" w:rsidR="00373EE3" w:rsidRDefault="00C45896" w:rsidP="004E4ADE">
      <w:r>
        <w:fldChar w:fldCharType="begin"/>
      </w:r>
      <w:r>
        <w:instrText xml:space="preserve"> REF _Ref57705140 \h </w:instrText>
      </w:r>
      <w:r>
        <w:fldChar w:fldCharType="separate"/>
      </w:r>
      <w:r w:rsidR="007C0448">
        <w:t xml:space="preserve">Table </w:t>
      </w:r>
      <w:r w:rsidR="007C0448">
        <w:rPr>
          <w:rFonts w:hint="cs"/>
          <w:noProof/>
          <w:cs/>
        </w:rPr>
        <w:t>‎</w:t>
      </w:r>
      <w:r w:rsidR="007C0448">
        <w:rPr>
          <w:noProof/>
        </w:rPr>
        <w:t>9</w:t>
      </w:r>
      <w:r w:rsidR="007C0448">
        <w:t>.</w:t>
      </w:r>
      <w:r w:rsidR="007C0448">
        <w:rPr>
          <w:noProof/>
        </w:rPr>
        <w:t>10</w:t>
      </w:r>
      <w:r>
        <w:fldChar w:fldCharType="end"/>
      </w:r>
      <w:r>
        <w:t xml:space="preserve"> </w:t>
      </w:r>
      <w:r w:rsidR="004E4ADE">
        <w:t>shows an example scoring matrix for the ROHPG application criteria with a suggested rationale for the scoring protocol.</w:t>
      </w:r>
    </w:p>
    <w:p w14:paraId="378D2F56" w14:textId="52B4076C" w:rsidR="004E4ADE" w:rsidRPr="00E06173" w:rsidRDefault="004E4ADE" w:rsidP="00F97C6A">
      <w:pPr>
        <w:pStyle w:val="TableHeading"/>
      </w:pPr>
      <w:bookmarkStart w:id="348" w:name="_Ref57705140"/>
      <w:r>
        <w:t xml:space="preserve">Table </w:t>
      </w:r>
      <w:r w:rsidR="004B24F3">
        <w:fldChar w:fldCharType="begin"/>
      </w:r>
      <w:r w:rsidR="004B24F3">
        <w:instrText xml:space="preserve"> STYLEREF 1 \s </w:instrText>
      </w:r>
      <w:r w:rsidR="004B24F3">
        <w:fldChar w:fldCharType="separate"/>
      </w:r>
      <w:r w:rsidR="007C0448">
        <w:rPr>
          <w:rFonts w:hint="cs"/>
          <w:noProof/>
          <w:cs/>
        </w:rPr>
        <w:t>‎</w:t>
      </w:r>
      <w:r w:rsidR="007C0448">
        <w:rPr>
          <w:noProof/>
        </w:rPr>
        <w:t>9</w:t>
      </w:r>
      <w:r w:rsidR="004B24F3">
        <w:rPr>
          <w:noProof/>
        </w:rPr>
        <w:fldChar w:fldCharType="end"/>
      </w:r>
      <w:r w:rsidR="007518C8">
        <w:t>.</w:t>
      </w:r>
      <w:r w:rsidR="004B24F3">
        <w:fldChar w:fldCharType="begin"/>
      </w:r>
      <w:r w:rsidR="004B24F3">
        <w:instrText xml:space="preserve"> SEQ Table \* ARABIC \s 1 </w:instrText>
      </w:r>
      <w:r w:rsidR="004B24F3">
        <w:fldChar w:fldCharType="separate"/>
      </w:r>
      <w:r w:rsidR="007C0448">
        <w:rPr>
          <w:noProof/>
        </w:rPr>
        <w:t>10</w:t>
      </w:r>
      <w:r w:rsidR="004B24F3">
        <w:rPr>
          <w:noProof/>
        </w:rPr>
        <w:fldChar w:fldCharType="end"/>
      </w:r>
      <w:bookmarkEnd w:id="348"/>
      <w:r>
        <w:t xml:space="preserve">: </w:t>
      </w:r>
      <w:r w:rsidR="0026103D" w:rsidRPr="00E06173">
        <w:t xml:space="preserve">ROHPG </w:t>
      </w:r>
      <w:r w:rsidRPr="00E06173">
        <w:t xml:space="preserve">example scoring matrix for assessment of applications </w:t>
      </w:r>
    </w:p>
    <w:tbl>
      <w:tblPr>
        <w:tblStyle w:val="HMATableA"/>
        <w:tblpPr w:leftFromText="180" w:rightFromText="180" w:vertAnchor="text" w:tblpY="1"/>
        <w:tblOverlap w:val="never"/>
        <w:tblW w:w="5000" w:type="pct"/>
        <w:tblLook w:val="0620" w:firstRow="1" w:lastRow="0" w:firstColumn="0" w:lastColumn="0" w:noHBand="1" w:noVBand="1"/>
        <w:tblCaption w:val="Table 9.10 ROHPG example scoring matrix for assessment of applications"/>
        <w:tblDescription w:val="Table listing example scoring matrix for the ROHPG application criteria with a suggested rationale for the scoring protocol. This table contains 3 column headings: 1. criterion, 2. Score and 3. rationale. "/>
      </w:tblPr>
      <w:tblGrid>
        <w:gridCol w:w="4829"/>
        <w:gridCol w:w="1674"/>
        <w:gridCol w:w="3532"/>
      </w:tblGrid>
      <w:tr w:rsidR="004E4ADE" w:rsidRPr="00733B81" w14:paraId="21AC4C87" w14:textId="77777777" w:rsidTr="00733B81">
        <w:trPr>
          <w:cnfStyle w:val="100000000000" w:firstRow="1" w:lastRow="0" w:firstColumn="0" w:lastColumn="0" w:oddVBand="0" w:evenVBand="0" w:oddHBand="0" w:evenHBand="0" w:firstRowFirstColumn="0" w:firstRowLastColumn="0" w:lastRowFirstColumn="0" w:lastRowLastColumn="0"/>
          <w:cantSplit/>
          <w:tblHeader/>
        </w:trPr>
        <w:tc>
          <w:tcPr>
            <w:tcW w:w="2406" w:type="pct"/>
            <w:vAlign w:val="center"/>
          </w:tcPr>
          <w:p w14:paraId="0A520C42" w14:textId="77777777" w:rsidR="004E4ADE" w:rsidRPr="00733B81" w:rsidRDefault="004E4ADE" w:rsidP="00F97C6A">
            <w:pPr>
              <w:pStyle w:val="TableHeading"/>
            </w:pPr>
            <w:r w:rsidRPr="00733B81">
              <w:t>Criterion</w:t>
            </w:r>
          </w:p>
        </w:tc>
        <w:tc>
          <w:tcPr>
            <w:tcW w:w="834" w:type="pct"/>
            <w:vAlign w:val="center"/>
          </w:tcPr>
          <w:p w14:paraId="08ACE60B" w14:textId="77777777" w:rsidR="004E4ADE" w:rsidRPr="00733B81" w:rsidRDefault="004E4ADE" w:rsidP="00F97C6A">
            <w:pPr>
              <w:pStyle w:val="TableHeading"/>
            </w:pPr>
            <w:r w:rsidRPr="00733B81">
              <w:t xml:space="preserve">Score </w:t>
            </w:r>
          </w:p>
        </w:tc>
        <w:tc>
          <w:tcPr>
            <w:tcW w:w="1760" w:type="pct"/>
            <w:vAlign w:val="center"/>
          </w:tcPr>
          <w:p w14:paraId="6C01F1F6" w14:textId="77777777" w:rsidR="004E4ADE" w:rsidRPr="00733B81" w:rsidRDefault="004E4ADE" w:rsidP="00F97C6A">
            <w:pPr>
              <w:pStyle w:val="TableHeading"/>
            </w:pPr>
            <w:r w:rsidRPr="00733B81">
              <w:t xml:space="preserve">Rationale </w:t>
            </w:r>
          </w:p>
        </w:tc>
      </w:tr>
      <w:tr w:rsidR="00402903" w14:paraId="45688ACD" w14:textId="77777777" w:rsidTr="00941558">
        <w:trPr>
          <w:cantSplit/>
        </w:trPr>
        <w:tc>
          <w:tcPr>
            <w:tcW w:w="2406" w:type="pct"/>
            <w:shd w:val="clear" w:color="auto" w:fill="BFBFBF" w:themeFill="background1" w:themeFillShade="BF"/>
            <w:vAlign w:val="center"/>
          </w:tcPr>
          <w:p w14:paraId="7BAF30D3" w14:textId="3A8643F1" w:rsidR="00402903" w:rsidRPr="00941558" w:rsidRDefault="00402903" w:rsidP="00264535">
            <w:pPr>
              <w:pStyle w:val="TableHeading"/>
            </w:pPr>
            <w:r w:rsidRPr="00941558">
              <w:t>Criterion 1: Eligible equipment</w:t>
            </w:r>
          </w:p>
        </w:tc>
        <w:tc>
          <w:tcPr>
            <w:tcW w:w="834" w:type="pct"/>
            <w:shd w:val="clear" w:color="auto" w:fill="BFBFBF" w:themeFill="background1" w:themeFillShade="BF"/>
            <w:vAlign w:val="center"/>
          </w:tcPr>
          <w:p w14:paraId="0AF10F62" w14:textId="77777777" w:rsidR="00402903" w:rsidRPr="00941558" w:rsidRDefault="00402903" w:rsidP="00264535">
            <w:pPr>
              <w:pStyle w:val="TableHeading"/>
            </w:pPr>
          </w:p>
        </w:tc>
        <w:tc>
          <w:tcPr>
            <w:tcW w:w="1760" w:type="pct"/>
            <w:shd w:val="clear" w:color="auto" w:fill="BFBFBF" w:themeFill="background1" w:themeFillShade="BF"/>
            <w:vAlign w:val="center"/>
          </w:tcPr>
          <w:p w14:paraId="5CE7D879" w14:textId="77777777" w:rsidR="00402903" w:rsidRPr="00941558" w:rsidRDefault="00402903" w:rsidP="00264535">
            <w:pPr>
              <w:pStyle w:val="TableHeading"/>
            </w:pPr>
          </w:p>
        </w:tc>
      </w:tr>
      <w:tr w:rsidR="00E671C9" w14:paraId="63157D72" w14:textId="77777777" w:rsidTr="00F92020">
        <w:tc>
          <w:tcPr>
            <w:tcW w:w="2406" w:type="pct"/>
          </w:tcPr>
          <w:p w14:paraId="2E72C7C1" w14:textId="77777777" w:rsidR="00E671C9" w:rsidRDefault="00E671C9" w:rsidP="00941558">
            <w:pPr>
              <w:pStyle w:val="Tabletext"/>
            </w:pPr>
            <w:r>
              <w:t>The Minister will consider whether the equipment covered by the application is within the scope of the ROHPG Scheme. This means:</w:t>
            </w:r>
          </w:p>
          <w:p w14:paraId="5794DD25" w14:textId="77777777" w:rsidR="00373EE3" w:rsidRPr="00264535" w:rsidRDefault="000F2E69" w:rsidP="00264535">
            <w:pPr>
              <w:pStyle w:val="TableBullets1"/>
            </w:pPr>
            <w:r>
              <w:t xml:space="preserve">it </w:t>
            </w:r>
            <w:r w:rsidRPr="00264535">
              <w:t xml:space="preserve">must be a </w:t>
            </w:r>
            <w:proofErr w:type="spellStart"/>
            <w:r w:rsidRPr="00264535">
              <w:t>linac</w:t>
            </w:r>
            <w:proofErr w:type="spellEnd"/>
            <w:r w:rsidRPr="00264535">
              <w:t>; and</w:t>
            </w:r>
          </w:p>
          <w:p w14:paraId="1DBFA6F7" w14:textId="2F187031" w:rsidR="000F2E69" w:rsidRPr="000F2E69" w:rsidRDefault="000F2E69" w:rsidP="00264535">
            <w:pPr>
              <w:pStyle w:val="TableBullets1"/>
            </w:pPr>
            <w:proofErr w:type="gramStart"/>
            <w:r w:rsidRPr="00264535">
              <w:t>it</w:t>
            </w:r>
            <w:proofErr w:type="gramEnd"/>
            <w:r w:rsidRPr="00264535">
              <w:t xml:space="preserve"> must not have been funded through other Commonwealth budget measures for external beam radiotherapy.</w:t>
            </w:r>
          </w:p>
        </w:tc>
        <w:tc>
          <w:tcPr>
            <w:tcW w:w="834" w:type="pct"/>
          </w:tcPr>
          <w:p w14:paraId="5C75165D" w14:textId="7E17752B" w:rsidR="00E671C9" w:rsidRPr="009B6AA8" w:rsidRDefault="00E671C9" w:rsidP="00264535">
            <w:pPr>
              <w:pStyle w:val="TableBullets1"/>
            </w:pPr>
            <w:r w:rsidRPr="009B6AA8">
              <w:t>0 = Criterion not met</w:t>
            </w:r>
          </w:p>
        </w:tc>
        <w:tc>
          <w:tcPr>
            <w:tcW w:w="1760" w:type="pct"/>
          </w:tcPr>
          <w:p w14:paraId="12E7D650" w14:textId="18E7853B" w:rsidR="00E671C9" w:rsidRDefault="00E671C9" w:rsidP="00264535">
            <w:pPr>
              <w:pStyle w:val="Tabletext"/>
            </w:pPr>
            <w:r>
              <w:t xml:space="preserve">Equipment is not a </w:t>
            </w:r>
            <w:proofErr w:type="spellStart"/>
            <w:r>
              <w:t>linac</w:t>
            </w:r>
            <w:proofErr w:type="spellEnd"/>
            <w:r>
              <w:t xml:space="preserve"> or has received alternative Commonwealth funding.</w:t>
            </w:r>
          </w:p>
        </w:tc>
      </w:tr>
      <w:tr w:rsidR="00E671C9" w14:paraId="4FFE406C" w14:textId="77777777" w:rsidTr="00F92020">
        <w:trPr>
          <w:cantSplit/>
        </w:trPr>
        <w:tc>
          <w:tcPr>
            <w:tcW w:w="2406" w:type="pct"/>
          </w:tcPr>
          <w:p w14:paraId="51947DCB" w14:textId="69D1D6B4" w:rsidR="00E671C9" w:rsidRPr="00E671C9" w:rsidRDefault="00E671C9" w:rsidP="004C5DF4">
            <w:pPr>
              <w:pStyle w:val="Tabletext"/>
            </w:pPr>
          </w:p>
        </w:tc>
        <w:tc>
          <w:tcPr>
            <w:tcW w:w="834" w:type="pct"/>
          </w:tcPr>
          <w:p w14:paraId="48AAA525" w14:textId="69164645" w:rsidR="00E671C9" w:rsidRPr="009B6AA8" w:rsidRDefault="00E671C9" w:rsidP="00264535">
            <w:pPr>
              <w:pStyle w:val="TableBullets1"/>
            </w:pPr>
            <w:r w:rsidRPr="009B6AA8">
              <w:t>2 = Criterion met</w:t>
            </w:r>
          </w:p>
        </w:tc>
        <w:tc>
          <w:tcPr>
            <w:tcW w:w="1760" w:type="pct"/>
          </w:tcPr>
          <w:p w14:paraId="558E5275" w14:textId="62560415" w:rsidR="00E671C9" w:rsidRDefault="00E671C9" w:rsidP="00264535">
            <w:pPr>
              <w:pStyle w:val="Tabletext"/>
            </w:pPr>
            <w:r>
              <w:t xml:space="preserve">Equipment is a </w:t>
            </w:r>
            <w:proofErr w:type="spellStart"/>
            <w:r>
              <w:t>linac</w:t>
            </w:r>
            <w:proofErr w:type="spellEnd"/>
            <w:r>
              <w:t xml:space="preserve"> and has not received alternative Commonwealth funding.</w:t>
            </w:r>
          </w:p>
        </w:tc>
      </w:tr>
      <w:tr w:rsidR="00F13D06" w14:paraId="5FEB776E" w14:textId="77777777" w:rsidTr="00941558">
        <w:trPr>
          <w:cantSplit/>
        </w:trPr>
        <w:tc>
          <w:tcPr>
            <w:tcW w:w="2406" w:type="pct"/>
            <w:shd w:val="clear" w:color="auto" w:fill="BFBFBF" w:themeFill="background1" w:themeFillShade="BF"/>
            <w:vAlign w:val="center"/>
          </w:tcPr>
          <w:p w14:paraId="3505CE23" w14:textId="63CEB17E" w:rsidR="00F13D06" w:rsidRPr="00941558" w:rsidRDefault="00F13D06" w:rsidP="00264535">
            <w:pPr>
              <w:pStyle w:val="TableHeading"/>
            </w:pPr>
            <w:r w:rsidRPr="00941558">
              <w:t>Criterion 2: Patient access</w:t>
            </w:r>
          </w:p>
        </w:tc>
        <w:tc>
          <w:tcPr>
            <w:tcW w:w="834" w:type="pct"/>
            <w:shd w:val="clear" w:color="auto" w:fill="BFBFBF" w:themeFill="background1" w:themeFillShade="BF"/>
            <w:vAlign w:val="center"/>
          </w:tcPr>
          <w:p w14:paraId="3AC1D527" w14:textId="77777777" w:rsidR="00F13D06" w:rsidRPr="00941558" w:rsidRDefault="00F13D06" w:rsidP="00264535">
            <w:pPr>
              <w:pStyle w:val="TableHeading"/>
            </w:pPr>
          </w:p>
        </w:tc>
        <w:tc>
          <w:tcPr>
            <w:tcW w:w="1760" w:type="pct"/>
            <w:shd w:val="clear" w:color="auto" w:fill="BFBFBF" w:themeFill="background1" w:themeFillShade="BF"/>
            <w:vAlign w:val="center"/>
          </w:tcPr>
          <w:p w14:paraId="391B1B1A" w14:textId="77777777" w:rsidR="00F13D06" w:rsidRPr="00941558" w:rsidRDefault="00F13D06" w:rsidP="00264535">
            <w:pPr>
              <w:pStyle w:val="TableHeading"/>
            </w:pPr>
          </w:p>
        </w:tc>
      </w:tr>
      <w:tr w:rsidR="00F13D06" w14:paraId="52B796FF" w14:textId="77777777" w:rsidTr="00F92020">
        <w:trPr>
          <w:cantSplit/>
        </w:trPr>
        <w:tc>
          <w:tcPr>
            <w:tcW w:w="2406" w:type="pct"/>
          </w:tcPr>
          <w:p w14:paraId="392AF933" w14:textId="77777777" w:rsidR="00373EE3" w:rsidRPr="00264535" w:rsidRDefault="00F13D06" w:rsidP="00264535">
            <w:pPr>
              <w:pStyle w:val="Tabletext"/>
            </w:pPr>
            <w:r>
              <w:t>The Minister will consider whether the service locations covered by the application are consistent with supporting patient access to radiation oncology services, based on identified priority areas.</w:t>
            </w:r>
          </w:p>
          <w:p w14:paraId="15E23FC1" w14:textId="04F4AA03" w:rsidR="00F13D06" w:rsidRPr="00264535" w:rsidRDefault="00F13D06" w:rsidP="00264535">
            <w:pPr>
              <w:pStyle w:val="Tabletext"/>
            </w:pPr>
            <w:r>
              <w:t>Applications for a new health service, expansion of service or relocation where the health service will not be located in an identified priority area may be considered but must provide evidence of need and have the support of the relevant state/territory.</w:t>
            </w:r>
          </w:p>
        </w:tc>
        <w:tc>
          <w:tcPr>
            <w:tcW w:w="834" w:type="pct"/>
          </w:tcPr>
          <w:p w14:paraId="23B49420" w14:textId="222567C0" w:rsidR="00F13D06" w:rsidRPr="009B6AA8" w:rsidRDefault="00F13D06" w:rsidP="00264535">
            <w:pPr>
              <w:pStyle w:val="TableBullets1"/>
            </w:pPr>
            <w:r w:rsidRPr="009B6AA8">
              <w:t>0 = Criterion not met</w:t>
            </w:r>
          </w:p>
        </w:tc>
        <w:tc>
          <w:tcPr>
            <w:tcW w:w="1760" w:type="pct"/>
          </w:tcPr>
          <w:p w14:paraId="61A359C4" w14:textId="012D9988" w:rsidR="00F13D06" w:rsidRDefault="00F13D06" w:rsidP="00264535">
            <w:pPr>
              <w:pStyle w:val="Tabletext"/>
            </w:pPr>
            <w:r>
              <w:t>Location is not in an identified priority area, or has not been able to demonstrate demand based on cancer incidence and OURs.</w:t>
            </w:r>
          </w:p>
        </w:tc>
      </w:tr>
      <w:tr w:rsidR="00F13D06" w14:paraId="0C8EDBFF" w14:textId="77777777" w:rsidTr="00F92020">
        <w:trPr>
          <w:cantSplit/>
        </w:trPr>
        <w:tc>
          <w:tcPr>
            <w:tcW w:w="2406" w:type="pct"/>
          </w:tcPr>
          <w:p w14:paraId="2AF06387" w14:textId="77777777" w:rsidR="00F13D06" w:rsidRDefault="00F13D06" w:rsidP="004C5DF4">
            <w:pPr>
              <w:pStyle w:val="Tabletext"/>
            </w:pPr>
          </w:p>
        </w:tc>
        <w:tc>
          <w:tcPr>
            <w:tcW w:w="834" w:type="pct"/>
          </w:tcPr>
          <w:p w14:paraId="6326F002" w14:textId="048F46FA" w:rsidR="00F13D06" w:rsidRPr="009B6AA8" w:rsidRDefault="00F13D06" w:rsidP="00264535">
            <w:pPr>
              <w:pStyle w:val="TableBullets1"/>
            </w:pPr>
            <w:r w:rsidRPr="009B6AA8">
              <w:t>1 = Criterion partially met</w:t>
            </w:r>
          </w:p>
        </w:tc>
        <w:tc>
          <w:tcPr>
            <w:tcW w:w="1760" w:type="pct"/>
          </w:tcPr>
          <w:p w14:paraId="67D25EE1" w14:textId="1614AA9D" w:rsidR="00F13D06" w:rsidRDefault="00F13D06" w:rsidP="00264535">
            <w:pPr>
              <w:pStyle w:val="Tabletext"/>
            </w:pPr>
            <w:r>
              <w:t xml:space="preserve">Location is not in an identified priority area but has demonstrated demand based on current </w:t>
            </w:r>
            <w:proofErr w:type="spellStart"/>
            <w:r>
              <w:t>linac</w:t>
            </w:r>
            <w:proofErr w:type="spellEnd"/>
            <w:r>
              <w:t xml:space="preserve"> throughput and forecast usage rates, or represents a </w:t>
            </w:r>
            <w:proofErr w:type="spellStart"/>
            <w:r>
              <w:t>statewide</w:t>
            </w:r>
            <w:proofErr w:type="spellEnd"/>
            <w:r>
              <w:t xml:space="preserve"> planning need rather than geographic need.</w:t>
            </w:r>
          </w:p>
        </w:tc>
      </w:tr>
      <w:tr w:rsidR="00F13D06" w14:paraId="6A0E312C" w14:textId="77777777" w:rsidTr="00F92020">
        <w:trPr>
          <w:cantSplit/>
        </w:trPr>
        <w:tc>
          <w:tcPr>
            <w:tcW w:w="2406" w:type="pct"/>
          </w:tcPr>
          <w:p w14:paraId="7E8D97DB" w14:textId="77777777" w:rsidR="00F13D06" w:rsidRDefault="00F13D06" w:rsidP="004C5DF4">
            <w:pPr>
              <w:pStyle w:val="Tabletext"/>
            </w:pPr>
          </w:p>
        </w:tc>
        <w:tc>
          <w:tcPr>
            <w:tcW w:w="834" w:type="pct"/>
          </w:tcPr>
          <w:p w14:paraId="19079D8E" w14:textId="35019B9D" w:rsidR="00F13D06" w:rsidRPr="009B6AA8" w:rsidRDefault="00F13D06" w:rsidP="00264535">
            <w:pPr>
              <w:pStyle w:val="TableBullets1"/>
            </w:pPr>
            <w:r w:rsidRPr="009B6AA8">
              <w:t>2 = Criterion met</w:t>
            </w:r>
          </w:p>
        </w:tc>
        <w:tc>
          <w:tcPr>
            <w:tcW w:w="1760" w:type="pct"/>
          </w:tcPr>
          <w:p w14:paraId="543400C4" w14:textId="6544ED60" w:rsidR="00F13D06" w:rsidRDefault="00F13D06" w:rsidP="00264535">
            <w:pPr>
              <w:pStyle w:val="Tabletext"/>
            </w:pPr>
            <w:r>
              <w:t>Location is an identified priority area or has been able to demonstrate demand based on cancer incidence and OURs.</w:t>
            </w:r>
          </w:p>
        </w:tc>
      </w:tr>
      <w:tr w:rsidR="00F13D06" w14:paraId="6FC75361" w14:textId="77777777" w:rsidTr="00F92020">
        <w:trPr>
          <w:cantSplit/>
        </w:trPr>
        <w:tc>
          <w:tcPr>
            <w:tcW w:w="2406" w:type="pct"/>
          </w:tcPr>
          <w:p w14:paraId="65CBF7EF" w14:textId="77777777" w:rsidR="00F13D06" w:rsidRDefault="00F13D06" w:rsidP="004C5DF4">
            <w:pPr>
              <w:pStyle w:val="Tabletext"/>
            </w:pPr>
          </w:p>
        </w:tc>
        <w:tc>
          <w:tcPr>
            <w:tcW w:w="834" w:type="pct"/>
          </w:tcPr>
          <w:p w14:paraId="5CF36703" w14:textId="600C6F88" w:rsidR="00F13D06" w:rsidRPr="009B6AA8" w:rsidRDefault="00F13D06" w:rsidP="00264535">
            <w:pPr>
              <w:pStyle w:val="TableBullets1"/>
            </w:pPr>
            <w:r w:rsidRPr="009B6AA8">
              <w:t>3 = Criterion met and exceeded</w:t>
            </w:r>
          </w:p>
        </w:tc>
        <w:tc>
          <w:tcPr>
            <w:tcW w:w="1760" w:type="pct"/>
          </w:tcPr>
          <w:p w14:paraId="00C3BA1B" w14:textId="181DD123" w:rsidR="00F13D06" w:rsidRDefault="00F13D06" w:rsidP="00264535">
            <w:pPr>
              <w:pStyle w:val="Tabletext"/>
            </w:pPr>
            <w:r>
              <w:t xml:space="preserve">As for </w:t>
            </w:r>
            <w:r w:rsidRPr="0012670D">
              <w:rPr>
                <w:i/>
                <w:iCs/>
              </w:rPr>
              <w:t>‘criterion met’</w:t>
            </w:r>
            <w:r>
              <w:t xml:space="preserve"> plus description of proximity to other services in the region, detail of </w:t>
            </w:r>
            <w:r w:rsidRPr="009B6AA8">
              <w:t xml:space="preserve">existing services/bunkers, patient in/out flow to the region for health services, the </w:t>
            </w:r>
            <w:r>
              <w:t xml:space="preserve">expected </w:t>
            </w:r>
            <w:r w:rsidRPr="009B6AA8">
              <w:t xml:space="preserve">impact on patient travel times </w:t>
            </w:r>
            <w:r>
              <w:t>and expected patient case mix.</w:t>
            </w:r>
          </w:p>
        </w:tc>
      </w:tr>
      <w:tr w:rsidR="00F13D06" w14:paraId="7FFFF7F0" w14:textId="77777777" w:rsidTr="00F92020">
        <w:trPr>
          <w:cantSplit/>
        </w:trPr>
        <w:tc>
          <w:tcPr>
            <w:tcW w:w="2406" w:type="pct"/>
            <w:shd w:val="clear" w:color="auto" w:fill="BFBFBF" w:themeFill="background1" w:themeFillShade="BF"/>
          </w:tcPr>
          <w:p w14:paraId="6BB6647F" w14:textId="2D573959" w:rsidR="00F13D06" w:rsidRPr="00264535" w:rsidRDefault="00F13D06" w:rsidP="00264535">
            <w:pPr>
              <w:pStyle w:val="TableHeading"/>
            </w:pPr>
            <w:r w:rsidRPr="00264535">
              <w:t>Criterion 3: Services must be affordable</w:t>
            </w:r>
          </w:p>
        </w:tc>
        <w:tc>
          <w:tcPr>
            <w:tcW w:w="834" w:type="pct"/>
            <w:shd w:val="clear" w:color="auto" w:fill="BFBFBF" w:themeFill="background1" w:themeFillShade="BF"/>
          </w:tcPr>
          <w:p w14:paraId="4F3A4D6D" w14:textId="77777777" w:rsidR="00F13D06" w:rsidRPr="00264535" w:rsidRDefault="00F13D06" w:rsidP="00264535">
            <w:pPr>
              <w:pStyle w:val="TableHeading"/>
            </w:pPr>
          </w:p>
        </w:tc>
        <w:tc>
          <w:tcPr>
            <w:tcW w:w="1760" w:type="pct"/>
            <w:shd w:val="clear" w:color="auto" w:fill="BFBFBF" w:themeFill="background1" w:themeFillShade="BF"/>
          </w:tcPr>
          <w:p w14:paraId="0AB94104" w14:textId="77777777" w:rsidR="00F13D06" w:rsidRPr="00264535" w:rsidRDefault="00F13D06" w:rsidP="00264535">
            <w:pPr>
              <w:pStyle w:val="TableHeading"/>
            </w:pPr>
          </w:p>
        </w:tc>
      </w:tr>
      <w:tr w:rsidR="00F13D06" w14:paraId="242F71BD" w14:textId="77777777" w:rsidTr="00F92020">
        <w:trPr>
          <w:cantSplit/>
        </w:trPr>
        <w:tc>
          <w:tcPr>
            <w:tcW w:w="2406" w:type="pct"/>
          </w:tcPr>
          <w:p w14:paraId="77D77541" w14:textId="77777777" w:rsidR="00F13D06" w:rsidRDefault="00F13D06" w:rsidP="00941558">
            <w:pPr>
              <w:pStyle w:val="Tabletext"/>
            </w:pPr>
            <w:r>
              <w:t>The Minister will consider whether the services which will constitute the approved health service are affordable, having regard to billing practices and the extent of out-of-pocket costs.</w:t>
            </w:r>
          </w:p>
          <w:p w14:paraId="1FBA3C6C" w14:textId="77777777" w:rsidR="00F13D06" w:rsidRDefault="00F13D06" w:rsidP="00941558">
            <w:pPr>
              <w:pStyle w:val="Tabletext"/>
            </w:pPr>
            <w:r>
              <w:t>The minimum requirement under ROHPG conditions of funding is that the approved organisation must offer Medicare bulk-billing arrangements for concessional patients.</w:t>
            </w:r>
          </w:p>
          <w:p w14:paraId="61E4C7E5" w14:textId="1AC8851B" w:rsidR="00F13D06" w:rsidRDefault="00F13D06" w:rsidP="00941558">
            <w:pPr>
              <w:pStyle w:val="Tabletext"/>
            </w:pPr>
            <w:r>
              <w:t>To support their application, applicants are required to provide information demonstrating that the fees charged for services that form part of the approved health service will not result in substantial out-of-pocket costs that may affect patient access to radiation oncology services.</w:t>
            </w:r>
          </w:p>
        </w:tc>
        <w:tc>
          <w:tcPr>
            <w:tcW w:w="834" w:type="pct"/>
          </w:tcPr>
          <w:p w14:paraId="20D5898D" w14:textId="53A7EC19" w:rsidR="00F13D06" w:rsidRPr="009B6AA8" w:rsidRDefault="00F13D06" w:rsidP="00592036">
            <w:pPr>
              <w:pStyle w:val="TableBullets1"/>
            </w:pPr>
            <w:r w:rsidRPr="009B6AA8">
              <w:t>0 = Criterion not met</w:t>
            </w:r>
          </w:p>
        </w:tc>
        <w:tc>
          <w:tcPr>
            <w:tcW w:w="1760" w:type="pct"/>
          </w:tcPr>
          <w:p w14:paraId="3B0AB0DA" w14:textId="7ACA2D51" w:rsidR="00F13D06" w:rsidRDefault="00F13D06" w:rsidP="00941558">
            <w:pPr>
              <w:pStyle w:val="Tabletext"/>
            </w:pPr>
            <w:r>
              <w:t>Application did not indicate a guarantee to bulk-bill concessional patients.</w:t>
            </w:r>
          </w:p>
        </w:tc>
      </w:tr>
      <w:tr w:rsidR="00F13D06" w14:paraId="74073F6A" w14:textId="77777777" w:rsidTr="00F92020">
        <w:trPr>
          <w:cantSplit/>
        </w:trPr>
        <w:tc>
          <w:tcPr>
            <w:tcW w:w="2406" w:type="pct"/>
          </w:tcPr>
          <w:p w14:paraId="1D2475D0" w14:textId="77777777" w:rsidR="00F13D06" w:rsidRDefault="00F13D06" w:rsidP="004C5DF4">
            <w:pPr>
              <w:pStyle w:val="Tabletext"/>
            </w:pPr>
          </w:p>
        </w:tc>
        <w:tc>
          <w:tcPr>
            <w:tcW w:w="834" w:type="pct"/>
          </w:tcPr>
          <w:p w14:paraId="1AC86A88" w14:textId="1D7E4D1D" w:rsidR="00F13D06" w:rsidRPr="009B6AA8" w:rsidRDefault="00F13D06" w:rsidP="00592036">
            <w:pPr>
              <w:pStyle w:val="TableBullets1"/>
            </w:pPr>
            <w:r w:rsidRPr="00402903">
              <w:t>2 = Criterion met</w:t>
            </w:r>
          </w:p>
        </w:tc>
        <w:tc>
          <w:tcPr>
            <w:tcW w:w="1760" w:type="pct"/>
          </w:tcPr>
          <w:p w14:paraId="15AB9F34" w14:textId="472BB1E4" w:rsidR="00F13D06" w:rsidRDefault="000F2E69" w:rsidP="004E4ADE">
            <w:r>
              <w:t>Application included a guarantee to bulk-bill concessional patients.</w:t>
            </w:r>
          </w:p>
        </w:tc>
      </w:tr>
      <w:tr w:rsidR="00F13D06" w14:paraId="391CFC1E" w14:textId="77777777" w:rsidTr="00F92020">
        <w:trPr>
          <w:cantSplit/>
        </w:trPr>
        <w:tc>
          <w:tcPr>
            <w:tcW w:w="2406" w:type="pct"/>
          </w:tcPr>
          <w:p w14:paraId="43F79ED9" w14:textId="77777777" w:rsidR="00F13D06" w:rsidRDefault="00F13D06" w:rsidP="004C5DF4">
            <w:pPr>
              <w:pStyle w:val="Tabletext"/>
            </w:pPr>
          </w:p>
        </w:tc>
        <w:tc>
          <w:tcPr>
            <w:tcW w:w="834" w:type="pct"/>
          </w:tcPr>
          <w:p w14:paraId="0D95B577" w14:textId="55876946" w:rsidR="00F13D06" w:rsidRPr="009B6AA8" w:rsidRDefault="00F13D06" w:rsidP="00592036">
            <w:pPr>
              <w:pStyle w:val="TableBullets1"/>
            </w:pPr>
            <w:r w:rsidRPr="009B6AA8">
              <w:t>3 = Criterion met and exceeded</w:t>
            </w:r>
          </w:p>
        </w:tc>
        <w:tc>
          <w:tcPr>
            <w:tcW w:w="1760" w:type="pct"/>
          </w:tcPr>
          <w:p w14:paraId="435F4669" w14:textId="67419EC2" w:rsidR="00F13D06" w:rsidRDefault="000F2E69" w:rsidP="00941558">
            <w:pPr>
              <w:pStyle w:val="Tabletext"/>
            </w:pPr>
            <w:r>
              <w:t xml:space="preserve">As for </w:t>
            </w:r>
            <w:r w:rsidRPr="0012670D">
              <w:rPr>
                <w:i/>
                <w:iCs/>
              </w:rPr>
              <w:t>‘criterion met’</w:t>
            </w:r>
            <w:r>
              <w:t xml:space="preserve"> plus provision of information on capped fees for services (e.g. 1.5 times the MBS rebate), or guarantee to bulk-bill 100% of patients.</w:t>
            </w:r>
          </w:p>
        </w:tc>
      </w:tr>
      <w:tr w:rsidR="000F2E69" w14:paraId="25C04EBB" w14:textId="77777777" w:rsidTr="00F92020">
        <w:trPr>
          <w:cantSplit/>
        </w:trPr>
        <w:tc>
          <w:tcPr>
            <w:tcW w:w="2406" w:type="pct"/>
            <w:shd w:val="clear" w:color="auto" w:fill="BFBFBF" w:themeFill="background1" w:themeFillShade="BF"/>
          </w:tcPr>
          <w:p w14:paraId="50D82E30" w14:textId="5E724E8B" w:rsidR="000F2E69" w:rsidRDefault="000F2E69" w:rsidP="00F97C6A">
            <w:pPr>
              <w:pStyle w:val="TableHeading"/>
            </w:pPr>
            <w:r w:rsidRPr="00B30B07">
              <w:lastRenderedPageBreak/>
              <w:t>Criterion 4: Multidisciplinary and patient-centred care</w:t>
            </w:r>
          </w:p>
        </w:tc>
        <w:tc>
          <w:tcPr>
            <w:tcW w:w="834" w:type="pct"/>
            <w:shd w:val="clear" w:color="auto" w:fill="BFBFBF" w:themeFill="background1" w:themeFillShade="BF"/>
          </w:tcPr>
          <w:p w14:paraId="1070C134" w14:textId="77777777" w:rsidR="000F2E69" w:rsidRPr="009B6AA8" w:rsidRDefault="000F2E69" w:rsidP="00F97C6A">
            <w:pPr>
              <w:pStyle w:val="TableHeading"/>
            </w:pPr>
          </w:p>
        </w:tc>
        <w:tc>
          <w:tcPr>
            <w:tcW w:w="1760" w:type="pct"/>
            <w:shd w:val="clear" w:color="auto" w:fill="BFBFBF" w:themeFill="background1" w:themeFillShade="BF"/>
          </w:tcPr>
          <w:p w14:paraId="50B0B298" w14:textId="77777777" w:rsidR="000F2E69" w:rsidRDefault="000F2E69" w:rsidP="00F97C6A">
            <w:pPr>
              <w:pStyle w:val="TableHeading"/>
            </w:pPr>
          </w:p>
        </w:tc>
      </w:tr>
      <w:tr w:rsidR="000F2E69" w14:paraId="1817DC16" w14:textId="77777777" w:rsidTr="00F92020">
        <w:trPr>
          <w:cantSplit/>
        </w:trPr>
        <w:tc>
          <w:tcPr>
            <w:tcW w:w="2406" w:type="pct"/>
          </w:tcPr>
          <w:p w14:paraId="5CC1A12C" w14:textId="77777777" w:rsidR="000F2E69" w:rsidRDefault="000F2E69" w:rsidP="00941558">
            <w:pPr>
              <w:pStyle w:val="Tabletext"/>
            </w:pPr>
            <w:r>
              <w:t>The Minister will consider whether the radiation oncology services to be provided as part of the approved health service are integrated with other cancer treatments and other medical services. This will help ensure the best possible treatment for patients.</w:t>
            </w:r>
          </w:p>
          <w:p w14:paraId="0B5101DC" w14:textId="77777777" w:rsidR="000F2E69" w:rsidRDefault="000F2E69" w:rsidP="004C5DF4">
            <w:pPr>
              <w:pStyle w:val="Tabletext"/>
            </w:pPr>
            <w:r>
              <w:t>Applicants will be required to provide information demonstrating that the proposed approved health service will form part of an integrated cancer management system, including, but not limited to, medical oncology, surgery and allied health services, i.e. multidisciplinary care. This includes information regarding:</w:t>
            </w:r>
          </w:p>
          <w:p w14:paraId="3DC1057A" w14:textId="77777777" w:rsidR="000F2E69" w:rsidRDefault="000F2E69" w:rsidP="00592036">
            <w:pPr>
              <w:pStyle w:val="TableBullets1"/>
            </w:pPr>
            <w:r>
              <w:t>arrangements and referral basis, if any, with the relevant specialists</w:t>
            </w:r>
          </w:p>
          <w:p w14:paraId="30FBE7C5" w14:textId="77777777" w:rsidR="000F2E69" w:rsidRDefault="000F2E69" w:rsidP="00592036">
            <w:pPr>
              <w:pStyle w:val="TableBullets1"/>
            </w:pPr>
            <w:r>
              <w:t>clinical oncologists and surgeons networked into services</w:t>
            </w:r>
          </w:p>
          <w:p w14:paraId="4AF75139" w14:textId="77777777" w:rsidR="000F2E69" w:rsidRDefault="000F2E69" w:rsidP="00592036">
            <w:pPr>
              <w:pStyle w:val="TableBullets1"/>
            </w:pPr>
            <w:r>
              <w:t>details of links to other centres, particularly for on-referral or discussion on complex cases</w:t>
            </w:r>
          </w:p>
          <w:p w14:paraId="3BECE4D1" w14:textId="77777777" w:rsidR="004C5DF4" w:rsidRDefault="000F2E69" w:rsidP="00592036">
            <w:pPr>
              <w:pStyle w:val="TableBullets1"/>
            </w:pPr>
            <w:r>
              <w:t>access to in-patient care, and</w:t>
            </w:r>
          </w:p>
          <w:p w14:paraId="66ADD806" w14:textId="6ED35190" w:rsidR="000F2E69" w:rsidRDefault="000F2E69" w:rsidP="00592036">
            <w:pPr>
              <w:pStyle w:val="TableBullets1"/>
            </w:pPr>
            <w:proofErr w:type="gramStart"/>
            <w:r>
              <w:t>access</w:t>
            </w:r>
            <w:proofErr w:type="gramEnd"/>
            <w:r>
              <w:t xml:space="preserve"> to other associated follow-up care for patients.</w:t>
            </w:r>
          </w:p>
        </w:tc>
        <w:tc>
          <w:tcPr>
            <w:tcW w:w="834" w:type="pct"/>
          </w:tcPr>
          <w:p w14:paraId="3645444F" w14:textId="79F6821B" w:rsidR="000F2E69" w:rsidRPr="009B6AA8" w:rsidRDefault="000F2E69" w:rsidP="00592036">
            <w:pPr>
              <w:pStyle w:val="TableBullets1"/>
            </w:pPr>
            <w:r w:rsidRPr="009B6AA8">
              <w:t>0 = Criterion not met</w:t>
            </w:r>
          </w:p>
        </w:tc>
        <w:tc>
          <w:tcPr>
            <w:tcW w:w="1760" w:type="pct"/>
          </w:tcPr>
          <w:p w14:paraId="1A5A5FBF" w14:textId="4A38F737" w:rsidR="000F2E69" w:rsidRDefault="000F2E69" w:rsidP="00941558">
            <w:pPr>
              <w:pStyle w:val="Tabletext"/>
            </w:pPr>
            <w:r>
              <w:t>Application does not provide information on how it will integrate with other cancer services.</w:t>
            </w:r>
          </w:p>
        </w:tc>
      </w:tr>
      <w:tr w:rsidR="000F2E69" w14:paraId="5BCB0C18" w14:textId="77777777" w:rsidTr="00F92020">
        <w:trPr>
          <w:cantSplit/>
        </w:trPr>
        <w:tc>
          <w:tcPr>
            <w:tcW w:w="2406" w:type="pct"/>
          </w:tcPr>
          <w:p w14:paraId="6B1BA6D3" w14:textId="77777777" w:rsidR="000F2E69" w:rsidRDefault="000F2E69" w:rsidP="000F2E69">
            <w:pPr>
              <w:pStyle w:val="ListBullet"/>
              <w:numPr>
                <w:ilvl w:val="0"/>
                <w:numId w:val="0"/>
              </w:numPr>
            </w:pPr>
          </w:p>
        </w:tc>
        <w:tc>
          <w:tcPr>
            <w:tcW w:w="834" w:type="pct"/>
          </w:tcPr>
          <w:p w14:paraId="1EDBCFB6" w14:textId="0CB8BAB0" w:rsidR="000F2E69" w:rsidRPr="009B6AA8" w:rsidRDefault="000F2E69" w:rsidP="00592036">
            <w:pPr>
              <w:pStyle w:val="TableBullets1"/>
            </w:pPr>
            <w:r w:rsidRPr="009B6AA8">
              <w:t>1 = Criterion partially met</w:t>
            </w:r>
          </w:p>
        </w:tc>
        <w:tc>
          <w:tcPr>
            <w:tcW w:w="1760" w:type="pct"/>
          </w:tcPr>
          <w:p w14:paraId="71BC31AF" w14:textId="6693978C" w:rsidR="000F2E69" w:rsidRDefault="000F2E69" w:rsidP="00941558">
            <w:pPr>
              <w:pStyle w:val="Tabletext"/>
            </w:pPr>
            <w:r>
              <w:t>Application provides information on some, but not all of the criteria requirements regarding integration with other cancer services.</w:t>
            </w:r>
          </w:p>
        </w:tc>
      </w:tr>
      <w:tr w:rsidR="000F2E69" w14:paraId="12B1B196" w14:textId="77777777" w:rsidTr="00F92020">
        <w:trPr>
          <w:cantSplit/>
        </w:trPr>
        <w:tc>
          <w:tcPr>
            <w:tcW w:w="2406" w:type="pct"/>
          </w:tcPr>
          <w:p w14:paraId="026343C5" w14:textId="77777777" w:rsidR="000F2E69" w:rsidRDefault="000F2E69" w:rsidP="000F2E69">
            <w:pPr>
              <w:pStyle w:val="ListBullet"/>
              <w:numPr>
                <w:ilvl w:val="0"/>
                <w:numId w:val="0"/>
              </w:numPr>
            </w:pPr>
          </w:p>
        </w:tc>
        <w:tc>
          <w:tcPr>
            <w:tcW w:w="834" w:type="pct"/>
          </w:tcPr>
          <w:p w14:paraId="352B9C55" w14:textId="162D8516" w:rsidR="000F2E69" w:rsidRPr="009B6AA8" w:rsidRDefault="000F2E69" w:rsidP="00592036">
            <w:pPr>
              <w:pStyle w:val="TableBullets1"/>
            </w:pPr>
            <w:r w:rsidRPr="009B6AA8">
              <w:t>2 = Criterion met</w:t>
            </w:r>
          </w:p>
        </w:tc>
        <w:tc>
          <w:tcPr>
            <w:tcW w:w="1760" w:type="pct"/>
          </w:tcPr>
          <w:p w14:paraId="65193275" w14:textId="4D10F0B5" w:rsidR="000F2E69" w:rsidRDefault="000F2E69" w:rsidP="00941558">
            <w:pPr>
              <w:pStyle w:val="Tabletext"/>
            </w:pPr>
            <w:r>
              <w:t>Application provides an explanation of how the facility will integrate with other cancer services against all five components of the criterion.</w:t>
            </w:r>
          </w:p>
        </w:tc>
      </w:tr>
      <w:tr w:rsidR="000F2E69" w14:paraId="2A3E8F69" w14:textId="77777777" w:rsidTr="00F92020">
        <w:trPr>
          <w:cantSplit/>
        </w:trPr>
        <w:tc>
          <w:tcPr>
            <w:tcW w:w="2406" w:type="pct"/>
          </w:tcPr>
          <w:p w14:paraId="280168EF" w14:textId="77777777" w:rsidR="000F2E69" w:rsidRDefault="000F2E69" w:rsidP="000F2E69">
            <w:pPr>
              <w:pStyle w:val="ListBullet"/>
              <w:numPr>
                <w:ilvl w:val="0"/>
                <w:numId w:val="0"/>
              </w:numPr>
            </w:pPr>
          </w:p>
        </w:tc>
        <w:tc>
          <w:tcPr>
            <w:tcW w:w="834" w:type="pct"/>
          </w:tcPr>
          <w:p w14:paraId="592366F9" w14:textId="61522CED" w:rsidR="000F2E69" w:rsidRPr="009B6AA8" w:rsidRDefault="000F2E69" w:rsidP="00592036">
            <w:pPr>
              <w:pStyle w:val="TableBullets1"/>
            </w:pPr>
            <w:r w:rsidRPr="009B6AA8">
              <w:t>3 = Criterion met and exceeded</w:t>
            </w:r>
          </w:p>
        </w:tc>
        <w:tc>
          <w:tcPr>
            <w:tcW w:w="1760" w:type="pct"/>
          </w:tcPr>
          <w:p w14:paraId="3E32499B" w14:textId="4D7390DD" w:rsidR="000F2E69" w:rsidRDefault="000F2E69" w:rsidP="00941558">
            <w:pPr>
              <w:pStyle w:val="Tabletext"/>
            </w:pPr>
            <w:r>
              <w:t xml:space="preserve">As for </w:t>
            </w:r>
            <w:r w:rsidRPr="0012670D">
              <w:rPr>
                <w:i/>
                <w:iCs/>
              </w:rPr>
              <w:t>‘criterion met’</w:t>
            </w:r>
            <w:r>
              <w:t xml:space="preserve"> plus provision of documentation to support the claims, e.g. letters of support from local health services / oncologists.</w:t>
            </w:r>
          </w:p>
        </w:tc>
      </w:tr>
      <w:tr w:rsidR="000F2E69" w:rsidRPr="00941558" w14:paraId="1F546755" w14:textId="77777777" w:rsidTr="00F92020">
        <w:trPr>
          <w:cantSplit/>
        </w:trPr>
        <w:tc>
          <w:tcPr>
            <w:tcW w:w="2406" w:type="pct"/>
            <w:shd w:val="clear" w:color="auto" w:fill="BFBFBF" w:themeFill="background1" w:themeFillShade="BF"/>
          </w:tcPr>
          <w:p w14:paraId="1932D460" w14:textId="0825D781" w:rsidR="000F2E69" w:rsidRPr="00264535" w:rsidRDefault="000F2E69" w:rsidP="00264535">
            <w:pPr>
              <w:pStyle w:val="TableHeading"/>
            </w:pPr>
            <w:r w:rsidRPr="00264535">
              <w:t>Criterion 5: Commencement date</w:t>
            </w:r>
          </w:p>
        </w:tc>
        <w:tc>
          <w:tcPr>
            <w:tcW w:w="834" w:type="pct"/>
            <w:shd w:val="clear" w:color="auto" w:fill="BFBFBF" w:themeFill="background1" w:themeFillShade="BF"/>
          </w:tcPr>
          <w:p w14:paraId="4E0A2DAF" w14:textId="77777777" w:rsidR="000F2E69" w:rsidRPr="00264535" w:rsidRDefault="000F2E69" w:rsidP="00264535">
            <w:pPr>
              <w:pStyle w:val="TableHeading"/>
            </w:pPr>
          </w:p>
        </w:tc>
        <w:tc>
          <w:tcPr>
            <w:tcW w:w="1760" w:type="pct"/>
            <w:shd w:val="clear" w:color="auto" w:fill="BFBFBF" w:themeFill="background1" w:themeFillShade="BF"/>
          </w:tcPr>
          <w:p w14:paraId="77875EFF" w14:textId="77777777" w:rsidR="000F2E69" w:rsidRPr="00264535" w:rsidRDefault="000F2E69" w:rsidP="00264535">
            <w:pPr>
              <w:pStyle w:val="TableHeading"/>
            </w:pPr>
          </w:p>
        </w:tc>
      </w:tr>
      <w:tr w:rsidR="000F2E69" w14:paraId="59F5C5A2" w14:textId="77777777" w:rsidTr="00F92020">
        <w:trPr>
          <w:cantSplit/>
        </w:trPr>
        <w:tc>
          <w:tcPr>
            <w:tcW w:w="2406" w:type="pct"/>
          </w:tcPr>
          <w:p w14:paraId="7730B329" w14:textId="15E6BC57" w:rsidR="000F2E69" w:rsidRDefault="000F2E69" w:rsidP="00941558">
            <w:pPr>
              <w:pStyle w:val="Tabletext"/>
            </w:pPr>
            <w:r>
              <w:t>The Minister will consider the proposed commencement date for treating patients under the approved health service, and whether this timeframe is realistic and reasonable. The maximum period within which the Department would expect facilities and equipment that form part of an approved health service to become operational is within two years from the date of the approval under Part IV of the Act. The Minister may revoke an approval of a facility or equipment if it does not become operational within two years.</w:t>
            </w:r>
          </w:p>
        </w:tc>
        <w:tc>
          <w:tcPr>
            <w:tcW w:w="834" w:type="pct"/>
          </w:tcPr>
          <w:p w14:paraId="22561A31" w14:textId="78CEF782" w:rsidR="000F2E69" w:rsidRPr="009B6AA8" w:rsidRDefault="000F2E69" w:rsidP="00592036">
            <w:pPr>
              <w:pStyle w:val="TableBullets1"/>
            </w:pPr>
            <w:r w:rsidRPr="009B6AA8">
              <w:t>0 = Criterion not met</w:t>
            </w:r>
          </w:p>
        </w:tc>
        <w:tc>
          <w:tcPr>
            <w:tcW w:w="1760" w:type="pct"/>
          </w:tcPr>
          <w:p w14:paraId="5C378BA9" w14:textId="717CB6A1" w:rsidR="000F2E69" w:rsidRDefault="000F2E69" w:rsidP="00941558">
            <w:pPr>
              <w:pStyle w:val="Tabletext"/>
            </w:pPr>
            <w:r>
              <w:t>Application does not provide information about timeframes for service commencement, or indicates timeframes are greater than two years from the (expected) approval date.</w:t>
            </w:r>
          </w:p>
        </w:tc>
      </w:tr>
      <w:tr w:rsidR="000F2E69" w14:paraId="2B02AF22" w14:textId="77777777" w:rsidTr="00F92020">
        <w:trPr>
          <w:cantSplit/>
        </w:trPr>
        <w:tc>
          <w:tcPr>
            <w:tcW w:w="2406" w:type="pct"/>
          </w:tcPr>
          <w:p w14:paraId="76AF41C5" w14:textId="77777777" w:rsidR="000F2E69" w:rsidRDefault="000F2E69" w:rsidP="000F2E69">
            <w:pPr>
              <w:pStyle w:val="ListBullet"/>
              <w:numPr>
                <w:ilvl w:val="0"/>
                <w:numId w:val="0"/>
              </w:numPr>
            </w:pPr>
          </w:p>
        </w:tc>
        <w:tc>
          <w:tcPr>
            <w:tcW w:w="834" w:type="pct"/>
          </w:tcPr>
          <w:p w14:paraId="3C7B11D6" w14:textId="7E9B8F9E" w:rsidR="000F2E69" w:rsidRPr="009B6AA8" w:rsidRDefault="000F2E69" w:rsidP="00592036">
            <w:pPr>
              <w:pStyle w:val="TableBullets1"/>
            </w:pPr>
            <w:r w:rsidRPr="009B6AA8">
              <w:t>1 = Criterion partially met</w:t>
            </w:r>
          </w:p>
        </w:tc>
        <w:tc>
          <w:tcPr>
            <w:tcW w:w="1760" w:type="pct"/>
          </w:tcPr>
          <w:p w14:paraId="58680E8A" w14:textId="60DC976E" w:rsidR="000F2E69" w:rsidRDefault="000F2E69" w:rsidP="00941558">
            <w:pPr>
              <w:pStyle w:val="Tabletext"/>
            </w:pPr>
            <w:r>
              <w:t>Application indicates that services will commence in a two-year timeframe, but this is contingent on numerous assumptions that may be beyond the control of the RT provider.</w:t>
            </w:r>
          </w:p>
        </w:tc>
      </w:tr>
      <w:tr w:rsidR="000F2E69" w14:paraId="326CA960" w14:textId="77777777" w:rsidTr="00F92020">
        <w:trPr>
          <w:cantSplit/>
        </w:trPr>
        <w:tc>
          <w:tcPr>
            <w:tcW w:w="2406" w:type="pct"/>
          </w:tcPr>
          <w:p w14:paraId="4C871D7C" w14:textId="77777777" w:rsidR="000F2E69" w:rsidRDefault="000F2E69" w:rsidP="000F2E69">
            <w:pPr>
              <w:pStyle w:val="ListBullet"/>
              <w:numPr>
                <w:ilvl w:val="0"/>
                <w:numId w:val="0"/>
              </w:numPr>
            </w:pPr>
          </w:p>
        </w:tc>
        <w:tc>
          <w:tcPr>
            <w:tcW w:w="834" w:type="pct"/>
          </w:tcPr>
          <w:p w14:paraId="7682EA19" w14:textId="3B044BBB" w:rsidR="000F2E69" w:rsidRPr="009B6AA8" w:rsidRDefault="000F2E69" w:rsidP="00592036">
            <w:pPr>
              <w:pStyle w:val="TableBullets1"/>
            </w:pPr>
            <w:r w:rsidRPr="009B6AA8">
              <w:t>2 = Criterion met</w:t>
            </w:r>
          </w:p>
        </w:tc>
        <w:tc>
          <w:tcPr>
            <w:tcW w:w="1760" w:type="pct"/>
          </w:tcPr>
          <w:p w14:paraId="175BA8EF" w14:textId="71DC4E40" w:rsidR="000F2E69" w:rsidRDefault="000F2E69" w:rsidP="00941558">
            <w:pPr>
              <w:pStyle w:val="Tabletext"/>
            </w:pPr>
            <w:r>
              <w:t>Application indicates that the services will commence in a two-year timeframe and provides a detailed implementation plan including Gantt chart with progress milestones.</w:t>
            </w:r>
          </w:p>
        </w:tc>
      </w:tr>
      <w:tr w:rsidR="000F2E69" w14:paraId="6998B0FC" w14:textId="77777777" w:rsidTr="00F92020">
        <w:trPr>
          <w:cantSplit/>
        </w:trPr>
        <w:tc>
          <w:tcPr>
            <w:tcW w:w="2406" w:type="pct"/>
          </w:tcPr>
          <w:p w14:paraId="6CF8346E" w14:textId="77777777" w:rsidR="000F2E69" w:rsidRDefault="000F2E69" w:rsidP="000F2E69">
            <w:pPr>
              <w:pStyle w:val="ListBullet"/>
              <w:numPr>
                <w:ilvl w:val="0"/>
                <w:numId w:val="0"/>
              </w:numPr>
            </w:pPr>
          </w:p>
        </w:tc>
        <w:tc>
          <w:tcPr>
            <w:tcW w:w="834" w:type="pct"/>
          </w:tcPr>
          <w:p w14:paraId="09004126" w14:textId="64ADA138" w:rsidR="000F2E69" w:rsidRPr="009B6AA8" w:rsidRDefault="000F2E69" w:rsidP="00592036">
            <w:pPr>
              <w:pStyle w:val="TableBullets1"/>
            </w:pPr>
            <w:r w:rsidRPr="009B6AA8">
              <w:t>3 = Criterion met and exceeded</w:t>
            </w:r>
          </w:p>
        </w:tc>
        <w:tc>
          <w:tcPr>
            <w:tcW w:w="1760" w:type="pct"/>
          </w:tcPr>
          <w:p w14:paraId="69CFF28B" w14:textId="77B85EC4" w:rsidR="000F2E69" w:rsidRDefault="000F2E69" w:rsidP="00941558">
            <w:pPr>
              <w:pStyle w:val="Tabletext"/>
            </w:pPr>
            <w:r>
              <w:t>Application indicates that services will commence much sooner than two years (e.g. within one year) and provides a detailed implementation plan including Gantt chart with progress milestones.</w:t>
            </w:r>
          </w:p>
        </w:tc>
      </w:tr>
      <w:tr w:rsidR="000F2E69" w:rsidRPr="00941558" w14:paraId="60EE5CC1" w14:textId="77777777" w:rsidTr="00264535">
        <w:trPr>
          <w:cantSplit/>
          <w:trHeight w:val="72"/>
        </w:trPr>
        <w:tc>
          <w:tcPr>
            <w:tcW w:w="2406" w:type="pct"/>
            <w:shd w:val="clear" w:color="auto" w:fill="BFBFBF" w:themeFill="background1" w:themeFillShade="BF"/>
            <w:vAlign w:val="center"/>
          </w:tcPr>
          <w:p w14:paraId="697CF842" w14:textId="12971001" w:rsidR="000F2E69" w:rsidRPr="00941558" w:rsidRDefault="000F2E69" w:rsidP="00264535">
            <w:pPr>
              <w:pStyle w:val="TableHeading"/>
            </w:pPr>
            <w:r w:rsidRPr="00941558">
              <w:t>Maximum total score</w:t>
            </w:r>
          </w:p>
        </w:tc>
        <w:tc>
          <w:tcPr>
            <w:tcW w:w="834" w:type="pct"/>
            <w:shd w:val="clear" w:color="auto" w:fill="BFBFBF" w:themeFill="background1" w:themeFillShade="BF"/>
            <w:vAlign w:val="center"/>
          </w:tcPr>
          <w:p w14:paraId="7A4CE0FA" w14:textId="0EC75955" w:rsidR="000F2E69" w:rsidRPr="00941558" w:rsidRDefault="000F2E69" w:rsidP="00264535">
            <w:pPr>
              <w:pStyle w:val="TableHeading"/>
            </w:pPr>
            <w:r w:rsidRPr="00941558">
              <w:t>14</w:t>
            </w:r>
          </w:p>
        </w:tc>
        <w:tc>
          <w:tcPr>
            <w:tcW w:w="1760" w:type="pct"/>
            <w:shd w:val="clear" w:color="auto" w:fill="BFBFBF" w:themeFill="background1" w:themeFillShade="BF"/>
            <w:vAlign w:val="center"/>
          </w:tcPr>
          <w:p w14:paraId="725FD153" w14:textId="77777777" w:rsidR="000F2E69" w:rsidRPr="00941558" w:rsidRDefault="000F2E69" w:rsidP="00264535">
            <w:pPr>
              <w:pStyle w:val="TableHeading"/>
            </w:pPr>
          </w:p>
        </w:tc>
      </w:tr>
    </w:tbl>
    <w:p w14:paraId="2F5CAC09" w14:textId="7B3EC31E" w:rsidR="0010422E" w:rsidRPr="00D65C79" w:rsidRDefault="00584BFB" w:rsidP="00941558">
      <w:pPr>
        <w:pStyle w:val="Heading3"/>
        <w:pageBreakBefore/>
      </w:pPr>
      <w:bookmarkStart w:id="349" w:name="_Toc59198519"/>
      <w:bookmarkStart w:id="350" w:name="_Toc66194000"/>
      <w:bookmarkStart w:id="351" w:name="_Toc73696728"/>
      <w:r>
        <w:lastRenderedPageBreak/>
        <w:t xml:space="preserve">Appendix H </w:t>
      </w:r>
      <w:r w:rsidR="0010422E" w:rsidRPr="00D65C79">
        <w:t>References</w:t>
      </w:r>
      <w:bookmarkEnd w:id="349"/>
      <w:bookmarkEnd w:id="350"/>
      <w:bookmarkEnd w:id="351"/>
    </w:p>
    <w:sdt>
      <w:sdtPr>
        <w:id w:val="-1569957129"/>
        <w:docPartObj>
          <w:docPartGallery w:val="Bibliographies"/>
          <w:docPartUnique/>
        </w:docPartObj>
      </w:sdtPr>
      <w:sdtContent>
        <w:bookmarkStart w:id="352" w:name="_Hlk65078670" w:displacedByCustomXml="prev"/>
        <w:p w14:paraId="13561552" w14:textId="49272F81" w:rsidR="00621B04" w:rsidRDefault="00621B04" w:rsidP="00A018D6">
          <w:pPr>
            <w:ind w:left="142"/>
            <w:divId w:val="706761701"/>
            <w:rPr>
              <w:noProof/>
            </w:rPr>
          </w:pPr>
          <w:r>
            <w:rPr>
              <w:noProof/>
            </w:rPr>
            <w:t xml:space="preserve">[1] </w:t>
          </w:r>
          <w:r>
            <w:rPr>
              <w:noProof/>
              <w:sz w:val="24"/>
              <w:szCs w:val="24"/>
            </w:rPr>
            <w:tab/>
          </w:r>
          <w:r>
            <w:rPr>
              <w:noProof/>
            </w:rPr>
            <w:t>MP Consulting, “Review Oncology Health Program Grants Scheme,” Commonwealth Department of Health, Canberra, 2016.</w:t>
          </w:r>
        </w:p>
        <w:p w14:paraId="687CA5FB" w14:textId="77777777" w:rsidR="00621B04" w:rsidRDefault="00621B04">
          <w:pPr>
            <w:pStyle w:val="Bibliography"/>
            <w:tabs>
              <w:tab w:val="left" w:pos="653"/>
            </w:tabs>
            <w:ind w:left="113"/>
            <w:divId w:val="706761701"/>
            <w:rPr>
              <w:noProof/>
            </w:rPr>
          </w:pPr>
          <w:r>
            <w:rPr>
              <w:noProof/>
            </w:rPr>
            <w:t xml:space="preserve">[2] </w:t>
          </w:r>
          <w:r>
            <w:rPr>
              <w:noProof/>
            </w:rPr>
            <w:tab/>
            <w:t>National Cancer Institute, “Radiation Therapy,” US Department of Health and Human Services, 8 January 2019. [Online]. Available: https://www.cancer.gov/about-cancer/treatment/types/radiation-therapy#:~:text=Radiation%20therapy%20(also%20called%20radiotherapy,your%20teeth%20or%20broken%20bones.. [Accessed 13 July 2020].</w:t>
          </w:r>
        </w:p>
        <w:p w14:paraId="10F87B0F" w14:textId="77777777" w:rsidR="00621B04" w:rsidRDefault="00621B04">
          <w:pPr>
            <w:pStyle w:val="Bibliography"/>
            <w:tabs>
              <w:tab w:val="left" w:pos="653"/>
            </w:tabs>
            <w:ind w:left="113"/>
            <w:divId w:val="706761701"/>
            <w:rPr>
              <w:noProof/>
            </w:rPr>
          </w:pPr>
          <w:r>
            <w:rPr>
              <w:noProof/>
            </w:rPr>
            <w:t xml:space="preserve">[3] </w:t>
          </w:r>
          <w:r>
            <w:rPr>
              <w:noProof/>
            </w:rPr>
            <w:tab/>
            <w:t>Royal Australian and New Zealand College of Radiologists, “External Beam Radiation Therapy,” 2017. [Online]. Available: https://www.targetingcancer.com.au/radiation-therapy/ebrt/. [Accessed 2020].</w:t>
          </w:r>
        </w:p>
        <w:p w14:paraId="27959F01" w14:textId="77777777" w:rsidR="00621B04" w:rsidRDefault="00621B04">
          <w:pPr>
            <w:pStyle w:val="Bibliography"/>
            <w:tabs>
              <w:tab w:val="left" w:pos="653"/>
            </w:tabs>
            <w:ind w:left="113"/>
            <w:divId w:val="706761701"/>
            <w:rPr>
              <w:noProof/>
            </w:rPr>
          </w:pPr>
          <w:r>
            <w:rPr>
              <w:noProof/>
            </w:rPr>
            <w:t xml:space="preserve">[4] </w:t>
          </w:r>
          <w:r>
            <w:rPr>
              <w:noProof/>
            </w:rPr>
            <w:tab/>
            <w:t>Peter MacCallum Cancer Centre, “Radiation Therapy,” 2020. [Online]. Available: https://www.petermac.org/services/treatment/radiation-therapy/types-radiation-therapy/stereotactic-radiosurgery-srs. [Accessed 2020].</w:t>
          </w:r>
        </w:p>
        <w:p w14:paraId="3201B7D0" w14:textId="77777777" w:rsidR="00621B04" w:rsidRDefault="00621B04">
          <w:pPr>
            <w:pStyle w:val="Bibliography"/>
            <w:tabs>
              <w:tab w:val="left" w:pos="653"/>
            </w:tabs>
            <w:ind w:left="113"/>
            <w:divId w:val="706761701"/>
            <w:rPr>
              <w:noProof/>
            </w:rPr>
          </w:pPr>
          <w:r>
            <w:rPr>
              <w:noProof/>
            </w:rPr>
            <w:t xml:space="preserve">[5] </w:t>
          </w:r>
          <w:r>
            <w:rPr>
              <w:noProof/>
            </w:rPr>
            <w:tab/>
            <w:t xml:space="preserve">S. S. Jeppsen, T. Schyette, H. R. B. C. Jensen and O. Hansen, “Stereotactic body radiation therapy versus conventional radiation therapy in patients with early stage non-small cell lung cancer: An updated retrospective study on local failure and survival rates,” </w:t>
          </w:r>
          <w:r>
            <w:rPr>
              <w:i/>
              <w:iCs/>
              <w:noProof/>
            </w:rPr>
            <w:t xml:space="preserve">Acta Oncologica, </w:t>
          </w:r>
          <w:r>
            <w:rPr>
              <w:noProof/>
            </w:rPr>
            <w:t xml:space="preserve">vol. 52, no. 7, 2013. </w:t>
          </w:r>
        </w:p>
        <w:p w14:paraId="06F58739" w14:textId="77777777" w:rsidR="00621B04" w:rsidRDefault="00621B04">
          <w:pPr>
            <w:pStyle w:val="Bibliography"/>
            <w:tabs>
              <w:tab w:val="left" w:pos="653"/>
            </w:tabs>
            <w:ind w:left="113"/>
            <w:divId w:val="706761701"/>
            <w:rPr>
              <w:noProof/>
            </w:rPr>
          </w:pPr>
          <w:r>
            <w:rPr>
              <w:noProof/>
            </w:rPr>
            <w:t xml:space="preserve">[6] </w:t>
          </w:r>
          <w:r>
            <w:rPr>
              <w:noProof/>
            </w:rPr>
            <w:tab/>
            <w:t>Collaboration for Cancer Outcomes Research and Evaluation &amp; Ingham Institute of Applied Medical Research, “Review of Optimal Radiotherapy Utilisation Rates,” Australian Government Department of Health and Ageing , Canberra, 2013.</w:t>
          </w:r>
        </w:p>
        <w:p w14:paraId="14515553" w14:textId="77777777" w:rsidR="00621B04" w:rsidRDefault="00621B04">
          <w:pPr>
            <w:pStyle w:val="Bibliography"/>
            <w:tabs>
              <w:tab w:val="left" w:pos="653"/>
            </w:tabs>
            <w:ind w:left="113"/>
            <w:divId w:val="706761701"/>
            <w:rPr>
              <w:noProof/>
            </w:rPr>
          </w:pPr>
          <w:r>
            <w:rPr>
              <w:noProof/>
            </w:rPr>
            <w:t xml:space="preserve">[7] </w:t>
          </w:r>
          <w:r>
            <w:rPr>
              <w:noProof/>
            </w:rPr>
            <w:tab/>
            <w:t xml:space="preserve">V. Corregidor, “Radiotherapy bunker design as a function of treatment technique. Economic impact evaluation.,” </w:t>
          </w:r>
          <w:r>
            <w:rPr>
              <w:i/>
              <w:iCs/>
              <w:noProof/>
            </w:rPr>
            <w:t xml:space="preserve">Instituto Superior Technico, </w:t>
          </w:r>
          <w:r>
            <w:rPr>
              <w:noProof/>
            </w:rPr>
            <w:t xml:space="preserve">2018. </w:t>
          </w:r>
        </w:p>
        <w:p w14:paraId="0F430CCC" w14:textId="77777777" w:rsidR="00621B04" w:rsidRDefault="00621B04">
          <w:pPr>
            <w:pStyle w:val="Bibliography"/>
            <w:tabs>
              <w:tab w:val="left" w:pos="653"/>
            </w:tabs>
            <w:ind w:left="113"/>
            <w:divId w:val="706761701"/>
            <w:rPr>
              <w:noProof/>
            </w:rPr>
          </w:pPr>
          <w:r>
            <w:rPr>
              <w:noProof/>
            </w:rPr>
            <w:t xml:space="preserve">[8] </w:t>
          </w:r>
          <w:r>
            <w:rPr>
              <w:noProof/>
            </w:rPr>
            <w:tab/>
            <w:t xml:space="preserve">I. J. Feain, L. Court, J. R. Palta, S. Beddar and P. Keall, “Innovations in Radiotherapy Technology,” </w:t>
          </w:r>
          <w:r>
            <w:rPr>
              <w:i/>
              <w:iCs/>
              <w:noProof/>
            </w:rPr>
            <w:t xml:space="preserve">Clinical Oncology, </w:t>
          </w:r>
          <w:r>
            <w:rPr>
              <w:noProof/>
            </w:rPr>
            <w:t xml:space="preserve">vol. 29, pp. 120-128, 2017. </w:t>
          </w:r>
        </w:p>
        <w:p w14:paraId="1A4EB811" w14:textId="77777777" w:rsidR="00621B04" w:rsidRDefault="00621B04">
          <w:pPr>
            <w:pStyle w:val="Bibliography"/>
            <w:tabs>
              <w:tab w:val="left" w:pos="653"/>
            </w:tabs>
            <w:ind w:left="113"/>
            <w:divId w:val="706761701"/>
            <w:rPr>
              <w:noProof/>
            </w:rPr>
          </w:pPr>
          <w:r>
            <w:rPr>
              <w:noProof/>
            </w:rPr>
            <w:t xml:space="preserve">[9] </w:t>
          </w:r>
          <w:r>
            <w:rPr>
              <w:noProof/>
            </w:rPr>
            <w:tab/>
            <w:t xml:space="preserve">A. Fong, S. C. Shafiq, A. M. Thompson, S. Tyldesley, I. A. Olivotto, M. B. Barton, J. A. Dewar, S. Jacob, W. Ng and D. G. P. Speers, “A comparison of surgical and radiotherapy breast cancer therapy utilization in Canada (British Columbia), Scotland (Dundee), and Australia (Western Australia) with models of “optimal” therapy,” </w:t>
          </w:r>
          <w:r>
            <w:rPr>
              <w:i/>
              <w:iCs/>
              <w:noProof/>
            </w:rPr>
            <w:t xml:space="preserve">The Breast, </w:t>
          </w:r>
          <w:r>
            <w:rPr>
              <w:noProof/>
            </w:rPr>
            <w:t xml:space="preserve">vol. 21, pp. 570-577, 2012. </w:t>
          </w:r>
        </w:p>
        <w:p w14:paraId="58F8225D" w14:textId="77777777" w:rsidR="00621B04" w:rsidRDefault="00621B04">
          <w:pPr>
            <w:pStyle w:val="Bibliography"/>
            <w:tabs>
              <w:tab w:val="left" w:pos="653"/>
            </w:tabs>
            <w:ind w:left="113"/>
            <w:divId w:val="706761701"/>
            <w:rPr>
              <w:noProof/>
            </w:rPr>
          </w:pPr>
          <w:r>
            <w:rPr>
              <w:noProof/>
            </w:rPr>
            <w:t xml:space="preserve">[10] </w:t>
          </w:r>
          <w:r>
            <w:rPr>
              <w:noProof/>
            </w:rPr>
            <w:tab/>
            <w:t xml:space="preserve">M. V. Barton, S. Jacob, J. Shafiq, K. Wong, S. R. Thompson, T. P. Hannah and G. P. Delaney, “Estimating the demand for radiotherapy from the evidence: A review of changes from 2003 to 2012,” </w:t>
          </w:r>
          <w:r>
            <w:rPr>
              <w:i/>
              <w:iCs/>
              <w:noProof/>
            </w:rPr>
            <w:t xml:space="preserve">Radiotherapy and Oncology, </w:t>
          </w:r>
          <w:r>
            <w:rPr>
              <w:noProof/>
            </w:rPr>
            <w:t xml:space="preserve">vol. 122, pp. 140-144, 2014. </w:t>
          </w:r>
        </w:p>
        <w:p w14:paraId="424B40D9" w14:textId="77777777" w:rsidR="00621B04" w:rsidRDefault="00621B04">
          <w:pPr>
            <w:pStyle w:val="Bibliography"/>
            <w:tabs>
              <w:tab w:val="left" w:pos="653"/>
            </w:tabs>
            <w:ind w:left="113"/>
            <w:divId w:val="706761701"/>
            <w:rPr>
              <w:noProof/>
            </w:rPr>
          </w:pPr>
          <w:r>
            <w:rPr>
              <w:noProof/>
            </w:rPr>
            <w:t xml:space="preserve">[11] </w:t>
          </w:r>
          <w:r>
            <w:rPr>
              <w:noProof/>
            </w:rPr>
            <w:tab/>
            <w:t xml:space="preserve">K. Wong, G. P. Delaney and M. B. Barton, “Evidence-based optimal number of radiotherapy fractions for cancer: A useful tool to estimate radiotherapy demand,” </w:t>
          </w:r>
          <w:r>
            <w:rPr>
              <w:i/>
              <w:iCs/>
              <w:noProof/>
            </w:rPr>
            <w:t xml:space="preserve">Radiotherapy and Oncology, </w:t>
          </w:r>
          <w:r>
            <w:rPr>
              <w:noProof/>
            </w:rPr>
            <w:t xml:space="preserve">vol. 119, pp. 145-149, 2016. </w:t>
          </w:r>
        </w:p>
        <w:p w14:paraId="5C03905C" w14:textId="77777777" w:rsidR="00621B04" w:rsidRDefault="00621B04">
          <w:pPr>
            <w:pStyle w:val="Bibliography"/>
            <w:tabs>
              <w:tab w:val="left" w:pos="653"/>
            </w:tabs>
            <w:ind w:left="113"/>
            <w:divId w:val="706761701"/>
            <w:rPr>
              <w:noProof/>
            </w:rPr>
          </w:pPr>
          <w:r>
            <w:rPr>
              <w:noProof/>
            </w:rPr>
            <w:t xml:space="preserve">[12] </w:t>
          </w:r>
          <w:r>
            <w:rPr>
              <w:noProof/>
            </w:rPr>
            <w:tab/>
            <w:t xml:space="preserve">G. P. Delaney and M. B. Barton, “Evidence-based estimates of the demand for radiotherapy,” </w:t>
          </w:r>
          <w:r>
            <w:rPr>
              <w:i/>
              <w:iCs/>
              <w:noProof/>
            </w:rPr>
            <w:t xml:space="preserve">Clinical Oncology, </w:t>
          </w:r>
          <w:r>
            <w:rPr>
              <w:noProof/>
            </w:rPr>
            <w:t xml:space="preserve">vol. 27, pp. 70-76, 2015. </w:t>
          </w:r>
        </w:p>
        <w:p w14:paraId="0FC5F6DC" w14:textId="77777777" w:rsidR="00621B04" w:rsidRDefault="00621B04">
          <w:pPr>
            <w:pStyle w:val="Bibliography"/>
            <w:tabs>
              <w:tab w:val="left" w:pos="653"/>
            </w:tabs>
            <w:ind w:left="113"/>
            <w:divId w:val="706761701"/>
            <w:rPr>
              <w:noProof/>
            </w:rPr>
          </w:pPr>
          <w:r>
            <w:rPr>
              <w:noProof/>
            </w:rPr>
            <w:t xml:space="preserve">[13] </w:t>
          </w:r>
          <w:r>
            <w:rPr>
              <w:noProof/>
            </w:rPr>
            <w:tab/>
            <w:t>Australian Institute of Health and Welfare, “Cancer Data in Australia 2020,” Australian Government, Canberra, 2016.</w:t>
          </w:r>
        </w:p>
        <w:p w14:paraId="389C1CCE" w14:textId="77777777" w:rsidR="00621B04" w:rsidRDefault="00621B04">
          <w:pPr>
            <w:pStyle w:val="Bibliography"/>
            <w:tabs>
              <w:tab w:val="left" w:pos="653"/>
            </w:tabs>
            <w:ind w:left="113"/>
            <w:divId w:val="706761701"/>
            <w:rPr>
              <w:noProof/>
            </w:rPr>
          </w:pPr>
          <w:r>
            <w:rPr>
              <w:noProof/>
            </w:rPr>
            <w:t xml:space="preserve">[14] </w:t>
          </w:r>
          <w:r>
            <w:rPr>
              <w:noProof/>
            </w:rPr>
            <w:tab/>
            <w:t xml:space="preserve">S. M. Butler, “Changes to radiotherapy utilisation in Western NSW after the opening of a local service,” </w:t>
          </w:r>
          <w:r>
            <w:rPr>
              <w:i/>
              <w:iCs/>
              <w:noProof/>
            </w:rPr>
            <w:t xml:space="preserve">Journal of Medical Radiation Sciences, </w:t>
          </w:r>
          <w:r>
            <w:rPr>
              <w:noProof/>
            </w:rPr>
            <w:t xml:space="preserve">vol. 64, no. 4, pp. 251-257, 2017. </w:t>
          </w:r>
        </w:p>
        <w:p w14:paraId="5809DE3B" w14:textId="77777777" w:rsidR="00621B04" w:rsidRDefault="00621B04">
          <w:pPr>
            <w:pStyle w:val="Bibliography"/>
            <w:tabs>
              <w:tab w:val="left" w:pos="653"/>
            </w:tabs>
            <w:ind w:left="113"/>
            <w:divId w:val="706761701"/>
            <w:rPr>
              <w:noProof/>
            </w:rPr>
          </w:pPr>
          <w:r>
            <w:rPr>
              <w:noProof/>
            </w:rPr>
            <w:t xml:space="preserve">[15] </w:t>
          </w:r>
          <w:r>
            <w:rPr>
              <w:noProof/>
            </w:rPr>
            <w:tab/>
            <w:t xml:space="preserve">V. Batumalai, J. Shafiq, G. Gabriel, T. P. Hannah, G. P. Delaney and M. Barton, “Impact of radiotherapy underutilisation measured by survival shortfall, years of potential life lost and disability-adjusted life years lost in New South Wales, Australia,” </w:t>
          </w:r>
          <w:r>
            <w:rPr>
              <w:i/>
              <w:iCs/>
              <w:noProof/>
            </w:rPr>
            <w:t xml:space="preserve">Radiotherapy and Oncology, </w:t>
          </w:r>
          <w:r>
            <w:rPr>
              <w:noProof/>
            </w:rPr>
            <w:t xml:space="preserve">2018. </w:t>
          </w:r>
        </w:p>
        <w:p w14:paraId="0D9F5DA5" w14:textId="77777777" w:rsidR="00621B04" w:rsidRDefault="00621B04">
          <w:pPr>
            <w:pStyle w:val="Bibliography"/>
            <w:tabs>
              <w:tab w:val="left" w:pos="653"/>
            </w:tabs>
            <w:ind w:left="113"/>
            <w:divId w:val="706761701"/>
            <w:rPr>
              <w:noProof/>
            </w:rPr>
          </w:pPr>
          <w:r>
            <w:rPr>
              <w:noProof/>
            </w:rPr>
            <w:t xml:space="preserve">[16] </w:t>
          </w:r>
          <w:r>
            <w:rPr>
              <w:noProof/>
            </w:rPr>
            <w:tab/>
            <w:t xml:space="preserve">M. Henry, P. Jones, K. Morrissy, L. M. Matheson, G. Pitson, P. Healy, M. Coory, R. Lynch, A. Chapman and D. Ashley, “Radiotherapy in the Barwon South Western Region: A rural perspective,” </w:t>
          </w:r>
          <w:r>
            <w:rPr>
              <w:i/>
              <w:iCs/>
              <w:noProof/>
            </w:rPr>
            <w:t xml:space="preserve">Journal of Medical Imaging and Raditional Oncology , </w:t>
          </w:r>
          <w:r>
            <w:rPr>
              <w:noProof/>
            </w:rPr>
            <w:t xml:space="preserve">vol. 58, pp. 612-617, 2014. </w:t>
          </w:r>
        </w:p>
        <w:p w14:paraId="35D83F1C" w14:textId="77777777" w:rsidR="00621B04" w:rsidRDefault="00621B04">
          <w:pPr>
            <w:pStyle w:val="Bibliography"/>
            <w:tabs>
              <w:tab w:val="left" w:pos="653"/>
            </w:tabs>
            <w:ind w:left="113"/>
            <w:divId w:val="706761701"/>
            <w:rPr>
              <w:noProof/>
            </w:rPr>
          </w:pPr>
          <w:r>
            <w:rPr>
              <w:noProof/>
            </w:rPr>
            <w:t xml:space="preserve">[17] </w:t>
          </w:r>
          <w:r>
            <w:rPr>
              <w:noProof/>
            </w:rPr>
            <w:tab/>
            <w:t>Australian Institute of Health and Welfare, “Radiotherapy in Australia 2017–18,” Commonwealth Government, Canberra, 2019.</w:t>
          </w:r>
        </w:p>
        <w:p w14:paraId="43F9E98B" w14:textId="77777777" w:rsidR="00621B04" w:rsidRDefault="00621B04">
          <w:pPr>
            <w:pStyle w:val="Bibliography"/>
            <w:tabs>
              <w:tab w:val="left" w:pos="653"/>
            </w:tabs>
            <w:ind w:left="113"/>
            <w:divId w:val="706761701"/>
            <w:rPr>
              <w:noProof/>
            </w:rPr>
          </w:pPr>
          <w:r>
            <w:rPr>
              <w:noProof/>
            </w:rPr>
            <w:t xml:space="preserve">[18] </w:t>
          </w:r>
          <w:r>
            <w:rPr>
              <w:noProof/>
            </w:rPr>
            <w:tab/>
            <w:t>AIHW, “Cancer Data in Australia,” 3 11 2020. [Online]. Available: https://www.aihw.gov.au/reports/cancer/cancer-data-in-australia/contents/cancer-summary-data-visualisation. [Accessed 2020].</w:t>
          </w:r>
        </w:p>
        <w:p w14:paraId="65814133" w14:textId="77777777" w:rsidR="00621B04" w:rsidRDefault="00621B04">
          <w:pPr>
            <w:pStyle w:val="Bibliography"/>
            <w:tabs>
              <w:tab w:val="left" w:pos="653"/>
            </w:tabs>
            <w:ind w:left="113"/>
            <w:divId w:val="706761701"/>
            <w:rPr>
              <w:noProof/>
            </w:rPr>
          </w:pPr>
          <w:r>
            <w:rPr>
              <w:noProof/>
            </w:rPr>
            <w:t xml:space="preserve">[19] </w:t>
          </w:r>
          <w:r>
            <w:rPr>
              <w:noProof/>
            </w:rPr>
            <w:tab/>
            <w:t xml:space="preserve">G. Gabriel and M. D. G. P. Barton, “The effect of travel distance on radiotherapy utilization in NSW and ACT,” </w:t>
          </w:r>
          <w:r>
            <w:rPr>
              <w:i/>
              <w:iCs/>
              <w:noProof/>
            </w:rPr>
            <w:t xml:space="preserve">Radiotherapy and Oncology, </w:t>
          </w:r>
          <w:r>
            <w:rPr>
              <w:noProof/>
            </w:rPr>
            <w:t xml:space="preserve">vol. 117, pp. 386-389, 2015. </w:t>
          </w:r>
        </w:p>
        <w:p w14:paraId="2AAF3B36" w14:textId="77777777" w:rsidR="00621B04" w:rsidRDefault="00621B04">
          <w:pPr>
            <w:pStyle w:val="Bibliography"/>
            <w:tabs>
              <w:tab w:val="left" w:pos="653"/>
            </w:tabs>
            <w:ind w:left="113"/>
            <w:divId w:val="706761701"/>
            <w:rPr>
              <w:noProof/>
            </w:rPr>
          </w:pPr>
          <w:r>
            <w:rPr>
              <w:noProof/>
            </w:rPr>
            <w:t xml:space="preserve">[20] </w:t>
          </w:r>
          <w:r>
            <w:rPr>
              <w:noProof/>
            </w:rPr>
            <w:tab/>
            <w:t xml:space="preserve">P. D. Baade, P. Dasgupta, J. F. Aitken and G. Turrell, “Distance to the closest radiotherapy facility and survival after a diagnosis of rectal cancer in Queensland,” </w:t>
          </w:r>
          <w:r>
            <w:rPr>
              <w:i/>
              <w:iCs/>
              <w:noProof/>
            </w:rPr>
            <w:t xml:space="preserve">Medical Journal of Australia, </w:t>
          </w:r>
          <w:r>
            <w:rPr>
              <w:noProof/>
            </w:rPr>
            <w:t xml:space="preserve">vol. 195, no. 6, pp. 350-354, 2011. </w:t>
          </w:r>
        </w:p>
        <w:p w14:paraId="1F7F5FDC" w14:textId="77777777" w:rsidR="00621B04" w:rsidRDefault="00621B04">
          <w:pPr>
            <w:pStyle w:val="Bibliography"/>
            <w:tabs>
              <w:tab w:val="left" w:pos="653"/>
            </w:tabs>
            <w:ind w:left="113"/>
            <w:divId w:val="706761701"/>
            <w:rPr>
              <w:noProof/>
            </w:rPr>
          </w:pPr>
          <w:r>
            <w:rPr>
              <w:noProof/>
            </w:rPr>
            <w:lastRenderedPageBreak/>
            <w:t xml:space="preserve">[21] </w:t>
          </w:r>
          <w:r>
            <w:rPr>
              <w:noProof/>
            </w:rPr>
            <w:tab/>
            <w:t xml:space="preserve">P. Sundaresan, M. T. King, M. R. Stockler, D. S. J. Costa and C. G. Milross, “Barriers to radiotherapy utilisation in New South Wales Australia: Health professionals' perceptions of impacting factors,” </w:t>
          </w:r>
          <w:r>
            <w:rPr>
              <w:i/>
              <w:iCs/>
              <w:noProof/>
            </w:rPr>
            <w:t xml:space="preserve">Journal of Medical Imaging and Radition Oncology, </w:t>
          </w:r>
          <w:r>
            <w:rPr>
              <w:noProof/>
            </w:rPr>
            <w:t xml:space="preserve">vol. 59, pp. 535-541, 2015. </w:t>
          </w:r>
        </w:p>
        <w:p w14:paraId="748D3B35" w14:textId="77777777" w:rsidR="00621B04" w:rsidRDefault="00621B04">
          <w:pPr>
            <w:pStyle w:val="Bibliography"/>
            <w:tabs>
              <w:tab w:val="left" w:pos="653"/>
            </w:tabs>
            <w:ind w:left="113"/>
            <w:divId w:val="706761701"/>
            <w:rPr>
              <w:noProof/>
            </w:rPr>
          </w:pPr>
          <w:r>
            <w:rPr>
              <w:noProof/>
            </w:rPr>
            <w:t xml:space="preserve">[22] </w:t>
          </w:r>
          <w:r>
            <w:rPr>
              <w:noProof/>
            </w:rPr>
            <w:tab/>
            <w:t xml:space="preserve">Y. Lievens, H. De Schutter, K. Stellamans, M. Rosskamp, L. Van Eycken and B. C. f. P. i. R. Oncology, “Radiotherapy access in Belgium: How far are we from evidence-based utilisation?,” </w:t>
          </w:r>
          <w:r>
            <w:rPr>
              <w:i/>
              <w:iCs/>
              <w:noProof/>
            </w:rPr>
            <w:t xml:space="preserve">European Journal of Cancer, </w:t>
          </w:r>
          <w:r>
            <w:rPr>
              <w:noProof/>
            </w:rPr>
            <w:t xml:space="preserve">vol. 84, pp. 102-113, 2017. </w:t>
          </w:r>
        </w:p>
        <w:p w14:paraId="69255A9C" w14:textId="77777777" w:rsidR="00621B04" w:rsidRDefault="00621B04">
          <w:pPr>
            <w:pStyle w:val="Bibliography"/>
            <w:tabs>
              <w:tab w:val="left" w:pos="653"/>
            </w:tabs>
            <w:ind w:left="113"/>
            <w:divId w:val="706761701"/>
            <w:rPr>
              <w:noProof/>
            </w:rPr>
          </w:pPr>
          <w:r>
            <w:rPr>
              <w:noProof/>
            </w:rPr>
            <w:t xml:space="preserve">[23] </w:t>
          </w:r>
          <w:r>
            <w:rPr>
              <w:noProof/>
            </w:rPr>
            <w:tab/>
            <w:t xml:space="preserve">D. E. Freeman and C. R. King, “Stereotactic body radiotherapy for low-risk prostate cancer: five-year outcomes,” </w:t>
          </w:r>
          <w:r>
            <w:rPr>
              <w:i/>
              <w:iCs/>
              <w:noProof/>
            </w:rPr>
            <w:t xml:space="preserve">Radiation Oncology, </w:t>
          </w:r>
          <w:r>
            <w:rPr>
              <w:noProof/>
            </w:rPr>
            <w:t xml:space="preserve">vol. 6, no. 1, pp. 1-5, 2011. </w:t>
          </w:r>
        </w:p>
        <w:p w14:paraId="59120456" w14:textId="77777777" w:rsidR="00621B04" w:rsidRDefault="00621B04">
          <w:pPr>
            <w:pStyle w:val="Bibliography"/>
            <w:tabs>
              <w:tab w:val="left" w:pos="653"/>
            </w:tabs>
            <w:ind w:left="113"/>
            <w:divId w:val="706761701"/>
            <w:rPr>
              <w:noProof/>
            </w:rPr>
          </w:pPr>
          <w:r>
            <w:rPr>
              <w:noProof/>
            </w:rPr>
            <w:t xml:space="preserve">[24] </w:t>
          </w:r>
          <w:r>
            <w:rPr>
              <w:noProof/>
            </w:rPr>
            <w:tab/>
            <w:t xml:space="preserve">R. Baskar, K. A. Lee, R. Yeo and K.-W. Yeoh, “Cancer and Radiation Therapy: Current Advances and Future Directions,” </w:t>
          </w:r>
          <w:r>
            <w:rPr>
              <w:i/>
              <w:iCs/>
              <w:noProof/>
            </w:rPr>
            <w:t xml:space="preserve">International Journal of Medical Sciences, </w:t>
          </w:r>
          <w:r>
            <w:rPr>
              <w:noProof/>
            </w:rPr>
            <w:t xml:space="preserve">vol. 9, no. 3, pp. 193-199, 2012. </w:t>
          </w:r>
        </w:p>
        <w:p w14:paraId="233D4623" w14:textId="77777777" w:rsidR="00621B04" w:rsidRDefault="00621B04">
          <w:pPr>
            <w:pStyle w:val="Bibliography"/>
            <w:tabs>
              <w:tab w:val="left" w:pos="653"/>
            </w:tabs>
            <w:ind w:left="113"/>
            <w:divId w:val="706761701"/>
            <w:rPr>
              <w:noProof/>
            </w:rPr>
          </w:pPr>
          <w:r>
            <w:rPr>
              <w:noProof/>
            </w:rPr>
            <w:t xml:space="preserve">[25] </w:t>
          </w:r>
          <w:r>
            <w:rPr>
              <w:noProof/>
            </w:rPr>
            <w:tab/>
            <w:t xml:space="preserve">K. Spencer, R. Parrish, R. Barton and A. Henry, “Palliative radiotherapy,” </w:t>
          </w:r>
          <w:r>
            <w:rPr>
              <w:i/>
              <w:iCs/>
              <w:noProof/>
            </w:rPr>
            <w:t xml:space="preserve">British Medical Journal, </w:t>
          </w:r>
          <w:r>
            <w:rPr>
              <w:noProof/>
            </w:rPr>
            <w:t xml:space="preserve">2018. </w:t>
          </w:r>
        </w:p>
        <w:p w14:paraId="00B87FF7" w14:textId="77777777" w:rsidR="00621B04" w:rsidRDefault="00621B04">
          <w:pPr>
            <w:pStyle w:val="Bibliography"/>
            <w:tabs>
              <w:tab w:val="left" w:pos="653"/>
            </w:tabs>
            <w:ind w:left="113"/>
            <w:divId w:val="706761701"/>
            <w:rPr>
              <w:noProof/>
            </w:rPr>
          </w:pPr>
          <w:r>
            <w:rPr>
              <w:noProof/>
            </w:rPr>
            <w:t xml:space="preserve">[26] </w:t>
          </w:r>
          <w:r>
            <w:rPr>
              <w:noProof/>
            </w:rPr>
            <w:tab/>
            <w:t>Radiation Oncology Tripartite Committee , “Radiation Oncology Practice Standards. Part A: Fundamentals,” Canberra, 2018.</w:t>
          </w:r>
        </w:p>
        <w:p w14:paraId="4111D2A4" w14:textId="77777777" w:rsidR="00621B04" w:rsidRDefault="00621B04">
          <w:pPr>
            <w:pStyle w:val="Bibliography"/>
            <w:tabs>
              <w:tab w:val="left" w:pos="653"/>
            </w:tabs>
            <w:ind w:left="113"/>
            <w:divId w:val="706761701"/>
            <w:rPr>
              <w:noProof/>
            </w:rPr>
          </w:pPr>
          <w:r>
            <w:rPr>
              <w:noProof/>
            </w:rPr>
            <w:t xml:space="preserve">[27] </w:t>
          </w:r>
          <w:r>
            <w:rPr>
              <w:noProof/>
            </w:rPr>
            <w:tab/>
            <w:t>Radiation Oncology Inquiry Committee, “A vision for Radiotherapy (the Baume Inquiry),” Canberra, 2002.</w:t>
          </w:r>
        </w:p>
        <w:p w14:paraId="63CAA1FD" w14:textId="77777777" w:rsidR="00621B04" w:rsidRDefault="00621B04">
          <w:pPr>
            <w:pStyle w:val="Bibliography"/>
            <w:tabs>
              <w:tab w:val="left" w:pos="653"/>
            </w:tabs>
            <w:ind w:left="113"/>
            <w:divId w:val="706761701"/>
            <w:rPr>
              <w:noProof/>
            </w:rPr>
          </w:pPr>
          <w:r>
            <w:rPr>
              <w:noProof/>
            </w:rPr>
            <w:t xml:space="preserve">[28] </w:t>
          </w:r>
          <w:r>
            <w:rPr>
              <w:noProof/>
            </w:rPr>
            <w:tab/>
            <w:t>Australian Institute of Health and Welfare, “Health expenditure Australia,” Commonwealth Government, Canberra, 2017-18.</w:t>
          </w:r>
        </w:p>
        <w:p w14:paraId="6FB545FE" w14:textId="77777777" w:rsidR="00621B04" w:rsidRDefault="00621B04">
          <w:pPr>
            <w:pStyle w:val="Bibliography"/>
            <w:tabs>
              <w:tab w:val="left" w:pos="653"/>
            </w:tabs>
            <w:ind w:left="113"/>
            <w:divId w:val="706761701"/>
            <w:rPr>
              <w:noProof/>
            </w:rPr>
          </w:pPr>
          <w:r>
            <w:rPr>
              <w:noProof/>
            </w:rPr>
            <w:t xml:space="preserve">[29] </w:t>
          </w:r>
          <w:r>
            <w:rPr>
              <w:noProof/>
            </w:rPr>
            <w:tab/>
            <w:t xml:space="preserve">D. W. Brown, A. Shulman, A. Hudson, W. Smith, B. Fisher, J. Hollon, Y. Pipman, J. Van Dyk and J. Einck, “A framework for the implementation of new radiation therapy technologies and treatment techniques in low-income countries,” </w:t>
          </w:r>
          <w:r>
            <w:rPr>
              <w:i/>
              <w:iCs/>
              <w:noProof/>
            </w:rPr>
            <w:t xml:space="preserve">Physica Medica, </w:t>
          </w:r>
          <w:r>
            <w:rPr>
              <w:noProof/>
            </w:rPr>
            <w:t xml:space="preserve">vol. 30, pp. 791-798, 2014. </w:t>
          </w:r>
        </w:p>
        <w:p w14:paraId="184B0E5F" w14:textId="77777777" w:rsidR="00621B04" w:rsidRDefault="00621B04">
          <w:pPr>
            <w:pStyle w:val="Bibliography"/>
            <w:tabs>
              <w:tab w:val="left" w:pos="653"/>
            </w:tabs>
            <w:ind w:left="113"/>
            <w:divId w:val="706761701"/>
            <w:rPr>
              <w:noProof/>
            </w:rPr>
          </w:pPr>
          <w:r>
            <w:rPr>
              <w:noProof/>
            </w:rPr>
            <w:t xml:space="preserve">[30] </w:t>
          </w:r>
          <w:r>
            <w:rPr>
              <w:noProof/>
            </w:rPr>
            <w:tab/>
            <w:t>Australian Government, Ministers Department of Health , “Media release: Application process open for $45 million for regional cancer centres,” 13 August 2020. [Online]. Available: https://www.health.gov.au/ministers/the-hon-greg-hunt-mp/media/application-process-open-for-45-million-for-regional-cancer-centres. [Accessed 2020].</w:t>
          </w:r>
        </w:p>
        <w:p w14:paraId="127317F9" w14:textId="77777777" w:rsidR="00621B04" w:rsidRDefault="00621B04">
          <w:pPr>
            <w:pStyle w:val="Bibliography"/>
            <w:tabs>
              <w:tab w:val="left" w:pos="653"/>
            </w:tabs>
            <w:ind w:left="113"/>
            <w:divId w:val="706761701"/>
            <w:rPr>
              <w:noProof/>
            </w:rPr>
          </w:pPr>
          <w:r>
            <w:rPr>
              <w:noProof/>
            </w:rPr>
            <w:t xml:space="preserve">[31] </w:t>
          </w:r>
          <w:r>
            <w:rPr>
              <w:noProof/>
            </w:rPr>
            <w:tab/>
            <w:t>Australian Government Department of Health, “Assessment of Priority Areas within Australia for 2020-21,” 27 2 2020. [Online]. Available: https://www1.health.gov.au/internet/main/publishing.nsf/Content/health-roi-hpg-priority-2018. [Accessed 2020].</w:t>
          </w:r>
        </w:p>
        <w:p w14:paraId="646B6D8B" w14:textId="77777777" w:rsidR="00621B04" w:rsidRDefault="00621B04">
          <w:pPr>
            <w:pStyle w:val="Bibliography"/>
            <w:tabs>
              <w:tab w:val="left" w:pos="653"/>
            </w:tabs>
            <w:ind w:left="113"/>
            <w:divId w:val="706761701"/>
            <w:rPr>
              <w:noProof/>
            </w:rPr>
          </w:pPr>
          <w:r>
            <w:rPr>
              <w:noProof/>
            </w:rPr>
            <w:t xml:space="preserve">[32] </w:t>
          </w:r>
          <w:r>
            <w:rPr>
              <w:noProof/>
            </w:rPr>
            <w:tab/>
            <w:t xml:space="preserve">P. Dunscombe, C. Grau, N. Defourny, J. Malicki, J. Borras, C. M, M. Bogusz, C. Gasparotto, B. Slotman and Y. Lievens, “Guidelines for equipment and staffing of radiotherapy facilities in the European countries: Final results of the ESTRO-HERO survey,” </w:t>
          </w:r>
          <w:r>
            <w:rPr>
              <w:i/>
              <w:iCs/>
              <w:noProof/>
            </w:rPr>
            <w:t xml:space="preserve">Radiotherapy and Oncology, </w:t>
          </w:r>
          <w:r>
            <w:rPr>
              <w:noProof/>
            </w:rPr>
            <w:t xml:space="preserve">vol. 112, pp. 165-177, 20214. </w:t>
          </w:r>
        </w:p>
        <w:p w14:paraId="08564F48" w14:textId="77777777" w:rsidR="00621B04" w:rsidRDefault="00621B04">
          <w:pPr>
            <w:pStyle w:val="Bibliography"/>
            <w:tabs>
              <w:tab w:val="left" w:pos="653"/>
            </w:tabs>
            <w:ind w:left="113"/>
            <w:divId w:val="706761701"/>
            <w:rPr>
              <w:noProof/>
            </w:rPr>
          </w:pPr>
          <w:r>
            <w:rPr>
              <w:noProof/>
            </w:rPr>
            <w:t xml:space="preserve">[33] </w:t>
          </w:r>
          <w:r>
            <w:rPr>
              <w:noProof/>
            </w:rPr>
            <w:tab/>
            <w:t>Cancer Research UK, “Achieving a world-class radiotherapy service across the UK,” 2009.</w:t>
          </w:r>
        </w:p>
        <w:p w14:paraId="722C3234" w14:textId="77777777" w:rsidR="00621B04" w:rsidRDefault="00621B04">
          <w:pPr>
            <w:pStyle w:val="Bibliography"/>
            <w:tabs>
              <w:tab w:val="left" w:pos="653"/>
            </w:tabs>
            <w:ind w:left="113"/>
            <w:divId w:val="706761701"/>
            <w:rPr>
              <w:noProof/>
            </w:rPr>
          </w:pPr>
          <w:r>
            <w:rPr>
              <w:noProof/>
            </w:rPr>
            <w:t xml:space="preserve">[34] </w:t>
          </w:r>
          <w:r>
            <w:rPr>
              <w:noProof/>
            </w:rPr>
            <w:tab/>
            <w:t>Ministry of Health by Health Partners Consulting Group, “Radiation Oncology National Linear Accelerator and Workforce Plan,” 2014.</w:t>
          </w:r>
        </w:p>
        <w:p w14:paraId="248EE5CF" w14:textId="77777777" w:rsidR="00621B04" w:rsidRDefault="00621B04">
          <w:pPr>
            <w:pStyle w:val="Bibliography"/>
            <w:tabs>
              <w:tab w:val="left" w:pos="653"/>
            </w:tabs>
            <w:ind w:left="113"/>
            <w:divId w:val="706761701"/>
            <w:rPr>
              <w:noProof/>
            </w:rPr>
          </w:pPr>
          <w:r>
            <w:rPr>
              <w:noProof/>
            </w:rPr>
            <w:t xml:space="preserve">[35] </w:t>
          </w:r>
          <w:r>
            <w:rPr>
              <w:noProof/>
            </w:rPr>
            <w:tab/>
            <w:t>Australian Government Department of Health, “ROHPG Administrative Guidelines: Effective January 2020,” 2020.</w:t>
          </w:r>
        </w:p>
        <w:p w14:paraId="191305DA" w14:textId="77777777" w:rsidR="00621B04" w:rsidRDefault="00621B04">
          <w:pPr>
            <w:pStyle w:val="Bibliography"/>
            <w:tabs>
              <w:tab w:val="left" w:pos="653"/>
            </w:tabs>
            <w:ind w:left="113"/>
            <w:divId w:val="706761701"/>
            <w:rPr>
              <w:noProof/>
            </w:rPr>
          </w:pPr>
          <w:r>
            <w:rPr>
              <w:noProof/>
            </w:rPr>
            <w:t xml:space="preserve">[36] </w:t>
          </w:r>
          <w:r>
            <w:rPr>
              <w:noProof/>
            </w:rPr>
            <w:tab/>
            <w:t xml:space="preserve">T. Robin, A. Amini, T. Schefter, K. Behbakht and C. Fisher, “Disparities in standard of care treatment and associated survival decrement in patients with locally advanced cervical cancer,” </w:t>
          </w:r>
          <w:r>
            <w:rPr>
              <w:i/>
              <w:iCs/>
              <w:noProof/>
            </w:rPr>
            <w:t xml:space="preserve">Gynecologic Oncology, </w:t>
          </w:r>
          <w:r>
            <w:rPr>
              <w:noProof/>
            </w:rPr>
            <w:t xml:space="preserve">p. doi.org/10.1016/j.ygyno.2016.09.009, 2016. </w:t>
          </w:r>
        </w:p>
        <w:p w14:paraId="09D432E6" w14:textId="77777777" w:rsidR="00621B04" w:rsidRDefault="00621B04">
          <w:pPr>
            <w:pStyle w:val="Bibliography"/>
            <w:tabs>
              <w:tab w:val="left" w:pos="653"/>
            </w:tabs>
            <w:ind w:left="113"/>
            <w:divId w:val="706761701"/>
            <w:rPr>
              <w:noProof/>
            </w:rPr>
          </w:pPr>
          <w:r>
            <w:rPr>
              <w:noProof/>
            </w:rPr>
            <w:t xml:space="preserve">[37] </w:t>
          </w:r>
          <w:r>
            <w:rPr>
              <w:noProof/>
            </w:rPr>
            <w:tab/>
            <w:t xml:space="preserve">C. Holschneider, D. Petereit, C. Chu, I.-C. Hsu, Y. Ioffe, A. Klopp, B. Pothuri, L. Chen and C. Yashar, “Brachytherapy: A critical component of primary radiation therapy for cervical cancer: For the Society of Gynecologic Oncology (SGO) and the American Brachytherapy Society (ABS),” </w:t>
          </w:r>
          <w:r>
            <w:rPr>
              <w:i/>
              <w:iCs/>
              <w:noProof/>
            </w:rPr>
            <w:t xml:space="preserve">Brachytherapy , </w:t>
          </w:r>
          <w:r>
            <w:rPr>
              <w:noProof/>
            </w:rPr>
            <w:t xml:space="preserve">p. https://doi.org/10.1016/j.brachy.2018.11.009, 2018. </w:t>
          </w:r>
        </w:p>
        <w:p w14:paraId="2CB14599" w14:textId="77777777" w:rsidR="00621B04" w:rsidRDefault="00621B04">
          <w:pPr>
            <w:pStyle w:val="Bibliography"/>
            <w:tabs>
              <w:tab w:val="left" w:pos="653"/>
            </w:tabs>
            <w:ind w:left="113"/>
            <w:divId w:val="706761701"/>
            <w:rPr>
              <w:noProof/>
            </w:rPr>
          </w:pPr>
          <w:r>
            <w:rPr>
              <w:noProof/>
            </w:rPr>
            <w:t xml:space="preserve">[38] </w:t>
          </w:r>
          <w:r>
            <w:rPr>
              <w:noProof/>
            </w:rPr>
            <w:tab/>
            <w:t xml:space="preserve">J. Chino, C. Annunziata, S. Beriwal, L. Bradfield, B. Erickson, E. Fields, K. Fitch, M. Harkenrider, C. Holschneider, M. Kamrava, E. Leung, L. Lin, J. Mayadev, M. Morcos, C. Nwachukwu, D. Petereit and A. Viswanathan, “Radiation Therapy for Cervical Cancer: Executive Summary of an ASTRO Clinical Practice Guideline,” </w:t>
          </w:r>
          <w:r>
            <w:rPr>
              <w:i/>
              <w:iCs/>
              <w:noProof/>
            </w:rPr>
            <w:t xml:space="preserve">Practical Radiation Oncology, </w:t>
          </w:r>
          <w:r>
            <w:rPr>
              <w:noProof/>
            </w:rPr>
            <w:t xml:space="preserve">vol. 10, pp. 220-234, 2020. </w:t>
          </w:r>
        </w:p>
        <w:p w14:paraId="413D5795" w14:textId="0E1D5EE4" w:rsidR="0010422E" w:rsidRPr="009B6AA8" w:rsidRDefault="00621B04" w:rsidP="00A018D6">
          <w:pPr>
            <w:pStyle w:val="Bibliography"/>
            <w:tabs>
              <w:tab w:val="left" w:pos="653"/>
            </w:tabs>
            <w:ind w:left="113"/>
            <w:divId w:val="706761701"/>
            <w:rPr>
              <w:noProof/>
            </w:rPr>
          </w:pPr>
          <w:r>
            <w:rPr>
              <w:noProof/>
            </w:rPr>
            <w:t xml:space="preserve">[39] </w:t>
          </w:r>
          <w:r>
            <w:rPr>
              <w:noProof/>
            </w:rPr>
            <w:tab/>
            <w:t>J. Kania and M. Kramer, “Collective Impact: Stanford Social Innovation Review,” 2011.</w:t>
          </w:r>
        </w:p>
        <w:bookmarkEnd w:id="352" w:displacedByCustomXml="next"/>
      </w:sdtContent>
    </w:sdt>
    <w:sectPr w:rsidR="0010422E" w:rsidRPr="009B6AA8" w:rsidSect="00F92020">
      <w:pgSz w:w="11906" w:h="16838" w:code="9"/>
      <w:pgMar w:top="1304" w:right="1134" w:bottom="737" w:left="737"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C0C55" w14:textId="77777777" w:rsidR="00F97C6A" w:rsidRDefault="00F97C6A" w:rsidP="00C37A29">
      <w:pPr>
        <w:spacing w:after="0"/>
      </w:pPr>
      <w:r>
        <w:separator/>
      </w:r>
    </w:p>
    <w:p w14:paraId="0521DF17" w14:textId="77777777" w:rsidR="00F97C6A" w:rsidRDefault="00F97C6A"/>
  </w:endnote>
  <w:endnote w:type="continuationSeparator" w:id="0">
    <w:p w14:paraId="40E597FD" w14:textId="77777777" w:rsidR="00F97C6A" w:rsidRDefault="00F97C6A" w:rsidP="00C37A29">
      <w:pPr>
        <w:spacing w:after="0"/>
      </w:pPr>
      <w:r>
        <w:continuationSeparator/>
      </w:r>
    </w:p>
    <w:p w14:paraId="4304A425" w14:textId="77777777" w:rsidR="00F97C6A" w:rsidRDefault="00F97C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492911"/>
      <w:docPartObj>
        <w:docPartGallery w:val="Page Numbers (Bottom of Page)"/>
        <w:docPartUnique/>
      </w:docPartObj>
    </w:sdtPr>
    <w:sdtEndPr>
      <w:rPr>
        <w:noProof/>
      </w:rPr>
    </w:sdtEndPr>
    <w:sdtContent>
      <w:p w14:paraId="370A4C52" w14:textId="20B0434B" w:rsidR="00F97C6A" w:rsidRPr="0011214B" w:rsidRDefault="00F97C6A" w:rsidP="007E64A5">
        <w:pPr>
          <w:pStyle w:val="Footer"/>
          <w:jc w:val="right"/>
        </w:pPr>
        <w:r>
          <w:fldChar w:fldCharType="begin"/>
        </w:r>
        <w:r>
          <w:instrText xml:space="preserve"> PAGE   \* MERGEFORMAT </w:instrText>
        </w:r>
        <w:r>
          <w:fldChar w:fldCharType="separate"/>
        </w:r>
        <w:r w:rsidR="000E7388">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073017"/>
      <w:docPartObj>
        <w:docPartGallery w:val="Page Numbers (Bottom of Page)"/>
        <w:docPartUnique/>
      </w:docPartObj>
    </w:sdtPr>
    <w:sdtEndPr>
      <w:rPr>
        <w:noProof/>
      </w:rPr>
    </w:sdtEndPr>
    <w:sdtContent>
      <w:p w14:paraId="46CD8EB2" w14:textId="70289A92" w:rsidR="00F97C6A" w:rsidRPr="006756D6" w:rsidRDefault="00F97C6A" w:rsidP="00F97C6A">
        <w:pPr>
          <w:pStyle w:val="Footer"/>
          <w:jc w:val="right"/>
        </w:pPr>
        <w:r>
          <w:fldChar w:fldCharType="begin"/>
        </w:r>
        <w:r>
          <w:instrText xml:space="preserve"> PAGE   \* MERGEFORMAT </w:instrText>
        </w:r>
        <w:r>
          <w:fldChar w:fldCharType="separate"/>
        </w:r>
        <w:r w:rsidR="00C93B98">
          <w:rPr>
            <w:noProof/>
          </w:rPr>
          <w:t>72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F2B94" w14:textId="77777777" w:rsidR="00F97C6A" w:rsidRDefault="00F97C6A" w:rsidP="00C37A29">
      <w:pPr>
        <w:spacing w:after="0"/>
      </w:pPr>
      <w:r>
        <w:separator/>
      </w:r>
    </w:p>
  </w:footnote>
  <w:footnote w:type="continuationSeparator" w:id="0">
    <w:p w14:paraId="7E97DF5D" w14:textId="77777777" w:rsidR="00F97C6A" w:rsidRDefault="00F97C6A" w:rsidP="00C37A29">
      <w:pPr>
        <w:spacing w:after="0"/>
      </w:pPr>
      <w:r>
        <w:continuationSeparator/>
      </w:r>
    </w:p>
    <w:p w14:paraId="2360F9E2" w14:textId="77777777" w:rsidR="00F97C6A" w:rsidRDefault="00F97C6A"/>
  </w:footnote>
  <w:footnote w:id="1">
    <w:p w14:paraId="36E07052" w14:textId="1A8B54E2" w:rsidR="00F97C6A" w:rsidRPr="00050F7B" w:rsidRDefault="00F97C6A">
      <w:pPr>
        <w:pStyle w:val="FootnoteText"/>
        <w:rPr>
          <w:lang w:val="en-GB"/>
        </w:rPr>
      </w:pPr>
      <w:r>
        <w:rPr>
          <w:rStyle w:val="FootnoteReference"/>
        </w:rPr>
        <w:footnoteRef/>
      </w:r>
      <w:r>
        <w:t xml:space="preserve"> Although the vast </w:t>
      </w:r>
      <w:r>
        <w:rPr>
          <w:lang w:val="en-GB"/>
        </w:rPr>
        <w:t xml:space="preserve">majority of RT provided uses photons delivered by a </w:t>
      </w:r>
      <w:proofErr w:type="spellStart"/>
      <w:r>
        <w:rPr>
          <w:lang w:val="en-GB"/>
        </w:rPr>
        <w:t>linac</w:t>
      </w:r>
      <w:proofErr w:type="spellEnd"/>
      <w:r>
        <w:rPr>
          <w:lang w:val="en-GB"/>
        </w:rPr>
        <w:t>, some RT available in Australia uses gamma rays to delivery high dose RT for stereotactic radiosurgery – the Gamma Knife (</w:t>
      </w:r>
      <w:proofErr w:type="spellStart"/>
      <w:r>
        <w:rPr>
          <w:lang w:val="en-GB"/>
        </w:rPr>
        <w:t>Elekta</w:t>
      </w:r>
      <w:proofErr w:type="spellEnd"/>
      <w:r>
        <w:rPr>
          <w:lang w:val="en-GB"/>
        </w:rPr>
        <w:t>).</w:t>
      </w:r>
    </w:p>
  </w:footnote>
  <w:footnote w:id="2">
    <w:p w14:paraId="50D2F0D5" w14:textId="077B1A10" w:rsidR="00F97C6A" w:rsidRPr="00F009F6" w:rsidRDefault="00F97C6A">
      <w:pPr>
        <w:pStyle w:val="FootnoteText"/>
        <w:rPr>
          <w:lang w:val="en-GB"/>
        </w:rPr>
      </w:pPr>
      <w:r>
        <w:rPr>
          <w:rStyle w:val="FootnoteReference"/>
        </w:rPr>
        <w:footnoteRef/>
      </w:r>
      <w:r>
        <w:t xml:space="preserve"> </w:t>
      </w:r>
      <w:r>
        <w:rPr>
          <w:lang w:val="en-GB"/>
        </w:rPr>
        <w:t>Does not include public-private partnerships that have been counted as public facilities.</w:t>
      </w:r>
    </w:p>
  </w:footnote>
  <w:footnote w:id="3">
    <w:p w14:paraId="35D1A873" w14:textId="453CE070" w:rsidR="00F97C6A" w:rsidRPr="00C306B9" w:rsidRDefault="00F97C6A">
      <w:pPr>
        <w:pStyle w:val="FootnoteText"/>
        <w:rPr>
          <w:lang w:val="en-GB"/>
        </w:rPr>
      </w:pPr>
      <w:r>
        <w:rPr>
          <w:rStyle w:val="FootnoteReference"/>
        </w:rPr>
        <w:footnoteRef/>
      </w:r>
      <w:r>
        <w:t xml:space="preserve"> </w:t>
      </w:r>
      <w:r w:rsidRPr="003D7B0E">
        <w:t>R</w:t>
      </w:r>
      <w:r>
        <w:t>adiotherapy</w:t>
      </w:r>
      <w:r w:rsidRPr="003D7B0E">
        <w:t xml:space="preserve"> services are typically performed as an outpatient service, and as such attract</w:t>
      </w:r>
      <w:r>
        <w:t xml:space="preserve"> an</w:t>
      </w:r>
      <w:r w:rsidRPr="003D7B0E">
        <w:t xml:space="preserve"> MBS rebate for service</w:t>
      </w:r>
      <w:r>
        <w:t>s</w:t>
      </w:r>
      <w:r w:rsidRPr="003D7B0E">
        <w:t xml:space="preserve"> provided.</w:t>
      </w:r>
    </w:p>
  </w:footnote>
  <w:footnote w:id="4">
    <w:p w14:paraId="280330B6" w14:textId="4997517B" w:rsidR="00F97C6A" w:rsidRPr="008F3E1A" w:rsidRDefault="00F97C6A">
      <w:pPr>
        <w:pStyle w:val="FootnoteText"/>
        <w:rPr>
          <w:lang w:val="en-GB"/>
        </w:rPr>
      </w:pPr>
      <w:r>
        <w:rPr>
          <w:rStyle w:val="FootnoteReference"/>
        </w:rPr>
        <w:footnoteRef/>
      </w:r>
      <w:r>
        <w:t xml:space="preserve"> </w:t>
      </w:r>
      <w:r>
        <w:rPr>
          <w:lang w:val="en-GB"/>
        </w:rPr>
        <w:t>At the time of this report (December 2020) there were 97 facilities receiving ROHPG funding.</w:t>
      </w:r>
    </w:p>
  </w:footnote>
  <w:footnote w:id="5">
    <w:p w14:paraId="6A4C2002" w14:textId="24161BDB" w:rsidR="00F97C6A" w:rsidRPr="007A2ED8" w:rsidRDefault="00F97C6A">
      <w:pPr>
        <w:pStyle w:val="FootnoteText"/>
        <w:rPr>
          <w:lang w:val="en-GB"/>
        </w:rPr>
      </w:pPr>
      <w:r>
        <w:rPr>
          <w:rStyle w:val="FootnoteReference"/>
        </w:rPr>
        <w:footnoteRef/>
      </w:r>
      <w:r>
        <w:t xml:space="preserve"> </w:t>
      </w:r>
      <w:r>
        <w:rPr>
          <w:lang w:val="en-GB"/>
        </w:rPr>
        <w:t xml:space="preserve">Based on </w:t>
      </w:r>
      <w:proofErr w:type="spellStart"/>
      <w:r>
        <w:rPr>
          <w:lang w:val="en-GB"/>
        </w:rPr>
        <w:t>linac</w:t>
      </w:r>
      <w:proofErr w:type="spellEnd"/>
      <w:r>
        <w:rPr>
          <w:lang w:val="en-GB"/>
        </w:rPr>
        <w:t xml:space="preserve"> planning formula from the Queensland Linear Accelerator Services Planning Guideline 2019</w:t>
      </w:r>
    </w:p>
  </w:footnote>
  <w:footnote w:id="6">
    <w:p w14:paraId="2A2D40EC" w14:textId="359EC2F3" w:rsidR="00F97C6A" w:rsidRPr="00144975" w:rsidRDefault="00F97C6A">
      <w:pPr>
        <w:pStyle w:val="FootnoteText"/>
        <w:rPr>
          <w:lang w:val="en-GB"/>
        </w:rPr>
      </w:pPr>
      <w:r>
        <w:rPr>
          <w:rStyle w:val="FootnoteReference"/>
        </w:rPr>
        <w:footnoteRef/>
      </w:r>
      <w:r>
        <w:t xml:space="preserve"> </w:t>
      </w:r>
      <w:r>
        <w:rPr>
          <w:lang w:val="en-GB"/>
        </w:rPr>
        <w:t>Average waiting times do not account for case complexity or type of cancer.</w:t>
      </w:r>
    </w:p>
  </w:footnote>
  <w:footnote w:id="7">
    <w:p w14:paraId="7AD00CC4" w14:textId="11521969" w:rsidR="00F97C6A" w:rsidRPr="00431316" w:rsidRDefault="00F97C6A" w:rsidP="00431316">
      <w:r>
        <w:rPr>
          <w:rStyle w:val="FootnoteReference"/>
        </w:rPr>
        <w:footnoteRef/>
      </w:r>
      <w:r>
        <w:t xml:space="preserve"> The Tripartite committee has representation from the Royal Australian and New Zealand College of Radiologists (RANZCR), the Australian Society of Medical Imaging and Radiation Therapy (ASMIRT), and the Australasian College of Physical Scientists and Engineers in Medicine (ACPSEM).</w:t>
      </w:r>
    </w:p>
  </w:footnote>
  <w:footnote w:id="8">
    <w:p w14:paraId="49D6AE15" w14:textId="66944F4B" w:rsidR="00F97C6A" w:rsidRPr="00830EF8" w:rsidRDefault="00F97C6A">
      <w:pPr>
        <w:pStyle w:val="FootnoteText"/>
        <w:rPr>
          <w:lang w:val="en-GB"/>
        </w:rPr>
      </w:pPr>
      <w:r>
        <w:rPr>
          <w:rStyle w:val="FootnoteReference"/>
        </w:rPr>
        <w:footnoteRef/>
      </w:r>
      <w:r>
        <w:t xml:space="preserve"> Mould rooms are </w:t>
      </w:r>
      <w:r w:rsidRPr="003D7B0E">
        <w:t>where customised equipment</w:t>
      </w:r>
      <w:r>
        <w:t xml:space="preserve"> such as masks for treatment are made.</w:t>
      </w:r>
    </w:p>
  </w:footnote>
  <w:footnote w:id="9">
    <w:p w14:paraId="35244C36" w14:textId="7121EE5C" w:rsidR="00F97C6A" w:rsidRDefault="00F97C6A" w:rsidP="007C3F21">
      <w:pPr>
        <w:pStyle w:val="FootnoteText"/>
      </w:pPr>
      <w:r>
        <w:rPr>
          <w:rStyle w:val="FootnoteReference"/>
        </w:rPr>
        <w:footnoteRef/>
      </w:r>
      <w:r>
        <w:t xml:space="preserve"> A multi-leaf collimator is a device that helps shape the RT beam to enable precision targeting of the therapy.</w:t>
      </w:r>
    </w:p>
  </w:footnote>
  <w:footnote w:id="10">
    <w:p w14:paraId="4C8C9420" w14:textId="457D6CD2" w:rsidR="00F97C6A" w:rsidRDefault="00F97C6A" w:rsidP="007C3F21">
      <w:pPr>
        <w:pStyle w:val="FootnoteText"/>
      </w:pPr>
      <w:r>
        <w:rPr>
          <w:rStyle w:val="FootnoteReference"/>
        </w:rPr>
        <w:footnoteRef/>
      </w:r>
      <w:r>
        <w:t xml:space="preserve"> Flattening filters are used to make RT beam dose uniform, which also reduces the dosage. Advances in treatment planning technology now enables higher doses to be delivered with flattening free filters.</w:t>
      </w:r>
    </w:p>
  </w:footnote>
  <w:footnote w:id="11">
    <w:p w14:paraId="2F7AD88E" w14:textId="38960D3A" w:rsidR="00F97C6A" w:rsidRDefault="00F97C6A">
      <w:pPr>
        <w:pStyle w:val="FootnoteText"/>
      </w:pPr>
      <w:r>
        <w:rPr>
          <w:rStyle w:val="FootnoteReference"/>
        </w:rPr>
        <w:footnoteRef/>
      </w:r>
      <w:r>
        <w:t xml:space="preserve"> The ‘couch system’ is the bed on which the patient lies for treatment, which needs to be aligned accurately with the </w:t>
      </w:r>
      <w:proofErr w:type="spellStart"/>
      <w:r>
        <w:t>linac</w:t>
      </w:r>
      <w:proofErr w:type="spellEnd"/>
      <w:r>
        <w:t xml:space="preserve"> for precise delivery of treatment.</w:t>
      </w:r>
    </w:p>
  </w:footnote>
  <w:footnote w:id="12">
    <w:p w14:paraId="1818198F" w14:textId="00CB993F" w:rsidR="00F97C6A" w:rsidRPr="009F65FD" w:rsidRDefault="00F97C6A">
      <w:pPr>
        <w:pStyle w:val="FootnoteText"/>
        <w:rPr>
          <w:lang w:val="en-GB"/>
        </w:rPr>
      </w:pPr>
      <w:r>
        <w:rPr>
          <w:rStyle w:val="FootnoteReference"/>
        </w:rPr>
        <w:footnoteRef/>
      </w:r>
      <w:r>
        <w:t xml:space="preserve"> </w:t>
      </w:r>
      <w:r>
        <w:rPr>
          <w:lang w:val="en-GB"/>
        </w:rPr>
        <w:t xml:space="preserve">HPV: </w:t>
      </w:r>
      <w:hyperlink r:id="rId1" w:history="1">
        <w:r w:rsidRPr="00E7621C">
          <w:rPr>
            <w:rStyle w:val="Hyperlink"/>
            <w:lang w:val="en-GB"/>
          </w:rPr>
          <w:t>Human Papilloma Virus known to cause 70% of cervical cancers</w:t>
        </w:r>
      </w:hyperlink>
    </w:p>
  </w:footnote>
  <w:footnote w:id="13">
    <w:p w14:paraId="1DA3D8E8" w14:textId="0D3CEE45" w:rsidR="00F97C6A" w:rsidRPr="006045E2" w:rsidRDefault="00F97C6A" w:rsidP="00036908">
      <w:pPr>
        <w:pStyle w:val="FootnoteText"/>
        <w:rPr>
          <w:lang w:val="en-GB"/>
        </w:rPr>
      </w:pPr>
      <w:r>
        <w:rPr>
          <w:rStyle w:val="FootnoteReference"/>
        </w:rPr>
        <w:footnoteRef/>
      </w:r>
      <w:r>
        <w:t xml:space="preserve"> </w:t>
      </w:r>
      <w:r>
        <w:rPr>
          <w:lang w:val="en-GB"/>
        </w:rPr>
        <w:t xml:space="preserve">82,000 services (fraction) per </w:t>
      </w:r>
      <w:proofErr w:type="spellStart"/>
      <w:r>
        <w:rPr>
          <w:lang w:val="en-GB"/>
        </w:rPr>
        <w:t>linac</w:t>
      </w:r>
      <w:proofErr w:type="spellEnd"/>
      <w:r>
        <w:rPr>
          <w:lang w:val="en-GB"/>
        </w:rPr>
        <w:t xml:space="preserve"> is a planning figure based on the assumption that each </w:t>
      </w:r>
      <w:proofErr w:type="spellStart"/>
      <w:r>
        <w:rPr>
          <w:lang w:val="en-GB"/>
        </w:rPr>
        <w:t>linac</w:t>
      </w:r>
      <w:proofErr w:type="spellEnd"/>
      <w:r>
        <w:rPr>
          <w:lang w:val="en-GB"/>
        </w:rPr>
        <w:t xml:space="preserve"> has capacity for 410 courses of treatment per annum at an average of 20 fractions per course.</w:t>
      </w:r>
    </w:p>
  </w:footnote>
  <w:footnote w:id="14">
    <w:p w14:paraId="31C500FE" w14:textId="54D4EBA8" w:rsidR="00F97C6A" w:rsidRPr="00B37827" w:rsidRDefault="00F97C6A" w:rsidP="0082131F">
      <w:pPr>
        <w:pStyle w:val="FootnoteText"/>
        <w:rPr>
          <w:lang w:val="en-GB"/>
        </w:rPr>
      </w:pPr>
      <w:r>
        <w:rPr>
          <w:rStyle w:val="FootnoteReference"/>
        </w:rPr>
        <w:footnoteRef/>
      </w:r>
      <w:r>
        <w:t xml:space="preserve"> </w:t>
      </w:r>
      <w:r>
        <w:rPr>
          <w:lang w:val="en-GB"/>
        </w:rPr>
        <w:t xml:space="preserve">Number of operational </w:t>
      </w:r>
      <w:proofErr w:type="spellStart"/>
      <w:r>
        <w:rPr>
          <w:lang w:val="en-GB"/>
        </w:rPr>
        <w:t>linacs</w:t>
      </w:r>
      <w:proofErr w:type="spellEnd"/>
      <w:r>
        <w:rPr>
          <w:lang w:val="en-GB"/>
        </w:rPr>
        <w:t xml:space="preserve"> has been based on the ROHPG equipment data numbers, supplemented with MBS </w:t>
      </w:r>
      <w:proofErr w:type="spellStart"/>
      <w:r>
        <w:rPr>
          <w:lang w:val="en-GB"/>
        </w:rPr>
        <w:t>linac</w:t>
      </w:r>
      <w:proofErr w:type="spellEnd"/>
      <w:r>
        <w:rPr>
          <w:lang w:val="en-GB"/>
        </w:rPr>
        <w:t xml:space="preserve"> numbers per facility when ROHPG information was not available. The numbers of </w:t>
      </w:r>
      <w:proofErr w:type="spellStart"/>
      <w:r>
        <w:rPr>
          <w:lang w:val="en-GB"/>
        </w:rPr>
        <w:t>linacs</w:t>
      </w:r>
      <w:proofErr w:type="spellEnd"/>
      <w:r>
        <w:rPr>
          <w:lang w:val="en-GB"/>
        </w:rPr>
        <w:t xml:space="preserve"> have not been verified for each facility.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A8883" w14:textId="5B2AD219" w:rsidR="00F97C6A" w:rsidRPr="00A621AB" w:rsidRDefault="00F97C6A" w:rsidP="00A621A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EB312" w14:textId="245B51E9" w:rsidR="00F97C6A" w:rsidRPr="00853EFB" w:rsidRDefault="00F97C6A" w:rsidP="00853EF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DEB7C" w14:textId="1246767A" w:rsidR="00F97C6A" w:rsidRPr="00494306" w:rsidRDefault="00F97C6A" w:rsidP="0049430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57265" w14:textId="77777777" w:rsidR="00F97C6A" w:rsidRPr="00556800" w:rsidRDefault="00F97C6A" w:rsidP="0055680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541D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ED3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0C4A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EEEC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42A2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0B8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7CC6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9"/>
    <w:multiLevelType w:val="singleLevel"/>
    <w:tmpl w:val="274E625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4D2FBB"/>
    <w:multiLevelType w:val="multilevel"/>
    <w:tmpl w:val="71C059B6"/>
    <w:numStyleLink w:val="Indent"/>
  </w:abstractNum>
  <w:abstractNum w:abstractNumId="9" w15:restartNumberingAfterBreak="0">
    <w:nsid w:val="010F575F"/>
    <w:multiLevelType w:val="multilevel"/>
    <w:tmpl w:val="94DE9858"/>
    <w:styleLink w:val="TableBullets"/>
    <w:lvl w:ilvl="0">
      <w:start w:val="1"/>
      <w:numFmt w:val="bullet"/>
      <w:pStyle w:val="TableBullets1"/>
      <w:lvlText w:val=""/>
      <w:lvlJc w:val="left"/>
      <w:pPr>
        <w:ind w:left="417" w:hanging="360"/>
      </w:pPr>
      <w:rPr>
        <w:rFonts w:ascii="Symbol" w:hAnsi="Symbol" w:hint="default"/>
        <w:color w:val="000000" w:themeColor="text1"/>
        <w:sz w:val="22"/>
      </w:rPr>
    </w:lvl>
    <w:lvl w:ilvl="1">
      <w:start w:val="1"/>
      <w:numFmt w:val="bullet"/>
      <w:lvlText w:val="–"/>
      <w:lvlJc w:val="left"/>
      <w:pPr>
        <w:ind w:left="454" w:hanging="227"/>
      </w:pPr>
      <w:rPr>
        <w:rFonts w:ascii="Garamond" w:hAnsi="Garamond" w:hint="default"/>
        <w:color w:val="787878" w:themeColor="text2"/>
      </w:rPr>
    </w:lvl>
    <w:lvl w:ilvl="2">
      <w:start w:val="1"/>
      <w:numFmt w:val="bullet"/>
      <w:lvlText w:val="–"/>
      <w:lvlJc w:val="left"/>
      <w:pPr>
        <w:ind w:left="624" w:hanging="170"/>
      </w:pPr>
      <w:rPr>
        <w:rFonts w:ascii="Garamond" w:hAnsi="Garamond" w:hint="default"/>
        <w:color w:val="787878" w:themeColor="text2"/>
      </w:rPr>
    </w:lvl>
    <w:lvl w:ilvl="3">
      <w:start w:val="1"/>
      <w:numFmt w:val="bullet"/>
      <w:lvlText w:val="-"/>
      <w:lvlJc w:val="left"/>
      <w:pPr>
        <w:ind w:left="765" w:hanging="141"/>
      </w:pPr>
      <w:rPr>
        <w:rFonts w:ascii="Garamond" w:hAnsi="Garamond" w:hint="default"/>
        <w:color w:val="787878" w:themeColor="text2"/>
      </w:rPr>
    </w:lvl>
    <w:lvl w:ilvl="4">
      <w:start w:val="1"/>
      <w:numFmt w:val="bullet"/>
      <w:lvlText w:val="•"/>
      <w:lvlJc w:val="left"/>
      <w:pPr>
        <w:ind w:left="227" w:hanging="170"/>
      </w:pPr>
      <w:rPr>
        <w:rFonts w:ascii="Garamond" w:hAnsi="Garamond" w:hint="default"/>
        <w:color w:val="000000" w:themeColor="text1"/>
      </w:rPr>
    </w:lvl>
    <w:lvl w:ilvl="5">
      <w:start w:val="1"/>
      <w:numFmt w:val="bullet"/>
      <w:lvlText w:val="–"/>
      <w:lvlJc w:val="left"/>
      <w:pPr>
        <w:ind w:left="454" w:hanging="227"/>
      </w:pPr>
      <w:rPr>
        <w:rFonts w:ascii="Garamond" w:hAnsi="Garamond" w:hint="default"/>
        <w:color w:val="787878" w:themeColor="text2"/>
      </w:rPr>
    </w:lvl>
    <w:lvl w:ilvl="6">
      <w:start w:val="1"/>
      <w:numFmt w:val="bullet"/>
      <w:lvlText w:val="–"/>
      <w:lvlJc w:val="left"/>
      <w:pPr>
        <w:ind w:left="624" w:hanging="170"/>
      </w:pPr>
      <w:rPr>
        <w:rFonts w:ascii="Garamond" w:hAnsi="Garamond" w:hint="default"/>
        <w:color w:val="787878" w:themeColor="text2"/>
      </w:rPr>
    </w:lvl>
    <w:lvl w:ilvl="7">
      <w:start w:val="1"/>
      <w:numFmt w:val="bullet"/>
      <w:lvlText w:val="-"/>
      <w:lvlJc w:val="left"/>
      <w:pPr>
        <w:ind w:left="765" w:hanging="141"/>
      </w:pPr>
      <w:rPr>
        <w:rFonts w:ascii="Garamond" w:hAnsi="Garamond" w:hint="default"/>
        <w:color w:val="787878" w:themeColor="text2"/>
      </w:rPr>
    </w:lvl>
    <w:lvl w:ilvl="8">
      <w:start w:val="1"/>
      <w:numFmt w:val="bullet"/>
      <w:lvlText w:val="•"/>
      <w:lvlJc w:val="left"/>
      <w:pPr>
        <w:ind w:left="170" w:hanging="170"/>
      </w:pPr>
      <w:rPr>
        <w:rFonts w:ascii="Garamond" w:hAnsi="Garamond" w:hint="default"/>
        <w:color w:val="000000" w:themeColor="text1"/>
      </w:rPr>
    </w:lvl>
  </w:abstractNum>
  <w:abstractNum w:abstractNumId="10" w15:restartNumberingAfterBreak="0">
    <w:nsid w:val="04EB54DE"/>
    <w:multiLevelType w:val="multilevel"/>
    <w:tmpl w:val="7E260AEE"/>
    <w:styleLink w:val="NamedHeadings"/>
    <w:lvl w:ilvl="0">
      <w:start w:val="1"/>
      <w:numFmt w:val="upperLetter"/>
      <w:lvlText w:val="Appendix %1"/>
      <w:lvlJc w:val="left"/>
      <w:pPr>
        <w:ind w:left="8365" w:hanging="1985"/>
      </w:pPr>
      <w:rPr>
        <w:rFonts w:hint="default"/>
      </w:rPr>
    </w:lvl>
    <w:lvl w:ilvl="1">
      <w:start w:val="1"/>
      <w:numFmt w:val="decimal"/>
      <w:lvlText w:val="Stage %2"/>
      <w:lvlJc w:val="left"/>
      <w:pPr>
        <w:ind w:left="1418" w:hanging="141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AC2735F"/>
    <w:multiLevelType w:val="multilevel"/>
    <w:tmpl w:val="51D490E6"/>
    <w:styleLink w:val="List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3686"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FE1832"/>
    <w:multiLevelType w:val="multilevel"/>
    <w:tmpl w:val="8788DA52"/>
    <w:styleLink w:val="HeaderTitleList"/>
    <w:lvl w:ilvl="0">
      <w:start w:val="1"/>
      <w:numFmt w:val="decimal"/>
      <w:pStyle w:val="HeaderSectionTitle"/>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5A5E93"/>
    <w:multiLevelType w:val="multilevel"/>
    <w:tmpl w:val="1646C884"/>
    <w:numStyleLink w:val="Bullets"/>
  </w:abstractNum>
  <w:abstractNum w:abstractNumId="14" w15:restartNumberingAfterBreak="0">
    <w:nsid w:val="0ECB3F65"/>
    <w:multiLevelType w:val="hybridMultilevel"/>
    <w:tmpl w:val="710694E6"/>
    <w:lvl w:ilvl="0" w:tplc="6D96AD34">
      <w:start w:val="1"/>
      <w:numFmt w:val="decimal"/>
      <w:pStyle w:val="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F6F37EA"/>
    <w:multiLevelType w:val="multilevel"/>
    <w:tmpl w:val="05DE4E62"/>
    <w:styleLink w:val="Numbering"/>
    <w:lvl w:ilvl="0">
      <w:start w:val="1"/>
      <w:numFmt w:val="decimal"/>
      <w:pStyle w:val="ListNumber"/>
      <w:lvlText w:val="%1."/>
      <w:lvlJc w:val="left"/>
      <w:pPr>
        <w:tabs>
          <w:tab w:val="num" w:pos="284"/>
        </w:tabs>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5811F5E"/>
    <w:multiLevelType w:val="singleLevel"/>
    <w:tmpl w:val="0C090011"/>
    <w:lvl w:ilvl="0">
      <w:start w:val="1"/>
      <w:numFmt w:val="decimal"/>
      <w:lvlText w:val="%1)"/>
      <w:lvlJc w:val="left"/>
      <w:pPr>
        <w:ind w:left="567" w:hanging="567"/>
      </w:pPr>
      <w:rPr>
        <w:rFonts w:hint="default"/>
      </w:rPr>
    </w:lvl>
  </w:abstractNum>
  <w:abstractNum w:abstractNumId="17" w15:restartNumberingAfterBreak="0">
    <w:nsid w:val="18CD34C1"/>
    <w:multiLevelType w:val="hybridMultilevel"/>
    <w:tmpl w:val="0CE40A04"/>
    <w:lvl w:ilvl="0" w:tplc="1CA2EB9A">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 w15:restartNumberingAfterBreak="0">
    <w:nsid w:val="28992195"/>
    <w:multiLevelType w:val="multilevel"/>
    <w:tmpl w:val="7E260AEE"/>
    <w:numStyleLink w:val="NamedHeadings"/>
  </w:abstractNum>
  <w:abstractNum w:abstractNumId="19" w15:restartNumberingAfterBreak="0">
    <w:nsid w:val="30155115"/>
    <w:multiLevelType w:val="multilevel"/>
    <w:tmpl w:val="51D490E6"/>
    <w:numStyleLink w:val="ListHeadings"/>
  </w:abstractNum>
  <w:abstractNum w:abstractNumId="20" w15:restartNumberingAfterBreak="0">
    <w:nsid w:val="30E21260"/>
    <w:multiLevelType w:val="hybridMultilevel"/>
    <w:tmpl w:val="5A90C96A"/>
    <w:lvl w:ilvl="0" w:tplc="5C28040E">
      <w:start w:val="1"/>
      <w:numFmt w:val="upperLetter"/>
      <w:pStyle w:val="DividerPageTitle"/>
      <w:lvlText w:val="PART %1"/>
      <w:lvlJc w:val="left"/>
      <w:pPr>
        <w:ind w:left="720" w:hanging="360"/>
      </w:pPr>
      <w:rPr>
        <w:rFonts w:hint="default"/>
        <w:cap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4D7A49"/>
    <w:multiLevelType w:val="hybridMultilevel"/>
    <w:tmpl w:val="90D2332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923C0F"/>
    <w:multiLevelType w:val="hybridMultilevel"/>
    <w:tmpl w:val="ADFAC58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7268FA"/>
    <w:multiLevelType w:val="multilevel"/>
    <w:tmpl w:val="79202170"/>
    <w:styleLink w:val="LetteredList"/>
    <w:lvl w:ilvl="0">
      <w:start w:val="1"/>
      <w:numFmt w:val="decimal"/>
      <w:lvlText w:val="(%1)"/>
      <w:lvlJc w:val="left"/>
      <w:pPr>
        <w:ind w:left="567" w:hanging="567"/>
      </w:pPr>
      <w:rPr>
        <w:rFonts w:hint="default"/>
      </w:rPr>
    </w:lvl>
    <w:lvl w:ilvl="1">
      <w:start w:val="1"/>
      <w:numFmt w:val="lowerLetter"/>
      <w:pStyle w:val="List2"/>
      <w:lvlText w:val="(%2)"/>
      <w:lvlJc w:val="left"/>
      <w:pPr>
        <w:ind w:left="851" w:hanging="284"/>
      </w:pPr>
      <w:rPr>
        <w:rFonts w:hint="default"/>
      </w:rPr>
    </w:lvl>
    <w:lvl w:ilvl="2">
      <w:start w:val="1"/>
      <w:numFmt w:val="lowerRoman"/>
      <w:pStyle w:val="List3"/>
      <w:lvlText w:val="(%3)"/>
      <w:lvlJc w:val="left"/>
      <w:pPr>
        <w:tabs>
          <w:tab w:val="num" w:pos="1134"/>
        </w:tabs>
        <w:ind w:left="851" w:firstLine="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A6D0BC3"/>
    <w:multiLevelType w:val="hybridMultilevel"/>
    <w:tmpl w:val="95E88892"/>
    <w:lvl w:ilvl="0" w:tplc="C54A52EA">
      <w:start w:val="1"/>
      <w:numFmt w:val="decimal"/>
      <w:pStyle w:val="Finding"/>
      <w:lvlText w:val="Finding %1:"/>
      <w:lvlJc w:val="left"/>
      <w:pPr>
        <w:ind w:left="4047" w:hanging="360"/>
      </w:pPr>
      <w:rPr>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5" w15:restartNumberingAfterBreak="0">
    <w:nsid w:val="4C8E3B41"/>
    <w:multiLevelType w:val="multilevel"/>
    <w:tmpl w:val="0C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10F61EF"/>
    <w:multiLevelType w:val="hybridMultilevel"/>
    <w:tmpl w:val="A178E8E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475046"/>
    <w:multiLevelType w:val="multilevel"/>
    <w:tmpl w:val="71C059B6"/>
    <w:styleLink w:val="Indent"/>
    <w:lvl w:ilvl="0">
      <w:start w:val="1"/>
      <w:numFmt w:val="decimal"/>
      <w:pStyle w:val="KeyFinding"/>
      <w:lvlText w:val="Key Finding %1:"/>
      <w:lvlJc w:val="left"/>
      <w:pPr>
        <w:ind w:left="1701" w:hanging="1588"/>
      </w:pPr>
      <w:rPr>
        <w:rFonts w:ascii="Franklin Gothic Book" w:hAnsi="Franklin Gothic Book" w:hint="default"/>
        <w:caps w:val="0"/>
        <w:color w:val="000000" w:themeColor="text1"/>
        <w:sz w:val="22"/>
        <w:u w:val="none"/>
      </w:rPr>
    </w:lvl>
    <w:lvl w:ilvl="1">
      <w:start w:val="1"/>
      <w:numFmt w:val="upperLetter"/>
      <w:lvlText w:val="Part %2"/>
      <w:lvlJc w:val="left"/>
      <w:pPr>
        <w:ind w:left="7768" w:hanging="7768"/>
      </w:pPr>
      <w:rPr>
        <w:rFonts w:hint="default"/>
        <w:b/>
        <w:i w:val="0"/>
        <w:sz w:val="72"/>
        <w:u w:val="single"/>
      </w:rPr>
    </w:lvl>
    <w:lvl w:ilvl="2">
      <w:start w:val="1"/>
      <w:numFmt w:val="decimal"/>
      <w:pStyle w:val="Recommendations"/>
      <w:lvlText w:val="Recommendation %3:"/>
      <w:lvlJc w:val="left"/>
      <w:pPr>
        <w:ind w:left="2268" w:hanging="2155"/>
      </w:pPr>
      <w:rPr>
        <w:rFonts w:ascii="Franklin Gothic Book" w:hAnsi="Franklin Gothic Book" w:hint="default"/>
        <w:color w:val="000000"/>
        <w:sz w:val="22"/>
      </w:rPr>
    </w:lvl>
    <w:lvl w:ilvl="3">
      <w:start w:val="1"/>
      <w:numFmt w:val="decimal"/>
      <w:lvlText w:val="Strategic Direction %4:"/>
      <w:lvlJc w:val="left"/>
      <w:pPr>
        <w:ind w:left="2552" w:hanging="2439"/>
      </w:pPr>
      <w:rPr>
        <w:rFonts w:ascii="Franklin Gothic Book" w:hAnsi="Franklin Gothic Book" w:hint="default"/>
        <w:color w:val="000000" w:themeColor="text1"/>
        <w:sz w:val="22"/>
      </w:rPr>
    </w:lvl>
    <w:lvl w:ilvl="4">
      <w:start w:val="1"/>
      <w:numFmt w:val="lowerLetter"/>
      <w:lvlText w:val="%5."/>
      <w:lvlJc w:val="left"/>
      <w:pPr>
        <w:ind w:left="5472" w:hanging="360"/>
      </w:pPr>
      <w:rPr>
        <w:rFonts w:hint="default"/>
      </w:rPr>
    </w:lvl>
    <w:lvl w:ilvl="5">
      <w:start w:val="1"/>
      <w:numFmt w:val="lowerRoman"/>
      <w:lvlText w:val="%6."/>
      <w:lvlJc w:val="right"/>
      <w:pPr>
        <w:ind w:left="6192" w:hanging="180"/>
      </w:pPr>
      <w:rPr>
        <w:rFonts w:hint="default"/>
      </w:rPr>
    </w:lvl>
    <w:lvl w:ilvl="6">
      <w:start w:val="1"/>
      <w:numFmt w:val="decimal"/>
      <w:lvlText w:val="%7."/>
      <w:lvlJc w:val="left"/>
      <w:pPr>
        <w:ind w:left="6912" w:hanging="360"/>
      </w:pPr>
      <w:rPr>
        <w:rFonts w:hint="default"/>
      </w:rPr>
    </w:lvl>
    <w:lvl w:ilvl="7">
      <w:start w:val="1"/>
      <w:numFmt w:val="lowerLetter"/>
      <w:lvlText w:val="%8."/>
      <w:lvlJc w:val="left"/>
      <w:pPr>
        <w:ind w:left="7632" w:hanging="360"/>
      </w:pPr>
      <w:rPr>
        <w:rFonts w:hint="default"/>
      </w:rPr>
    </w:lvl>
    <w:lvl w:ilvl="8">
      <w:start w:val="1"/>
      <w:numFmt w:val="lowerRoman"/>
      <w:lvlText w:val="%9."/>
      <w:lvlJc w:val="right"/>
      <w:pPr>
        <w:ind w:left="8352" w:hanging="180"/>
      </w:pPr>
      <w:rPr>
        <w:rFonts w:hint="default"/>
      </w:rPr>
    </w:lvl>
  </w:abstractNum>
  <w:abstractNum w:abstractNumId="28"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6191443C"/>
    <w:multiLevelType w:val="multilevel"/>
    <w:tmpl w:val="05DE4E62"/>
    <w:numStyleLink w:val="Numbering"/>
  </w:abstractNum>
  <w:abstractNum w:abstractNumId="30" w15:restartNumberingAfterBreak="0">
    <w:nsid w:val="625C3713"/>
    <w:multiLevelType w:val="hybridMultilevel"/>
    <w:tmpl w:val="08227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CC4626"/>
    <w:multiLevelType w:val="multilevel"/>
    <w:tmpl w:val="8788DA52"/>
    <w:numStyleLink w:val="HeaderTitleList"/>
  </w:abstractNum>
  <w:abstractNum w:abstractNumId="32" w15:restartNumberingAfterBreak="0">
    <w:nsid w:val="6AFC2484"/>
    <w:multiLevelType w:val="multilevel"/>
    <w:tmpl w:val="D21C1198"/>
    <w:styleLink w:val="Sections"/>
    <w:lvl w:ilvl="0">
      <w:start w:val="1"/>
      <w:numFmt w:val="upperLetter"/>
      <w:lvlText w:val="SECTION %1:"/>
      <w:lvlJc w:val="left"/>
      <w:pPr>
        <w:tabs>
          <w:tab w:val="num" w:pos="1871"/>
        </w:tabs>
        <w:ind w:left="1871" w:hanging="1871"/>
      </w:pPr>
      <w:rPr>
        <w:rFonts w:ascii="Franklin Gothic Book" w:hAnsi="Franklin Gothic Book" w:hint="default"/>
        <w:color w:val="000000" w:themeColor="text1"/>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5A2FE1"/>
    <w:multiLevelType w:val="multilevel"/>
    <w:tmpl w:val="A6242A8C"/>
    <w:styleLink w:val="Numbers"/>
    <w:lvl w:ilvl="0">
      <w:start w:val="1"/>
      <w:numFmt w:val="decimal"/>
      <w:lvlText w:val="(%1)"/>
      <w:lvlJc w:val="left"/>
      <w:pPr>
        <w:ind w:left="908" w:hanging="454"/>
      </w:pPr>
    </w:lvl>
    <w:lvl w:ilvl="1">
      <w:start w:val="1"/>
      <w:numFmt w:val="lowerLetter"/>
      <w:lvlText w:val="(%2)"/>
      <w:lvlJc w:val="left"/>
      <w:pPr>
        <w:ind w:left="1219" w:hanging="311"/>
      </w:pPr>
    </w:lvl>
    <w:lvl w:ilvl="2">
      <w:start w:val="1"/>
      <w:numFmt w:val="lowerRoman"/>
      <w:lvlText w:val="(%3)"/>
      <w:lvlJc w:val="left"/>
      <w:pPr>
        <w:ind w:left="1645" w:hanging="426"/>
      </w:pPr>
    </w:lvl>
    <w:lvl w:ilvl="3">
      <w:start w:val="1"/>
      <w:numFmt w:val="bullet"/>
      <w:lvlText w:val="-"/>
      <w:lvlJc w:val="left"/>
      <w:pPr>
        <w:ind w:left="1786" w:hanging="141"/>
      </w:pPr>
      <w:rPr>
        <w:rFonts w:ascii="Garamond" w:hAnsi="Garamond" w:hint="default"/>
        <w:color w:val="787878" w:themeColor="text2"/>
      </w:rPr>
    </w:lvl>
    <w:lvl w:ilvl="4">
      <w:start w:val="1"/>
      <w:numFmt w:val="decimal"/>
      <w:lvlText w:val="(%5)"/>
      <w:lvlJc w:val="left"/>
      <w:pPr>
        <w:ind w:left="2254" w:hanging="360"/>
      </w:pPr>
    </w:lvl>
    <w:lvl w:ilvl="5">
      <w:start w:val="1"/>
      <w:numFmt w:val="lowerLetter"/>
      <w:lvlText w:val="(%6)"/>
      <w:lvlJc w:val="left"/>
      <w:pPr>
        <w:ind w:left="2614" w:hanging="360"/>
      </w:pPr>
    </w:lvl>
    <w:lvl w:ilvl="6">
      <w:start w:val="1"/>
      <w:numFmt w:val="lowerRoman"/>
      <w:lvlText w:val="(%7)"/>
      <w:lvlJc w:val="left"/>
      <w:pPr>
        <w:ind w:left="2974" w:hanging="360"/>
      </w:pPr>
    </w:lvl>
    <w:lvl w:ilvl="7">
      <w:start w:val="1"/>
      <w:numFmt w:val="bullet"/>
      <w:lvlText w:val="-"/>
      <w:lvlJc w:val="left"/>
      <w:pPr>
        <w:ind w:left="3334" w:hanging="360"/>
      </w:pPr>
      <w:rPr>
        <w:rFonts w:ascii="Garamond" w:hAnsi="Garamond" w:hint="default"/>
        <w:color w:val="787878" w:themeColor="text2"/>
      </w:rPr>
    </w:lvl>
    <w:lvl w:ilvl="8">
      <w:start w:val="1"/>
      <w:numFmt w:val="decimal"/>
      <w:lvlText w:val="(%9)"/>
      <w:lvlJc w:val="left"/>
      <w:pPr>
        <w:ind w:left="3694" w:hanging="360"/>
      </w:pPr>
    </w:lvl>
  </w:abstractNum>
  <w:abstractNum w:abstractNumId="34" w15:restartNumberingAfterBreak="0">
    <w:nsid w:val="7CE47D5E"/>
    <w:multiLevelType w:val="multilevel"/>
    <w:tmpl w:val="A99EA73E"/>
    <w:lvl w:ilvl="0">
      <w:start w:val="1"/>
      <w:numFmt w:val="decimal"/>
      <w:pStyle w:val="Heading1numbered"/>
      <w:lvlText w:val="%1"/>
      <w:lvlJc w:val="left"/>
      <w:pPr>
        <w:ind w:left="432" w:hanging="432"/>
      </w:pPr>
    </w:lvl>
    <w:lvl w:ilvl="1">
      <w:start w:val="1"/>
      <w:numFmt w:val="decimal"/>
      <w:pStyle w:val="heading2numbered"/>
      <w:lvlText w:val="%1.%2"/>
      <w:lvlJc w:val="left"/>
      <w:pPr>
        <w:ind w:left="576" w:hanging="576"/>
      </w:pPr>
    </w:lvl>
    <w:lvl w:ilvl="2">
      <w:start w:val="1"/>
      <w:numFmt w:val="decimal"/>
      <w:pStyle w:val="Heading3numbered"/>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15"/>
  </w:num>
  <w:num w:numId="3">
    <w:abstractNumId w:val="11"/>
  </w:num>
  <w:num w:numId="4">
    <w:abstractNumId w:val="13"/>
  </w:num>
  <w:num w:numId="5">
    <w:abstractNumId w:val="27"/>
  </w:num>
  <w:num w:numId="6">
    <w:abstractNumId w:val="12"/>
  </w:num>
  <w:num w:numId="7">
    <w:abstractNumId w:val="31"/>
  </w:num>
  <w:num w:numId="8">
    <w:abstractNumId w:val="23"/>
  </w:num>
  <w:num w:numId="9">
    <w:abstractNumId w:val="29"/>
  </w:num>
  <w:num w:numId="10">
    <w:abstractNumId w:val="16"/>
  </w:num>
  <w:num w:numId="11">
    <w:abstractNumId w:val="10"/>
  </w:num>
  <w:num w:numId="12">
    <w:abstractNumId w:val="1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abstractNumId w:val="32"/>
  </w:num>
  <w:num w:numId="14">
    <w:abstractNumId w:val="9"/>
  </w:num>
  <w:num w:numId="15">
    <w:abstractNumId w:val="8"/>
  </w:num>
  <w:num w:numId="16">
    <w:abstractNumId w:val="18"/>
    <w:lvlOverride w:ilvl="0">
      <w:lvl w:ilvl="0">
        <w:start w:val="1"/>
        <w:numFmt w:val="upperLetter"/>
        <w:lvlText w:val="Appendix %1"/>
        <w:lvlJc w:val="left"/>
        <w:pPr>
          <w:ind w:left="8365" w:hanging="1985"/>
        </w:pPr>
        <w:rPr>
          <w:rFonts w:hint="default"/>
        </w:rPr>
      </w:lvl>
    </w:lvlOverride>
  </w:num>
  <w:num w:numId="17">
    <w:abstractNumId w:val="17"/>
  </w:num>
  <w:num w:numId="18">
    <w:abstractNumId w:val="24"/>
  </w:num>
  <w:num w:numId="19">
    <w:abstractNumId w:val="33"/>
  </w:num>
  <w:num w:numId="20">
    <w:abstractNumId w:val="13"/>
  </w:num>
  <w:num w:numId="21">
    <w:abstractNumId w:val="9"/>
  </w:num>
  <w:num w:numId="22">
    <w:abstractNumId w:val="13"/>
  </w:num>
  <w:num w:numId="23">
    <w:abstractNumId w:val="16"/>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30"/>
  </w:num>
  <w:num w:numId="28">
    <w:abstractNumId w:val="7"/>
  </w:num>
  <w:num w:numId="29">
    <w:abstractNumId w:val="24"/>
    <w:lvlOverride w:ilvl="0">
      <w:startOverride w:val="1"/>
    </w:lvlOverride>
  </w:num>
  <w:num w:numId="30">
    <w:abstractNumId w:val="2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 w:numId="39">
    <w:abstractNumId w:val="34"/>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1"/>
  </w:num>
  <w:num w:numId="45">
    <w:abstractNumId w:val="14"/>
  </w:num>
  <w:num w:numId="46">
    <w:abstractNumId w:val="26"/>
  </w:num>
  <w:num w:numId="4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D69"/>
    <w:rsid w:val="00006249"/>
    <w:rsid w:val="00010607"/>
    <w:rsid w:val="0001065C"/>
    <w:rsid w:val="00010A8D"/>
    <w:rsid w:val="0001242E"/>
    <w:rsid w:val="0001648A"/>
    <w:rsid w:val="00017E3A"/>
    <w:rsid w:val="000210A8"/>
    <w:rsid w:val="00023810"/>
    <w:rsid w:val="000257F5"/>
    <w:rsid w:val="0003021F"/>
    <w:rsid w:val="00036908"/>
    <w:rsid w:val="00040142"/>
    <w:rsid w:val="00047030"/>
    <w:rsid w:val="00050F7B"/>
    <w:rsid w:val="000522CE"/>
    <w:rsid w:val="00053B87"/>
    <w:rsid w:val="00053DDB"/>
    <w:rsid w:val="00055575"/>
    <w:rsid w:val="00057E71"/>
    <w:rsid w:val="0006346A"/>
    <w:rsid w:val="0006424A"/>
    <w:rsid w:val="00071EB1"/>
    <w:rsid w:val="000724AE"/>
    <w:rsid w:val="00072591"/>
    <w:rsid w:val="00076CD4"/>
    <w:rsid w:val="00080ABE"/>
    <w:rsid w:val="000814D1"/>
    <w:rsid w:val="000818E2"/>
    <w:rsid w:val="000859F6"/>
    <w:rsid w:val="000862CC"/>
    <w:rsid w:val="00091316"/>
    <w:rsid w:val="0009192B"/>
    <w:rsid w:val="000920F7"/>
    <w:rsid w:val="000944CF"/>
    <w:rsid w:val="000965EB"/>
    <w:rsid w:val="000A5128"/>
    <w:rsid w:val="000A7D89"/>
    <w:rsid w:val="000B2658"/>
    <w:rsid w:val="000B48C7"/>
    <w:rsid w:val="000C27C1"/>
    <w:rsid w:val="000C2AF9"/>
    <w:rsid w:val="000C34C0"/>
    <w:rsid w:val="000C59BF"/>
    <w:rsid w:val="000C6AC0"/>
    <w:rsid w:val="000D08F6"/>
    <w:rsid w:val="000E02E2"/>
    <w:rsid w:val="000E1715"/>
    <w:rsid w:val="000E17B7"/>
    <w:rsid w:val="000E1CD0"/>
    <w:rsid w:val="000E3B5F"/>
    <w:rsid w:val="000E434D"/>
    <w:rsid w:val="000E490D"/>
    <w:rsid w:val="000E7388"/>
    <w:rsid w:val="000F2E69"/>
    <w:rsid w:val="000F6B35"/>
    <w:rsid w:val="000F7FA5"/>
    <w:rsid w:val="00100E6F"/>
    <w:rsid w:val="00101720"/>
    <w:rsid w:val="0010387A"/>
    <w:rsid w:val="0010422E"/>
    <w:rsid w:val="00106A5B"/>
    <w:rsid w:val="001070DC"/>
    <w:rsid w:val="0011214B"/>
    <w:rsid w:val="00112E8F"/>
    <w:rsid w:val="00117640"/>
    <w:rsid w:val="00117B16"/>
    <w:rsid w:val="00121A57"/>
    <w:rsid w:val="001220B4"/>
    <w:rsid w:val="00125799"/>
    <w:rsid w:val="00125FC1"/>
    <w:rsid w:val="001268BC"/>
    <w:rsid w:val="001366CE"/>
    <w:rsid w:val="00136D84"/>
    <w:rsid w:val="00137187"/>
    <w:rsid w:val="00137F10"/>
    <w:rsid w:val="00144975"/>
    <w:rsid w:val="00145FE7"/>
    <w:rsid w:val="001475AE"/>
    <w:rsid w:val="00150F81"/>
    <w:rsid w:val="001552A7"/>
    <w:rsid w:val="00156021"/>
    <w:rsid w:val="00161ACB"/>
    <w:rsid w:val="00162B1F"/>
    <w:rsid w:val="0016354E"/>
    <w:rsid w:val="001665F3"/>
    <w:rsid w:val="00171487"/>
    <w:rsid w:val="0018157F"/>
    <w:rsid w:val="00186BE6"/>
    <w:rsid w:val="00192CF6"/>
    <w:rsid w:val="00193121"/>
    <w:rsid w:val="00194E86"/>
    <w:rsid w:val="001950FD"/>
    <w:rsid w:val="00196F16"/>
    <w:rsid w:val="001A0D77"/>
    <w:rsid w:val="001A27A6"/>
    <w:rsid w:val="001A4B76"/>
    <w:rsid w:val="001A7A9E"/>
    <w:rsid w:val="001B0290"/>
    <w:rsid w:val="001C0EF1"/>
    <w:rsid w:val="001C1F8B"/>
    <w:rsid w:val="001C6CC4"/>
    <w:rsid w:val="001C7835"/>
    <w:rsid w:val="001D01ED"/>
    <w:rsid w:val="001D6C37"/>
    <w:rsid w:val="001D7A38"/>
    <w:rsid w:val="001F13C1"/>
    <w:rsid w:val="001F446D"/>
    <w:rsid w:val="001F758C"/>
    <w:rsid w:val="001F7AFC"/>
    <w:rsid w:val="00206139"/>
    <w:rsid w:val="002119EE"/>
    <w:rsid w:val="0021246E"/>
    <w:rsid w:val="00212523"/>
    <w:rsid w:val="00214AFC"/>
    <w:rsid w:val="00215334"/>
    <w:rsid w:val="00216866"/>
    <w:rsid w:val="002175BE"/>
    <w:rsid w:val="00220513"/>
    <w:rsid w:val="00221792"/>
    <w:rsid w:val="00221AB7"/>
    <w:rsid w:val="0022382E"/>
    <w:rsid w:val="00226482"/>
    <w:rsid w:val="00227D72"/>
    <w:rsid w:val="0023054D"/>
    <w:rsid w:val="0023124D"/>
    <w:rsid w:val="00231577"/>
    <w:rsid w:val="002343A1"/>
    <w:rsid w:val="00235282"/>
    <w:rsid w:val="002400CB"/>
    <w:rsid w:val="00242093"/>
    <w:rsid w:val="00244C23"/>
    <w:rsid w:val="00245372"/>
    <w:rsid w:val="00246435"/>
    <w:rsid w:val="00246BCF"/>
    <w:rsid w:val="00251226"/>
    <w:rsid w:val="0025228E"/>
    <w:rsid w:val="002539E8"/>
    <w:rsid w:val="00254E55"/>
    <w:rsid w:val="00255344"/>
    <w:rsid w:val="0025791C"/>
    <w:rsid w:val="00257A17"/>
    <w:rsid w:val="00257FF6"/>
    <w:rsid w:val="0026103D"/>
    <w:rsid w:val="00261695"/>
    <w:rsid w:val="002627F6"/>
    <w:rsid w:val="00264535"/>
    <w:rsid w:val="00265CB0"/>
    <w:rsid w:val="0026643D"/>
    <w:rsid w:val="00266440"/>
    <w:rsid w:val="00266A1B"/>
    <w:rsid w:val="0026791E"/>
    <w:rsid w:val="00270834"/>
    <w:rsid w:val="00272F30"/>
    <w:rsid w:val="0027365A"/>
    <w:rsid w:val="0027575F"/>
    <w:rsid w:val="002906BB"/>
    <w:rsid w:val="002A1A69"/>
    <w:rsid w:val="002A7D1E"/>
    <w:rsid w:val="002B1D32"/>
    <w:rsid w:val="002B2882"/>
    <w:rsid w:val="002B51BB"/>
    <w:rsid w:val="002C58CB"/>
    <w:rsid w:val="002C618F"/>
    <w:rsid w:val="002C635B"/>
    <w:rsid w:val="002C6887"/>
    <w:rsid w:val="002D157B"/>
    <w:rsid w:val="002D18B4"/>
    <w:rsid w:val="002D4D1E"/>
    <w:rsid w:val="002D6069"/>
    <w:rsid w:val="002E0B6C"/>
    <w:rsid w:val="002E1DEC"/>
    <w:rsid w:val="002E4D0E"/>
    <w:rsid w:val="002E7820"/>
    <w:rsid w:val="002E7BD8"/>
    <w:rsid w:val="002F01B0"/>
    <w:rsid w:val="002F0DF4"/>
    <w:rsid w:val="002F28AA"/>
    <w:rsid w:val="002F6096"/>
    <w:rsid w:val="003014AF"/>
    <w:rsid w:val="003036B1"/>
    <w:rsid w:val="00305171"/>
    <w:rsid w:val="003051E6"/>
    <w:rsid w:val="003124B7"/>
    <w:rsid w:val="003137F7"/>
    <w:rsid w:val="00313E99"/>
    <w:rsid w:val="0032068F"/>
    <w:rsid w:val="003259DC"/>
    <w:rsid w:val="00330D8E"/>
    <w:rsid w:val="00333FEF"/>
    <w:rsid w:val="00334166"/>
    <w:rsid w:val="00334205"/>
    <w:rsid w:val="00337913"/>
    <w:rsid w:val="003446EA"/>
    <w:rsid w:val="00345189"/>
    <w:rsid w:val="00345322"/>
    <w:rsid w:val="0034680A"/>
    <w:rsid w:val="00350DD1"/>
    <w:rsid w:val="0035356E"/>
    <w:rsid w:val="003539AC"/>
    <w:rsid w:val="00356842"/>
    <w:rsid w:val="00363FF8"/>
    <w:rsid w:val="00365296"/>
    <w:rsid w:val="00365B6C"/>
    <w:rsid w:val="00373D79"/>
    <w:rsid w:val="00373EE3"/>
    <w:rsid w:val="00374DA4"/>
    <w:rsid w:val="0037519E"/>
    <w:rsid w:val="00375E68"/>
    <w:rsid w:val="0037721D"/>
    <w:rsid w:val="003801A1"/>
    <w:rsid w:val="00380A9E"/>
    <w:rsid w:val="0038102A"/>
    <w:rsid w:val="00381D87"/>
    <w:rsid w:val="0038602E"/>
    <w:rsid w:val="00386D2F"/>
    <w:rsid w:val="003919B5"/>
    <w:rsid w:val="00392195"/>
    <w:rsid w:val="00393E63"/>
    <w:rsid w:val="00393FD3"/>
    <w:rsid w:val="00395929"/>
    <w:rsid w:val="003969B8"/>
    <w:rsid w:val="003A0BB2"/>
    <w:rsid w:val="003A2FC1"/>
    <w:rsid w:val="003A3EEC"/>
    <w:rsid w:val="003A5953"/>
    <w:rsid w:val="003A5E87"/>
    <w:rsid w:val="003A6952"/>
    <w:rsid w:val="003A79A2"/>
    <w:rsid w:val="003B3C06"/>
    <w:rsid w:val="003B7833"/>
    <w:rsid w:val="003C451A"/>
    <w:rsid w:val="003C48A9"/>
    <w:rsid w:val="003C4C4F"/>
    <w:rsid w:val="003C60EE"/>
    <w:rsid w:val="003C6F16"/>
    <w:rsid w:val="003D174E"/>
    <w:rsid w:val="003D17AC"/>
    <w:rsid w:val="003D23A3"/>
    <w:rsid w:val="003D3E46"/>
    <w:rsid w:val="003D5856"/>
    <w:rsid w:val="003D5F11"/>
    <w:rsid w:val="003E28C8"/>
    <w:rsid w:val="003E2ECC"/>
    <w:rsid w:val="003E4BDE"/>
    <w:rsid w:val="003E57A0"/>
    <w:rsid w:val="003F0C5F"/>
    <w:rsid w:val="003F1EA3"/>
    <w:rsid w:val="003F37D7"/>
    <w:rsid w:val="003F479C"/>
    <w:rsid w:val="003F4872"/>
    <w:rsid w:val="003F4F55"/>
    <w:rsid w:val="003F5FB4"/>
    <w:rsid w:val="00402903"/>
    <w:rsid w:val="00404AF8"/>
    <w:rsid w:val="00404E4F"/>
    <w:rsid w:val="00405426"/>
    <w:rsid w:val="004079D7"/>
    <w:rsid w:val="004110FF"/>
    <w:rsid w:val="0041233D"/>
    <w:rsid w:val="004134C4"/>
    <w:rsid w:val="0041441F"/>
    <w:rsid w:val="00414C5B"/>
    <w:rsid w:val="00415FB3"/>
    <w:rsid w:val="0042339A"/>
    <w:rsid w:val="00423EFE"/>
    <w:rsid w:val="0042508F"/>
    <w:rsid w:val="00431316"/>
    <w:rsid w:val="004325D6"/>
    <w:rsid w:val="0043388A"/>
    <w:rsid w:val="00434117"/>
    <w:rsid w:val="00441EBE"/>
    <w:rsid w:val="00442877"/>
    <w:rsid w:val="004431AF"/>
    <w:rsid w:val="00443751"/>
    <w:rsid w:val="00445634"/>
    <w:rsid w:val="004477AC"/>
    <w:rsid w:val="00450FD5"/>
    <w:rsid w:val="004527AF"/>
    <w:rsid w:val="00454B25"/>
    <w:rsid w:val="00456D25"/>
    <w:rsid w:val="0045715B"/>
    <w:rsid w:val="00457248"/>
    <w:rsid w:val="00461590"/>
    <w:rsid w:val="004620F0"/>
    <w:rsid w:val="0046346A"/>
    <w:rsid w:val="004635FD"/>
    <w:rsid w:val="0046414D"/>
    <w:rsid w:val="00465228"/>
    <w:rsid w:val="0046687F"/>
    <w:rsid w:val="00467419"/>
    <w:rsid w:val="004777B3"/>
    <w:rsid w:val="00480727"/>
    <w:rsid w:val="00480BDD"/>
    <w:rsid w:val="00483124"/>
    <w:rsid w:val="00492B8F"/>
    <w:rsid w:val="00494306"/>
    <w:rsid w:val="00496A83"/>
    <w:rsid w:val="004A24A3"/>
    <w:rsid w:val="004A55A4"/>
    <w:rsid w:val="004A630C"/>
    <w:rsid w:val="004B0756"/>
    <w:rsid w:val="004B0E85"/>
    <w:rsid w:val="004B24F3"/>
    <w:rsid w:val="004B38D0"/>
    <w:rsid w:val="004B53CE"/>
    <w:rsid w:val="004B551B"/>
    <w:rsid w:val="004B5BA0"/>
    <w:rsid w:val="004B609E"/>
    <w:rsid w:val="004B6D6B"/>
    <w:rsid w:val="004C2004"/>
    <w:rsid w:val="004C447D"/>
    <w:rsid w:val="004C5DF4"/>
    <w:rsid w:val="004D01A0"/>
    <w:rsid w:val="004D4A50"/>
    <w:rsid w:val="004E091D"/>
    <w:rsid w:val="004E0EE7"/>
    <w:rsid w:val="004E1635"/>
    <w:rsid w:val="004E19D0"/>
    <w:rsid w:val="004E205C"/>
    <w:rsid w:val="004E28C6"/>
    <w:rsid w:val="004E4ADE"/>
    <w:rsid w:val="004E7D0B"/>
    <w:rsid w:val="004F049F"/>
    <w:rsid w:val="004F138F"/>
    <w:rsid w:val="004F168F"/>
    <w:rsid w:val="004F5CDF"/>
    <w:rsid w:val="004F712F"/>
    <w:rsid w:val="0050606D"/>
    <w:rsid w:val="005141E8"/>
    <w:rsid w:val="00514635"/>
    <w:rsid w:val="00517A17"/>
    <w:rsid w:val="005228D9"/>
    <w:rsid w:val="005253D9"/>
    <w:rsid w:val="00525550"/>
    <w:rsid w:val="00527A31"/>
    <w:rsid w:val="0053028A"/>
    <w:rsid w:val="00532C6E"/>
    <w:rsid w:val="005370A0"/>
    <w:rsid w:val="005371DA"/>
    <w:rsid w:val="0053731C"/>
    <w:rsid w:val="00541647"/>
    <w:rsid w:val="005429AB"/>
    <w:rsid w:val="005432A6"/>
    <w:rsid w:val="0054538B"/>
    <w:rsid w:val="00545980"/>
    <w:rsid w:val="00550C99"/>
    <w:rsid w:val="005519AC"/>
    <w:rsid w:val="00553413"/>
    <w:rsid w:val="0055526B"/>
    <w:rsid w:val="00555292"/>
    <w:rsid w:val="005565B4"/>
    <w:rsid w:val="00556800"/>
    <w:rsid w:val="005624B2"/>
    <w:rsid w:val="005634E5"/>
    <w:rsid w:val="00565741"/>
    <w:rsid w:val="00566CC9"/>
    <w:rsid w:val="005721B0"/>
    <w:rsid w:val="00574082"/>
    <w:rsid w:val="00574DF3"/>
    <w:rsid w:val="0057518D"/>
    <w:rsid w:val="00576128"/>
    <w:rsid w:val="00577CD5"/>
    <w:rsid w:val="00577DBF"/>
    <w:rsid w:val="005822F6"/>
    <w:rsid w:val="00582597"/>
    <w:rsid w:val="00582E84"/>
    <w:rsid w:val="00583559"/>
    <w:rsid w:val="0058369E"/>
    <w:rsid w:val="0058375C"/>
    <w:rsid w:val="00584BFB"/>
    <w:rsid w:val="00584C80"/>
    <w:rsid w:val="005875E8"/>
    <w:rsid w:val="005906C2"/>
    <w:rsid w:val="00592036"/>
    <w:rsid w:val="00592D70"/>
    <w:rsid w:val="00593314"/>
    <w:rsid w:val="005942E1"/>
    <w:rsid w:val="00594496"/>
    <w:rsid w:val="00595997"/>
    <w:rsid w:val="00595E55"/>
    <w:rsid w:val="00597301"/>
    <w:rsid w:val="00597F7C"/>
    <w:rsid w:val="005A6291"/>
    <w:rsid w:val="005A74B9"/>
    <w:rsid w:val="005B3891"/>
    <w:rsid w:val="005B416A"/>
    <w:rsid w:val="005B4254"/>
    <w:rsid w:val="005B5952"/>
    <w:rsid w:val="005B6959"/>
    <w:rsid w:val="005C1E44"/>
    <w:rsid w:val="005C34E6"/>
    <w:rsid w:val="005C4E9F"/>
    <w:rsid w:val="005C5BDD"/>
    <w:rsid w:val="005C5E7D"/>
    <w:rsid w:val="005C6618"/>
    <w:rsid w:val="005C7868"/>
    <w:rsid w:val="005D100B"/>
    <w:rsid w:val="005D259E"/>
    <w:rsid w:val="005D5C0E"/>
    <w:rsid w:val="005E24F3"/>
    <w:rsid w:val="005E401E"/>
    <w:rsid w:val="005E658D"/>
    <w:rsid w:val="005E70D7"/>
    <w:rsid w:val="005F016E"/>
    <w:rsid w:val="005F1454"/>
    <w:rsid w:val="005F163B"/>
    <w:rsid w:val="005F39A9"/>
    <w:rsid w:val="005F4C16"/>
    <w:rsid w:val="005F6742"/>
    <w:rsid w:val="0060003D"/>
    <w:rsid w:val="00601955"/>
    <w:rsid w:val="006023DD"/>
    <w:rsid w:val="00603FD5"/>
    <w:rsid w:val="00605C7E"/>
    <w:rsid w:val="00606E26"/>
    <w:rsid w:val="0061030E"/>
    <w:rsid w:val="00612CFD"/>
    <w:rsid w:val="0061508B"/>
    <w:rsid w:val="00616F4D"/>
    <w:rsid w:val="00617A23"/>
    <w:rsid w:val="00620A5D"/>
    <w:rsid w:val="00621B04"/>
    <w:rsid w:val="00623270"/>
    <w:rsid w:val="0062380C"/>
    <w:rsid w:val="00624DBB"/>
    <w:rsid w:val="006258F2"/>
    <w:rsid w:val="00633664"/>
    <w:rsid w:val="00634532"/>
    <w:rsid w:val="006410DF"/>
    <w:rsid w:val="00641C63"/>
    <w:rsid w:val="006432D2"/>
    <w:rsid w:val="00643E7D"/>
    <w:rsid w:val="006465F3"/>
    <w:rsid w:val="006468E8"/>
    <w:rsid w:val="0064788E"/>
    <w:rsid w:val="006504B1"/>
    <w:rsid w:val="006529A6"/>
    <w:rsid w:val="0066465D"/>
    <w:rsid w:val="00664A4C"/>
    <w:rsid w:val="006706CE"/>
    <w:rsid w:val="006756D6"/>
    <w:rsid w:val="00676EEA"/>
    <w:rsid w:val="00680274"/>
    <w:rsid w:val="0068358F"/>
    <w:rsid w:val="00684857"/>
    <w:rsid w:val="0068652F"/>
    <w:rsid w:val="0068724F"/>
    <w:rsid w:val="00690F7F"/>
    <w:rsid w:val="00696A14"/>
    <w:rsid w:val="006A4D42"/>
    <w:rsid w:val="006A731F"/>
    <w:rsid w:val="006B00D8"/>
    <w:rsid w:val="006C4AF4"/>
    <w:rsid w:val="006C5809"/>
    <w:rsid w:val="006C701E"/>
    <w:rsid w:val="006D2720"/>
    <w:rsid w:val="006D3F2F"/>
    <w:rsid w:val="006D5F38"/>
    <w:rsid w:val="006D6FD7"/>
    <w:rsid w:val="006E28D7"/>
    <w:rsid w:val="006E3536"/>
    <w:rsid w:val="006E465B"/>
    <w:rsid w:val="006E63A8"/>
    <w:rsid w:val="006F67D8"/>
    <w:rsid w:val="006F6A6C"/>
    <w:rsid w:val="006F6BDC"/>
    <w:rsid w:val="006F77B5"/>
    <w:rsid w:val="007018D1"/>
    <w:rsid w:val="00707DBF"/>
    <w:rsid w:val="00710922"/>
    <w:rsid w:val="00712228"/>
    <w:rsid w:val="0071379F"/>
    <w:rsid w:val="00714488"/>
    <w:rsid w:val="007144B5"/>
    <w:rsid w:val="00715A59"/>
    <w:rsid w:val="007216F6"/>
    <w:rsid w:val="00721EFA"/>
    <w:rsid w:val="0073222C"/>
    <w:rsid w:val="0073271B"/>
    <w:rsid w:val="00733B81"/>
    <w:rsid w:val="00736EB6"/>
    <w:rsid w:val="00737933"/>
    <w:rsid w:val="00740086"/>
    <w:rsid w:val="00744EF4"/>
    <w:rsid w:val="0074746C"/>
    <w:rsid w:val="00747CE0"/>
    <w:rsid w:val="007518C8"/>
    <w:rsid w:val="00752B3D"/>
    <w:rsid w:val="00752F4A"/>
    <w:rsid w:val="00753ADA"/>
    <w:rsid w:val="007547CA"/>
    <w:rsid w:val="00760CC3"/>
    <w:rsid w:val="007652F2"/>
    <w:rsid w:val="00766E08"/>
    <w:rsid w:val="0077249B"/>
    <w:rsid w:val="00776633"/>
    <w:rsid w:val="007810F9"/>
    <w:rsid w:val="00782EE3"/>
    <w:rsid w:val="007833FB"/>
    <w:rsid w:val="00785F73"/>
    <w:rsid w:val="0079003A"/>
    <w:rsid w:val="007905FA"/>
    <w:rsid w:val="0079221C"/>
    <w:rsid w:val="0079270F"/>
    <w:rsid w:val="00793472"/>
    <w:rsid w:val="0079376F"/>
    <w:rsid w:val="007A0363"/>
    <w:rsid w:val="007A1E2C"/>
    <w:rsid w:val="007A252F"/>
    <w:rsid w:val="007A2ED8"/>
    <w:rsid w:val="007A3EBC"/>
    <w:rsid w:val="007A408D"/>
    <w:rsid w:val="007A62B8"/>
    <w:rsid w:val="007A65A6"/>
    <w:rsid w:val="007A748D"/>
    <w:rsid w:val="007A75A8"/>
    <w:rsid w:val="007B225B"/>
    <w:rsid w:val="007B22D7"/>
    <w:rsid w:val="007B3748"/>
    <w:rsid w:val="007B4ED4"/>
    <w:rsid w:val="007B72F4"/>
    <w:rsid w:val="007C0448"/>
    <w:rsid w:val="007C0476"/>
    <w:rsid w:val="007C3F21"/>
    <w:rsid w:val="007C4BAF"/>
    <w:rsid w:val="007C66D6"/>
    <w:rsid w:val="007D3084"/>
    <w:rsid w:val="007D37F3"/>
    <w:rsid w:val="007D5B1A"/>
    <w:rsid w:val="007D762E"/>
    <w:rsid w:val="007E410E"/>
    <w:rsid w:val="007E45A5"/>
    <w:rsid w:val="007E64A5"/>
    <w:rsid w:val="007F17C0"/>
    <w:rsid w:val="007F20F9"/>
    <w:rsid w:val="007F2F59"/>
    <w:rsid w:val="007F376B"/>
    <w:rsid w:val="007F78B0"/>
    <w:rsid w:val="0080183F"/>
    <w:rsid w:val="008040DF"/>
    <w:rsid w:val="00805066"/>
    <w:rsid w:val="008107FF"/>
    <w:rsid w:val="00810F00"/>
    <w:rsid w:val="00810FC1"/>
    <w:rsid w:val="008122F2"/>
    <w:rsid w:val="00812B79"/>
    <w:rsid w:val="00813A7C"/>
    <w:rsid w:val="008151DE"/>
    <w:rsid w:val="00820701"/>
    <w:rsid w:val="0082083C"/>
    <w:rsid w:val="0082131F"/>
    <w:rsid w:val="00822368"/>
    <w:rsid w:val="0082520A"/>
    <w:rsid w:val="00830EF8"/>
    <w:rsid w:val="008356E7"/>
    <w:rsid w:val="00836A84"/>
    <w:rsid w:val="008414BC"/>
    <w:rsid w:val="0084194E"/>
    <w:rsid w:val="00841B4F"/>
    <w:rsid w:val="00842E60"/>
    <w:rsid w:val="00842F4D"/>
    <w:rsid w:val="00853EFB"/>
    <w:rsid w:val="0085439B"/>
    <w:rsid w:val="00855E21"/>
    <w:rsid w:val="00856976"/>
    <w:rsid w:val="00857FF4"/>
    <w:rsid w:val="00860DDC"/>
    <w:rsid w:val="00861824"/>
    <w:rsid w:val="0086289F"/>
    <w:rsid w:val="00863ACF"/>
    <w:rsid w:val="00863AEB"/>
    <w:rsid w:val="00863AFD"/>
    <w:rsid w:val="00864DB1"/>
    <w:rsid w:val="008700A0"/>
    <w:rsid w:val="00872975"/>
    <w:rsid w:val="00874983"/>
    <w:rsid w:val="0087776B"/>
    <w:rsid w:val="00881F59"/>
    <w:rsid w:val="0088367B"/>
    <w:rsid w:val="00890474"/>
    <w:rsid w:val="00890883"/>
    <w:rsid w:val="00890F29"/>
    <w:rsid w:val="00891E0E"/>
    <w:rsid w:val="00892E8B"/>
    <w:rsid w:val="0089766D"/>
    <w:rsid w:val="008A10D9"/>
    <w:rsid w:val="008A25D7"/>
    <w:rsid w:val="008A45CE"/>
    <w:rsid w:val="008B0F37"/>
    <w:rsid w:val="008B32BE"/>
    <w:rsid w:val="008B4965"/>
    <w:rsid w:val="008C027B"/>
    <w:rsid w:val="008C0AA9"/>
    <w:rsid w:val="008C4676"/>
    <w:rsid w:val="008C4718"/>
    <w:rsid w:val="008C5094"/>
    <w:rsid w:val="008D040A"/>
    <w:rsid w:val="008D1623"/>
    <w:rsid w:val="008D1A48"/>
    <w:rsid w:val="008D1ABD"/>
    <w:rsid w:val="008D7A4B"/>
    <w:rsid w:val="008E1C23"/>
    <w:rsid w:val="008E319C"/>
    <w:rsid w:val="008E392A"/>
    <w:rsid w:val="008F07E3"/>
    <w:rsid w:val="008F0864"/>
    <w:rsid w:val="008F1508"/>
    <w:rsid w:val="008F3E1A"/>
    <w:rsid w:val="008F6962"/>
    <w:rsid w:val="008F7D5E"/>
    <w:rsid w:val="009008D2"/>
    <w:rsid w:val="00901AB8"/>
    <w:rsid w:val="00902D8F"/>
    <w:rsid w:val="00903621"/>
    <w:rsid w:val="009040BD"/>
    <w:rsid w:val="00907AF3"/>
    <w:rsid w:val="00912A7E"/>
    <w:rsid w:val="00913093"/>
    <w:rsid w:val="00913922"/>
    <w:rsid w:val="00914184"/>
    <w:rsid w:val="009163C1"/>
    <w:rsid w:val="009178DA"/>
    <w:rsid w:val="00917939"/>
    <w:rsid w:val="00925E63"/>
    <w:rsid w:val="00930B8A"/>
    <w:rsid w:val="00932101"/>
    <w:rsid w:val="00935249"/>
    <w:rsid w:val="00936068"/>
    <w:rsid w:val="009374A0"/>
    <w:rsid w:val="009409A9"/>
    <w:rsid w:val="00941558"/>
    <w:rsid w:val="009418FE"/>
    <w:rsid w:val="00942057"/>
    <w:rsid w:val="0094300D"/>
    <w:rsid w:val="0095145B"/>
    <w:rsid w:val="009517CC"/>
    <w:rsid w:val="009522CF"/>
    <w:rsid w:val="00957D57"/>
    <w:rsid w:val="009615D4"/>
    <w:rsid w:val="00972358"/>
    <w:rsid w:val="00973AC1"/>
    <w:rsid w:val="00973AEC"/>
    <w:rsid w:val="00974677"/>
    <w:rsid w:val="00975630"/>
    <w:rsid w:val="009766CD"/>
    <w:rsid w:val="00977A8E"/>
    <w:rsid w:val="00984BF4"/>
    <w:rsid w:val="009940AC"/>
    <w:rsid w:val="009949D6"/>
    <w:rsid w:val="009A0DE6"/>
    <w:rsid w:val="009A1E52"/>
    <w:rsid w:val="009A1E98"/>
    <w:rsid w:val="009A26B3"/>
    <w:rsid w:val="009A2F17"/>
    <w:rsid w:val="009A3D17"/>
    <w:rsid w:val="009A42E3"/>
    <w:rsid w:val="009A6047"/>
    <w:rsid w:val="009A6AB9"/>
    <w:rsid w:val="009A7D9C"/>
    <w:rsid w:val="009B0780"/>
    <w:rsid w:val="009B186D"/>
    <w:rsid w:val="009B3AAB"/>
    <w:rsid w:val="009B621A"/>
    <w:rsid w:val="009B6AA8"/>
    <w:rsid w:val="009B713D"/>
    <w:rsid w:val="009C1105"/>
    <w:rsid w:val="009C1212"/>
    <w:rsid w:val="009C25FA"/>
    <w:rsid w:val="009C641D"/>
    <w:rsid w:val="009C65D8"/>
    <w:rsid w:val="009C751D"/>
    <w:rsid w:val="009D0954"/>
    <w:rsid w:val="009D09DE"/>
    <w:rsid w:val="009D1941"/>
    <w:rsid w:val="009D24F5"/>
    <w:rsid w:val="009D62E8"/>
    <w:rsid w:val="009E63DC"/>
    <w:rsid w:val="009F0112"/>
    <w:rsid w:val="009F01BB"/>
    <w:rsid w:val="009F0E64"/>
    <w:rsid w:val="009F3514"/>
    <w:rsid w:val="009F447A"/>
    <w:rsid w:val="009F5982"/>
    <w:rsid w:val="009F65FD"/>
    <w:rsid w:val="00A018D6"/>
    <w:rsid w:val="00A03FE0"/>
    <w:rsid w:val="00A0682A"/>
    <w:rsid w:val="00A07149"/>
    <w:rsid w:val="00A071FD"/>
    <w:rsid w:val="00A107C4"/>
    <w:rsid w:val="00A12E2F"/>
    <w:rsid w:val="00A13664"/>
    <w:rsid w:val="00A14E22"/>
    <w:rsid w:val="00A15473"/>
    <w:rsid w:val="00A20CDB"/>
    <w:rsid w:val="00A22314"/>
    <w:rsid w:val="00A2581B"/>
    <w:rsid w:val="00A272E3"/>
    <w:rsid w:val="00A27CFB"/>
    <w:rsid w:val="00A342BD"/>
    <w:rsid w:val="00A35DAD"/>
    <w:rsid w:val="00A360E2"/>
    <w:rsid w:val="00A3666D"/>
    <w:rsid w:val="00A37405"/>
    <w:rsid w:val="00A404BB"/>
    <w:rsid w:val="00A404F1"/>
    <w:rsid w:val="00A40B8D"/>
    <w:rsid w:val="00A447CF"/>
    <w:rsid w:val="00A50883"/>
    <w:rsid w:val="00A512A1"/>
    <w:rsid w:val="00A51930"/>
    <w:rsid w:val="00A52233"/>
    <w:rsid w:val="00A556F8"/>
    <w:rsid w:val="00A621AB"/>
    <w:rsid w:val="00A62690"/>
    <w:rsid w:val="00A65DD7"/>
    <w:rsid w:val="00A70151"/>
    <w:rsid w:val="00A71669"/>
    <w:rsid w:val="00A727F7"/>
    <w:rsid w:val="00A74A9F"/>
    <w:rsid w:val="00A81F7D"/>
    <w:rsid w:val="00A84422"/>
    <w:rsid w:val="00A87204"/>
    <w:rsid w:val="00A90151"/>
    <w:rsid w:val="00A90F38"/>
    <w:rsid w:val="00A91E09"/>
    <w:rsid w:val="00A92CDD"/>
    <w:rsid w:val="00A9359B"/>
    <w:rsid w:val="00A945C8"/>
    <w:rsid w:val="00A95C63"/>
    <w:rsid w:val="00AA0269"/>
    <w:rsid w:val="00AA0C7B"/>
    <w:rsid w:val="00AA13B7"/>
    <w:rsid w:val="00AA5B17"/>
    <w:rsid w:val="00AB0F32"/>
    <w:rsid w:val="00AB0F8B"/>
    <w:rsid w:val="00AB2733"/>
    <w:rsid w:val="00AB37DA"/>
    <w:rsid w:val="00AB3A78"/>
    <w:rsid w:val="00AC530C"/>
    <w:rsid w:val="00AC5BA9"/>
    <w:rsid w:val="00AD0741"/>
    <w:rsid w:val="00AE47C7"/>
    <w:rsid w:val="00AF3E3A"/>
    <w:rsid w:val="00AF6669"/>
    <w:rsid w:val="00B00D5E"/>
    <w:rsid w:val="00B01E1A"/>
    <w:rsid w:val="00B050DC"/>
    <w:rsid w:val="00B0790E"/>
    <w:rsid w:val="00B07EF0"/>
    <w:rsid w:val="00B10085"/>
    <w:rsid w:val="00B1034F"/>
    <w:rsid w:val="00B11926"/>
    <w:rsid w:val="00B1366D"/>
    <w:rsid w:val="00B17FC2"/>
    <w:rsid w:val="00B20592"/>
    <w:rsid w:val="00B20A52"/>
    <w:rsid w:val="00B23603"/>
    <w:rsid w:val="00B23C5F"/>
    <w:rsid w:val="00B2439A"/>
    <w:rsid w:val="00B30681"/>
    <w:rsid w:val="00B309D8"/>
    <w:rsid w:val="00B30B07"/>
    <w:rsid w:val="00B312A9"/>
    <w:rsid w:val="00B33C67"/>
    <w:rsid w:val="00B3455D"/>
    <w:rsid w:val="00B3749D"/>
    <w:rsid w:val="00B4068D"/>
    <w:rsid w:val="00B45512"/>
    <w:rsid w:val="00B45604"/>
    <w:rsid w:val="00B54D2F"/>
    <w:rsid w:val="00B56E39"/>
    <w:rsid w:val="00B64570"/>
    <w:rsid w:val="00B65DAA"/>
    <w:rsid w:val="00B66B2F"/>
    <w:rsid w:val="00B67B8C"/>
    <w:rsid w:val="00B7122A"/>
    <w:rsid w:val="00B71E19"/>
    <w:rsid w:val="00B80AA0"/>
    <w:rsid w:val="00B80B09"/>
    <w:rsid w:val="00B86740"/>
    <w:rsid w:val="00B87859"/>
    <w:rsid w:val="00B91619"/>
    <w:rsid w:val="00B91D47"/>
    <w:rsid w:val="00B91FA3"/>
    <w:rsid w:val="00B92C10"/>
    <w:rsid w:val="00B96899"/>
    <w:rsid w:val="00B96CC6"/>
    <w:rsid w:val="00B96DBE"/>
    <w:rsid w:val="00BA5D7E"/>
    <w:rsid w:val="00BA7623"/>
    <w:rsid w:val="00BB1635"/>
    <w:rsid w:val="00BB22E6"/>
    <w:rsid w:val="00BC4C74"/>
    <w:rsid w:val="00BC705E"/>
    <w:rsid w:val="00BC72D1"/>
    <w:rsid w:val="00BC7702"/>
    <w:rsid w:val="00BC7856"/>
    <w:rsid w:val="00BD2592"/>
    <w:rsid w:val="00BD296E"/>
    <w:rsid w:val="00BD2B36"/>
    <w:rsid w:val="00BD528E"/>
    <w:rsid w:val="00BD565C"/>
    <w:rsid w:val="00BD6CB5"/>
    <w:rsid w:val="00BD7746"/>
    <w:rsid w:val="00BE0142"/>
    <w:rsid w:val="00BE0A42"/>
    <w:rsid w:val="00BE17E5"/>
    <w:rsid w:val="00BE1EF3"/>
    <w:rsid w:val="00BE2B49"/>
    <w:rsid w:val="00BE3832"/>
    <w:rsid w:val="00BE4761"/>
    <w:rsid w:val="00BE4C8D"/>
    <w:rsid w:val="00BF119B"/>
    <w:rsid w:val="00BF30E6"/>
    <w:rsid w:val="00BF407C"/>
    <w:rsid w:val="00BF4F5A"/>
    <w:rsid w:val="00BF68C8"/>
    <w:rsid w:val="00BF7727"/>
    <w:rsid w:val="00BF7F21"/>
    <w:rsid w:val="00C01061"/>
    <w:rsid w:val="00C01E68"/>
    <w:rsid w:val="00C02A15"/>
    <w:rsid w:val="00C056C3"/>
    <w:rsid w:val="00C0774F"/>
    <w:rsid w:val="00C07BFB"/>
    <w:rsid w:val="00C10A64"/>
    <w:rsid w:val="00C11924"/>
    <w:rsid w:val="00C14C20"/>
    <w:rsid w:val="00C14E37"/>
    <w:rsid w:val="00C154C3"/>
    <w:rsid w:val="00C2133E"/>
    <w:rsid w:val="00C23ABC"/>
    <w:rsid w:val="00C2458A"/>
    <w:rsid w:val="00C247C6"/>
    <w:rsid w:val="00C24AEB"/>
    <w:rsid w:val="00C258D2"/>
    <w:rsid w:val="00C27651"/>
    <w:rsid w:val="00C306B9"/>
    <w:rsid w:val="00C326F9"/>
    <w:rsid w:val="00C33259"/>
    <w:rsid w:val="00C35601"/>
    <w:rsid w:val="00C37A29"/>
    <w:rsid w:val="00C40163"/>
    <w:rsid w:val="00C45896"/>
    <w:rsid w:val="00C521F5"/>
    <w:rsid w:val="00C565AA"/>
    <w:rsid w:val="00C57342"/>
    <w:rsid w:val="00C5737A"/>
    <w:rsid w:val="00C57BB6"/>
    <w:rsid w:val="00C614FE"/>
    <w:rsid w:val="00C62BBC"/>
    <w:rsid w:val="00C65872"/>
    <w:rsid w:val="00C71FC2"/>
    <w:rsid w:val="00C725BC"/>
    <w:rsid w:val="00C75CFB"/>
    <w:rsid w:val="00C75E6A"/>
    <w:rsid w:val="00C82074"/>
    <w:rsid w:val="00C837DC"/>
    <w:rsid w:val="00C8436C"/>
    <w:rsid w:val="00C93B98"/>
    <w:rsid w:val="00CA3B8D"/>
    <w:rsid w:val="00CA51AB"/>
    <w:rsid w:val="00CA547F"/>
    <w:rsid w:val="00CB01EE"/>
    <w:rsid w:val="00CB14E9"/>
    <w:rsid w:val="00CB6026"/>
    <w:rsid w:val="00CB6E6F"/>
    <w:rsid w:val="00CC113E"/>
    <w:rsid w:val="00CC1A38"/>
    <w:rsid w:val="00CC5B97"/>
    <w:rsid w:val="00CC60F3"/>
    <w:rsid w:val="00CC6483"/>
    <w:rsid w:val="00CC680F"/>
    <w:rsid w:val="00CC7C19"/>
    <w:rsid w:val="00CD1915"/>
    <w:rsid w:val="00CD2691"/>
    <w:rsid w:val="00CD61EB"/>
    <w:rsid w:val="00CD6BD8"/>
    <w:rsid w:val="00CE0D36"/>
    <w:rsid w:val="00CE56D2"/>
    <w:rsid w:val="00CE6134"/>
    <w:rsid w:val="00CE6537"/>
    <w:rsid w:val="00CE73B0"/>
    <w:rsid w:val="00CE7446"/>
    <w:rsid w:val="00CF01D4"/>
    <w:rsid w:val="00CF02F0"/>
    <w:rsid w:val="00CF0CDE"/>
    <w:rsid w:val="00CF197C"/>
    <w:rsid w:val="00CF3D69"/>
    <w:rsid w:val="00CF576B"/>
    <w:rsid w:val="00CF6A00"/>
    <w:rsid w:val="00D03C5F"/>
    <w:rsid w:val="00D042A4"/>
    <w:rsid w:val="00D126CE"/>
    <w:rsid w:val="00D12796"/>
    <w:rsid w:val="00D16F74"/>
    <w:rsid w:val="00D200B1"/>
    <w:rsid w:val="00D23BC6"/>
    <w:rsid w:val="00D243E3"/>
    <w:rsid w:val="00D24992"/>
    <w:rsid w:val="00D2777F"/>
    <w:rsid w:val="00D321BF"/>
    <w:rsid w:val="00D447D4"/>
    <w:rsid w:val="00D5112E"/>
    <w:rsid w:val="00D5302A"/>
    <w:rsid w:val="00D57A9C"/>
    <w:rsid w:val="00D60649"/>
    <w:rsid w:val="00D609FC"/>
    <w:rsid w:val="00D61C07"/>
    <w:rsid w:val="00D65A56"/>
    <w:rsid w:val="00D65C79"/>
    <w:rsid w:val="00D65FDA"/>
    <w:rsid w:val="00D67E4D"/>
    <w:rsid w:val="00D71738"/>
    <w:rsid w:val="00D72949"/>
    <w:rsid w:val="00D83923"/>
    <w:rsid w:val="00D857C2"/>
    <w:rsid w:val="00D8615D"/>
    <w:rsid w:val="00D8672B"/>
    <w:rsid w:val="00D87A09"/>
    <w:rsid w:val="00D9176C"/>
    <w:rsid w:val="00D93C4E"/>
    <w:rsid w:val="00D9419D"/>
    <w:rsid w:val="00DA179C"/>
    <w:rsid w:val="00DA2095"/>
    <w:rsid w:val="00DA3176"/>
    <w:rsid w:val="00DA76DA"/>
    <w:rsid w:val="00DB52FD"/>
    <w:rsid w:val="00DC3C64"/>
    <w:rsid w:val="00DC4CC3"/>
    <w:rsid w:val="00DC5FE6"/>
    <w:rsid w:val="00DC7DD1"/>
    <w:rsid w:val="00DC7DE8"/>
    <w:rsid w:val="00DD1631"/>
    <w:rsid w:val="00DD41BA"/>
    <w:rsid w:val="00DD4335"/>
    <w:rsid w:val="00DD4580"/>
    <w:rsid w:val="00DD5253"/>
    <w:rsid w:val="00DE0129"/>
    <w:rsid w:val="00DE0A19"/>
    <w:rsid w:val="00DE19E5"/>
    <w:rsid w:val="00DE37A2"/>
    <w:rsid w:val="00DE4F6E"/>
    <w:rsid w:val="00DE7836"/>
    <w:rsid w:val="00DF1E09"/>
    <w:rsid w:val="00DF2D1F"/>
    <w:rsid w:val="00DF4E3E"/>
    <w:rsid w:val="00DF54FF"/>
    <w:rsid w:val="00DF5550"/>
    <w:rsid w:val="00E015EA"/>
    <w:rsid w:val="00E02467"/>
    <w:rsid w:val="00E03585"/>
    <w:rsid w:val="00E040EA"/>
    <w:rsid w:val="00E06173"/>
    <w:rsid w:val="00E06184"/>
    <w:rsid w:val="00E06335"/>
    <w:rsid w:val="00E1147B"/>
    <w:rsid w:val="00E12393"/>
    <w:rsid w:val="00E123BE"/>
    <w:rsid w:val="00E1270C"/>
    <w:rsid w:val="00E136B2"/>
    <w:rsid w:val="00E165DD"/>
    <w:rsid w:val="00E2281E"/>
    <w:rsid w:val="00E24B2E"/>
    <w:rsid w:val="00E26188"/>
    <w:rsid w:val="00E315B2"/>
    <w:rsid w:val="00E319AE"/>
    <w:rsid w:val="00E3267C"/>
    <w:rsid w:val="00E32913"/>
    <w:rsid w:val="00E32F93"/>
    <w:rsid w:val="00E33843"/>
    <w:rsid w:val="00E36D7D"/>
    <w:rsid w:val="00E41267"/>
    <w:rsid w:val="00E423E1"/>
    <w:rsid w:val="00E445C2"/>
    <w:rsid w:val="00E506F8"/>
    <w:rsid w:val="00E54B2B"/>
    <w:rsid w:val="00E5630A"/>
    <w:rsid w:val="00E5793B"/>
    <w:rsid w:val="00E61AD5"/>
    <w:rsid w:val="00E671C9"/>
    <w:rsid w:val="00E6752E"/>
    <w:rsid w:val="00E67E24"/>
    <w:rsid w:val="00E7621C"/>
    <w:rsid w:val="00E7669B"/>
    <w:rsid w:val="00E76A66"/>
    <w:rsid w:val="00E80020"/>
    <w:rsid w:val="00E81A5D"/>
    <w:rsid w:val="00E853B0"/>
    <w:rsid w:val="00E92BE2"/>
    <w:rsid w:val="00E935C3"/>
    <w:rsid w:val="00E941F2"/>
    <w:rsid w:val="00E94D89"/>
    <w:rsid w:val="00E961AE"/>
    <w:rsid w:val="00E973FA"/>
    <w:rsid w:val="00E978F2"/>
    <w:rsid w:val="00EA0515"/>
    <w:rsid w:val="00EA1943"/>
    <w:rsid w:val="00EA3583"/>
    <w:rsid w:val="00EA4431"/>
    <w:rsid w:val="00EB240E"/>
    <w:rsid w:val="00EB2596"/>
    <w:rsid w:val="00EB43F1"/>
    <w:rsid w:val="00EB6FB4"/>
    <w:rsid w:val="00EB7D53"/>
    <w:rsid w:val="00EC05B4"/>
    <w:rsid w:val="00EC18EE"/>
    <w:rsid w:val="00EC292A"/>
    <w:rsid w:val="00EC362A"/>
    <w:rsid w:val="00EC4502"/>
    <w:rsid w:val="00EC663E"/>
    <w:rsid w:val="00ED0625"/>
    <w:rsid w:val="00ED22D4"/>
    <w:rsid w:val="00ED3765"/>
    <w:rsid w:val="00ED5B22"/>
    <w:rsid w:val="00EE0B7E"/>
    <w:rsid w:val="00EE3994"/>
    <w:rsid w:val="00EE575E"/>
    <w:rsid w:val="00EE6090"/>
    <w:rsid w:val="00EE6F14"/>
    <w:rsid w:val="00EF2CB8"/>
    <w:rsid w:val="00EF43FF"/>
    <w:rsid w:val="00F00103"/>
    <w:rsid w:val="00F009F6"/>
    <w:rsid w:val="00F0339C"/>
    <w:rsid w:val="00F06187"/>
    <w:rsid w:val="00F12D59"/>
    <w:rsid w:val="00F134D6"/>
    <w:rsid w:val="00F13D06"/>
    <w:rsid w:val="00F156E5"/>
    <w:rsid w:val="00F162D4"/>
    <w:rsid w:val="00F24B29"/>
    <w:rsid w:val="00F27EE1"/>
    <w:rsid w:val="00F304C6"/>
    <w:rsid w:val="00F331ED"/>
    <w:rsid w:val="00F40F72"/>
    <w:rsid w:val="00F43380"/>
    <w:rsid w:val="00F4702C"/>
    <w:rsid w:val="00F470F9"/>
    <w:rsid w:val="00F505B8"/>
    <w:rsid w:val="00F50C65"/>
    <w:rsid w:val="00F53C44"/>
    <w:rsid w:val="00F54490"/>
    <w:rsid w:val="00F55784"/>
    <w:rsid w:val="00F5709A"/>
    <w:rsid w:val="00F6252B"/>
    <w:rsid w:val="00F634F6"/>
    <w:rsid w:val="00F6395A"/>
    <w:rsid w:val="00F6447F"/>
    <w:rsid w:val="00F67C43"/>
    <w:rsid w:val="00F7530D"/>
    <w:rsid w:val="00F756A7"/>
    <w:rsid w:val="00F7574F"/>
    <w:rsid w:val="00F75B29"/>
    <w:rsid w:val="00F766B0"/>
    <w:rsid w:val="00F87219"/>
    <w:rsid w:val="00F87B07"/>
    <w:rsid w:val="00F919D3"/>
    <w:rsid w:val="00F92020"/>
    <w:rsid w:val="00F920EF"/>
    <w:rsid w:val="00F93488"/>
    <w:rsid w:val="00F93624"/>
    <w:rsid w:val="00F93FEC"/>
    <w:rsid w:val="00F95C75"/>
    <w:rsid w:val="00F96EFA"/>
    <w:rsid w:val="00F97C6A"/>
    <w:rsid w:val="00FA00A4"/>
    <w:rsid w:val="00FA0C00"/>
    <w:rsid w:val="00FA10F2"/>
    <w:rsid w:val="00FA201A"/>
    <w:rsid w:val="00FA3B9F"/>
    <w:rsid w:val="00FA4AAD"/>
    <w:rsid w:val="00FA5BB7"/>
    <w:rsid w:val="00FA66A6"/>
    <w:rsid w:val="00FA68FE"/>
    <w:rsid w:val="00FA7E27"/>
    <w:rsid w:val="00FB314A"/>
    <w:rsid w:val="00FB3771"/>
    <w:rsid w:val="00FB58B7"/>
    <w:rsid w:val="00FB5BD3"/>
    <w:rsid w:val="00FB60FF"/>
    <w:rsid w:val="00FC2D8B"/>
    <w:rsid w:val="00FD0FDE"/>
    <w:rsid w:val="00FD2AED"/>
    <w:rsid w:val="00FD3306"/>
    <w:rsid w:val="00FD606B"/>
    <w:rsid w:val="00FE019B"/>
    <w:rsid w:val="00FE0AB6"/>
    <w:rsid w:val="00FE5414"/>
    <w:rsid w:val="00FE59F2"/>
    <w:rsid w:val="00FE6D8C"/>
    <w:rsid w:val="00FF00FC"/>
    <w:rsid w:val="00FF141F"/>
    <w:rsid w:val="00FF14A6"/>
    <w:rsid w:val="00FF2D3E"/>
    <w:rsid w:val="00FF44CF"/>
    <w:rsid w:val="00FF5D1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49F789C1"/>
  <w15:chartTrackingRefBased/>
  <w15:docId w15:val="{4B31F2BA-C6F2-4102-880B-096340F5B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EFB"/>
    <w:pPr>
      <w:spacing w:before="120" w:after="120" w:line="240" w:lineRule="auto"/>
    </w:pPr>
    <w:rPr>
      <w:rFonts w:ascii="Arial" w:hAnsi="Arial"/>
      <w:spacing w:val="-2"/>
      <w:sz w:val="20"/>
    </w:rPr>
  </w:style>
  <w:style w:type="paragraph" w:styleId="Heading1">
    <w:name w:val="heading 1"/>
    <w:basedOn w:val="Normal"/>
    <w:next w:val="Normal"/>
    <w:link w:val="Heading1Char"/>
    <w:uiPriority w:val="9"/>
    <w:qFormat/>
    <w:rsid w:val="005822F6"/>
    <w:pPr>
      <w:keepNext/>
      <w:keepLines/>
      <w:pageBreakBefore/>
      <w:numPr>
        <w:numId w:val="41"/>
      </w:numPr>
      <w:pBdr>
        <w:top w:val="single" w:sz="8" w:space="31" w:color="FFFFFF" w:themeColor="background1"/>
        <w:bottom w:val="single" w:sz="8" w:space="0" w:color="FFF200" w:themeColor="accent1"/>
      </w:pBdr>
      <w:shd w:val="clear" w:color="auto" w:fill="FFFFFF" w:themeFill="background1"/>
      <w:ind w:left="0" w:firstLine="0"/>
      <w:outlineLvl w:val="0"/>
    </w:pPr>
    <w:rPr>
      <w:rFonts w:asciiTheme="majorHAnsi" w:eastAsiaTheme="majorEastAsia" w:hAnsiTheme="majorHAnsi" w:cstheme="majorBidi"/>
      <w:b/>
      <w:caps/>
      <w:color w:val="000000" w:themeColor="text1"/>
      <w:sz w:val="52"/>
      <w:szCs w:val="28"/>
    </w:rPr>
  </w:style>
  <w:style w:type="paragraph" w:styleId="Heading2">
    <w:name w:val="heading 2"/>
    <w:basedOn w:val="Heading1"/>
    <w:next w:val="Normal"/>
    <w:link w:val="Heading2Char"/>
    <w:uiPriority w:val="4"/>
    <w:qFormat/>
    <w:rsid w:val="004E1635"/>
    <w:pPr>
      <w:keepNext w:val="0"/>
      <w:keepLines w:val="0"/>
      <w:numPr>
        <w:numId w:val="0"/>
      </w:numPr>
      <w:pBdr>
        <w:top w:val="none" w:sz="0" w:space="0" w:color="auto"/>
        <w:bottom w:val="none" w:sz="0" w:space="0" w:color="auto"/>
      </w:pBdr>
      <w:outlineLvl w:val="1"/>
    </w:pPr>
    <w:rPr>
      <w:rFonts w:ascii="Arial" w:hAnsi="Arial"/>
      <w:b w:val="0"/>
      <w:caps w:val="0"/>
      <w:spacing w:val="0"/>
      <w:sz w:val="32"/>
    </w:rPr>
  </w:style>
  <w:style w:type="paragraph" w:styleId="Heading3">
    <w:name w:val="heading 3"/>
    <w:basedOn w:val="Heading2"/>
    <w:next w:val="Normal"/>
    <w:link w:val="Heading3Char"/>
    <w:uiPriority w:val="4"/>
    <w:qFormat/>
    <w:rsid w:val="000E490D"/>
    <w:pPr>
      <w:pageBreakBefore w:val="0"/>
      <w:outlineLvl w:val="2"/>
    </w:pPr>
    <w:rPr>
      <w:sz w:val="28"/>
    </w:rPr>
  </w:style>
  <w:style w:type="paragraph" w:styleId="Heading4">
    <w:name w:val="heading 4"/>
    <w:basedOn w:val="Heading3"/>
    <w:next w:val="Normal"/>
    <w:link w:val="Heading4Char"/>
    <w:uiPriority w:val="9"/>
    <w:qFormat/>
    <w:rsid w:val="009B713D"/>
    <w:pPr>
      <w:outlineLvl w:val="3"/>
    </w:pPr>
    <w:rPr>
      <w:b/>
    </w:rPr>
  </w:style>
  <w:style w:type="paragraph" w:styleId="Heading5">
    <w:name w:val="heading 5"/>
    <w:aliases w:val="Heading 4a"/>
    <w:basedOn w:val="Heading4"/>
    <w:next w:val="Normal"/>
    <w:link w:val="Heading5Char"/>
    <w:uiPriority w:val="9"/>
    <w:semiHidden/>
    <w:qFormat/>
    <w:rsid w:val="00853EFB"/>
    <w:pPr>
      <w:outlineLvl w:val="4"/>
    </w:pPr>
    <w:rPr>
      <w:b w:val="0"/>
      <w:color w:val="595959" w:themeColor="text1" w:themeTint="A6"/>
      <w:sz w:val="22"/>
    </w:rPr>
  </w:style>
  <w:style w:type="paragraph" w:styleId="Heading6">
    <w:name w:val="heading 6"/>
    <w:basedOn w:val="Heading5"/>
    <w:next w:val="Normal"/>
    <w:link w:val="Heading6Char"/>
    <w:uiPriority w:val="9"/>
    <w:semiHidden/>
    <w:rsid w:val="009B713D"/>
    <w:pPr>
      <w:keepNext/>
      <w:keepLines/>
      <w:spacing w:before="40" w:after="0"/>
      <w:outlineLvl w:val="5"/>
    </w:pPr>
  </w:style>
  <w:style w:type="paragraph" w:styleId="Heading7">
    <w:name w:val="heading 7"/>
    <w:basedOn w:val="Normal"/>
    <w:next w:val="Normal"/>
    <w:link w:val="Heading7Char"/>
    <w:uiPriority w:val="9"/>
    <w:semiHidden/>
    <w:qFormat/>
    <w:rsid w:val="007A408D"/>
    <w:pPr>
      <w:keepNext/>
      <w:keepLines/>
      <w:numPr>
        <w:ilvl w:val="6"/>
        <w:numId w:val="41"/>
      </w:numPr>
      <w:spacing w:before="40" w:after="0"/>
      <w:outlineLvl w:val="6"/>
    </w:pPr>
    <w:rPr>
      <w:rFonts w:asciiTheme="majorHAnsi" w:eastAsiaTheme="majorEastAsia" w:hAnsiTheme="majorHAnsi" w:cstheme="majorBidi"/>
      <w:i/>
      <w:iCs/>
      <w:color w:val="7F7800" w:themeColor="accent1" w:themeShade="7F"/>
    </w:rPr>
  </w:style>
  <w:style w:type="paragraph" w:styleId="Heading8">
    <w:name w:val="heading 8"/>
    <w:basedOn w:val="Normal"/>
    <w:next w:val="Normal"/>
    <w:link w:val="Heading8Char"/>
    <w:uiPriority w:val="9"/>
    <w:semiHidden/>
    <w:qFormat/>
    <w:rsid w:val="007A408D"/>
    <w:pPr>
      <w:keepNext/>
      <w:keepLines/>
      <w:numPr>
        <w:ilvl w:val="7"/>
        <w:numId w:val="4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7A408D"/>
    <w:pPr>
      <w:keepNext/>
      <w:keepLines/>
      <w:numPr>
        <w:ilvl w:val="8"/>
        <w:numId w:val="4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F97C6A"/>
    <w:pPr>
      <w:spacing w:after="0" w:line="240" w:lineRule="auto"/>
    </w:pPr>
    <w:rPr>
      <w:rFonts w:ascii="Arial" w:hAnsi="Arial"/>
      <w:sz w:val="20"/>
    </w:rPr>
  </w:style>
  <w:style w:type="paragraph" w:styleId="ListBullet">
    <w:name w:val="List Bullet"/>
    <w:basedOn w:val="Normal"/>
    <w:uiPriority w:val="99"/>
    <w:unhideWhenUsed/>
    <w:qFormat/>
    <w:rsid w:val="00492B8F"/>
    <w:pPr>
      <w:numPr>
        <w:numId w:val="4"/>
      </w:numPr>
      <w:ind w:left="568"/>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A71669"/>
    <w:pPr>
      <w:numPr>
        <w:numId w:val="9"/>
      </w:numPr>
      <w:tabs>
        <w:tab w:val="clear" w:pos="284"/>
      </w:tabs>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5822F6"/>
    <w:rPr>
      <w:rFonts w:asciiTheme="majorHAnsi" w:eastAsiaTheme="majorEastAsia" w:hAnsiTheme="majorHAnsi" w:cstheme="majorBidi"/>
      <w:b/>
      <w:caps/>
      <w:color w:val="000000" w:themeColor="text1"/>
      <w:spacing w:val="-2"/>
      <w:sz w:val="52"/>
      <w:szCs w:val="28"/>
      <w:shd w:val="clear" w:color="auto" w:fill="FFFFFF" w:themeFill="background1"/>
    </w:rPr>
  </w:style>
  <w:style w:type="character" w:customStyle="1" w:styleId="Heading2Char">
    <w:name w:val="Heading 2 Char"/>
    <w:basedOn w:val="DefaultParagraphFont"/>
    <w:link w:val="Heading2"/>
    <w:uiPriority w:val="4"/>
    <w:rsid w:val="004E1635"/>
    <w:rPr>
      <w:rFonts w:ascii="Arial" w:eastAsiaTheme="majorEastAsia" w:hAnsi="Arial" w:cstheme="majorBidi"/>
      <w:color w:val="000000" w:themeColor="text1"/>
      <w:sz w:val="32"/>
      <w:szCs w:val="28"/>
      <w:shd w:val="clear" w:color="auto" w:fill="FFFFFF" w:themeFill="background1"/>
    </w:rPr>
  </w:style>
  <w:style w:type="paragraph" w:styleId="ListParagraph">
    <w:name w:val="List Paragraph"/>
    <w:basedOn w:val="Normal"/>
    <w:uiPriority w:val="99"/>
    <w:qFormat/>
    <w:rsid w:val="00594496"/>
    <w:pPr>
      <w:ind w:left="284"/>
      <w:contextualSpacing/>
    </w:pPr>
  </w:style>
  <w:style w:type="paragraph" w:styleId="Header">
    <w:name w:val="header"/>
    <w:basedOn w:val="DividerPageTitle"/>
    <w:link w:val="HeaderChar"/>
    <w:uiPriority w:val="99"/>
    <w:unhideWhenUsed/>
    <w:rsid w:val="00853EFB"/>
    <w:pPr>
      <w:tabs>
        <w:tab w:val="clear" w:pos="7711"/>
      </w:tabs>
      <w:ind w:left="714" w:hanging="357"/>
    </w:pPr>
    <w:rPr>
      <w:rFonts w:ascii="Arial" w:hAnsi="Arial"/>
      <w:sz w:val="52"/>
    </w:rPr>
  </w:style>
  <w:style w:type="character" w:customStyle="1" w:styleId="HeaderChar">
    <w:name w:val="Header Char"/>
    <w:basedOn w:val="DefaultParagraphFont"/>
    <w:link w:val="Header"/>
    <w:uiPriority w:val="99"/>
    <w:rsid w:val="00853EFB"/>
    <w:rPr>
      <w:rFonts w:ascii="Arial" w:eastAsiaTheme="majorEastAsia" w:hAnsi="Arial" w:cs="Times New Roman"/>
      <w:b/>
      <w:color w:val="787878" w:themeColor="text2"/>
      <w:spacing w:val="-2"/>
      <w:sz w:val="52"/>
      <w:szCs w:val="20"/>
      <w:u w:val="single"/>
      <w:shd w:val="clear" w:color="auto" w:fill="FFFFFF" w:themeFill="background1"/>
    </w:rPr>
  </w:style>
  <w:style w:type="paragraph" w:styleId="Footer">
    <w:name w:val="footer"/>
    <w:basedOn w:val="Normal"/>
    <w:link w:val="FooterChar"/>
    <w:uiPriority w:val="99"/>
    <w:rsid w:val="008D1623"/>
    <w:pPr>
      <w:tabs>
        <w:tab w:val="center" w:pos="4513"/>
        <w:tab w:val="right" w:pos="9026"/>
      </w:tabs>
      <w:spacing w:after="40"/>
    </w:pPr>
    <w:rPr>
      <w:sz w:val="18"/>
    </w:rPr>
  </w:style>
  <w:style w:type="character" w:customStyle="1" w:styleId="FooterChar">
    <w:name w:val="Footer Char"/>
    <w:basedOn w:val="DefaultParagraphFont"/>
    <w:link w:val="Footer"/>
    <w:uiPriority w:val="99"/>
    <w:rsid w:val="008D1623"/>
    <w:rPr>
      <w:spacing w:val="-2"/>
      <w:sz w:val="18"/>
    </w:rPr>
  </w:style>
  <w:style w:type="numbering" w:customStyle="1" w:styleId="Numbering">
    <w:name w:val="Numbering"/>
    <w:uiPriority w:val="99"/>
    <w:rsid w:val="00A71669"/>
    <w:pPr>
      <w:numPr>
        <w:numId w:val="2"/>
      </w:numPr>
    </w:pPr>
  </w:style>
  <w:style w:type="character" w:customStyle="1" w:styleId="Heading3Char">
    <w:name w:val="Heading 3 Char"/>
    <w:basedOn w:val="DefaultParagraphFont"/>
    <w:link w:val="Heading3"/>
    <w:uiPriority w:val="4"/>
    <w:rsid w:val="000E490D"/>
    <w:rPr>
      <w:rFonts w:ascii="Arial" w:eastAsiaTheme="majorEastAsia" w:hAnsi="Arial" w:cstheme="majorBidi"/>
      <w:color w:val="000000" w:themeColor="text1"/>
      <w:sz w:val="28"/>
      <w:szCs w:val="28"/>
      <w:shd w:val="clear" w:color="auto" w:fill="FFFFFF" w:themeFill="background1"/>
    </w:rPr>
  </w:style>
  <w:style w:type="character" w:customStyle="1" w:styleId="Heading4Char">
    <w:name w:val="Heading 4 Char"/>
    <w:basedOn w:val="DefaultParagraphFont"/>
    <w:link w:val="Heading4"/>
    <w:uiPriority w:val="9"/>
    <w:rsid w:val="009B713D"/>
    <w:rPr>
      <w:rFonts w:ascii="Arial" w:eastAsiaTheme="majorEastAsia" w:hAnsi="Arial" w:cstheme="majorBidi"/>
      <w:b/>
      <w:color w:val="000000" w:themeColor="text1"/>
      <w:sz w:val="28"/>
      <w:szCs w:val="28"/>
      <w:shd w:val="clear" w:color="auto" w:fill="FFFFFF" w:themeFill="background1"/>
    </w:rPr>
  </w:style>
  <w:style w:type="character" w:customStyle="1" w:styleId="Heading5Char">
    <w:name w:val="Heading 5 Char"/>
    <w:aliases w:val="Heading 4a Char"/>
    <w:basedOn w:val="DefaultParagraphFont"/>
    <w:link w:val="Heading5"/>
    <w:uiPriority w:val="9"/>
    <w:semiHidden/>
    <w:rsid w:val="00853EFB"/>
    <w:rPr>
      <w:rFonts w:ascii="Arial" w:eastAsiaTheme="majorEastAsia" w:hAnsi="Arial" w:cstheme="majorBidi"/>
      <w:color w:val="595959" w:themeColor="text1" w:themeTint="A6"/>
      <w:szCs w:val="28"/>
      <w:shd w:val="clear" w:color="auto" w:fill="FFFFFF" w:themeFill="background1"/>
    </w:rPr>
  </w:style>
  <w:style w:type="numbering" w:customStyle="1" w:styleId="ListHeadings">
    <w:name w:val="List Headings"/>
    <w:uiPriority w:val="99"/>
    <w:rsid w:val="000C59BF"/>
    <w:pPr>
      <w:numPr>
        <w:numId w:val="3"/>
      </w:numPr>
    </w:pPr>
  </w:style>
  <w:style w:type="paragraph" w:styleId="Title">
    <w:name w:val="Title"/>
    <w:basedOn w:val="DocumentTitle"/>
    <w:next w:val="Normal"/>
    <w:link w:val="TitleChar"/>
    <w:uiPriority w:val="13"/>
    <w:rsid w:val="00150F81"/>
    <w:pPr>
      <w:spacing w:after="120"/>
    </w:pPr>
  </w:style>
  <w:style w:type="character" w:customStyle="1" w:styleId="TitleChar">
    <w:name w:val="Title Char"/>
    <w:basedOn w:val="DefaultParagraphFont"/>
    <w:link w:val="Title"/>
    <w:uiPriority w:val="13"/>
    <w:rsid w:val="00A65DD7"/>
    <w:rPr>
      <w:rFonts w:ascii="Franklin Gothic Demi" w:hAnsi="Franklin Gothic Demi" w:cs="Times New Roman"/>
      <w:color w:val="000000" w:themeColor="text1"/>
      <w:spacing w:val="-4"/>
      <w:sz w:val="36"/>
      <w:szCs w:val="20"/>
    </w:rPr>
  </w:style>
  <w:style w:type="table" w:styleId="TableGrid">
    <w:name w:val="Table Grid"/>
    <w:basedOn w:val="TableNormal"/>
    <w:uiPriority w:val="59"/>
    <w:rsid w:val="003B3C06"/>
    <w:pPr>
      <w:spacing w:after="0" w:line="240" w:lineRule="auto"/>
    </w:pPr>
    <w:rPr>
      <w:rFonts w:ascii="Arial" w:hAnsi="Arial" w:cs="Times New Roman"/>
      <w:sz w:val="20"/>
      <w:szCs w:val="20"/>
    </w:rPr>
    <w:tblPr>
      <w:tblCellMar>
        <w:left w:w="0" w:type="dxa"/>
        <w:right w:w="0" w:type="dxa"/>
      </w:tblCellMar>
    </w:tblPr>
  </w:style>
  <w:style w:type="paragraph" w:styleId="TOC1">
    <w:name w:val="toc 1"/>
    <w:uiPriority w:val="39"/>
    <w:rsid w:val="00F93488"/>
    <w:pPr>
      <w:spacing w:after="0" w:line="240" w:lineRule="auto"/>
      <w:ind w:left="397" w:right="1021"/>
      <w:contextualSpacing/>
    </w:pPr>
    <w:rPr>
      <w:rFonts w:ascii="Arial" w:hAnsi="Arial" w:cs="Times New Roman"/>
      <w:color w:val="000000" w:themeColor="text1"/>
      <w:spacing w:val="-2"/>
      <w:szCs w:val="20"/>
    </w:rPr>
  </w:style>
  <w:style w:type="paragraph" w:styleId="TOC2">
    <w:name w:val="toc 2"/>
    <w:uiPriority w:val="39"/>
    <w:rsid w:val="00F93488"/>
    <w:pPr>
      <w:spacing w:before="60" w:after="60" w:line="240" w:lineRule="auto"/>
      <w:ind w:left="397" w:right="1021" w:hanging="397"/>
    </w:pPr>
    <w:rPr>
      <w:rFonts w:ascii="Arial" w:hAnsi="Arial" w:cs="Times New Roman"/>
      <w:b/>
      <w:color w:val="000000" w:themeColor="text1"/>
      <w:spacing w:val="-2"/>
      <w:sz w:val="20"/>
      <w:szCs w:val="20"/>
    </w:rPr>
  </w:style>
  <w:style w:type="paragraph" w:styleId="TOC3">
    <w:name w:val="toc 3"/>
    <w:basedOn w:val="TOC2"/>
    <w:uiPriority w:val="39"/>
    <w:rsid w:val="00F93488"/>
    <w:pPr>
      <w:spacing w:before="80" w:after="0" w:line="280" w:lineRule="atLeast"/>
      <w:ind w:left="1361" w:hanging="964"/>
      <w:contextualSpacing/>
    </w:pPr>
    <w:rPr>
      <w:b w:val="0"/>
    </w:rPr>
  </w:style>
  <w:style w:type="paragraph" w:customStyle="1" w:styleId="DocumentInfo">
    <w:name w:val="Document Info"/>
    <w:link w:val="DocumentInfoChar"/>
    <w:uiPriority w:val="34"/>
    <w:rsid w:val="006756D6"/>
    <w:pPr>
      <w:spacing w:after="0" w:line="288" w:lineRule="exact"/>
      <w:jc w:val="right"/>
    </w:pPr>
    <w:rPr>
      <w:rFonts w:asciiTheme="majorHAnsi" w:hAnsiTheme="majorHAnsi" w:cs="Times New Roman"/>
      <w:caps/>
      <w:color w:val="000000" w:themeColor="text1"/>
      <w:spacing w:val="-2"/>
      <w:sz w:val="24"/>
      <w:szCs w:val="20"/>
    </w:rPr>
  </w:style>
  <w:style w:type="character" w:customStyle="1" w:styleId="DocumentInfoChar">
    <w:name w:val="Document Info Char"/>
    <w:basedOn w:val="DefaultParagraphFont"/>
    <w:link w:val="DocumentInfo"/>
    <w:uiPriority w:val="34"/>
    <w:rsid w:val="006756D6"/>
    <w:rPr>
      <w:rFonts w:asciiTheme="majorHAnsi" w:hAnsiTheme="majorHAnsi" w:cs="Times New Roman"/>
      <w:caps/>
      <w:color w:val="000000" w:themeColor="text1"/>
      <w:spacing w:val="-2"/>
      <w:sz w:val="24"/>
      <w:szCs w:val="20"/>
    </w:rPr>
  </w:style>
  <w:style w:type="paragraph" w:customStyle="1" w:styleId="DocumentTitle">
    <w:name w:val="Document Title"/>
    <w:link w:val="DocumentTitleChar"/>
    <w:uiPriority w:val="34"/>
    <w:rsid w:val="00BF4F5A"/>
    <w:pPr>
      <w:spacing w:before="120" w:after="240" w:line="240" w:lineRule="auto"/>
    </w:pPr>
    <w:rPr>
      <w:rFonts w:ascii="Franklin Gothic Demi" w:hAnsi="Franklin Gothic Demi" w:cs="Times New Roman"/>
      <w:color w:val="000000" w:themeColor="text1"/>
      <w:spacing w:val="-4"/>
      <w:sz w:val="36"/>
      <w:szCs w:val="20"/>
    </w:rPr>
  </w:style>
  <w:style w:type="character" w:customStyle="1" w:styleId="DocumentTitleChar">
    <w:name w:val="Document Title Char"/>
    <w:basedOn w:val="DefaultParagraphFont"/>
    <w:link w:val="DocumentTitle"/>
    <w:uiPriority w:val="34"/>
    <w:rsid w:val="00BF4F5A"/>
    <w:rPr>
      <w:rFonts w:ascii="Franklin Gothic Demi" w:hAnsi="Franklin Gothic Demi" w:cs="Times New Roman"/>
      <w:color w:val="000000" w:themeColor="text1"/>
      <w:spacing w:val="-4"/>
      <w:sz w:val="36"/>
      <w:szCs w:val="20"/>
    </w:rPr>
  </w:style>
  <w:style w:type="paragraph" w:customStyle="1" w:styleId="DocumentPublishDate">
    <w:name w:val="Document Publish Date"/>
    <w:next w:val="Normal"/>
    <w:link w:val="DocumentPublishDateChar"/>
    <w:uiPriority w:val="35"/>
    <w:rsid w:val="009D0954"/>
    <w:pPr>
      <w:spacing w:after="0" w:line="264" w:lineRule="exact"/>
    </w:pPr>
    <w:rPr>
      <w:rFonts w:ascii="Arial" w:hAnsi="Arial" w:cs="Times New Roman"/>
      <w:caps/>
      <w:color w:val="000000" w:themeColor="text1"/>
      <w:spacing w:val="-2"/>
      <w:szCs w:val="20"/>
    </w:rPr>
  </w:style>
  <w:style w:type="character" w:customStyle="1" w:styleId="DocumentPublishDateChar">
    <w:name w:val="Document Publish Date Char"/>
    <w:basedOn w:val="DefaultParagraphFont"/>
    <w:link w:val="DocumentPublishDate"/>
    <w:uiPriority w:val="35"/>
    <w:rsid w:val="009D0954"/>
    <w:rPr>
      <w:rFonts w:ascii="Arial" w:hAnsi="Arial" w:cs="Times New Roman"/>
      <w:caps/>
      <w:color w:val="000000" w:themeColor="text1"/>
      <w:spacing w:val="-2"/>
      <w:szCs w:val="20"/>
    </w:rPr>
  </w:style>
  <w:style w:type="paragraph" w:customStyle="1" w:styleId="HeaderText">
    <w:name w:val="Header Text"/>
    <w:next w:val="Normal"/>
    <w:link w:val="HeaderTextChar"/>
    <w:uiPriority w:val="34"/>
    <w:semiHidden/>
    <w:qFormat/>
    <w:rsid w:val="003B3C06"/>
    <w:pPr>
      <w:spacing w:after="0" w:line="144" w:lineRule="exact"/>
    </w:pPr>
    <w:rPr>
      <w:rFonts w:ascii="Franklin Gothic Demi" w:hAnsi="Franklin Gothic Demi" w:cs="Times New Roman"/>
      <w:caps/>
      <w:color w:val="000000" w:themeColor="text1"/>
      <w:spacing w:val="-2"/>
      <w:sz w:val="12"/>
      <w:szCs w:val="20"/>
    </w:rPr>
  </w:style>
  <w:style w:type="character" w:customStyle="1" w:styleId="HeaderTextChar">
    <w:name w:val="Header Text Char"/>
    <w:basedOn w:val="DefaultParagraphFont"/>
    <w:link w:val="HeaderText"/>
    <w:uiPriority w:val="34"/>
    <w:semiHidden/>
    <w:rsid w:val="003B3C06"/>
    <w:rPr>
      <w:rFonts w:ascii="Franklin Gothic Demi" w:hAnsi="Franklin Gothic Demi" w:cs="Times New Roman"/>
      <w:caps/>
      <w:color w:val="000000" w:themeColor="text1"/>
      <w:spacing w:val="-2"/>
      <w:sz w:val="12"/>
      <w:szCs w:val="20"/>
    </w:rPr>
  </w:style>
  <w:style w:type="paragraph" w:customStyle="1" w:styleId="HeaderSecondaryText">
    <w:name w:val="Header Secondary Text"/>
    <w:link w:val="HeaderSecondaryTextChar"/>
    <w:uiPriority w:val="34"/>
    <w:semiHidden/>
    <w:qFormat/>
    <w:rsid w:val="003B3C06"/>
    <w:pPr>
      <w:spacing w:after="0" w:line="144" w:lineRule="exact"/>
    </w:pPr>
    <w:rPr>
      <w:rFonts w:asciiTheme="majorHAnsi" w:eastAsiaTheme="majorEastAsia" w:hAnsiTheme="majorHAnsi" w:cstheme="majorBidi"/>
      <w:bCs/>
      <w:iCs/>
      <w:color w:val="787878" w:themeColor="text2"/>
      <w:spacing w:val="-3"/>
      <w:sz w:val="12"/>
      <w:szCs w:val="20"/>
    </w:rPr>
  </w:style>
  <w:style w:type="character" w:customStyle="1" w:styleId="HeaderSecondaryTextChar">
    <w:name w:val="Header Secondary Text Char"/>
    <w:basedOn w:val="DefaultParagraphFont"/>
    <w:link w:val="HeaderSecondaryText"/>
    <w:uiPriority w:val="34"/>
    <w:semiHidden/>
    <w:rsid w:val="003B3C06"/>
    <w:rPr>
      <w:rFonts w:asciiTheme="majorHAnsi" w:eastAsiaTheme="majorEastAsia" w:hAnsiTheme="majorHAnsi" w:cstheme="majorBidi"/>
      <w:bCs/>
      <w:iCs/>
      <w:color w:val="787878" w:themeColor="text2"/>
      <w:spacing w:val="-3"/>
      <w:sz w:val="12"/>
      <w:szCs w:val="20"/>
    </w:rPr>
  </w:style>
  <w:style w:type="table" w:customStyle="1" w:styleId="HMATable-Abbreviations">
    <w:name w:val="HMA Table - Abbreviations"/>
    <w:basedOn w:val="HMATableB"/>
    <w:uiPriority w:val="99"/>
    <w:rsid w:val="009A26B3"/>
    <w:rPr>
      <w:szCs w:val="20"/>
      <w:lang w:val="en-US" w:eastAsia="zh-CN"/>
    </w:rPr>
    <w:tblPr>
      <w:tblStyleColBandSize w:val="1"/>
    </w:tblPr>
    <w:tcPr>
      <w:shd w:val="clear" w:color="auto" w:fill="FFFFFF" w:themeFill="background1"/>
      <w:vAlign w:val="center"/>
    </w:tcPr>
    <w:tblStylePr w:type="firstRow">
      <w:pPr>
        <w:wordWrap/>
        <w:spacing w:beforeLines="0" w:before="0" w:beforeAutospacing="0" w:afterLines="0" w:after="0" w:afterAutospacing="0"/>
      </w:pPr>
      <w:rPr>
        <w:rFonts w:asciiTheme="majorHAnsi" w:hAnsiTheme="majorHAnsi"/>
        <w:b/>
        <w:caps/>
        <w:smallCaps w:val="0"/>
        <w:sz w:val="20"/>
      </w:rPr>
      <w:tblPr/>
      <w:tcPr>
        <w:shd w:val="clear" w:color="auto" w:fill="FFFFFF" w:themeFill="background1"/>
      </w:tcPr>
    </w:tblStylePr>
    <w:tblStylePr w:type="firstCol">
      <w:rPr>
        <w:rFonts w:asciiTheme="majorHAnsi" w:hAnsiTheme="majorHAnsi"/>
        <w:sz w:val="20"/>
      </w:rPr>
      <w:tblPr/>
      <w:tcPr>
        <w:tcBorders>
          <w:right w:val="single" w:sz="48" w:space="0" w:color="FFFFFF" w:themeColor="background1"/>
        </w:tcBorders>
        <w:shd w:val="clear" w:color="auto" w:fill="FFFFFF" w:themeFill="background1"/>
      </w:tcPr>
    </w:tblStylePr>
    <w:tblStylePr w:type="lastCol">
      <w:tblPr/>
      <w:tcPr>
        <w:tcBorders>
          <w:insideH w:val="single" w:sz="4" w:space="0" w:color="auto"/>
        </w:tcBorders>
      </w:tcPr>
    </w:tblStylePr>
    <w:tblStylePr w:type="band2Vert">
      <w:tblPr/>
      <w:tcPr>
        <w:tcBorders>
          <w:insideH w:val="single" w:sz="4" w:space="0" w:color="auto"/>
        </w:tcBorders>
      </w:tcPr>
    </w:tblStylePr>
  </w:style>
  <w:style w:type="paragraph" w:customStyle="1" w:styleId="Tabletext">
    <w:name w:val="Table text"/>
    <w:basedOn w:val="Normal"/>
    <w:semiHidden/>
    <w:rsid w:val="00C2458A"/>
    <w:pPr>
      <w:spacing w:before="40" w:after="40"/>
    </w:pPr>
    <w:rPr>
      <w:sz w:val="18"/>
    </w:rPr>
  </w:style>
  <w:style w:type="paragraph" w:styleId="TableofFigures">
    <w:name w:val="table of figures"/>
    <w:basedOn w:val="Normal"/>
    <w:next w:val="Normal"/>
    <w:uiPriority w:val="99"/>
    <w:unhideWhenUsed/>
    <w:rsid w:val="00B45604"/>
    <w:pPr>
      <w:spacing w:after="0"/>
    </w:pPr>
  </w:style>
  <w:style w:type="paragraph" w:styleId="TOC4">
    <w:name w:val="toc 4"/>
    <w:next w:val="Normal"/>
    <w:uiPriority w:val="39"/>
    <w:rsid w:val="003B3C06"/>
    <w:pPr>
      <w:tabs>
        <w:tab w:val="left" w:pos="1644"/>
        <w:tab w:val="center" w:pos="6804"/>
      </w:tabs>
      <w:spacing w:after="0" w:line="280" w:lineRule="atLeast"/>
      <w:ind w:left="1644" w:right="1021" w:hanging="680"/>
    </w:pPr>
    <w:rPr>
      <w:rFonts w:asciiTheme="majorHAnsi" w:hAnsiTheme="majorHAnsi" w:cs="Times New Roman"/>
      <w:noProof/>
      <w:color w:val="000000" w:themeColor="text1"/>
      <w:spacing w:val="-2"/>
      <w:sz w:val="20"/>
      <w:szCs w:val="20"/>
    </w:rPr>
  </w:style>
  <w:style w:type="paragraph" w:customStyle="1" w:styleId="FooterDocumentTitle">
    <w:name w:val="Footer Document Title"/>
    <w:link w:val="FooterDocumentTitleChar"/>
    <w:uiPriority w:val="34"/>
    <w:semiHidden/>
    <w:qFormat/>
    <w:rsid w:val="003B3C06"/>
    <w:pPr>
      <w:spacing w:after="0" w:line="168" w:lineRule="exact"/>
      <w:jc w:val="right"/>
    </w:pPr>
    <w:rPr>
      <w:rFonts w:asciiTheme="majorHAnsi" w:hAnsiTheme="majorHAnsi" w:cs="Times New Roman"/>
      <w:color w:val="000000" w:themeColor="text1"/>
      <w:spacing w:val="-2"/>
      <w:sz w:val="14"/>
      <w:szCs w:val="20"/>
    </w:rPr>
  </w:style>
  <w:style w:type="character" w:customStyle="1" w:styleId="FooterDocumentTitleChar">
    <w:name w:val="Footer Document Title Char"/>
    <w:basedOn w:val="DefaultParagraphFont"/>
    <w:link w:val="FooterDocumentTitle"/>
    <w:uiPriority w:val="34"/>
    <w:semiHidden/>
    <w:rsid w:val="00313E99"/>
    <w:rPr>
      <w:rFonts w:asciiTheme="majorHAnsi" w:hAnsiTheme="majorHAnsi" w:cs="Times New Roman"/>
      <w:color w:val="000000" w:themeColor="text1"/>
      <w:spacing w:val="-2"/>
      <w:sz w:val="14"/>
      <w:szCs w:val="20"/>
    </w:rPr>
  </w:style>
  <w:style w:type="paragraph" w:customStyle="1" w:styleId="FooterProjectTitle">
    <w:name w:val="Footer Project Title"/>
    <w:link w:val="FooterProjectTitleChar"/>
    <w:uiPriority w:val="34"/>
    <w:semiHidden/>
    <w:qFormat/>
    <w:rsid w:val="00C24AEB"/>
    <w:pPr>
      <w:spacing w:before="360" w:after="0" w:line="168" w:lineRule="exact"/>
    </w:pPr>
    <w:rPr>
      <w:rFonts w:ascii="Franklin Gothic Demi" w:hAnsi="Franklin Gothic Demi" w:cs="Times New Roman"/>
      <w:color w:val="000000" w:themeColor="text1"/>
      <w:spacing w:val="-2"/>
      <w:sz w:val="14"/>
      <w:szCs w:val="20"/>
    </w:rPr>
  </w:style>
  <w:style w:type="character" w:customStyle="1" w:styleId="FooterProjectTitleChar">
    <w:name w:val="Footer Project Title Char"/>
    <w:basedOn w:val="DefaultParagraphFont"/>
    <w:link w:val="FooterProjectTitle"/>
    <w:uiPriority w:val="34"/>
    <w:semiHidden/>
    <w:rsid w:val="00C24AEB"/>
    <w:rPr>
      <w:rFonts w:ascii="Franklin Gothic Demi" w:hAnsi="Franklin Gothic Demi" w:cs="Times New Roman"/>
      <w:color w:val="000000" w:themeColor="text1"/>
      <w:spacing w:val="-2"/>
      <w:sz w:val="14"/>
      <w:szCs w:val="20"/>
    </w:rPr>
  </w:style>
  <w:style w:type="paragraph" w:customStyle="1" w:styleId="TOCTitle">
    <w:name w:val="TOC Title"/>
    <w:next w:val="Normal"/>
    <w:link w:val="TOCTitleChar"/>
    <w:uiPriority w:val="39"/>
    <w:rsid w:val="00925E63"/>
    <w:pPr>
      <w:framePr w:w="14799" w:h="1588" w:hRule="exact" w:vSpace="1134" w:wrap="around" w:vAnchor="page" w:hAnchor="text" w:y="982" w:anchorLock="1"/>
      <w:pBdr>
        <w:bottom w:val="single" w:sz="8" w:space="0" w:color="FFF200" w:themeColor="background2"/>
      </w:pBdr>
      <w:spacing w:before="960" w:after="0" w:line="240" w:lineRule="auto"/>
    </w:pPr>
    <w:rPr>
      <w:rFonts w:asciiTheme="majorHAnsi" w:eastAsiaTheme="majorEastAsia" w:hAnsiTheme="majorHAnsi" w:cstheme="majorBidi"/>
      <w:b/>
      <w:bCs/>
      <w:caps/>
      <w:color w:val="000000" w:themeColor="text1"/>
      <w:sz w:val="52"/>
      <w:szCs w:val="28"/>
    </w:rPr>
  </w:style>
  <w:style w:type="character" w:customStyle="1" w:styleId="TOCTitleChar">
    <w:name w:val="TOC Title Char"/>
    <w:basedOn w:val="DefaultParagraphFont"/>
    <w:link w:val="TOCTitle"/>
    <w:uiPriority w:val="39"/>
    <w:rsid w:val="00925E63"/>
    <w:rPr>
      <w:rFonts w:asciiTheme="majorHAnsi" w:eastAsiaTheme="majorEastAsia" w:hAnsiTheme="majorHAnsi" w:cstheme="majorBidi"/>
      <w:b/>
      <w:bCs/>
      <w:caps/>
      <w:color w:val="000000" w:themeColor="text1"/>
      <w:sz w:val="52"/>
      <w:szCs w:val="28"/>
    </w:rPr>
  </w:style>
  <w:style w:type="character" w:styleId="Hyperlink">
    <w:name w:val="Hyperlink"/>
    <w:basedOn w:val="DefaultParagraphFont"/>
    <w:hidden/>
    <w:uiPriority w:val="99"/>
    <w:rsid w:val="003B3C06"/>
    <w:rPr>
      <w:color w:val="787878" w:themeColor="hyperlink"/>
      <w:u w:val="single"/>
    </w:rPr>
  </w:style>
  <w:style w:type="numbering" w:customStyle="1" w:styleId="HeaderTitleList">
    <w:name w:val="Header Title List"/>
    <w:uiPriority w:val="99"/>
    <w:rsid w:val="00337913"/>
    <w:pPr>
      <w:numPr>
        <w:numId w:val="6"/>
      </w:numPr>
    </w:pPr>
  </w:style>
  <w:style w:type="paragraph" w:customStyle="1" w:styleId="KeyFinding">
    <w:name w:val="Key Finding"/>
    <w:basedOn w:val="Normal"/>
    <w:next w:val="Normal"/>
    <w:uiPriority w:val="15"/>
    <w:qFormat/>
    <w:rsid w:val="008A25D7"/>
    <w:pPr>
      <w:numPr>
        <w:numId w:val="15"/>
      </w:numPr>
      <w:pBdr>
        <w:top w:val="single" w:sz="4" w:space="4" w:color="787878" w:themeColor="text2"/>
        <w:left w:val="single" w:sz="4" w:space="4" w:color="DCDCDC" w:themeColor="accent6"/>
        <w:bottom w:val="single" w:sz="4" w:space="4" w:color="787878" w:themeColor="text2"/>
        <w:right w:val="single" w:sz="4" w:space="4" w:color="DCDCDC" w:themeColor="accent6"/>
        <w:between w:val="single" w:sz="4" w:space="4" w:color="787878" w:themeColor="text2"/>
      </w:pBdr>
      <w:shd w:val="clear" w:color="auto" w:fill="DCDCDC" w:themeFill="accent6"/>
      <w:spacing w:before="40" w:after="40"/>
      <w:ind w:right="113"/>
    </w:pPr>
    <w:rPr>
      <w:rFonts w:cs="Times New Roman"/>
      <w:color w:val="000000" w:themeColor="text1"/>
      <w:szCs w:val="20"/>
    </w:rPr>
  </w:style>
  <w:style w:type="paragraph" w:styleId="BalloonText">
    <w:name w:val="Balloon Text"/>
    <w:basedOn w:val="Normal"/>
    <w:link w:val="BalloonTextChar"/>
    <w:uiPriority w:val="99"/>
    <w:semiHidden/>
    <w:unhideWhenUsed/>
    <w:rsid w:val="001017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720"/>
    <w:rPr>
      <w:rFonts w:ascii="Segoe UI" w:hAnsi="Segoe UI" w:cs="Segoe UI"/>
      <w:sz w:val="18"/>
      <w:szCs w:val="18"/>
    </w:rPr>
  </w:style>
  <w:style w:type="character" w:styleId="PageNumber">
    <w:name w:val="page number"/>
    <w:basedOn w:val="DefaultParagraphFont"/>
    <w:uiPriority w:val="99"/>
    <w:unhideWhenUsed/>
    <w:rsid w:val="002A1A69"/>
  </w:style>
  <w:style w:type="paragraph" w:styleId="Caption">
    <w:name w:val="caption"/>
    <w:basedOn w:val="Normal"/>
    <w:next w:val="Normal"/>
    <w:link w:val="CaptionChar"/>
    <w:uiPriority w:val="29"/>
    <w:unhideWhenUsed/>
    <w:qFormat/>
    <w:rsid w:val="00F97C6A"/>
    <w:pPr>
      <w:keepNext/>
      <w:spacing w:before="40" w:after="40"/>
    </w:pPr>
    <w:rPr>
      <w:iCs/>
      <w:sz w:val="16"/>
      <w:szCs w:val="18"/>
    </w:rPr>
  </w:style>
  <w:style w:type="table" w:customStyle="1" w:styleId="HMATableD-Recommendations">
    <w:name w:val="HMA Table D-Recommendations"/>
    <w:basedOn w:val="TableNormal"/>
    <w:uiPriority w:val="99"/>
    <w:rsid w:val="009A26B3"/>
    <w:pPr>
      <w:spacing w:after="0" w:line="240" w:lineRule="auto"/>
    </w:pPr>
    <w:rPr>
      <w:rFonts w:asciiTheme="majorHAnsi" w:hAnsiTheme="majorHAnsi"/>
      <w:sz w:val="20"/>
    </w:rPr>
    <w:tblPr>
      <w:tblStyleRowBandSize w:val="1"/>
      <w:tblBorders>
        <w:top w:val="single" w:sz="4" w:space="0" w:color="auto"/>
        <w:bottom w:val="single" w:sz="4" w:space="0" w:color="auto"/>
        <w:insideH w:val="single" w:sz="4" w:space="0" w:color="auto"/>
        <w:insideV w:val="single" w:sz="4" w:space="0" w:color="FFFFFF" w:themeColor="background1"/>
      </w:tblBorders>
      <w:tblCellMar>
        <w:top w:w="85" w:type="dxa"/>
        <w:left w:w="85" w:type="dxa"/>
      </w:tblCellMar>
    </w:tblPr>
    <w:tcPr>
      <w:shd w:val="clear" w:color="auto" w:fill="F2F2F2" w:themeFill="background1" w:themeFillShade="F2"/>
    </w:tcPr>
    <w:tblStylePr w:type="firstRow">
      <w:rPr>
        <w:rFonts w:asciiTheme="majorHAnsi" w:hAnsiTheme="majorHAnsi"/>
        <w:caps/>
        <w:smallCaps w:val="0"/>
      </w:rPr>
      <w:tblPr/>
      <w:tcPr>
        <w:shd w:val="clear" w:color="auto" w:fill="DCDCDC" w:themeFill="accent6"/>
      </w:tcPr>
    </w:tblStylePr>
    <w:tblStylePr w:type="firstCol">
      <w:tblPr/>
      <w:tcPr>
        <w:shd w:val="clear" w:color="auto" w:fill="DCDCDC" w:themeFill="accent6"/>
      </w:tcPr>
    </w:tblStylePr>
    <w:tblStylePr w:type="band2Horz">
      <w:tblPr/>
      <w:tcPr>
        <w:tcBorders>
          <w:top w:val="nil"/>
          <w:left w:val="nil"/>
          <w:bottom w:val="nil"/>
          <w:right w:val="nil"/>
          <w:insideH w:val="nil"/>
          <w:insideV w:val="nil"/>
          <w:tl2br w:val="nil"/>
          <w:tr2bl w:val="nil"/>
        </w:tcBorders>
        <w:shd w:val="clear" w:color="auto" w:fill="FFFCCC" w:themeFill="background2" w:themeFillTint="33"/>
      </w:tcPr>
    </w:tblStylePr>
  </w:style>
  <w:style w:type="table" w:customStyle="1" w:styleId="HMATableB">
    <w:name w:val="HMA Table B"/>
    <w:basedOn w:val="TableNormal"/>
    <w:uiPriority w:val="99"/>
    <w:rsid w:val="00643E7D"/>
    <w:pPr>
      <w:spacing w:after="0" w:line="240" w:lineRule="auto"/>
    </w:pPr>
    <w:rPr>
      <w:rFonts w:ascii="Arial" w:hAnsi="Arial"/>
      <w:sz w:val="20"/>
    </w:rPr>
    <w:tblPr>
      <w:tblBorders>
        <w:top w:val="single" w:sz="4" w:space="0" w:color="auto"/>
        <w:bottom w:val="single" w:sz="4" w:space="0" w:color="auto"/>
        <w:insideH w:val="single" w:sz="4" w:space="0" w:color="auto"/>
      </w:tblBorders>
      <w:tblCellMar>
        <w:top w:w="85" w:type="dxa"/>
        <w:left w:w="85" w:type="dxa"/>
      </w:tblCellMar>
    </w:tblPr>
    <w:tcPr>
      <w:shd w:val="clear" w:color="auto" w:fill="FFFFFF" w:themeFill="background1"/>
    </w:tcPr>
    <w:tblStylePr w:type="firstRow">
      <w:pPr>
        <w:wordWrap/>
        <w:spacing w:beforeLines="0" w:before="0" w:beforeAutospacing="0" w:afterLines="0" w:after="0" w:afterAutospacing="0"/>
      </w:pPr>
      <w:rPr>
        <w:rFonts w:ascii="Arial" w:hAnsi="Arial"/>
        <w:b/>
        <w:caps/>
        <w:smallCaps w:val="0"/>
        <w:sz w:val="20"/>
      </w:rPr>
      <w:tblPr/>
      <w:tcPr>
        <w:shd w:val="clear" w:color="auto" w:fill="DCDCDC" w:themeFill="accent6"/>
      </w:tcPr>
    </w:tblStylePr>
    <w:tblStylePr w:type="firstCol">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576128"/>
    <w:pPr>
      <w:spacing w:after="0"/>
    </w:pPr>
    <w:rPr>
      <w:szCs w:val="20"/>
    </w:rPr>
  </w:style>
  <w:style w:type="character" w:customStyle="1" w:styleId="FootnoteTextChar">
    <w:name w:val="Footnote Text Char"/>
    <w:basedOn w:val="DefaultParagraphFont"/>
    <w:link w:val="FootnoteText"/>
    <w:uiPriority w:val="99"/>
    <w:semiHidden/>
    <w:rsid w:val="00576128"/>
    <w:rPr>
      <w:sz w:val="20"/>
      <w:szCs w:val="20"/>
    </w:rPr>
  </w:style>
  <w:style w:type="character" w:styleId="FootnoteReference">
    <w:name w:val="footnote reference"/>
    <w:basedOn w:val="DefaultParagraphFont"/>
    <w:uiPriority w:val="99"/>
    <w:unhideWhenUsed/>
    <w:rsid w:val="00576128"/>
    <w:rPr>
      <w:vertAlign w:val="superscript"/>
    </w:rPr>
  </w:style>
  <w:style w:type="numbering" w:customStyle="1" w:styleId="Indent">
    <w:name w:val="Indent"/>
    <w:uiPriority w:val="99"/>
    <w:rsid w:val="00601955"/>
    <w:pPr>
      <w:numPr>
        <w:numId w:val="5"/>
      </w:numPr>
    </w:pPr>
  </w:style>
  <w:style w:type="paragraph" w:customStyle="1" w:styleId="DividerPageTitle">
    <w:name w:val="Divider Page Title"/>
    <w:basedOn w:val="Heading1"/>
    <w:next w:val="Normal"/>
    <w:link w:val="DividerPageTitleChar"/>
    <w:uiPriority w:val="24"/>
    <w:qFormat/>
    <w:rsid w:val="00F920EF"/>
    <w:pPr>
      <w:numPr>
        <w:numId w:val="30"/>
      </w:numPr>
      <w:pBdr>
        <w:top w:val="none" w:sz="0" w:space="0" w:color="auto"/>
        <w:bottom w:val="none" w:sz="0" w:space="0" w:color="auto"/>
      </w:pBdr>
      <w:tabs>
        <w:tab w:val="left" w:pos="7711"/>
      </w:tabs>
    </w:pPr>
    <w:rPr>
      <w:rFonts w:ascii="Franklin Gothic Book" w:hAnsi="Franklin Gothic Book" w:cs="Times New Roman"/>
      <w:caps w:val="0"/>
      <w:color w:val="787878" w:themeColor="text2"/>
      <w:sz w:val="66"/>
      <w:szCs w:val="20"/>
      <w:u w:val="single"/>
    </w:rPr>
  </w:style>
  <w:style w:type="character" w:customStyle="1" w:styleId="DividerPageTitleChar">
    <w:name w:val="Divider Page Title Char"/>
    <w:basedOn w:val="DefaultParagraphFont"/>
    <w:link w:val="DividerPageTitle"/>
    <w:uiPriority w:val="24"/>
    <w:rsid w:val="00F920EF"/>
    <w:rPr>
      <w:rFonts w:ascii="Franklin Gothic Book" w:eastAsiaTheme="majorEastAsia" w:hAnsi="Franklin Gothic Book" w:cs="Times New Roman"/>
      <w:b/>
      <w:color w:val="787878" w:themeColor="text2"/>
      <w:spacing w:val="-2"/>
      <w:sz w:val="66"/>
      <w:szCs w:val="20"/>
      <w:u w:val="single"/>
      <w:shd w:val="clear" w:color="auto" w:fill="FFFFFF" w:themeFill="background1"/>
    </w:rPr>
  </w:style>
  <w:style w:type="paragraph" w:styleId="BodyText">
    <w:name w:val="Body Text"/>
    <w:link w:val="BodyTextChar"/>
    <w:uiPriority w:val="99"/>
    <w:semiHidden/>
    <w:rsid w:val="00C2133E"/>
    <w:pPr>
      <w:spacing w:after="120" w:line="240" w:lineRule="auto"/>
    </w:pPr>
    <w:rPr>
      <w:rFonts w:cs="Times New Roman"/>
      <w:sz w:val="20"/>
      <w:szCs w:val="20"/>
    </w:rPr>
  </w:style>
  <w:style w:type="character" w:customStyle="1" w:styleId="BodyTextChar">
    <w:name w:val="Body Text Char"/>
    <w:basedOn w:val="DefaultParagraphFont"/>
    <w:link w:val="BodyText"/>
    <w:uiPriority w:val="99"/>
    <w:semiHidden/>
    <w:rsid w:val="00C2133E"/>
    <w:rPr>
      <w:rFonts w:cs="Times New Roman"/>
      <w:sz w:val="20"/>
      <w:szCs w:val="20"/>
    </w:rPr>
  </w:style>
  <w:style w:type="paragraph" w:customStyle="1" w:styleId="KeyFindingsTableHeading">
    <w:name w:val="Key Findings Table Heading"/>
    <w:basedOn w:val="Normal"/>
    <w:uiPriority w:val="21"/>
    <w:rsid w:val="00E06173"/>
    <w:pPr>
      <w:keepNext/>
      <w:spacing w:before="60" w:after="60" w:line="250" w:lineRule="atLeast"/>
      <w:ind w:left="142" w:right="142"/>
    </w:pPr>
    <w:rPr>
      <w:rFonts w:asciiTheme="majorHAnsi" w:hAnsiTheme="majorHAnsi" w:cs="Times New Roman"/>
      <w:caps/>
      <w:color w:val="000000" w:themeColor="text1"/>
      <w:sz w:val="18"/>
      <w:szCs w:val="20"/>
    </w:rPr>
  </w:style>
  <w:style w:type="paragraph" w:customStyle="1" w:styleId="KeyFindingsTableLeftColumn">
    <w:name w:val="Key Findings Table Left Column"/>
    <w:basedOn w:val="KeyFindingsTableHeading"/>
    <w:uiPriority w:val="21"/>
    <w:rsid w:val="00C2133E"/>
    <w:pPr>
      <w:keepNext w:val="0"/>
      <w:spacing w:line="264" w:lineRule="atLeast"/>
    </w:pPr>
    <w:rPr>
      <w:caps w:val="0"/>
      <w:sz w:val="20"/>
    </w:rPr>
  </w:style>
  <w:style w:type="paragraph" w:customStyle="1" w:styleId="KeyFindingsTableCopy">
    <w:name w:val="Key Findings Table Copy"/>
    <w:basedOn w:val="Normal"/>
    <w:uiPriority w:val="21"/>
    <w:rsid w:val="00C2133E"/>
    <w:pPr>
      <w:spacing w:before="60" w:after="60" w:line="264" w:lineRule="atLeast"/>
      <w:ind w:left="142" w:right="57"/>
    </w:pPr>
    <w:rPr>
      <w:rFonts w:ascii="Garamond" w:hAnsi="Garamond" w:cs="Times New Roman"/>
      <w:color w:val="000000" w:themeColor="text1"/>
      <w:szCs w:val="20"/>
    </w:rPr>
  </w:style>
  <w:style w:type="paragraph" w:customStyle="1" w:styleId="AppendixHeading">
    <w:name w:val="Appendix Heading"/>
    <w:basedOn w:val="Normal"/>
    <w:next w:val="Normal"/>
    <w:uiPriority w:val="11"/>
    <w:qFormat/>
    <w:rsid w:val="009A1E52"/>
    <w:pPr>
      <w:pageBreakBefore/>
      <w:shd w:val="clear" w:color="auto" w:fill="FFFFFF" w:themeFill="background1"/>
      <w:ind w:left="1985" w:hanging="1985"/>
      <w:outlineLvl w:val="1"/>
    </w:pPr>
    <w:rPr>
      <w:rFonts w:eastAsiaTheme="majorEastAsia" w:cstheme="majorBidi"/>
      <w:b/>
      <w:color w:val="000000" w:themeColor="text1"/>
      <w:spacing w:val="0"/>
      <w:sz w:val="32"/>
      <w:szCs w:val="28"/>
    </w:rPr>
  </w:style>
  <w:style w:type="table" w:customStyle="1" w:styleId="HMATableC-StrategicDirections">
    <w:name w:val="HMA Table C-Strategic Directions"/>
    <w:basedOn w:val="TableNormal"/>
    <w:uiPriority w:val="99"/>
    <w:rsid w:val="009A26B3"/>
    <w:pPr>
      <w:spacing w:after="0" w:line="240" w:lineRule="auto"/>
    </w:pPr>
    <w:rPr>
      <w:rFonts w:asciiTheme="majorHAnsi" w:hAnsiTheme="majorHAnsi"/>
      <w:sz w:val="20"/>
    </w:rPr>
    <w:tblPr>
      <w:tblBorders>
        <w:top w:val="single" w:sz="4" w:space="0" w:color="auto"/>
        <w:bottom w:val="single" w:sz="4" w:space="0" w:color="auto"/>
        <w:insideH w:val="single" w:sz="4" w:space="0" w:color="auto"/>
        <w:insideV w:val="single" w:sz="4" w:space="0" w:color="FFFFFF" w:themeColor="background1"/>
      </w:tblBorders>
      <w:tblCellMar>
        <w:top w:w="85" w:type="dxa"/>
        <w:left w:w="85" w:type="dxa"/>
      </w:tblCellMar>
    </w:tblPr>
    <w:tcPr>
      <w:shd w:val="clear" w:color="auto" w:fill="FFFFFF" w:themeFill="background1"/>
    </w:tcPr>
    <w:tblStylePr w:type="firstRow">
      <w:rPr>
        <w:rFonts w:asciiTheme="majorHAnsi" w:hAnsiTheme="majorHAnsi"/>
        <w:caps/>
        <w:smallCaps w:val="0"/>
      </w:rPr>
      <w:tblPr/>
      <w:tcPr>
        <w:shd w:val="clear" w:color="auto" w:fill="FFF200" w:themeFill="background2"/>
      </w:tcPr>
    </w:tblStylePr>
    <w:tblStylePr w:type="firstCol">
      <w:tblPr/>
      <w:tcPr>
        <w:shd w:val="clear" w:color="auto" w:fill="DCDCDC" w:themeFill="accent6"/>
      </w:tcPr>
    </w:tblStylePr>
  </w:style>
  <w:style w:type="paragraph" w:customStyle="1" w:styleId="HeaderSectionTitle">
    <w:name w:val="Header Section Title"/>
    <w:basedOn w:val="Normal"/>
    <w:link w:val="HeaderSectionTitleChar"/>
    <w:semiHidden/>
    <w:rsid w:val="007E64A5"/>
    <w:pPr>
      <w:numPr>
        <w:numId w:val="7"/>
      </w:numPr>
      <w:pBdr>
        <w:bottom w:val="single" w:sz="8" w:space="1" w:color="FFF200" w:themeColor="background2"/>
      </w:pBdr>
      <w:spacing w:before="360" w:after="360"/>
    </w:pPr>
    <w:rPr>
      <w:rFonts w:asciiTheme="majorHAnsi" w:eastAsia="Garamond" w:hAnsiTheme="majorHAnsi" w:cs="Times New Roman"/>
      <w:caps/>
      <w:color w:val="000000"/>
      <w:sz w:val="28"/>
      <w:szCs w:val="20"/>
    </w:rPr>
  </w:style>
  <w:style w:type="character" w:customStyle="1" w:styleId="HeaderSectionTitleChar">
    <w:name w:val="Header Section Title Char"/>
    <w:basedOn w:val="DefaultParagraphFont"/>
    <w:link w:val="HeaderSectionTitle"/>
    <w:semiHidden/>
    <w:rsid w:val="007E64A5"/>
    <w:rPr>
      <w:rFonts w:asciiTheme="majorHAnsi" w:eastAsia="Garamond" w:hAnsiTheme="majorHAnsi" w:cs="Times New Roman"/>
      <w:caps/>
      <w:color w:val="000000"/>
      <w:spacing w:val="-2"/>
      <w:sz w:val="28"/>
      <w:szCs w:val="20"/>
    </w:rPr>
  </w:style>
  <w:style w:type="paragraph" w:customStyle="1" w:styleId="HeaderSectionTitle-nonumber">
    <w:name w:val="Header Section Title-no number"/>
    <w:basedOn w:val="HeaderSectionTitle"/>
    <w:semiHidden/>
    <w:rsid w:val="00B91619"/>
    <w:pPr>
      <w:numPr>
        <w:numId w:val="0"/>
      </w:numPr>
    </w:pPr>
    <w:rPr>
      <w:noProof/>
    </w:rPr>
  </w:style>
  <w:style w:type="paragraph" w:styleId="List">
    <w:name w:val="List"/>
    <w:basedOn w:val="Normal"/>
    <w:uiPriority w:val="99"/>
    <w:unhideWhenUsed/>
    <w:rsid w:val="004E1635"/>
    <w:pPr>
      <w:numPr>
        <w:numId w:val="45"/>
      </w:numPr>
      <w:contextualSpacing/>
    </w:pPr>
  </w:style>
  <w:style w:type="paragraph" w:styleId="List2">
    <w:name w:val="List 2"/>
    <w:basedOn w:val="Normal"/>
    <w:uiPriority w:val="99"/>
    <w:unhideWhenUsed/>
    <w:rsid w:val="00A71669"/>
    <w:pPr>
      <w:numPr>
        <w:ilvl w:val="1"/>
        <w:numId w:val="10"/>
      </w:numPr>
      <w:contextualSpacing/>
    </w:pPr>
  </w:style>
  <w:style w:type="paragraph" w:styleId="List3">
    <w:name w:val="List 3"/>
    <w:basedOn w:val="Normal"/>
    <w:uiPriority w:val="99"/>
    <w:unhideWhenUsed/>
    <w:rsid w:val="009A26B3"/>
    <w:pPr>
      <w:numPr>
        <w:ilvl w:val="2"/>
        <w:numId w:val="10"/>
      </w:numPr>
      <w:ind w:left="1135" w:hanging="284"/>
      <w:contextualSpacing/>
    </w:pPr>
  </w:style>
  <w:style w:type="numbering" w:customStyle="1" w:styleId="LetteredList">
    <w:name w:val="Lettered List"/>
    <w:uiPriority w:val="99"/>
    <w:rsid w:val="00A71669"/>
    <w:pPr>
      <w:numPr>
        <w:numId w:val="8"/>
      </w:numPr>
    </w:pPr>
  </w:style>
  <w:style w:type="numbering" w:customStyle="1" w:styleId="NamedHeadings">
    <w:name w:val="Named Headings"/>
    <w:uiPriority w:val="99"/>
    <w:rsid w:val="00F6447F"/>
    <w:pPr>
      <w:numPr>
        <w:numId w:val="11"/>
      </w:numPr>
    </w:pPr>
  </w:style>
  <w:style w:type="paragraph" w:styleId="Quote">
    <w:name w:val="Quote"/>
    <w:basedOn w:val="Normal"/>
    <w:next w:val="Normal"/>
    <w:link w:val="QuoteChar"/>
    <w:qFormat/>
    <w:rsid w:val="00E06173"/>
    <w:pPr>
      <w:spacing w:before="85" w:after="85" w:line="264" w:lineRule="atLeast"/>
      <w:ind w:left="284" w:right="284"/>
    </w:pPr>
    <w:rPr>
      <w:i/>
      <w:iCs/>
      <w:color w:val="000000" w:themeColor="text1"/>
    </w:rPr>
  </w:style>
  <w:style w:type="character" w:customStyle="1" w:styleId="QuoteChar">
    <w:name w:val="Quote Char"/>
    <w:basedOn w:val="DefaultParagraphFont"/>
    <w:link w:val="Quote"/>
    <w:rsid w:val="00E06173"/>
    <w:rPr>
      <w:rFonts w:ascii="Arial" w:hAnsi="Arial"/>
      <w:i/>
      <w:iCs/>
      <w:color w:val="000000" w:themeColor="text1"/>
      <w:spacing w:val="-2"/>
      <w:sz w:val="20"/>
    </w:rPr>
  </w:style>
  <w:style w:type="paragraph" w:customStyle="1" w:styleId="Recommendations">
    <w:name w:val="Recommendations"/>
    <w:basedOn w:val="KeyFinding"/>
    <w:uiPriority w:val="15"/>
    <w:qFormat/>
    <w:rsid w:val="006D2720"/>
    <w:pPr>
      <w:numPr>
        <w:ilvl w:val="2"/>
      </w:numPr>
      <w:shd w:val="clear" w:color="auto" w:fill="FFFF85"/>
    </w:pPr>
  </w:style>
  <w:style w:type="character" w:customStyle="1" w:styleId="NoSpacingChar">
    <w:name w:val="No Spacing Char"/>
    <w:basedOn w:val="DefaultParagraphFont"/>
    <w:link w:val="NoSpacing"/>
    <w:uiPriority w:val="1"/>
    <w:rsid w:val="00F97C6A"/>
    <w:rPr>
      <w:rFonts w:ascii="Arial" w:hAnsi="Arial"/>
      <w:sz w:val="20"/>
    </w:rPr>
  </w:style>
  <w:style w:type="numbering" w:customStyle="1" w:styleId="Sections">
    <w:name w:val="Sections"/>
    <w:basedOn w:val="NoList"/>
    <w:uiPriority w:val="99"/>
    <w:rsid w:val="00380A9E"/>
    <w:pPr>
      <w:numPr>
        <w:numId w:val="13"/>
      </w:numPr>
    </w:pPr>
  </w:style>
  <w:style w:type="table" w:customStyle="1" w:styleId="HMATableA">
    <w:name w:val="HMA Table A"/>
    <w:basedOn w:val="HMATableD-Recommendations"/>
    <w:uiPriority w:val="99"/>
    <w:rsid w:val="004B24F3"/>
    <w:pPr>
      <w:contextualSpacing/>
    </w:pPr>
    <w:rPr>
      <w:rFonts w:ascii="Arial" w:hAnsi="Arial"/>
      <w:sz w:val="18"/>
    </w:rPr>
    <w:tblPr>
      <w:tblCellMar>
        <w:top w:w="0" w:type="dxa"/>
      </w:tblCellMar>
    </w:tblPr>
    <w:tcPr>
      <w:shd w:val="clear" w:color="auto" w:fill="F2F2F2" w:themeFill="background1" w:themeFillShade="F2"/>
    </w:tcPr>
    <w:tblStylePr w:type="firstRow">
      <w:pPr>
        <w:wordWrap/>
        <w:spacing w:line="0" w:lineRule="atLeast"/>
      </w:pPr>
      <w:rPr>
        <w:rFonts w:ascii="Arial" w:hAnsi="Arial"/>
        <w:b/>
        <w:caps w:val="0"/>
        <w:smallCaps w:val="0"/>
        <w:spacing w:val="0"/>
        <w:w w:val="100"/>
        <w:position w:val="0"/>
        <w:sz w:val="22"/>
      </w:rPr>
      <w:tblPr/>
      <w:tcPr>
        <w:shd w:val="clear" w:color="auto" w:fill="DCDCDC" w:themeFill="accent6"/>
      </w:tcPr>
    </w:tblStylePr>
    <w:tblStylePr w:type="lastRow">
      <w:rPr>
        <w:rFonts w:asciiTheme="minorHAnsi" w:hAnsiTheme="minorHAnsi"/>
        <w:b/>
        <w:sz w:val="20"/>
      </w:rPr>
    </w:tblStylePr>
    <w:tblStylePr w:type="firstCol">
      <w:rPr>
        <w:rFonts w:ascii="Arial" w:hAnsi="Arial"/>
        <w:b w:val="0"/>
      </w:rPr>
      <w:tblPr/>
      <w:tcPr>
        <w:shd w:val="clear" w:color="auto" w:fill="F2F2F2" w:themeFill="background1" w:themeFillShade="F2"/>
      </w:tcPr>
    </w:tblStylePr>
    <w:tblStylePr w:type="lastCol">
      <w:rPr>
        <w:rFonts w:asciiTheme="minorHAnsi" w:hAnsiTheme="minorHAnsi"/>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character" w:customStyle="1" w:styleId="CaptionChar">
    <w:name w:val="Caption Char"/>
    <w:basedOn w:val="DefaultParagraphFont"/>
    <w:link w:val="Caption"/>
    <w:uiPriority w:val="29"/>
    <w:rsid w:val="00F97C6A"/>
    <w:rPr>
      <w:rFonts w:ascii="Arial" w:hAnsi="Arial"/>
      <w:iCs/>
      <w:spacing w:val="-2"/>
      <w:sz w:val="16"/>
      <w:szCs w:val="18"/>
    </w:rPr>
  </w:style>
  <w:style w:type="paragraph" w:customStyle="1" w:styleId="ProjectImplication">
    <w:name w:val="Project Implication"/>
    <w:basedOn w:val="Normal"/>
    <w:next w:val="Normal"/>
    <w:link w:val="ProjectImplicationChar"/>
    <w:uiPriority w:val="22"/>
    <w:qFormat/>
    <w:rsid w:val="0046687F"/>
    <w:pPr>
      <w:pBdr>
        <w:top w:val="single" w:sz="4" w:space="4" w:color="787878" w:themeColor="accent3"/>
        <w:left w:val="single" w:sz="4" w:space="4" w:color="FFFCCC" w:themeColor="background2" w:themeTint="33"/>
        <w:bottom w:val="single" w:sz="4" w:space="4" w:color="787878" w:themeColor="accent3"/>
        <w:right w:val="single" w:sz="4" w:space="4" w:color="FFFCCC" w:themeColor="background2" w:themeTint="33"/>
      </w:pBdr>
      <w:shd w:val="clear" w:color="auto" w:fill="FFFCCC" w:themeFill="background2" w:themeFillTint="33"/>
      <w:spacing w:after="60"/>
      <w:ind w:left="113" w:right="113"/>
    </w:pPr>
    <w:rPr>
      <w:rFonts w:cs="Times New Roman"/>
      <w:color w:val="000000" w:themeColor="text1"/>
      <w:szCs w:val="20"/>
    </w:rPr>
  </w:style>
  <w:style w:type="paragraph" w:customStyle="1" w:styleId="TableCopy">
    <w:name w:val="Table Copy"/>
    <w:link w:val="TableCopyChar"/>
    <w:uiPriority w:val="21"/>
    <w:qFormat/>
    <w:rsid w:val="00BD7746"/>
    <w:pPr>
      <w:spacing w:after="0" w:line="0" w:lineRule="atLeast"/>
      <w:ind w:left="57" w:right="57"/>
      <w:contextualSpacing/>
    </w:pPr>
    <w:rPr>
      <w:rFonts w:ascii="Garamond" w:hAnsi="Garamond" w:cs="Times New Roman"/>
      <w:color w:val="000000" w:themeColor="text1"/>
      <w:spacing w:val="-2"/>
      <w:sz w:val="20"/>
      <w:szCs w:val="20"/>
    </w:rPr>
  </w:style>
  <w:style w:type="character" w:customStyle="1" w:styleId="ProjectImplicationChar">
    <w:name w:val="Project Implication Char"/>
    <w:basedOn w:val="DefaultParagraphFont"/>
    <w:link w:val="ProjectImplication"/>
    <w:uiPriority w:val="22"/>
    <w:rsid w:val="0046687F"/>
    <w:rPr>
      <w:rFonts w:ascii="Arial" w:hAnsi="Arial" w:cs="Times New Roman"/>
      <w:color w:val="000000" w:themeColor="text1"/>
      <w:spacing w:val="-2"/>
      <w:sz w:val="20"/>
      <w:szCs w:val="20"/>
      <w:shd w:val="clear" w:color="auto" w:fill="FFFCCC" w:themeFill="background2" w:themeFillTint="33"/>
    </w:rPr>
  </w:style>
  <w:style w:type="numbering" w:customStyle="1" w:styleId="TableBullets">
    <w:name w:val="Table Bullets"/>
    <w:basedOn w:val="NoList"/>
    <w:uiPriority w:val="99"/>
    <w:rsid w:val="00B30681"/>
    <w:pPr>
      <w:numPr>
        <w:numId w:val="14"/>
      </w:numPr>
    </w:pPr>
  </w:style>
  <w:style w:type="paragraph" w:customStyle="1" w:styleId="TableBullets1">
    <w:name w:val="Table Bullets 1"/>
    <w:basedOn w:val="TableCopy"/>
    <w:uiPriority w:val="15"/>
    <w:qFormat/>
    <w:rsid w:val="00C2458A"/>
    <w:pPr>
      <w:numPr>
        <w:numId w:val="14"/>
      </w:numPr>
      <w:spacing w:line="240" w:lineRule="auto"/>
      <w:ind w:left="284" w:right="0" w:hanging="227"/>
      <w:contextualSpacing w:val="0"/>
    </w:pPr>
    <w:rPr>
      <w:rFonts w:ascii="Arial" w:hAnsi="Arial"/>
      <w:sz w:val="18"/>
    </w:rPr>
  </w:style>
  <w:style w:type="paragraph" w:customStyle="1" w:styleId="TableHeading">
    <w:name w:val="Table Heading"/>
    <w:basedOn w:val="BodyText"/>
    <w:link w:val="TableHeadingChar"/>
    <w:uiPriority w:val="21"/>
    <w:qFormat/>
    <w:rsid w:val="00F97C6A"/>
    <w:rPr>
      <w:rFonts w:ascii="Arial" w:hAnsi="Arial"/>
      <w:b/>
      <w:sz w:val="18"/>
    </w:rPr>
  </w:style>
  <w:style w:type="paragraph" w:customStyle="1" w:styleId="TableNotes">
    <w:name w:val="Table Notes"/>
    <w:basedOn w:val="Normal"/>
    <w:uiPriority w:val="21"/>
    <w:qFormat/>
    <w:rsid w:val="0079376F"/>
    <w:pPr>
      <w:spacing w:before="0" w:after="0"/>
    </w:pPr>
    <w:rPr>
      <w:sz w:val="16"/>
    </w:rPr>
  </w:style>
  <w:style w:type="character" w:customStyle="1" w:styleId="TableCopyChar">
    <w:name w:val="Table Copy Char"/>
    <w:basedOn w:val="DefaultParagraphFont"/>
    <w:link w:val="TableCopy"/>
    <w:uiPriority w:val="21"/>
    <w:rsid w:val="00BD7746"/>
    <w:rPr>
      <w:rFonts w:ascii="Garamond" w:hAnsi="Garamond" w:cs="Times New Roman"/>
      <w:color w:val="000000" w:themeColor="text1"/>
      <w:spacing w:val="-2"/>
      <w:sz w:val="20"/>
      <w:szCs w:val="20"/>
    </w:rPr>
  </w:style>
  <w:style w:type="character" w:customStyle="1" w:styleId="TableHeadingChar">
    <w:name w:val="Table Heading Char"/>
    <w:basedOn w:val="TableCopyChar"/>
    <w:link w:val="TableHeading"/>
    <w:uiPriority w:val="21"/>
    <w:rsid w:val="00F97C6A"/>
    <w:rPr>
      <w:rFonts w:ascii="Arial" w:hAnsi="Arial" w:cs="Times New Roman"/>
      <w:b/>
      <w:color w:val="000000" w:themeColor="text1"/>
      <w:spacing w:val="-2"/>
      <w:sz w:val="18"/>
      <w:szCs w:val="20"/>
    </w:rPr>
  </w:style>
  <w:style w:type="paragraph" w:styleId="TOC6">
    <w:name w:val="toc 6"/>
    <w:basedOn w:val="TOC3"/>
    <w:next w:val="Normal"/>
    <w:uiPriority w:val="39"/>
    <w:rsid w:val="00BD7746"/>
    <w:pPr>
      <w:tabs>
        <w:tab w:val="left" w:pos="1474"/>
      </w:tabs>
      <w:spacing w:after="100"/>
      <w:contextualSpacing w:val="0"/>
    </w:pPr>
    <w:rPr>
      <w:caps/>
      <w:noProof/>
    </w:rPr>
  </w:style>
  <w:style w:type="paragraph" w:styleId="TOC5">
    <w:name w:val="toc 5"/>
    <w:basedOn w:val="TOC1"/>
    <w:next w:val="Normal"/>
    <w:uiPriority w:val="39"/>
    <w:rsid w:val="00BD7746"/>
    <w:pPr>
      <w:tabs>
        <w:tab w:val="left" w:pos="794"/>
      </w:tabs>
      <w:spacing w:before="240" w:after="240"/>
      <w:ind w:left="1361" w:hanging="1361"/>
      <w:contextualSpacing w:val="0"/>
    </w:pPr>
    <w:rPr>
      <w:sz w:val="36"/>
    </w:rPr>
  </w:style>
  <w:style w:type="paragraph" w:customStyle="1" w:styleId="Finding">
    <w:name w:val="Finding"/>
    <w:basedOn w:val="KeyFinding"/>
    <w:next w:val="Normal"/>
    <w:qFormat/>
    <w:rsid w:val="00AB0F8B"/>
    <w:pPr>
      <w:numPr>
        <w:numId w:val="18"/>
      </w:numPr>
      <w:spacing w:before="120" w:after="120"/>
      <w:ind w:left="1360" w:hanging="1247"/>
    </w:pPr>
    <w:rPr>
      <w:sz w:val="18"/>
    </w:rPr>
  </w:style>
  <w:style w:type="character" w:styleId="CommentReference">
    <w:name w:val="annotation reference"/>
    <w:basedOn w:val="DefaultParagraphFont"/>
    <w:uiPriority w:val="99"/>
    <w:semiHidden/>
    <w:unhideWhenUsed/>
    <w:rsid w:val="00B312A9"/>
    <w:rPr>
      <w:sz w:val="16"/>
      <w:szCs w:val="16"/>
    </w:rPr>
  </w:style>
  <w:style w:type="paragraph" w:styleId="CommentText">
    <w:name w:val="annotation text"/>
    <w:basedOn w:val="Normal"/>
    <w:link w:val="CommentTextChar"/>
    <w:uiPriority w:val="99"/>
    <w:semiHidden/>
    <w:unhideWhenUsed/>
    <w:rsid w:val="00B312A9"/>
    <w:rPr>
      <w:szCs w:val="20"/>
    </w:rPr>
  </w:style>
  <w:style w:type="character" w:customStyle="1" w:styleId="CommentTextChar">
    <w:name w:val="Comment Text Char"/>
    <w:basedOn w:val="DefaultParagraphFont"/>
    <w:link w:val="CommentText"/>
    <w:uiPriority w:val="99"/>
    <w:semiHidden/>
    <w:rsid w:val="00B312A9"/>
    <w:rPr>
      <w:spacing w:val="-2"/>
      <w:sz w:val="20"/>
      <w:szCs w:val="20"/>
    </w:rPr>
  </w:style>
  <w:style w:type="paragraph" w:styleId="CommentSubject">
    <w:name w:val="annotation subject"/>
    <w:basedOn w:val="CommentText"/>
    <w:next w:val="CommentText"/>
    <w:link w:val="CommentSubjectChar"/>
    <w:uiPriority w:val="99"/>
    <w:semiHidden/>
    <w:unhideWhenUsed/>
    <w:rsid w:val="00B312A9"/>
    <w:rPr>
      <w:b/>
      <w:bCs/>
    </w:rPr>
  </w:style>
  <w:style w:type="character" w:customStyle="1" w:styleId="CommentSubjectChar">
    <w:name w:val="Comment Subject Char"/>
    <w:basedOn w:val="CommentTextChar"/>
    <w:link w:val="CommentSubject"/>
    <w:uiPriority w:val="99"/>
    <w:semiHidden/>
    <w:rsid w:val="00B312A9"/>
    <w:rPr>
      <w:b/>
      <w:bCs/>
      <w:spacing w:val="-2"/>
      <w:sz w:val="20"/>
      <w:szCs w:val="20"/>
    </w:rPr>
  </w:style>
  <w:style w:type="character" w:styleId="Strong">
    <w:name w:val="Strong"/>
    <w:basedOn w:val="DefaultParagraphFont"/>
    <w:uiPriority w:val="22"/>
    <w:qFormat/>
    <w:rsid w:val="005A74B9"/>
    <w:rPr>
      <w:b/>
      <w:bCs/>
    </w:rPr>
  </w:style>
  <w:style w:type="numbering" w:customStyle="1" w:styleId="Numbers">
    <w:name w:val="Numbers"/>
    <w:uiPriority w:val="99"/>
    <w:rsid w:val="005A74B9"/>
    <w:pPr>
      <w:numPr>
        <w:numId w:val="19"/>
      </w:numPr>
    </w:pPr>
  </w:style>
  <w:style w:type="paragraph" w:styleId="Bibliography">
    <w:name w:val="Bibliography"/>
    <w:basedOn w:val="Normal"/>
    <w:next w:val="Normal"/>
    <w:uiPriority w:val="37"/>
    <w:unhideWhenUsed/>
    <w:rsid w:val="0057518D"/>
  </w:style>
  <w:style w:type="paragraph" w:styleId="Revision">
    <w:name w:val="Revision"/>
    <w:hidden/>
    <w:uiPriority w:val="99"/>
    <w:semiHidden/>
    <w:rsid w:val="0057518D"/>
    <w:pPr>
      <w:spacing w:after="0" w:line="240" w:lineRule="auto"/>
    </w:pPr>
    <w:rPr>
      <w:spacing w:val="-2"/>
    </w:rPr>
  </w:style>
  <w:style w:type="table" w:customStyle="1" w:styleId="HMATableB1">
    <w:name w:val="HMA Table B1"/>
    <w:basedOn w:val="TableNormal"/>
    <w:uiPriority w:val="99"/>
    <w:rsid w:val="007810F9"/>
    <w:pPr>
      <w:spacing w:after="0" w:line="240" w:lineRule="auto"/>
    </w:pPr>
    <w:rPr>
      <w:rFonts w:asciiTheme="majorHAnsi" w:hAnsiTheme="majorHAnsi"/>
      <w:sz w:val="20"/>
    </w:rPr>
    <w:tblPr>
      <w:tblInd w:w="0" w:type="nil"/>
      <w:tblBorders>
        <w:top w:val="single" w:sz="4" w:space="0" w:color="auto"/>
        <w:bottom w:val="single" w:sz="4" w:space="0" w:color="auto"/>
        <w:insideH w:val="single" w:sz="4" w:space="0" w:color="auto"/>
      </w:tblBorders>
      <w:tblCellMar>
        <w:top w:w="85" w:type="dxa"/>
        <w:left w:w="85" w:type="dxa"/>
      </w:tblCellMar>
    </w:tblPr>
    <w:tcPr>
      <w:shd w:val="clear" w:color="auto" w:fill="FFFFFF" w:themeFill="background1"/>
    </w:tcPr>
    <w:tblStylePr w:type="firstRow">
      <w:rPr>
        <w:rFonts w:ascii="Arial" w:hAnsi="Arial" w:hint="default"/>
        <w:b/>
        <w:caps/>
        <w:smallCaps w:val="0"/>
        <w:sz w:val="20"/>
      </w:rPr>
      <w:tblPr/>
      <w:tcPr>
        <w:shd w:val="clear" w:color="auto" w:fill="DCDCDC" w:themeFill="accent6"/>
      </w:tcPr>
    </w:tblStylePr>
  </w:style>
  <w:style w:type="paragraph" w:customStyle="1" w:styleId="TableColumnHeading">
    <w:name w:val="Table Column Heading"/>
    <w:uiPriority w:val="17"/>
    <w:qFormat/>
    <w:rsid w:val="00643E7D"/>
    <w:pPr>
      <w:keepNext/>
      <w:spacing w:after="0" w:line="240" w:lineRule="auto"/>
    </w:pPr>
    <w:rPr>
      <w:rFonts w:ascii="Arial" w:hAnsi="Arial" w:cs="Times New Roman"/>
      <w:color w:val="000000" w:themeColor="text1"/>
      <w:spacing w:val="-2"/>
      <w:sz w:val="20"/>
      <w:szCs w:val="20"/>
    </w:rPr>
  </w:style>
  <w:style w:type="table" w:customStyle="1" w:styleId="HMATable">
    <w:name w:val="HMA Table"/>
    <w:basedOn w:val="TableNormal"/>
    <w:uiPriority w:val="99"/>
    <w:rsid w:val="0060003D"/>
    <w:pPr>
      <w:spacing w:after="0" w:line="240" w:lineRule="auto"/>
    </w:pPr>
    <w:rPr>
      <w:rFonts w:ascii="Courier" w:hAnsi="Courier" w:cs="Times New Roman"/>
      <w:sz w:val="20"/>
      <w:szCs w:val="20"/>
    </w:rPr>
    <w:tblPr>
      <w:tblInd w:w="0" w:type="nil"/>
      <w:tblBorders>
        <w:top w:val="single" w:sz="4" w:space="0" w:color="4B4B4B" w:themeColor="accent2"/>
        <w:left w:val="single" w:sz="4" w:space="0" w:color="FFFFFF" w:themeColor="background1"/>
        <w:bottom w:val="single" w:sz="4" w:space="0" w:color="4B4B4B" w:themeColor="accent2"/>
        <w:right w:val="single" w:sz="4" w:space="0" w:color="FFFFFF" w:themeColor="background1"/>
        <w:insideH w:val="single" w:sz="4" w:space="0" w:color="4B4B4B" w:themeColor="accent2"/>
        <w:insideV w:val="single" w:sz="4" w:space="0" w:color="FFFFFF" w:themeColor="background1"/>
      </w:tblBorders>
      <w:tblCellMar>
        <w:left w:w="0" w:type="dxa"/>
        <w:right w:w="0" w:type="dxa"/>
      </w:tblCellMar>
    </w:tblPr>
    <w:tcPr>
      <w:shd w:val="clear" w:color="auto" w:fill="DCDCDC" w:themeFill="accent6"/>
    </w:tcPr>
    <w:tblStylePr w:type="firstRow">
      <w:rPr>
        <w:rFonts w:ascii="Arial Bold" w:hAnsi="Arial Bold"/>
        <w:b/>
        <w:caps w:val="0"/>
        <w:smallCaps w:val="0"/>
      </w:rPr>
      <w:tblPr/>
      <w:tcPr>
        <w:shd w:val="clear" w:color="auto" w:fill="BEBEBE" w:themeFill="accent5"/>
      </w:tcPr>
    </w:tblStylePr>
    <w:tblStylePr w:type="lastRow">
      <w:rPr>
        <w:rFonts w:asciiTheme="minorHAnsi" w:hAnsiTheme="minorHAnsi" w:hint="default"/>
        <w:b/>
      </w:rPr>
    </w:tblStylePr>
    <w:tblStylePr w:type="firstCol">
      <w:rPr>
        <w:rFonts w:asciiTheme="minorHAnsi" w:hAnsiTheme="minorHAnsi" w:hint="default"/>
        <w:b w:val="0"/>
      </w:rPr>
    </w:tblStylePr>
  </w:style>
  <w:style w:type="paragraph" w:customStyle="1" w:styleId="Coverheading">
    <w:name w:val="Cover heading"/>
    <w:basedOn w:val="Normal"/>
    <w:link w:val="CoverheadingChar"/>
    <w:uiPriority w:val="99"/>
    <w:qFormat/>
    <w:rsid w:val="00527A31"/>
    <w:pPr>
      <w:spacing w:after="0" w:line="264" w:lineRule="atLeast"/>
    </w:pPr>
    <w:rPr>
      <w:rFonts w:cs="Times New Roman"/>
      <w:color w:val="000000"/>
      <w:szCs w:val="20"/>
    </w:rPr>
  </w:style>
  <w:style w:type="character" w:customStyle="1" w:styleId="CoverheadingChar">
    <w:name w:val="Cover heading Char"/>
    <w:basedOn w:val="DefaultParagraphFont"/>
    <w:link w:val="Coverheading"/>
    <w:uiPriority w:val="99"/>
    <w:rsid w:val="00527A31"/>
    <w:rPr>
      <w:rFonts w:cs="Times New Roman"/>
      <w:color w:val="000000"/>
      <w:spacing w:val="-2"/>
      <w:szCs w:val="20"/>
    </w:rPr>
  </w:style>
  <w:style w:type="paragraph" w:customStyle="1" w:styleId="Covertitle">
    <w:name w:val="Cover title"/>
    <w:basedOn w:val="Normal"/>
    <w:uiPriority w:val="99"/>
    <w:rsid w:val="0011214B"/>
    <w:pPr>
      <w:spacing w:before="240"/>
    </w:pPr>
    <w:rPr>
      <w:rFonts w:ascii="Franklin Gothic Book" w:hAnsi="Franklin Gothic Book" w:cs="Times New Roman"/>
      <w:color w:val="000000"/>
      <w:sz w:val="36"/>
      <w:szCs w:val="36"/>
    </w:rPr>
  </w:style>
  <w:style w:type="table" w:styleId="TableGridLight">
    <w:name w:val="Grid Table Light"/>
    <w:basedOn w:val="TableNormal"/>
    <w:uiPriority w:val="40"/>
    <w:rsid w:val="009B07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7F376B"/>
    <w:pPr>
      <w:pageBreakBefore w:val="0"/>
      <w:pBdr>
        <w:top w:val="none" w:sz="0" w:space="0" w:color="auto"/>
        <w:bottom w:val="none" w:sz="0" w:space="0" w:color="auto"/>
      </w:pBdr>
      <w:shd w:val="clear" w:color="auto" w:fill="auto"/>
      <w:spacing w:before="240" w:line="259" w:lineRule="auto"/>
      <w:outlineLvl w:val="9"/>
    </w:pPr>
    <w:rPr>
      <w:b w:val="0"/>
      <w:caps w:val="0"/>
      <w:color w:val="auto"/>
      <w:spacing w:val="0"/>
      <w:sz w:val="32"/>
      <w:szCs w:val="32"/>
      <w:lang w:val="en-US"/>
    </w:rPr>
  </w:style>
  <w:style w:type="paragraph" w:styleId="TOC7">
    <w:name w:val="toc 7"/>
    <w:basedOn w:val="Normal"/>
    <w:next w:val="Normal"/>
    <w:autoRedefine/>
    <w:uiPriority w:val="39"/>
    <w:unhideWhenUsed/>
    <w:rsid w:val="00F50C65"/>
    <w:pPr>
      <w:spacing w:after="100" w:line="259" w:lineRule="auto"/>
      <w:ind w:left="1320"/>
    </w:pPr>
    <w:rPr>
      <w:rFonts w:eastAsiaTheme="minorEastAsia"/>
      <w:spacing w:val="0"/>
      <w:lang w:eastAsia="en-AU"/>
    </w:rPr>
  </w:style>
  <w:style w:type="paragraph" w:styleId="TOC8">
    <w:name w:val="toc 8"/>
    <w:basedOn w:val="Normal"/>
    <w:next w:val="Normal"/>
    <w:autoRedefine/>
    <w:uiPriority w:val="39"/>
    <w:unhideWhenUsed/>
    <w:rsid w:val="00F50C65"/>
    <w:pPr>
      <w:spacing w:after="100" w:line="259" w:lineRule="auto"/>
      <w:ind w:left="1540"/>
    </w:pPr>
    <w:rPr>
      <w:rFonts w:eastAsiaTheme="minorEastAsia"/>
      <w:spacing w:val="0"/>
      <w:lang w:eastAsia="en-AU"/>
    </w:rPr>
  </w:style>
  <w:style w:type="paragraph" w:styleId="TOC9">
    <w:name w:val="toc 9"/>
    <w:basedOn w:val="Normal"/>
    <w:next w:val="Normal"/>
    <w:autoRedefine/>
    <w:uiPriority w:val="39"/>
    <w:unhideWhenUsed/>
    <w:rsid w:val="00F50C65"/>
    <w:pPr>
      <w:spacing w:after="100" w:line="259" w:lineRule="auto"/>
      <w:ind w:left="1760"/>
    </w:pPr>
    <w:rPr>
      <w:rFonts w:eastAsiaTheme="minorEastAsia"/>
      <w:spacing w:val="0"/>
      <w:lang w:eastAsia="en-AU"/>
    </w:rPr>
  </w:style>
  <w:style w:type="character" w:styleId="FollowedHyperlink">
    <w:name w:val="FollowedHyperlink"/>
    <w:basedOn w:val="DefaultParagraphFont"/>
    <w:uiPriority w:val="99"/>
    <w:semiHidden/>
    <w:unhideWhenUsed/>
    <w:rsid w:val="00E7621C"/>
    <w:rPr>
      <w:color w:val="BEBEBE" w:themeColor="followedHyperlink"/>
      <w:u w:val="single"/>
    </w:rPr>
  </w:style>
  <w:style w:type="table" w:styleId="GridTable1Light">
    <w:name w:val="Grid Table 1 Light"/>
    <w:basedOn w:val="TableNormal"/>
    <w:uiPriority w:val="46"/>
    <w:rsid w:val="003E28C8"/>
    <w:pPr>
      <w:spacing w:after="0" w:line="240" w:lineRule="auto"/>
      <w:contextualSpacing/>
    </w:pPr>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character" w:customStyle="1" w:styleId="Heading6Char">
    <w:name w:val="Heading 6 Char"/>
    <w:basedOn w:val="DefaultParagraphFont"/>
    <w:link w:val="Heading6"/>
    <w:uiPriority w:val="9"/>
    <w:semiHidden/>
    <w:rsid w:val="009B713D"/>
    <w:rPr>
      <w:rFonts w:ascii="Arial" w:eastAsiaTheme="majorEastAsia" w:hAnsi="Arial" w:cstheme="majorBidi"/>
      <w:color w:val="595959" w:themeColor="text1" w:themeTint="A6"/>
      <w:sz w:val="24"/>
      <w:szCs w:val="28"/>
      <w:shd w:val="clear" w:color="auto" w:fill="FFFFFF" w:themeFill="background1"/>
    </w:rPr>
  </w:style>
  <w:style w:type="character" w:customStyle="1" w:styleId="Heading7Char">
    <w:name w:val="Heading 7 Char"/>
    <w:basedOn w:val="DefaultParagraphFont"/>
    <w:link w:val="Heading7"/>
    <w:uiPriority w:val="9"/>
    <w:semiHidden/>
    <w:rsid w:val="007A408D"/>
    <w:rPr>
      <w:rFonts w:asciiTheme="majorHAnsi" w:eastAsiaTheme="majorEastAsia" w:hAnsiTheme="majorHAnsi" w:cstheme="majorBidi"/>
      <w:i/>
      <w:iCs/>
      <w:color w:val="7F7800" w:themeColor="accent1" w:themeShade="7F"/>
      <w:spacing w:val="-2"/>
      <w:sz w:val="20"/>
    </w:rPr>
  </w:style>
  <w:style w:type="character" w:customStyle="1" w:styleId="Heading8Char">
    <w:name w:val="Heading 8 Char"/>
    <w:basedOn w:val="DefaultParagraphFont"/>
    <w:link w:val="Heading8"/>
    <w:uiPriority w:val="9"/>
    <w:semiHidden/>
    <w:rsid w:val="007A408D"/>
    <w:rPr>
      <w:rFonts w:asciiTheme="majorHAnsi" w:eastAsiaTheme="majorEastAsia" w:hAnsiTheme="majorHAnsi" w:cstheme="majorBidi"/>
      <w:color w:val="272727" w:themeColor="text1" w:themeTint="D8"/>
      <w:spacing w:val="-2"/>
      <w:sz w:val="21"/>
      <w:szCs w:val="21"/>
    </w:rPr>
  </w:style>
  <w:style w:type="character" w:customStyle="1" w:styleId="Heading9Char">
    <w:name w:val="Heading 9 Char"/>
    <w:basedOn w:val="DefaultParagraphFont"/>
    <w:link w:val="Heading9"/>
    <w:uiPriority w:val="9"/>
    <w:semiHidden/>
    <w:rsid w:val="007A408D"/>
    <w:rPr>
      <w:rFonts w:asciiTheme="majorHAnsi" w:eastAsiaTheme="majorEastAsia" w:hAnsiTheme="majorHAnsi" w:cstheme="majorBidi"/>
      <w:i/>
      <w:iCs/>
      <w:color w:val="272727" w:themeColor="text1" w:themeTint="D8"/>
      <w:spacing w:val="-2"/>
      <w:sz w:val="21"/>
      <w:szCs w:val="21"/>
    </w:rPr>
  </w:style>
  <w:style w:type="paragraph" w:customStyle="1" w:styleId="Heading1numbered">
    <w:name w:val="Heading 1 numbered"/>
    <w:link w:val="Heading1numberedChar"/>
    <w:qFormat/>
    <w:rsid w:val="00BE2B49"/>
    <w:pPr>
      <w:numPr>
        <w:numId w:val="39"/>
      </w:numPr>
      <w:pBdr>
        <w:bottom w:val="single" w:sz="8" w:space="1" w:color="FFF200" w:themeColor="background2"/>
      </w:pBdr>
      <w:ind w:left="431" w:hanging="431"/>
      <w:outlineLvl w:val="1"/>
    </w:pPr>
    <w:rPr>
      <w:rFonts w:ascii="Arial" w:eastAsiaTheme="majorEastAsia" w:hAnsi="Arial" w:cstheme="majorBidi"/>
      <w:caps/>
      <w:color w:val="000000" w:themeColor="text1"/>
      <w:sz w:val="48"/>
      <w:szCs w:val="28"/>
    </w:rPr>
  </w:style>
  <w:style w:type="paragraph" w:customStyle="1" w:styleId="heading2numbered">
    <w:name w:val="heading 2 numbered"/>
    <w:basedOn w:val="Heading1numbered"/>
    <w:link w:val="heading2numberedChar"/>
    <w:qFormat/>
    <w:rsid w:val="004E1635"/>
    <w:pPr>
      <w:keepNext/>
      <w:numPr>
        <w:ilvl w:val="1"/>
      </w:numPr>
      <w:pBdr>
        <w:bottom w:val="none" w:sz="0" w:space="0" w:color="auto"/>
      </w:pBdr>
      <w:spacing w:before="240" w:after="120" w:line="240" w:lineRule="auto"/>
      <w:ind w:left="578" w:hanging="578"/>
      <w:outlineLvl w:val="2"/>
    </w:pPr>
    <w:rPr>
      <w:caps w:val="0"/>
      <w:sz w:val="32"/>
    </w:rPr>
  </w:style>
  <w:style w:type="character" w:customStyle="1" w:styleId="Heading1numberedChar">
    <w:name w:val="Heading 1 numbered Char"/>
    <w:basedOn w:val="Heading1Char"/>
    <w:link w:val="Heading1numbered"/>
    <w:rsid w:val="00BE2B49"/>
    <w:rPr>
      <w:rFonts w:ascii="Arial" w:eastAsiaTheme="majorEastAsia" w:hAnsi="Arial" w:cstheme="majorBidi"/>
      <w:b w:val="0"/>
      <w:caps/>
      <w:color w:val="000000" w:themeColor="text1"/>
      <w:spacing w:val="-2"/>
      <w:sz w:val="48"/>
      <w:szCs w:val="28"/>
      <w:shd w:val="clear" w:color="auto" w:fill="FFFFFF" w:themeFill="background1"/>
    </w:rPr>
  </w:style>
  <w:style w:type="paragraph" w:customStyle="1" w:styleId="Heading3numbered">
    <w:name w:val="Heading 3 numbered"/>
    <w:basedOn w:val="heading2numbered"/>
    <w:link w:val="Heading3numberedChar"/>
    <w:qFormat/>
    <w:rsid w:val="00374DA4"/>
    <w:pPr>
      <w:numPr>
        <w:ilvl w:val="2"/>
      </w:numPr>
      <w:outlineLvl w:val="3"/>
    </w:pPr>
    <w:rPr>
      <w:sz w:val="28"/>
    </w:rPr>
  </w:style>
  <w:style w:type="character" w:customStyle="1" w:styleId="heading2numberedChar">
    <w:name w:val="heading 2 numbered Char"/>
    <w:basedOn w:val="Heading2Char"/>
    <w:link w:val="heading2numbered"/>
    <w:rsid w:val="004E1635"/>
    <w:rPr>
      <w:rFonts w:ascii="Arial Bold" w:eastAsiaTheme="majorEastAsia" w:hAnsi="Arial Bold" w:cstheme="majorBidi"/>
      <w:b/>
      <w:color w:val="000000" w:themeColor="text1"/>
      <w:sz w:val="32"/>
      <w:szCs w:val="28"/>
      <w:shd w:val="clear" w:color="auto" w:fill="FFFFFF" w:themeFill="background1"/>
    </w:rPr>
  </w:style>
  <w:style w:type="character" w:customStyle="1" w:styleId="Heading3numberedChar">
    <w:name w:val="Heading 3 numbered Char"/>
    <w:basedOn w:val="Heading3Char"/>
    <w:link w:val="Heading3numbered"/>
    <w:rsid w:val="00374DA4"/>
    <w:rPr>
      <w:rFonts w:ascii="Arial Bold" w:eastAsiaTheme="majorEastAsia" w:hAnsi="Arial Bold" w:cstheme="majorBidi"/>
      <w:b/>
      <w:color w:val="000000" w:themeColor="text1"/>
      <w:sz w:val="28"/>
      <w:szCs w:val="28"/>
      <w:shd w:val="clear" w:color="auto" w:fill="FFFFFF" w:themeFill="background1"/>
    </w:rPr>
  </w:style>
  <w:style w:type="paragraph" w:customStyle="1" w:styleId="superscript">
    <w:name w:val="superscript"/>
    <w:basedOn w:val="Normal"/>
    <w:link w:val="superscriptChar"/>
    <w:qFormat/>
    <w:rsid w:val="00374DA4"/>
    <w:rPr>
      <w:vertAlign w:val="superscript"/>
    </w:rPr>
  </w:style>
  <w:style w:type="character" w:customStyle="1" w:styleId="superscriptChar">
    <w:name w:val="superscript Char"/>
    <w:basedOn w:val="DefaultParagraphFont"/>
    <w:link w:val="superscript"/>
    <w:rsid w:val="00374DA4"/>
    <w:rPr>
      <w:rFonts w:ascii="Arial" w:hAnsi="Arial"/>
      <w:spacing w:val="-2"/>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1178">
      <w:bodyDiv w:val="1"/>
      <w:marLeft w:val="0"/>
      <w:marRight w:val="0"/>
      <w:marTop w:val="0"/>
      <w:marBottom w:val="0"/>
      <w:divBdr>
        <w:top w:val="none" w:sz="0" w:space="0" w:color="auto"/>
        <w:left w:val="none" w:sz="0" w:space="0" w:color="auto"/>
        <w:bottom w:val="none" w:sz="0" w:space="0" w:color="auto"/>
        <w:right w:val="none" w:sz="0" w:space="0" w:color="auto"/>
      </w:divBdr>
    </w:div>
    <w:div w:id="3633971">
      <w:bodyDiv w:val="1"/>
      <w:marLeft w:val="0"/>
      <w:marRight w:val="0"/>
      <w:marTop w:val="0"/>
      <w:marBottom w:val="0"/>
      <w:divBdr>
        <w:top w:val="none" w:sz="0" w:space="0" w:color="auto"/>
        <w:left w:val="none" w:sz="0" w:space="0" w:color="auto"/>
        <w:bottom w:val="none" w:sz="0" w:space="0" w:color="auto"/>
        <w:right w:val="none" w:sz="0" w:space="0" w:color="auto"/>
      </w:divBdr>
    </w:div>
    <w:div w:id="4403170">
      <w:bodyDiv w:val="1"/>
      <w:marLeft w:val="0"/>
      <w:marRight w:val="0"/>
      <w:marTop w:val="0"/>
      <w:marBottom w:val="0"/>
      <w:divBdr>
        <w:top w:val="none" w:sz="0" w:space="0" w:color="auto"/>
        <w:left w:val="none" w:sz="0" w:space="0" w:color="auto"/>
        <w:bottom w:val="none" w:sz="0" w:space="0" w:color="auto"/>
        <w:right w:val="none" w:sz="0" w:space="0" w:color="auto"/>
      </w:divBdr>
    </w:div>
    <w:div w:id="5837568">
      <w:bodyDiv w:val="1"/>
      <w:marLeft w:val="0"/>
      <w:marRight w:val="0"/>
      <w:marTop w:val="0"/>
      <w:marBottom w:val="0"/>
      <w:divBdr>
        <w:top w:val="none" w:sz="0" w:space="0" w:color="auto"/>
        <w:left w:val="none" w:sz="0" w:space="0" w:color="auto"/>
        <w:bottom w:val="none" w:sz="0" w:space="0" w:color="auto"/>
        <w:right w:val="none" w:sz="0" w:space="0" w:color="auto"/>
      </w:divBdr>
    </w:div>
    <w:div w:id="7830609">
      <w:bodyDiv w:val="1"/>
      <w:marLeft w:val="0"/>
      <w:marRight w:val="0"/>
      <w:marTop w:val="0"/>
      <w:marBottom w:val="0"/>
      <w:divBdr>
        <w:top w:val="none" w:sz="0" w:space="0" w:color="auto"/>
        <w:left w:val="none" w:sz="0" w:space="0" w:color="auto"/>
        <w:bottom w:val="none" w:sz="0" w:space="0" w:color="auto"/>
        <w:right w:val="none" w:sz="0" w:space="0" w:color="auto"/>
      </w:divBdr>
    </w:div>
    <w:div w:id="9453429">
      <w:bodyDiv w:val="1"/>
      <w:marLeft w:val="0"/>
      <w:marRight w:val="0"/>
      <w:marTop w:val="0"/>
      <w:marBottom w:val="0"/>
      <w:divBdr>
        <w:top w:val="none" w:sz="0" w:space="0" w:color="auto"/>
        <w:left w:val="none" w:sz="0" w:space="0" w:color="auto"/>
        <w:bottom w:val="none" w:sz="0" w:space="0" w:color="auto"/>
        <w:right w:val="none" w:sz="0" w:space="0" w:color="auto"/>
      </w:divBdr>
    </w:div>
    <w:div w:id="10686870">
      <w:bodyDiv w:val="1"/>
      <w:marLeft w:val="0"/>
      <w:marRight w:val="0"/>
      <w:marTop w:val="0"/>
      <w:marBottom w:val="0"/>
      <w:divBdr>
        <w:top w:val="none" w:sz="0" w:space="0" w:color="auto"/>
        <w:left w:val="none" w:sz="0" w:space="0" w:color="auto"/>
        <w:bottom w:val="none" w:sz="0" w:space="0" w:color="auto"/>
        <w:right w:val="none" w:sz="0" w:space="0" w:color="auto"/>
      </w:divBdr>
    </w:div>
    <w:div w:id="10886565">
      <w:bodyDiv w:val="1"/>
      <w:marLeft w:val="0"/>
      <w:marRight w:val="0"/>
      <w:marTop w:val="0"/>
      <w:marBottom w:val="0"/>
      <w:divBdr>
        <w:top w:val="none" w:sz="0" w:space="0" w:color="auto"/>
        <w:left w:val="none" w:sz="0" w:space="0" w:color="auto"/>
        <w:bottom w:val="none" w:sz="0" w:space="0" w:color="auto"/>
        <w:right w:val="none" w:sz="0" w:space="0" w:color="auto"/>
      </w:divBdr>
    </w:div>
    <w:div w:id="11154460">
      <w:bodyDiv w:val="1"/>
      <w:marLeft w:val="0"/>
      <w:marRight w:val="0"/>
      <w:marTop w:val="0"/>
      <w:marBottom w:val="0"/>
      <w:divBdr>
        <w:top w:val="none" w:sz="0" w:space="0" w:color="auto"/>
        <w:left w:val="none" w:sz="0" w:space="0" w:color="auto"/>
        <w:bottom w:val="none" w:sz="0" w:space="0" w:color="auto"/>
        <w:right w:val="none" w:sz="0" w:space="0" w:color="auto"/>
      </w:divBdr>
    </w:div>
    <w:div w:id="11422813">
      <w:bodyDiv w:val="1"/>
      <w:marLeft w:val="0"/>
      <w:marRight w:val="0"/>
      <w:marTop w:val="0"/>
      <w:marBottom w:val="0"/>
      <w:divBdr>
        <w:top w:val="none" w:sz="0" w:space="0" w:color="auto"/>
        <w:left w:val="none" w:sz="0" w:space="0" w:color="auto"/>
        <w:bottom w:val="none" w:sz="0" w:space="0" w:color="auto"/>
        <w:right w:val="none" w:sz="0" w:space="0" w:color="auto"/>
      </w:divBdr>
    </w:div>
    <w:div w:id="13767658">
      <w:bodyDiv w:val="1"/>
      <w:marLeft w:val="0"/>
      <w:marRight w:val="0"/>
      <w:marTop w:val="0"/>
      <w:marBottom w:val="0"/>
      <w:divBdr>
        <w:top w:val="none" w:sz="0" w:space="0" w:color="auto"/>
        <w:left w:val="none" w:sz="0" w:space="0" w:color="auto"/>
        <w:bottom w:val="none" w:sz="0" w:space="0" w:color="auto"/>
        <w:right w:val="none" w:sz="0" w:space="0" w:color="auto"/>
      </w:divBdr>
    </w:div>
    <w:div w:id="20516280">
      <w:bodyDiv w:val="1"/>
      <w:marLeft w:val="0"/>
      <w:marRight w:val="0"/>
      <w:marTop w:val="0"/>
      <w:marBottom w:val="0"/>
      <w:divBdr>
        <w:top w:val="none" w:sz="0" w:space="0" w:color="auto"/>
        <w:left w:val="none" w:sz="0" w:space="0" w:color="auto"/>
        <w:bottom w:val="none" w:sz="0" w:space="0" w:color="auto"/>
        <w:right w:val="none" w:sz="0" w:space="0" w:color="auto"/>
      </w:divBdr>
    </w:div>
    <w:div w:id="22481791">
      <w:bodyDiv w:val="1"/>
      <w:marLeft w:val="0"/>
      <w:marRight w:val="0"/>
      <w:marTop w:val="0"/>
      <w:marBottom w:val="0"/>
      <w:divBdr>
        <w:top w:val="none" w:sz="0" w:space="0" w:color="auto"/>
        <w:left w:val="none" w:sz="0" w:space="0" w:color="auto"/>
        <w:bottom w:val="none" w:sz="0" w:space="0" w:color="auto"/>
        <w:right w:val="none" w:sz="0" w:space="0" w:color="auto"/>
      </w:divBdr>
    </w:div>
    <w:div w:id="24331593">
      <w:bodyDiv w:val="1"/>
      <w:marLeft w:val="0"/>
      <w:marRight w:val="0"/>
      <w:marTop w:val="0"/>
      <w:marBottom w:val="0"/>
      <w:divBdr>
        <w:top w:val="none" w:sz="0" w:space="0" w:color="auto"/>
        <w:left w:val="none" w:sz="0" w:space="0" w:color="auto"/>
        <w:bottom w:val="none" w:sz="0" w:space="0" w:color="auto"/>
        <w:right w:val="none" w:sz="0" w:space="0" w:color="auto"/>
      </w:divBdr>
    </w:div>
    <w:div w:id="28192585">
      <w:bodyDiv w:val="1"/>
      <w:marLeft w:val="0"/>
      <w:marRight w:val="0"/>
      <w:marTop w:val="0"/>
      <w:marBottom w:val="0"/>
      <w:divBdr>
        <w:top w:val="none" w:sz="0" w:space="0" w:color="auto"/>
        <w:left w:val="none" w:sz="0" w:space="0" w:color="auto"/>
        <w:bottom w:val="none" w:sz="0" w:space="0" w:color="auto"/>
        <w:right w:val="none" w:sz="0" w:space="0" w:color="auto"/>
      </w:divBdr>
    </w:div>
    <w:div w:id="32267760">
      <w:bodyDiv w:val="1"/>
      <w:marLeft w:val="0"/>
      <w:marRight w:val="0"/>
      <w:marTop w:val="0"/>
      <w:marBottom w:val="0"/>
      <w:divBdr>
        <w:top w:val="none" w:sz="0" w:space="0" w:color="auto"/>
        <w:left w:val="none" w:sz="0" w:space="0" w:color="auto"/>
        <w:bottom w:val="none" w:sz="0" w:space="0" w:color="auto"/>
        <w:right w:val="none" w:sz="0" w:space="0" w:color="auto"/>
      </w:divBdr>
    </w:div>
    <w:div w:id="33042589">
      <w:bodyDiv w:val="1"/>
      <w:marLeft w:val="0"/>
      <w:marRight w:val="0"/>
      <w:marTop w:val="0"/>
      <w:marBottom w:val="0"/>
      <w:divBdr>
        <w:top w:val="none" w:sz="0" w:space="0" w:color="auto"/>
        <w:left w:val="none" w:sz="0" w:space="0" w:color="auto"/>
        <w:bottom w:val="none" w:sz="0" w:space="0" w:color="auto"/>
        <w:right w:val="none" w:sz="0" w:space="0" w:color="auto"/>
      </w:divBdr>
    </w:div>
    <w:div w:id="33121085">
      <w:bodyDiv w:val="1"/>
      <w:marLeft w:val="0"/>
      <w:marRight w:val="0"/>
      <w:marTop w:val="0"/>
      <w:marBottom w:val="0"/>
      <w:divBdr>
        <w:top w:val="none" w:sz="0" w:space="0" w:color="auto"/>
        <w:left w:val="none" w:sz="0" w:space="0" w:color="auto"/>
        <w:bottom w:val="none" w:sz="0" w:space="0" w:color="auto"/>
        <w:right w:val="none" w:sz="0" w:space="0" w:color="auto"/>
      </w:divBdr>
    </w:div>
    <w:div w:id="35936568">
      <w:bodyDiv w:val="1"/>
      <w:marLeft w:val="0"/>
      <w:marRight w:val="0"/>
      <w:marTop w:val="0"/>
      <w:marBottom w:val="0"/>
      <w:divBdr>
        <w:top w:val="none" w:sz="0" w:space="0" w:color="auto"/>
        <w:left w:val="none" w:sz="0" w:space="0" w:color="auto"/>
        <w:bottom w:val="none" w:sz="0" w:space="0" w:color="auto"/>
        <w:right w:val="none" w:sz="0" w:space="0" w:color="auto"/>
      </w:divBdr>
    </w:div>
    <w:div w:id="39131606">
      <w:bodyDiv w:val="1"/>
      <w:marLeft w:val="0"/>
      <w:marRight w:val="0"/>
      <w:marTop w:val="0"/>
      <w:marBottom w:val="0"/>
      <w:divBdr>
        <w:top w:val="none" w:sz="0" w:space="0" w:color="auto"/>
        <w:left w:val="none" w:sz="0" w:space="0" w:color="auto"/>
        <w:bottom w:val="none" w:sz="0" w:space="0" w:color="auto"/>
        <w:right w:val="none" w:sz="0" w:space="0" w:color="auto"/>
      </w:divBdr>
    </w:div>
    <w:div w:id="40715413">
      <w:bodyDiv w:val="1"/>
      <w:marLeft w:val="0"/>
      <w:marRight w:val="0"/>
      <w:marTop w:val="0"/>
      <w:marBottom w:val="0"/>
      <w:divBdr>
        <w:top w:val="none" w:sz="0" w:space="0" w:color="auto"/>
        <w:left w:val="none" w:sz="0" w:space="0" w:color="auto"/>
        <w:bottom w:val="none" w:sz="0" w:space="0" w:color="auto"/>
        <w:right w:val="none" w:sz="0" w:space="0" w:color="auto"/>
      </w:divBdr>
    </w:div>
    <w:div w:id="41365042">
      <w:bodyDiv w:val="1"/>
      <w:marLeft w:val="0"/>
      <w:marRight w:val="0"/>
      <w:marTop w:val="0"/>
      <w:marBottom w:val="0"/>
      <w:divBdr>
        <w:top w:val="none" w:sz="0" w:space="0" w:color="auto"/>
        <w:left w:val="none" w:sz="0" w:space="0" w:color="auto"/>
        <w:bottom w:val="none" w:sz="0" w:space="0" w:color="auto"/>
        <w:right w:val="none" w:sz="0" w:space="0" w:color="auto"/>
      </w:divBdr>
    </w:div>
    <w:div w:id="43601067">
      <w:bodyDiv w:val="1"/>
      <w:marLeft w:val="0"/>
      <w:marRight w:val="0"/>
      <w:marTop w:val="0"/>
      <w:marBottom w:val="0"/>
      <w:divBdr>
        <w:top w:val="none" w:sz="0" w:space="0" w:color="auto"/>
        <w:left w:val="none" w:sz="0" w:space="0" w:color="auto"/>
        <w:bottom w:val="none" w:sz="0" w:space="0" w:color="auto"/>
        <w:right w:val="none" w:sz="0" w:space="0" w:color="auto"/>
      </w:divBdr>
    </w:div>
    <w:div w:id="44069291">
      <w:bodyDiv w:val="1"/>
      <w:marLeft w:val="0"/>
      <w:marRight w:val="0"/>
      <w:marTop w:val="0"/>
      <w:marBottom w:val="0"/>
      <w:divBdr>
        <w:top w:val="none" w:sz="0" w:space="0" w:color="auto"/>
        <w:left w:val="none" w:sz="0" w:space="0" w:color="auto"/>
        <w:bottom w:val="none" w:sz="0" w:space="0" w:color="auto"/>
        <w:right w:val="none" w:sz="0" w:space="0" w:color="auto"/>
      </w:divBdr>
    </w:div>
    <w:div w:id="44837603">
      <w:bodyDiv w:val="1"/>
      <w:marLeft w:val="0"/>
      <w:marRight w:val="0"/>
      <w:marTop w:val="0"/>
      <w:marBottom w:val="0"/>
      <w:divBdr>
        <w:top w:val="none" w:sz="0" w:space="0" w:color="auto"/>
        <w:left w:val="none" w:sz="0" w:space="0" w:color="auto"/>
        <w:bottom w:val="none" w:sz="0" w:space="0" w:color="auto"/>
        <w:right w:val="none" w:sz="0" w:space="0" w:color="auto"/>
      </w:divBdr>
    </w:div>
    <w:div w:id="46876146">
      <w:bodyDiv w:val="1"/>
      <w:marLeft w:val="0"/>
      <w:marRight w:val="0"/>
      <w:marTop w:val="0"/>
      <w:marBottom w:val="0"/>
      <w:divBdr>
        <w:top w:val="none" w:sz="0" w:space="0" w:color="auto"/>
        <w:left w:val="none" w:sz="0" w:space="0" w:color="auto"/>
        <w:bottom w:val="none" w:sz="0" w:space="0" w:color="auto"/>
        <w:right w:val="none" w:sz="0" w:space="0" w:color="auto"/>
      </w:divBdr>
    </w:div>
    <w:div w:id="48304408">
      <w:bodyDiv w:val="1"/>
      <w:marLeft w:val="0"/>
      <w:marRight w:val="0"/>
      <w:marTop w:val="0"/>
      <w:marBottom w:val="0"/>
      <w:divBdr>
        <w:top w:val="none" w:sz="0" w:space="0" w:color="auto"/>
        <w:left w:val="none" w:sz="0" w:space="0" w:color="auto"/>
        <w:bottom w:val="none" w:sz="0" w:space="0" w:color="auto"/>
        <w:right w:val="none" w:sz="0" w:space="0" w:color="auto"/>
      </w:divBdr>
    </w:div>
    <w:div w:id="48307644">
      <w:bodyDiv w:val="1"/>
      <w:marLeft w:val="0"/>
      <w:marRight w:val="0"/>
      <w:marTop w:val="0"/>
      <w:marBottom w:val="0"/>
      <w:divBdr>
        <w:top w:val="none" w:sz="0" w:space="0" w:color="auto"/>
        <w:left w:val="none" w:sz="0" w:space="0" w:color="auto"/>
        <w:bottom w:val="none" w:sz="0" w:space="0" w:color="auto"/>
        <w:right w:val="none" w:sz="0" w:space="0" w:color="auto"/>
      </w:divBdr>
    </w:div>
    <w:div w:id="48457330">
      <w:bodyDiv w:val="1"/>
      <w:marLeft w:val="0"/>
      <w:marRight w:val="0"/>
      <w:marTop w:val="0"/>
      <w:marBottom w:val="0"/>
      <w:divBdr>
        <w:top w:val="none" w:sz="0" w:space="0" w:color="auto"/>
        <w:left w:val="none" w:sz="0" w:space="0" w:color="auto"/>
        <w:bottom w:val="none" w:sz="0" w:space="0" w:color="auto"/>
        <w:right w:val="none" w:sz="0" w:space="0" w:color="auto"/>
      </w:divBdr>
    </w:div>
    <w:div w:id="48966433">
      <w:bodyDiv w:val="1"/>
      <w:marLeft w:val="0"/>
      <w:marRight w:val="0"/>
      <w:marTop w:val="0"/>
      <w:marBottom w:val="0"/>
      <w:divBdr>
        <w:top w:val="none" w:sz="0" w:space="0" w:color="auto"/>
        <w:left w:val="none" w:sz="0" w:space="0" w:color="auto"/>
        <w:bottom w:val="none" w:sz="0" w:space="0" w:color="auto"/>
        <w:right w:val="none" w:sz="0" w:space="0" w:color="auto"/>
      </w:divBdr>
    </w:div>
    <w:div w:id="49698873">
      <w:bodyDiv w:val="1"/>
      <w:marLeft w:val="0"/>
      <w:marRight w:val="0"/>
      <w:marTop w:val="0"/>
      <w:marBottom w:val="0"/>
      <w:divBdr>
        <w:top w:val="none" w:sz="0" w:space="0" w:color="auto"/>
        <w:left w:val="none" w:sz="0" w:space="0" w:color="auto"/>
        <w:bottom w:val="none" w:sz="0" w:space="0" w:color="auto"/>
        <w:right w:val="none" w:sz="0" w:space="0" w:color="auto"/>
      </w:divBdr>
    </w:div>
    <w:div w:id="52657791">
      <w:bodyDiv w:val="1"/>
      <w:marLeft w:val="0"/>
      <w:marRight w:val="0"/>
      <w:marTop w:val="0"/>
      <w:marBottom w:val="0"/>
      <w:divBdr>
        <w:top w:val="none" w:sz="0" w:space="0" w:color="auto"/>
        <w:left w:val="none" w:sz="0" w:space="0" w:color="auto"/>
        <w:bottom w:val="none" w:sz="0" w:space="0" w:color="auto"/>
        <w:right w:val="none" w:sz="0" w:space="0" w:color="auto"/>
      </w:divBdr>
    </w:div>
    <w:div w:id="56977503">
      <w:bodyDiv w:val="1"/>
      <w:marLeft w:val="0"/>
      <w:marRight w:val="0"/>
      <w:marTop w:val="0"/>
      <w:marBottom w:val="0"/>
      <w:divBdr>
        <w:top w:val="none" w:sz="0" w:space="0" w:color="auto"/>
        <w:left w:val="none" w:sz="0" w:space="0" w:color="auto"/>
        <w:bottom w:val="none" w:sz="0" w:space="0" w:color="auto"/>
        <w:right w:val="none" w:sz="0" w:space="0" w:color="auto"/>
      </w:divBdr>
    </w:div>
    <w:div w:id="57243449">
      <w:bodyDiv w:val="1"/>
      <w:marLeft w:val="0"/>
      <w:marRight w:val="0"/>
      <w:marTop w:val="0"/>
      <w:marBottom w:val="0"/>
      <w:divBdr>
        <w:top w:val="none" w:sz="0" w:space="0" w:color="auto"/>
        <w:left w:val="none" w:sz="0" w:space="0" w:color="auto"/>
        <w:bottom w:val="none" w:sz="0" w:space="0" w:color="auto"/>
        <w:right w:val="none" w:sz="0" w:space="0" w:color="auto"/>
      </w:divBdr>
    </w:div>
    <w:div w:id="58137229">
      <w:bodyDiv w:val="1"/>
      <w:marLeft w:val="0"/>
      <w:marRight w:val="0"/>
      <w:marTop w:val="0"/>
      <w:marBottom w:val="0"/>
      <w:divBdr>
        <w:top w:val="none" w:sz="0" w:space="0" w:color="auto"/>
        <w:left w:val="none" w:sz="0" w:space="0" w:color="auto"/>
        <w:bottom w:val="none" w:sz="0" w:space="0" w:color="auto"/>
        <w:right w:val="none" w:sz="0" w:space="0" w:color="auto"/>
      </w:divBdr>
    </w:div>
    <w:div w:id="59060233">
      <w:bodyDiv w:val="1"/>
      <w:marLeft w:val="0"/>
      <w:marRight w:val="0"/>
      <w:marTop w:val="0"/>
      <w:marBottom w:val="0"/>
      <w:divBdr>
        <w:top w:val="none" w:sz="0" w:space="0" w:color="auto"/>
        <w:left w:val="none" w:sz="0" w:space="0" w:color="auto"/>
        <w:bottom w:val="none" w:sz="0" w:space="0" w:color="auto"/>
        <w:right w:val="none" w:sz="0" w:space="0" w:color="auto"/>
      </w:divBdr>
    </w:div>
    <w:div w:id="59599072">
      <w:bodyDiv w:val="1"/>
      <w:marLeft w:val="0"/>
      <w:marRight w:val="0"/>
      <w:marTop w:val="0"/>
      <w:marBottom w:val="0"/>
      <w:divBdr>
        <w:top w:val="none" w:sz="0" w:space="0" w:color="auto"/>
        <w:left w:val="none" w:sz="0" w:space="0" w:color="auto"/>
        <w:bottom w:val="none" w:sz="0" w:space="0" w:color="auto"/>
        <w:right w:val="none" w:sz="0" w:space="0" w:color="auto"/>
      </w:divBdr>
    </w:div>
    <w:div w:id="59837541">
      <w:bodyDiv w:val="1"/>
      <w:marLeft w:val="0"/>
      <w:marRight w:val="0"/>
      <w:marTop w:val="0"/>
      <w:marBottom w:val="0"/>
      <w:divBdr>
        <w:top w:val="none" w:sz="0" w:space="0" w:color="auto"/>
        <w:left w:val="none" w:sz="0" w:space="0" w:color="auto"/>
        <w:bottom w:val="none" w:sz="0" w:space="0" w:color="auto"/>
        <w:right w:val="none" w:sz="0" w:space="0" w:color="auto"/>
      </w:divBdr>
    </w:div>
    <w:div w:id="60907638">
      <w:bodyDiv w:val="1"/>
      <w:marLeft w:val="0"/>
      <w:marRight w:val="0"/>
      <w:marTop w:val="0"/>
      <w:marBottom w:val="0"/>
      <w:divBdr>
        <w:top w:val="none" w:sz="0" w:space="0" w:color="auto"/>
        <w:left w:val="none" w:sz="0" w:space="0" w:color="auto"/>
        <w:bottom w:val="none" w:sz="0" w:space="0" w:color="auto"/>
        <w:right w:val="none" w:sz="0" w:space="0" w:color="auto"/>
      </w:divBdr>
    </w:div>
    <w:div w:id="63917360">
      <w:bodyDiv w:val="1"/>
      <w:marLeft w:val="0"/>
      <w:marRight w:val="0"/>
      <w:marTop w:val="0"/>
      <w:marBottom w:val="0"/>
      <w:divBdr>
        <w:top w:val="none" w:sz="0" w:space="0" w:color="auto"/>
        <w:left w:val="none" w:sz="0" w:space="0" w:color="auto"/>
        <w:bottom w:val="none" w:sz="0" w:space="0" w:color="auto"/>
        <w:right w:val="none" w:sz="0" w:space="0" w:color="auto"/>
      </w:divBdr>
    </w:div>
    <w:div w:id="67458844">
      <w:bodyDiv w:val="1"/>
      <w:marLeft w:val="0"/>
      <w:marRight w:val="0"/>
      <w:marTop w:val="0"/>
      <w:marBottom w:val="0"/>
      <w:divBdr>
        <w:top w:val="none" w:sz="0" w:space="0" w:color="auto"/>
        <w:left w:val="none" w:sz="0" w:space="0" w:color="auto"/>
        <w:bottom w:val="none" w:sz="0" w:space="0" w:color="auto"/>
        <w:right w:val="none" w:sz="0" w:space="0" w:color="auto"/>
      </w:divBdr>
    </w:div>
    <w:div w:id="68700699">
      <w:bodyDiv w:val="1"/>
      <w:marLeft w:val="0"/>
      <w:marRight w:val="0"/>
      <w:marTop w:val="0"/>
      <w:marBottom w:val="0"/>
      <w:divBdr>
        <w:top w:val="none" w:sz="0" w:space="0" w:color="auto"/>
        <w:left w:val="none" w:sz="0" w:space="0" w:color="auto"/>
        <w:bottom w:val="none" w:sz="0" w:space="0" w:color="auto"/>
        <w:right w:val="none" w:sz="0" w:space="0" w:color="auto"/>
      </w:divBdr>
    </w:div>
    <w:div w:id="69009434">
      <w:bodyDiv w:val="1"/>
      <w:marLeft w:val="0"/>
      <w:marRight w:val="0"/>
      <w:marTop w:val="0"/>
      <w:marBottom w:val="0"/>
      <w:divBdr>
        <w:top w:val="none" w:sz="0" w:space="0" w:color="auto"/>
        <w:left w:val="none" w:sz="0" w:space="0" w:color="auto"/>
        <w:bottom w:val="none" w:sz="0" w:space="0" w:color="auto"/>
        <w:right w:val="none" w:sz="0" w:space="0" w:color="auto"/>
      </w:divBdr>
    </w:div>
    <w:div w:id="70079836">
      <w:bodyDiv w:val="1"/>
      <w:marLeft w:val="0"/>
      <w:marRight w:val="0"/>
      <w:marTop w:val="0"/>
      <w:marBottom w:val="0"/>
      <w:divBdr>
        <w:top w:val="none" w:sz="0" w:space="0" w:color="auto"/>
        <w:left w:val="none" w:sz="0" w:space="0" w:color="auto"/>
        <w:bottom w:val="none" w:sz="0" w:space="0" w:color="auto"/>
        <w:right w:val="none" w:sz="0" w:space="0" w:color="auto"/>
      </w:divBdr>
    </w:div>
    <w:div w:id="70470917">
      <w:bodyDiv w:val="1"/>
      <w:marLeft w:val="0"/>
      <w:marRight w:val="0"/>
      <w:marTop w:val="0"/>
      <w:marBottom w:val="0"/>
      <w:divBdr>
        <w:top w:val="none" w:sz="0" w:space="0" w:color="auto"/>
        <w:left w:val="none" w:sz="0" w:space="0" w:color="auto"/>
        <w:bottom w:val="none" w:sz="0" w:space="0" w:color="auto"/>
        <w:right w:val="none" w:sz="0" w:space="0" w:color="auto"/>
      </w:divBdr>
    </w:div>
    <w:div w:id="71853767">
      <w:bodyDiv w:val="1"/>
      <w:marLeft w:val="0"/>
      <w:marRight w:val="0"/>
      <w:marTop w:val="0"/>
      <w:marBottom w:val="0"/>
      <w:divBdr>
        <w:top w:val="none" w:sz="0" w:space="0" w:color="auto"/>
        <w:left w:val="none" w:sz="0" w:space="0" w:color="auto"/>
        <w:bottom w:val="none" w:sz="0" w:space="0" w:color="auto"/>
        <w:right w:val="none" w:sz="0" w:space="0" w:color="auto"/>
      </w:divBdr>
    </w:div>
    <w:div w:id="73360618">
      <w:bodyDiv w:val="1"/>
      <w:marLeft w:val="0"/>
      <w:marRight w:val="0"/>
      <w:marTop w:val="0"/>
      <w:marBottom w:val="0"/>
      <w:divBdr>
        <w:top w:val="none" w:sz="0" w:space="0" w:color="auto"/>
        <w:left w:val="none" w:sz="0" w:space="0" w:color="auto"/>
        <w:bottom w:val="none" w:sz="0" w:space="0" w:color="auto"/>
        <w:right w:val="none" w:sz="0" w:space="0" w:color="auto"/>
      </w:divBdr>
    </w:div>
    <w:div w:id="76026393">
      <w:bodyDiv w:val="1"/>
      <w:marLeft w:val="0"/>
      <w:marRight w:val="0"/>
      <w:marTop w:val="0"/>
      <w:marBottom w:val="0"/>
      <w:divBdr>
        <w:top w:val="none" w:sz="0" w:space="0" w:color="auto"/>
        <w:left w:val="none" w:sz="0" w:space="0" w:color="auto"/>
        <w:bottom w:val="none" w:sz="0" w:space="0" w:color="auto"/>
        <w:right w:val="none" w:sz="0" w:space="0" w:color="auto"/>
      </w:divBdr>
    </w:div>
    <w:div w:id="76294713">
      <w:bodyDiv w:val="1"/>
      <w:marLeft w:val="0"/>
      <w:marRight w:val="0"/>
      <w:marTop w:val="0"/>
      <w:marBottom w:val="0"/>
      <w:divBdr>
        <w:top w:val="none" w:sz="0" w:space="0" w:color="auto"/>
        <w:left w:val="none" w:sz="0" w:space="0" w:color="auto"/>
        <w:bottom w:val="none" w:sz="0" w:space="0" w:color="auto"/>
        <w:right w:val="none" w:sz="0" w:space="0" w:color="auto"/>
      </w:divBdr>
    </w:div>
    <w:div w:id="78868577">
      <w:bodyDiv w:val="1"/>
      <w:marLeft w:val="0"/>
      <w:marRight w:val="0"/>
      <w:marTop w:val="0"/>
      <w:marBottom w:val="0"/>
      <w:divBdr>
        <w:top w:val="none" w:sz="0" w:space="0" w:color="auto"/>
        <w:left w:val="none" w:sz="0" w:space="0" w:color="auto"/>
        <w:bottom w:val="none" w:sz="0" w:space="0" w:color="auto"/>
        <w:right w:val="none" w:sz="0" w:space="0" w:color="auto"/>
      </w:divBdr>
    </w:div>
    <w:div w:id="81335936">
      <w:bodyDiv w:val="1"/>
      <w:marLeft w:val="0"/>
      <w:marRight w:val="0"/>
      <w:marTop w:val="0"/>
      <w:marBottom w:val="0"/>
      <w:divBdr>
        <w:top w:val="none" w:sz="0" w:space="0" w:color="auto"/>
        <w:left w:val="none" w:sz="0" w:space="0" w:color="auto"/>
        <w:bottom w:val="none" w:sz="0" w:space="0" w:color="auto"/>
        <w:right w:val="none" w:sz="0" w:space="0" w:color="auto"/>
      </w:divBdr>
    </w:div>
    <w:div w:id="81873545">
      <w:bodyDiv w:val="1"/>
      <w:marLeft w:val="0"/>
      <w:marRight w:val="0"/>
      <w:marTop w:val="0"/>
      <w:marBottom w:val="0"/>
      <w:divBdr>
        <w:top w:val="none" w:sz="0" w:space="0" w:color="auto"/>
        <w:left w:val="none" w:sz="0" w:space="0" w:color="auto"/>
        <w:bottom w:val="none" w:sz="0" w:space="0" w:color="auto"/>
        <w:right w:val="none" w:sz="0" w:space="0" w:color="auto"/>
      </w:divBdr>
    </w:div>
    <w:div w:id="83769152">
      <w:bodyDiv w:val="1"/>
      <w:marLeft w:val="0"/>
      <w:marRight w:val="0"/>
      <w:marTop w:val="0"/>
      <w:marBottom w:val="0"/>
      <w:divBdr>
        <w:top w:val="none" w:sz="0" w:space="0" w:color="auto"/>
        <w:left w:val="none" w:sz="0" w:space="0" w:color="auto"/>
        <w:bottom w:val="none" w:sz="0" w:space="0" w:color="auto"/>
        <w:right w:val="none" w:sz="0" w:space="0" w:color="auto"/>
      </w:divBdr>
    </w:div>
    <w:div w:id="83915174">
      <w:bodyDiv w:val="1"/>
      <w:marLeft w:val="0"/>
      <w:marRight w:val="0"/>
      <w:marTop w:val="0"/>
      <w:marBottom w:val="0"/>
      <w:divBdr>
        <w:top w:val="none" w:sz="0" w:space="0" w:color="auto"/>
        <w:left w:val="none" w:sz="0" w:space="0" w:color="auto"/>
        <w:bottom w:val="none" w:sz="0" w:space="0" w:color="auto"/>
        <w:right w:val="none" w:sz="0" w:space="0" w:color="auto"/>
      </w:divBdr>
    </w:div>
    <w:div w:id="88047444">
      <w:bodyDiv w:val="1"/>
      <w:marLeft w:val="0"/>
      <w:marRight w:val="0"/>
      <w:marTop w:val="0"/>
      <w:marBottom w:val="0"/>
      <w:divBdr>
        <w:top w:val="none" w:sz="0" w:space="0" w:color="auto"/>
        <w:left w:val="none" w:sz="0" w:space="0" w:color="auto"/>
        <w:bottom w:val="none" w:sz="0" w:space="0" w:color="auto"/>
        <w:right w:val="none" w:sz="0" w:space="0" w:color="auto"/>
      </w:divBdr>
    </w:div>
    <w:div w:id="89476553">
      <w:bodyDiv w:val="1"/>
      <w:marLeft w:val="0"/>
      <w:marRight w:val="0"/>
      <w:marTop w:val="0"/>
      <w:marBottom w:val="0"/>
      <w:divBdr>
        <w:top w:val="none" w:sz="0" w:space="0" w:color="auto"/>
        <w:left w:val="none" w:sz="0" w:space="0" w:color="auto"/>
        <w:bottom w:val="none" w:sz="0" w:space="0" w:color="auto"/>
        <w:right w:val="none" w:sz="0" w:space="0" w:color="auto"/>
      </w:divBdr>
    </w:div>
    <w:div w:id="90664654">
      <w:bodyDiv w:val="1"/>
      <w:marLeft w:val="0"/>
      <w:marRight w:val="0"/>
      <w:marTop w:val="0"/>
      <w:marBottom w:val="0"/>
      <w:divBdr>
        <w:top w:val="none" w:sz="0" w:space="0" w:color="auto"/>
        <w:left w:val="none" w:sz="0" w:space="0" w:color="auto"/>
        <w:bottom w:val="none" w:sz="0" w:space="0" w:color="auto"/>
        <w:right w:val="none" w:sz="0" w:space="0" w:color="auto"/>
      </w:divBdr>
    </w:div>
    <w:div w:id="90712079">
      <w:bodyDiv w:val="1"/>
      <w:marLeft w:val="0"/>
      <w:marRight w:val="0"/>
      <w:marTop w:val="0"/>
      <w:marBottom w:val="0"/>
      <w:divBdr>
        <w:top w:val="none" w:sz="0" w:space="0" w:color="auto"/>
        <w:left w:val="none" w:sz="0" w:space="0" w:color="auto"/>
        <w:bottom w:val="none" w:sz="0" w:space="0" w:color="auto"/>
        <w:right w:val="none" w:sz="0" w:space="0" w:color="auto"/>
      </w:divBdr>
    </w:div>
    <w:div w:id="90977643">
      <w:bodyDiv w:val="1"/>
      <w:marLeft w:val="0"/>
      <w:marRight w:val="0"/>
      <w:marTop w:val="0"/>
      <w:marBottom w:val="0"/>
      <w:divBdr>
        <w:top w:val="none" w:sz="0" w:space="0" w:color="auto"/>
        <w:left w:val="none" w:sz="0" w:space="0" w:color="auto"/>
        <w:bottom w:val="none" w:sz="0" w:space="0" w:color="auto"/>
        <w:right w:val="none" w:sz="0" w:space="0" w:color="auto"/>
      </w:divBdr>
    </w:div>
    <w:div w:id="94254005">
      <w:bodyDiv w:val="1"/>
      <w:marLeft w:val="0"/>
      <w:marRight w:val="0"/>
      <w:marTop w:val="0"/>
      <w:marBottom w:val="0"/>
      <w:divBdr>
        <w:top w:val="none" w:sz="0" w:space="0" w:color="auto"/>
        <w:left w:val="none" w:sz="0" w:space="0" w:color="auto"/>
        <w:bottom w:val="none" w:sz="0" w:space="0" w:color="auto"/>
        <w:right w:val="none" w:sz="0" w:space="0" w:color="auto"/>
      </w:divBdr>
    </w:div>
    <w:div w:id="95256286">
      <w:bodyDiv w:val="1"/>
      <w:marLeft w:val="0"/>
      <w:marRight w:val="0"/>
      <w:marTop w:val="0"/>
      <w:marBottom w:val="0"/>
      <w:divBdr>
        <w:top w:val="none" w:sz="0" w:space="0" w:color="auto"/>
        <w:left w:val="none" w:sz="0" w:space="0" w:color="auto"/>
        <w:bottom w:val="none" w:sz="0" w:space="0" w:color="auto"/>
        <w:right w:val="none" w:sz="0" w:space="0" w:color="auto"/>
      </w:divBdr>
    </w:div>
    <w:div w:id="96677838">
      <w:bodyDiv w:val="1"/>
      <w:marLeft w:val="0"/>
      <w:marRight w:val="0"/>
      <w:marTop w:val="0"/>
      <w:marBottom w:val="0"/>
      <w:divBdr>
        <w:top w:val="none" w:sz="0" w:space="0" w:color="auto"/>
        <w:left w:val="none" w:sz="0" w:space="0" w:color="auto"/>
        <w:bottom w:val="none" w:sz="0" w:space="0" w:color="auto"/>
        <w:right w:val="none" w:sz="0" w:space="0" w:color="auto"/>
      </w:divBdr>
    </w:div>
    <w:div w:id="96684104">
      <w:bodyDiv w:val="1"/>
      <w:marLeft w:val="0"/>
      <w:marRight w:val="0"/>
      <w:marTop w:val="0"/>
      <w:marBottom w:val="0"/>
      <w:divBdr>
        <w:top w:val="none" w:sz="0" w:space="0" w:color="auto"/>
        <w:left w:val="none" w:sz="0" w:space="0" w:color="auto"/>
        <w:bottom w:val="none" w:sz="0" w:space="0" w:color="auto"/>
        <w:right w:val="none" w:sz="0" w:space="0" w:color="auto"/>
      </w:divBdr>
    </w:div>
    <w:div w:id="99184011">
      <w:bodyDiv w:val="1"/>
      <w:marLeft w:val="0"/>
      <w:marRight w:val="0"/>
      <w:marTop w:val="0"/>
      <w:marBottom w:val="0"/>
      <w:divBdr>
        <w:top w:val="none" w:sz="0" w:space="0" w:color="auto"/>
        <w:left w:val="none" w:sz="0" w:space="0" w:color="auto"/>
        <w:bottom w:val="none" w:sz="0" w:space="0" w:color="auto"/>
        <w:right w:val="none" w:sz="0" w:space="0" w:color="auto"/>
      </w:divBdr>
    </w:div>
    <w:div w:id="100685973">
      <w:bodyDiv w:val="1"/>
      <w:marLeft w:val="0"/>
      <w:marRight w:val="0"/>
      <w:marTop w:val="0"/>
      <w:marBottom w:val="0"/>
      <w:divBdr>
        <w:top w:val="none" w:sz="0" w:space="0" w:color="auto"/>
        <w:left w:val="none" w:sz="0" w:space="0" w:color="auto"/>
        <w:bottom w:val="none" w:sz="0" w:space="0" w:color="auto"/>
        <w:right w:val="none" w:sz="0" w:space="0" w:color="auto"/>
      </w:divBdr>
    </w:div>
    <w:div w:id="101808976">
      <w:bodyDiv w:val="1"/>
      <w:marLeft w:val="0"/>
      <w:marRight w:val="0"/>
      <w:marTop w:val="0"/>
      <w:marBottom w:val="0"/>
      <w:divBdr>
        <w:top w:val="none" w:sz="0" w:space="0" w:color="auto"/>
        <w:left w:val="none" w:sz="0" w:space="0" w:color="auto"/>
        <w:bottom w:val="none" w:sz="0" w:space="0" w:color="auto"/>
        <w:right w:val="none" w:sz="0" w:space="0" w:color="auto"/>
      </w:divBdr>
    </w:div>
    <w:div w:id="103772996">
      <w:bodyDiv w:val="1"/>
      <w:marLeft w:val="0"/>
      <w:marRight w:val="0"/>
      <w:marTop w:val="0"/>
      <w:marBottom w:val="0"/>
      <w:divBdr>
        <w:top w:val="none" w:sz="0" w:space="0" w:color="auto"/>
        <w:left w:val="none" w:sz="0" w:space="0" w:color="auto"/>
        <w:bottom w:val="none" w:sz="0" w:space="0" w:color="auto"/>
        <w:right w:val="none" w:sz="0" w:space="0" w:color="auto"/>
      </w:divBdr>
    </w:div>
    <w:div w:id="105973856">
      <w:bodyDiv w:val="1"/>
      <w:marLeft w:val="0"/>
      <w:marRight w:val="0"/>
      <w:marTop w:val="0"/>
      <w:marBottom w:val="0"/>
      <w:divBdr>
        <w:top w:val="none" w:sz="0" w:space="0" w:color="auto"/>
        <w:left w:val="none" w:sz="0" w:space="0" w:color="auto"/>
        <w:bottom w:val="none" w:sz="0" w:space="0" w:color="auto"/>
        <w:right w:val="none" w:sz="0" w:space="0" w:color="auto"/>
      </w:divBdr>
    </w:div>
    <w:div w:id="107506636">
      <w:bodyDiv w:val="1"/>
      <w:marLeft w:val="0"/>
      <w:marRight w:val="0"/>
      <w:marTop w:val="0"/>
      <w:marBottom w:val="0"/>
      <w:divBdr>
        <w:top w:val="none" w:sz="0" w:space="0" w:color="auto"/>
        <w:left w:val="none" w:sz="0" w:space="0" w:color="auto"/>
        <w:bottom w:val="none" w:sz="0" w:space="0" w:color="auto"/>
        <w:right w:val="none" w:sz="0" w:space="0" w:color="auto"/>
      </w:divBdr>
    </w:div>
    <w:div w:id="109591474">
      <w:bodyDiv w:val="1"/>
      <w:marLeft w:val="0"/>
      <w:marRight w:val="0"/>
      <w:marTop w:val="0"/>
      <w:marBottom w:val="0"/>
      <w:divBdr>
        <w:top w:val="none" w:sz="0" w:space="0" w:color="auto"/>
        <w:left w:val="none" w:sz="0" w:space="0" w:color="auto"/>
        <w:bottom w:val="none" w:sz="0" w:space="0" w:color="auto"/>
        <w:right w:val="none" w:sz="0" w:space="0" w:color="auto"/>
      </w:divBdr>
    </w:div>
    <w:div w:id="113059415">
      <w:bodyDiv w:val="1"/>
      <w:marLeft w:val="0"/>
      <w:marRight w:val="0"/>
      <w:marTop w:val="0"/>
      <w:marBottom w:val="0"/>
      <w:divBdr>
        <w:top w:val="none" w:sz="0" w:space="0" w:color="auto"/>
        <w:left w:val="none" w:sz="0" w:space="0" w:color="auto"/>
        <w:bottom w:val="none" w:sz="0" w:space="0" w:color="auto"/>
        <w:right w:val="none" w:sz="0" w:space="0" w:color="auto"/>
      </w:divBdr>
    </w:div>
    <w:div w:id="116602417">
      <w:bodyDiv w:val="1"/>
      <w:marLeft w:val="0"/>
      <w:marRight w:val="0"/>
      <w:marTop w:val="0"/>
      <w:marBottom w:val="0"/>
      <w:divBdr>
        <w:top w:val="none" w:sz="0" w:space="0" w:color="auto"/>
        <w:left w:val="none" w:sz="0" w:space="0" w:color="auto"/>
        <w:bottom w:val="none" w:sz="0" w:space="0" w:color="auto"/>
        <w:right w:val="none" w:sz="0" w:space="0" w:color="auto"/>
      </w:divBdr>
    </w:div>
    <w:div w:id="116872201">
      <w:bodyDiv w:val="1"/>
      <w:marLeft w:val="0"/>
      <w:marRight w:val="0"/>
      <w:marTop w:val="0"/>
      <w:marBottom w:val="0"/>
      <w:divBdr>
        <w:top w:val="none" w:sz="0" w:space="0" w:color="auto"/>
        <w:left w:val="none" w:sz="0" w:space="0" w:color="auto"/>
        <w:bottom w:val="none" w:sz="0" w:space="0" w:color="auto"/>
        <w:right w:val="none" w:sz="0" w:space="0" w:color="auto"/>
      </w:divBdr>
    </w:div>
    <w:div w:id="117382003">
      <w:bodyDiv w:val="1"/>
      <w:marLeft w:val="0"/>
      <w:marRight w:val="0"/>
      <w:marTop w:val="0"/>
      <w:marBottom w:val="0"/>
      <w:divBdr>
        <w:top w:val="none" w:sz="0" w:space="0" w:color="auto"/>
        <w:left w:val="none" w:sz="0" w:space="0" w:color="auto"/>
        <w:bottom w:val="none" w:sz="0" w:space="0" w:color="auto"/>
        <w:right w:val="none" w:sz="0" w:space="0" w:color="auto"/>
      </w:divBdr>
    </w:div>
    <w:div w:id="118688619">
      <w:bodyDiv w:val="1"/>
      <w:marLeft w:val="0"/>
      <w:marRight w:val="0"/>
      <w:marTop w:val="0"/>
      <w:marBottom w:val="0"/>
      <w:divBdr>
        <w:top w:val="none" w:sz="0" w:space="0" w:color="auto"/>
        <w:left w:val="none" w:sz="0" w:space="0" w:color="auto"/>
        <w:bottom w:val="none" w:sz="0" w:space="0" w:color="auto"/>
        <w:right w:val="none" w:sz="0" w:space="0" w:color="auto"/>
      </w:divBdr>
    </w:div>
    <w:div w:id="119492690">
      <w:bodyDiv w:val="1"/>
      <w:marLeft w:val="0"/>
      <w:marRight w:val="0"/>
      <w:marTop w:val="0"/>
      <w:marBottom w:val="0"/>
      <w:divBdr>
        <w:top w:val="none" w:sz="0" w:space="0" w:color="auto"/>
        <w:left w:val="none" w:sz="0" w:space="0" w:color="auto"/>
        <w:bottom w:val="none" w:sz="0" w:space="0" w:color="auto"/>
        <w:right w:val="none" w:sz="0" w:space="0" w:color="auto"/>
      </w:divBdr>
    </w:div>
    <w:div w:id="123542295">
      <w:bodyDiv w:val="1"/>
      <w:marLeft w:val="0"/>
      <w:marRight w:val="0"/>
      <w:marTop w:val="0"/>
      <w:marBottom w:val="0"/>
      <w:divBdr>
        <w:top w:val="none" w:sz="0" w:space="0" w:color="auto"/>
        <w:left w:val="none" w:sz="0" w:space="0" w:color="auto"/>
        <w:bottom w:val="none" w:sz="0" w:space="0" w:color="auto"/>
        <w:right w:val="none" w:sz="0" w:space="0" w:color="auto"/>
      </w:divBdr>
    </w:div>
    <w:div w:id="124011014">
      <w:bodyDiv w:val="1"/>
      <w:marLeft w:val="0"/>
      <w:marRight w:val="0"/>
      <w:marTop w:val="0"/>
      <w:marBottom w:val="0"/>
      <w:divBdr>
        <w:top w:val="none" w:sz="0" w:space="0" w:color="auto"/>
        <w:left w:val="none" w:sz="0" w:space="0" w:color="auto"/>
        <w:bottom w:val="none" w:sz="0" w:space="0" w:color="auto"/>
        <w:right w:val="none" w:sz="0" w:space="0" w:color="auto"/>
      </w:divBdr>
    </w:div>
    <w:div w:id="124322428">
      <w:bodyDiv w:val="1"/>
      <w:marLeft w:val="0"/>
      <w:marRight w:val="0"/>
      <w:marTop w:val="0"/>
      <w:marBottom w:val="0"/>
      <w:divBdr>
        <w:top w:val="none" w:sz="0" w:space="0" w:color="auto"/>
        <w:left w:val="none" w:sz="0" w:space="0" w:color="auto"/>
        <w:bottom w:val="none" w:sz="0" w:space="0" w:color="auto"/>
        <w:right w:val="none" w:sz="0" w:space="0" w:color="auto"/>
      </w:divBdr>
    </w:div>
    <w:div w:id="125973676">
      <w:bodyDiv w:val="1"/>
      <w:marLeft w:val="0"/>
      <w:marRight w:val="0"/>
      <w:marTop w:val="0"/>
      <w:marBottom w:val="0"/>
      <w:divBdr>
        <w:top w:val="none" w:sz="0" w:space="0" w:color="auto"/>
        <w:left w:val="none" w:sz="0" w:space="0" w:color="auto"/>
        <w:bottom w:val="none" w:sz="0" w:space="0" w:color="auto"/>
        <w:right w:val="none" w:sz="0" w:space="0" w:color="auto"/>
      </w:divBdr>
    </w:div>
    <w:div w:id="127668932">
      <w:bodyDiv w:val="1"/>
      <w:marLeft w:val="0"/>
      <w:marRight w:val="0"/>
      <w:marTop w:val="0"/>
      <w:marBottom w:val="0"/>
      <w:divBdr>
        <w:top w:val="none" w:sz="0" w:space="0" w:color="auto"/>
        <w:left w:val="none" w:sz="0" w:space="0" w:color="auto"/>
        <w:bottom w:val="none" w:sz="0" w:space="0" w:color="auto"/>
        <w:right w:val="none" w:sz="0" w:space="0" w:color="auto"/>
      </w:divBdr>
    </w:div>
    <w:div w:id="128671981">
      <w:bodyDiv w:val="1"/>
      <w:marLeft w:val="0"/>
      <w:marRight w:val="0"/>
      <w:marTop w:val="0"/>
      <w:marBottom w:val="0"/>
      <w:divBdr>
        <w:top w:val="none" w:sz="0" w:space="0" w:color="auto"/>
        <w:left w:val="none" w:sz="0" w:space="0" w:color="auto"/>
        <w:bottom w:val="none" w:sz="0" w:space="0" w:color="auto"/>
        <w:right w:val="none" w:sz="0" w:space="0" w:color="auto"/>
      </w:divBdr>
    </w:div>
    <w:div w:id="133841819">
      <w:bodyDiv w:val="1"/>
      <w:marLeft w:val="0"/>
      <w:marRight w:val="0"/>
      <w:marTop w:val="0"/>
      <w:marBottom w:val="0"/>
      <w:divBdr>
        <w:top w:val="none" w:sz="0" w:space="0" w:color="auto"/>
        <w:left w:val="none" w:sz="0" w:space="0" w:color="auto"/>
        <w:bottom w:val="none" w:sz="0" w:space="0" w:color="auto"/>
        <w:right w:val="none" w:sz="0" w:space="0" w:color="auto"/>
      </w:divBdr>
    </w:div>
    <w:div w:id="134951925">
      <w:bodyDiv w:val="1"/>
      <w:marLeft w:val="0"/>
      <w:marRight w:val="0"/>
      <w:marTop w:val="0"/>
      <w:marBottom w:val="0"/>
      <w:divBdr>
        <w:top w:val="none" w:sz="0" w:space="0" w:color="auto"/>
        <w:left w:val="none" w:sz="0" w:space="0" w:color="auto"/>
        <w:bottom w:val="none" w:sz="0" w:space="0" w:color="auto"/>
        <w:right w:val="none" w:sz="0" w:space="0" w:color="auto"/>
      </w:divBdr>
    </w:div>
    <w:div w:id="135683765">
      <w:bodyDiv w:val="1"/>
      <w:marLeft w:val="0"/>
      <w:marRight w:val="0"/>
      <w:marTop w:val="0"/>
      <w:marBottom w:val="0"/>
      <w:divBdr>
        <w:top w:val="none" w:sz="0" w:space="0" w:color="auto"/>
        <w:left w:val="none" w:sz="0" w:space="0" w:color="auto"/>
        <w:bottom w:val="none" w:sz="0" w:space="0" w:color="auto"/>
        <w:right w:val="none" w:sz="0" w:space="0" w:color="auto"/>
      </w:divBdr>
    </w:div>
    <w:div w:id="139615831">
      <w:bodyDiv w:val="1"/>
      <w:marLeft w:val="0"/>
      <w:marRight w:val="0"/>
      <w:marTop w:val="0"/>
      <w:marBottom w:val="0"/>
      <w:divBdr>
        <w:top w:val="none" w:sz="0" w:space="0" w:color="auto"/>
        <w:left w:val="none" w:sz="0" w:space="0" w:color="auto"/>
        <w:bottom w:val="none" w:sz="0" w:space="0" w:color="auto"/>
        <w:right w:val="none" w:sz="0" w:space="0" w:color="auto"/>
      </w:divBdr>
    </w:div>
    <w:div w:id="141165107">
      <w:bodyDiv w:val="1"/>
      <w:marLeft w:val="0"/>
      <w:marRight w:val="0"/>
      <w:marTop w:val="0"/>
      <w:marBottom w:val="0"/>
      <w:divBdr>
        <w:top w:val="none" w:sz="0" w:space="0" w:color="auto"/>
        <w:left w:val="none" w:sz="0" w:space="0" w:color="auto"/>
        <w:bottom w:val="none" w:sz="0" w:space="0" w:color="auto"/>
        <w:right w:val="none" w:sz="0" w:space="0" w:color="auto"/>
      </w:divBdr>
    </w:div>
    <w:div w:id="141579147">
      <w:bodyDiv w:val="1"/>
      <w:marLeft w:val="0"/>
      <w:marRight w:val="0"/>
      <w:marTop w:val="0"/>
      <w:marBottom w:val="0"/>
      <w:divBdr>
        <w:top w:val="none" w:sz="0" w:space="0" w:color="auto"/>
        <w:left w:val="none" w:sz="0" w:space="0" w:color="auto"/>
        <w:bottom w:val="none" w:sz="0" w:space="0" w:color="auto"/>
        <w:right w:val="none" w:sz="0" w:space="0" w:color="auto"/>
      </w:divBdr>
    </w:div>
    <w:div w:id="141584284">
      <w:bodyDiv w:val="1"/>
      <w:marLeft w:val="0"/>
      <w:marRight w:val="0"/>
      <w:marTop w:val="0"/>
      <w:marBottom w:val="0"/>
      <w:divBdr>
        <w:top w:val="none" w:sz="0" w:space="0" w:color="auto"/>
        <w:left w:val="none" w:sz="0" w:space="0" w:color="auto"/>
        <w:bottom w:val="none" w:sz="0" w:space="0" w:color="auto"/>
        <w:right w:val="none" w:sz="0" w:space="0" w:color="auto"/>
      </w:divBdr>
    </w:div>
    <w:div w:id="141971939">
      <w:bodyDiv w:val="1"/>
      <w:marLeft w:val="0"/>
      <w:marRight w:val="0"/>
      <w:marTop w:val="0"/>
      <w:marBottom w:val="0"/>
      <w:divBdr>
        <w:top w:val="none" w:sz="0" w:space="0" w:color="auto"/>
        <w:left w:val="none" w:sz="0" w:space="0" w:color="auto"/>
        <w:bottom w:val="none" w:sz="0" w:space="0" w:color="auto"/>
        <w:right w:val="none" w:sz="0" w:space="0" w:color="auto"/>
      </w:divBdr>
    </w:div>
    <w:div w:id="145249617">
      <w:bodyDiv w:val="1"/>
      <w:marLeft w:val="0"/>
      <w:marRight w:val="0"/>
      <w:marTop w:val="0"/>
      <w:marBottom w:val="0"/>
      <w:divBdr>
        <w:top w:val="none" w:sz="0" w:space="0" w:color="auto"/>
        <w:left w:val="none" w:sz="0" w:space="0" w:color="auto"/>
        <w:bottom w:val="none" w:sz="0" w:space="0" w:color="auto"/>
        <w:right w:val="none" w:sz="0" w:space="0" w:color="auto"/>
      </w:divBdr>
    </w:div>
    <w:div w:id="147747968">
      <w:bodyDiv w:val="1"/>
      <w:marLeft w:val="0"/>
      <w:marRight w:val="0"/>
      <w:marTop w:val="0"/>
      <w:marBottom w:val="0"/>
      <w:divBdr>
        <w:top w:val="none" w:sz="0" w:space="0" w:color="auto"/>
        <w:left w:val="none" w:sz="0" w:space="0" w:color="auto"/>
        <w:bottom w:val="none" w:sz="0" w:space="0" w:color="auto"/>
        <w:right w:val="none" w:sz="0" w:space="0" w:color="auto"/>
      </w:divBdr>
    </w:div>
    <w:div w:id="148522047">
      <w:bodyDiv w:val="1"/>
      <w:marLeft w:val="0"/>
      <w:marRight w:val="0"/>
      <w:marTop w:val="0"/>
      <w:marBottom w:val="0"/>
      <w:divBdr>
        <w:top w:val="none" w:sz="0" w:space="0" w:color="auto"/>
        <w:left w:val="none" w:sz="0" w:space="0" w:color="auto"/>
        <w:bottom w:val="none" w:sz="0" w:space="0" w:color="auto"/>
        <w:right w:val="none" w:sz="0" w:space="0" w:color="auto"/>
      </w:divBdr>
    </w:div>
    <w:div w:id="151138801">
      <w:bodyDiv w:val="1"/>
      <w:marLeft w:val="0"/>
      <w:marRight w:val="0"/>
      <w:marTop w:val="0"/>
      <w:marBottom w:val="0"/>
      <w:divBdr>
        <w:top w:val="none" w:sz="0" w:space="0" w:color="auto"/>
        <w:left w:val="none" w:sz="0" w:space="0" w:color="auto"/>
        <w:bottom w:val="none" w:sz="0" w:space="0" w:color="auto"/>
        <w:right w:val="none" w:sz="0" w:space="0" w:color="auto"/>
      </w:divBdr>
    </w:div>
    <w:div w:id="151143828">
      <w:bodyDiv w:val="1"/>
      <w:marLeft w:val="0"/>
      <w:marRight w:val="0"/>
      <w:marTop w:val="0"/>
      <w:marBottom w:val="0"/>
      <w:divBdr>
        <w:top w:val="none" w:sz="0" w:space="0" w:color="auto"/>
        <w:left w:val="none" w:sz="0" w:space="0" w:color="auto"/>
        <w:bottom w:val="none" w:sz="0" w:space="0" w:color="auto"/>
        <w:right w:val="none" w:sz="0" w:space="0" w:color="auto"/>
      </w:divBdr>
    </w:div>
    <w:div w:id="151723975">
      <w:bodyDiv w:val="1"/>
      <w:marLeft w:val="0"/>
      <w:marRight w:val="0"/>
      <w:marTop w:val="0"/>
      <w:marBottom w:val="0"/>
      <w:divBdr>
        <w:top w:val="none" w:sz="0" w:space="0" w:color="auto"/>
        <w:left w:val="none" w:sz="0" w:space="0" w:color="auto"/>
        <w:bottom w:val="none" w:sz="0" w:space="0" w:color="auto"/>
        <w:right w:val="none" w:sz="0" w:space="0" w:color="auto"/>
      </w:divBdr>
    </w:div>
    <w:div w:id="153451421">
      <w:bodyDiv w:val="1"/>
      <w:marLeft w:val="0"/>
      <w:marRight w:val="0"/>
      <w:marTop w:val="0"/>
      <w:marBottom w:val="0"/>
      <w:divBdr>
        <w:top w:val="none" w:sz="0" w:space="0" w:color="auto"/>
        <w:left w:val="none" w:sz="0" w:space="0" w:color="auto"/>
        <w:bottom w:val="none" w:sz="0" w:space="0" w:color="auto"/>
        <w:right w:val="none" w:sz="0" w:space="0" w:color="auto"/>
      </w:divBdr>
    </w:div>
    <w:div w:id="156577082">
      <w:bodyDiv w:val="1"/>
      <w:marLeft w:val="0"/>
      <w:marRight w:val="0"/>
      <w:marTop w:val="0"/>
      <w:marBottom w:val="0"/>
      <w:divBdr>
        <w:top w:val="none" w:sz="0" w:space="0" w:color="auto"/>
        <w:left w:val="none" w:sz="0" w:space="0" w:color="auto"/>
        <w:bottom w:val="none" w:sz="0" w:space="0" w:color="auto"/>
        <w:right w:val="none" w:sz="0" w:space="0" w:color="auto"/>
      </w:divBdr>
    </w:div>
    <w:div w:id="158931351">
      <w:bodyDiv w:val="1"/>
      <w:marLeft w:val="0"/>
      <w:marRight w:val="0"/>
      <w:marTop w:val="0"/>
      <w:marBottom w:val="0"/>
      <w:divBdr>
        <w:top w:val="none" w:sz="0" w:space="0" w:color="auto"/>
        <w:left w:val="none" w:sz="0" w:space="0" w:color="auto"/>
        <w:bottom w:val="none" w:sz="0" w:space="0" w:color="auto"/>
        <w:right w:val="none" w:sz="0" w:space="0" w:color="auto"/>
      </w:divBdr>
    </w:div>
    <w:div w:id="159929132">
      <w:bodyDiv w:val="1"/>
      <w:marLeft w:val="0"/>
      <w:marRight w:val="0"/>
      <w:marTop w:val="0"/>
      <w:marBottom w:val="0"/>
      <w:divBdr>
        <w:top w:val="none" w:sz="0" w:space="0" w:color="auto"/>
        <w:left w:val="none" w:sz="0" w:space="0" w:color="auto"/>
        <w:bottom w:val="none" w:sz="0" w:space="0" w:color="auto"/>
        <w:right w:val="none" w:sz="0" w:space="0" w:color="auto"/>
      </w:divBdr>
    </w:div>
    <w:div w:id="160396618">
      <w:bodyDiv w:val="1"/>
      <w:marLeft w:val="0"/>
      <w:marRight w:val="0"/>
      <w:marTop w:val="0"/>
      <w:marBottom w:val="0"/>
      <w:divBdr>
        <w:top w:val="none" w:sz="0" w:space="0" w:color="auto"/>
        <w:left w:val="none" w:sz="0" w:space="0" w:color="auto"/>
        <w:bottom w:val="none" w:sz="0" w:space="0" w:color="auto"/>
        <w:right w:val="none" w:sz="0" w:space="0" w:color="auto"/>
      </w:divBdr>
    </w:div>
    <w:div w:id="160437282">
      <w:bodyDiv w:val="1"/>
      <w:marLeft w:val="0"/>
      <w:marRight w:val="0"/>
      <w:marTop w:val="0"/>
      <w:marBottom w:val="0"/>
      <w:divBdr>
        <w:top w:val="none" w:sz="0" w:space="0" w:color="auto"/>
        <w:left w:val="none" w:sz="0" w:space="0" w:color="auto"/>
        <w:bottom w:val="none" w:sz="0" w:space="0" w:color="auto"/>
        <w:right w:val="none" w:sz="0" w:space="0" w:color="auto"/>
      </w:divBdr>
    </w:div>
    <w:div w:id="162205177">
      <w:bodyDiv w:val="1"/>
      <w:marLeft w:val="0"/>
      <w:marRight w:val="0"/>
      <w:marTop w:val="0"/>
      <w:marBottom w:val="0"/>
      <w:divBdr>
        <w:top w:val="none" w:sz="0" w:space="0" w:color="auto"/>
        <w:left w:val="none" w:sz="0" w:space="0" w:color="auto"/>
        <w:bottom w:val="none" w:sz="0" w:space="0" w:color="auto"/>
        <w:right w:val="none" w:sz="0" w:space="0" w:color="auto"/>
      </w:divBdr>
    </w:div>
    <w:div w:id="162933155">
      <w:bodyDiv w:val="1"/>
      <w:marLeft w:val="0"/>
      <w:marRight w:val="0"/>
      <w:marTop w:val="0"/>
      <w:marBottom w:val="0"/>
      <w:divBdr>
        <w:top w:val="none" w:sz="0" w:space="0" w:color="auto"/>
        <w:left w:val="none" w:sz="0" w:space="0" w:color="auto"/>
        <w:bottom w:val="none" w:sz="0" w:space="0" w:color="auto"/>
        <w:right w:val="none" w:sz="0" w:space="0" w:color="auto"/>
      </w:divBdr>
    </w:div>
    <w:div w:id="163477066">
      <w:bodyDiv w:val="1"/>
      <w:marLeft w:val="0"/>
      <w:marRight w:val="0"/>
      <w:marTop w:val="0"/>
      <w:marBottom w:val="0"/>
      <w:divBdr>
        <w:top w:val="none" w:sz="0" w:space="0" w:color="auto"/>
        <w:left w:val="none" w:sz="0" w:space="0" w:color="auto"/>
        <w:bottom w:val="none" w:sz="0" w:space="0" w:color="auto"/>
        <w:right w:val="none" w:sz="0" w:space="0" w:color="auto"/>
      </w:divBdr>
    </w:div>
    <w:div w:id="163670892">
      <w:bodyDiv w:val="1"/>
      <w:marLeft w:val="0"/>
      <w:marRight w:val="0"/>
      <w:marTop w:val="0"/>
      <w:marBottom w:val="0"/>
      <w:divBdr>
        <w:top w:val="none" w:sz="0" w:space="0" w:color="auto"/>
        <w:left w:val="none" w:sz="0" w:space="0" w:color="auto"/>
        <w:bottom w:val="none" w:sz="0" w:space="0" w:color="auto"/>
        <w:right w:val="none" w:sz="0" w:space="0" w:color="auto"/>
      </w:divBdr>
    </w:div>
    <w:div w:id="165901656">
      <w:bodyDiv w:val="1"/>
      <w:marLeft w:val="0"/>
      <w:marRight w:val="0"/>
      <w:marTop w:val="0"/>
      <w:marBottom w:val="0"/>
      <w:divBdr>
        <w:top w:val="none" w:sz="0" w:space="0" w:color="auto"/>
        <w:left w:val="none" w:sz="0" w:space="0" w:color="auto"/>
        <w:bottom w:val="none" w:sz="0" w:space="0" w:color="auto"/>
        <w:right w:val="none" w:sz="0" w:space="0" w:color="auto"/>
      </w:divBdr>
    </w:div>
    <w:div w:id="167870325">
      <w:bodyDiv w:val="1"/>
      <w:marLeft w:val="0"/>
      <w:marRight w:val="0"/>
      <w:marTop w:val="0"/>
      <w:marBottom w:val="0"/>
      <w:divBdr>
        <w:top w:val="none" w:sz="0" w:space="0" w:color="auto"/>
        <w:left w:val="none" w:sz="0" w:space="0" w:color="auto"/>
        <w:bottom w:val="none" w:sz="0" w:space="0" w:color="auto"/>
        <w:right w:val="none" w:sz="0" w:space="0" w:color="auto"/>
      </w:divBdr>
    </w:div>
    <w:div w:id="168253677">
      <w:bodyDiv w:val="1"/>
      <w:marLeft w:val="0"/>
      <w:marRight w:val="0"/>
      <w:marTop w:val="0"/>
      <w:marBottom w:val="0"/>
      <w:divBdr>
        <w:top w:val="none" w:sz="0" w:space="0" w:color="auto"/>
        <w:left w:val="none" w:sz="0" w:space="0" w:color="auto"/>
        <w:bottom w:val="none" w:sz="0" w:space="0" w:color="auto"/>
        <w:right w:val="none" w:sz="0" w:space="0" w:color="auto"/>
      </w:divBdr>
    </w:div>
    <w:div w:id="168571037">
      <w:bodyDiv w:val="1"/>
      <w:marLeft w:val="0"/>
      <w:marRight w:val="0"/>
      <w:marTop w:val="0"/>
      <w:marBottom w:val="0"/>
      <w:divBdr>
        <w:top w:val="none" w:sz="0" w:space="0" w:color="auto"/>
        <w:left w:val="none" w:sz="0" w:space="0" w:color="auto"/>
        <w:bottom w:val="none" w:sz="0" w:space="0" w:color="auto"/>
        <w:right w:val="none" w:sz="0" w:space="0" w:color="auto"/>
      </w:divBdr>
    </w:div>
    <w:div w:id="169955445">
      <w:bodyDiv w:val="1"/>
      <w:marLeft w:val="0"/>
      <w:marRight w:val="0"/>
      <w:marTop w:val="0"/>
      <w:marBottom w:val="0"/>
      <w:divBdr>
        <w:top w:val="none" w:sz="0" w:space="0" w:color="auto"/>
        <w:left w:val="none" w:sz="0" w:space="0" w:color="auto"/>
        <w:bottom w:val="none" w:sz="0" w:space="0" w:color="auto"/>
        <w:right w:val="none" w:sz="0" w:space="0" w:color="auto"/>
      </w:divBdr>
    </w:div>
    <w:div w:id="170335726">
      <w:bodyDiv w:val="1"/>
      <w:marLeft w:val="0"/>
      <w:marRight w:val="0"/>
      <w:marTop w:val="0"/>
      <w:marBottom w:val="0"/>
      <w:divBdr>
        <w:top w:val="none" w:sz="0" w:space="0" w:color="auto"/>
        <w:left w:val="none" w:sz="0" w:space="0" w:color="auto"/>
        <w:bottom w:val="none" w:sz="0" w:space="0" w:color="auto"/>
        <w:right w:val="none" w:sz="0" w:space="0" w:color="auto"/>
      </w:divBdr>
    </w:div>
    <w:div w:id="170879158">
      <w:bodyDiv w:val="1"/>
      <w:marLeft w:val="0"/>
      <w:marRight w:val="0"/>
      <w:marTop w:val="0"/>
      <w:marBottom w:val="0"/>
      <w:divBdr>
        <w:top w:val="none" w:sz="0" w:space="0" w:color="auto"/>
        <w:left w:val="none" w:sz="0" w:space="0" w:color="auto"/>
        <w:bottom w:val="none" w:sz="0" w:space="0" w:color="auto"/>
        <w:right w:val="none" w:sz="0" w:space="0" w:color="auto"/>
      </w:divBdr>
    </w:div>
    <w:div w:id="174199351">
      <w:bodyDiv w:val="1"/>
      <w:marLeft w:val="0"/>
      <w:marRight w:val="0"/>
      <w:marTop w:val="0"/>
      <w:marBottom w:val="0"/>
      <w:divBdr>
        <w:top w:val="none" w:sz="0" w:space="0" w:color="auto"/>
        <w:left w:val="none" w:sz="0" w:space="0" w:color="auto"/>
        <w:bottom w:val="none" w:sz="0" w:space="0" w:color="auto"/>
        <w:right w:val="none" w:sz="0" w:space="0" w:color="auto"/>
      </w:divBdr>
    </w:div>
    <w:div w:id="178323889">
      <w:bodyDiv w:val="1"/>
      <w:marLeft w:val="0"/>
      <w:marRight w:val="0"/>
      <w:marTop w:val="0"/>
      <w:marBottom w:val="0"/>
      <w:divBdr>
        <w:top w:val="none" w:sz="0" w:space="0" w:color="auto"/>
        <w:left w:val="none" w:sz="0" w:space="0" w:color="auto"/>
        <w:bottom w:val="none" w:sz="0" w:space="0" w:color="auto"/>
        <w:right w:val="none" w:sz="0" w:space="0" w:color="auto"/>
      </w:divBdr>
    </w:div>
    <w:div w:id="178812508">
      <w:bodyDiv w:val="1"/>
      <w:marLeft w:val="0"/>
      <w:marRight w:val="0"/>
      <w:marTop w:val="0"/>
      <w:marBottom w:val="0"/>
      <w:divBdr>
        <w:top w:val="none" w:sz="0" w:space="0" w:color="auto"/>
        <w:left w:val="none" w:sz="0" w:space="0" w:color="auto"/>
        <w:bottom w:val="none" w:sz="0" w:space="0" w:color="auto"/>
        <w:right w:val="none" w:sz="0" w:space="0" w:color="auto"/>
      </w:divBdr>
    </w:div>
    <w:div w:id="179397671">
      <w:bodyDiv w:val="1"/>
      <w:marLeft w:val="0"/>
      <w:marRight w:val="0"/>
      <w:marTop w:val="0"/>
      <w:marBottom w:val="0"/>
      <w:divBdr>
        <w:top w:val="none" w:sz="0" w:space="0" w:color="auto"/>
        <w:left w:val="none" w:sz="0" w:space="0" w:color="auto"/>
        <w:bottom w:val="none" w:sz="0" w:space="0" w:color="auto"/>
        <w:right w:val="none" w:sz="0" w:space="0" w:color="auto"/>
      </w:divBdr>
    </w:div>
    <w:div w:id="187330718">
      <w:bodyDiv w:val="1"/>
      <w:marLeft w:val="0"/>
      <w:marRight w:val="0"/>
      <w:marTop w:val="0"/>
      <w:marBottom w:val="0"/>
      <w:divBdr>
        <w:top w:val="none" w:sz="0" w:space="0" w:color="auto"/>
        <w:left w:val="none" w:sz="0" w:space="0" w:color="auto"/>
        <w:bottom w:val="none" w:sz="0" w:space="0" w:color="auto"/>
        <w:right w:val="none" w:sz="0" w:space="0" w:color="auto"/>
      </w:divBdr>
    </w:div>
    <w:div w:id="189607574">
      <w:bodyDiv w:val="1"/>
      <w:marLeft w:val="0"/>
      <w:marRight w:val="0"/>
      <w:marTop w:val="0"/>
      <w:marBottom w:val="0"/>
      <w:divBdr>
        <w:top w:val="none" w:sz="0" w:space="0" w:color="auto"/>
        <w:left w:val="none" w:sz="0" w:space="0" w:color="auto"/>
        <w:bottom w:val="none" w:sz="0" w:space="0" w:color="auto"/>
        <w:right w:val="none" w:sz="0" w:space="0" w:color="auto"/>
      </w:divBdr>
    </w:div>
    <w:div w:id="189613036">
      <w:bodyDiv w:val="1"/>
      <w:marLeft w:val="0"/>
      <w:marRight w:val="0"/>
      <w:marTop w:val="0"/>
      <w:marBottom w:val="0"/>
      <w:divBdr>
        <w:top w:val="none" w:sz="0" w:space="0" w:color="auto"/>
        <w:left w:val="none" w:sz="0" w:space="0" w:color="auto"/>
        <w:bottom w:val="none" w:sz="0" w:space="0" w:color="auto"/>
        <w:right w:val="none" w:sz="0" w:space="0" w:color="auto"/>
      </w:divBdr>
    </w:div>
    <w:div w:id="191651189">
      <w:bodyDiv w:val="1"/>
      <w:marLeft w:val="0"/>
      <w:marRight w:val="0"/>
      <w:marTop w:val="0"/>
      <w:marBottom w:val="0"/>
      <w:divBdr>
        <w:top w:val="none" w:sz="0" w:space="0" w:color="auto"/>
        <w:left w:val="none" w:sz="0" w:space="0" w:color="auto"/>
        <w:bottom w:val="none" w:sz="0" w:space="0" w:color="auto"/>
        <w:right w:val="none" w:sz="0" w:space="0" w:color="auto"/>
      </w:divBdr>
    </w:div>
    <w:div w:id="193078321">
      <w:bodyDiv w:val="1"/>
      <w:marLeft w:val="0"/>
      <w:marRight w:val="0"/>
      <w:marTop w:val="0"/>
      <w:marBottom w:val="0"/>
      <w:divBdr>
        <w:top w:val="none" w:sz="0" w:space="0" w:color="auto"/>
        <w:left w:val="none" w:sz="0" w:space="0" w:color="auto"/>
        <w:bottom w:val="none" w:sz="0" w:space="0" w:color="auto"/>
        <w:right w:val="none" w:sz="0" w:space="0" w:color="auto"/>
      </w:divBdr>
    </w:div>
    <w:div w:id="196047691">
      <w:bodyDiv w:val="1"/>
      <w:marLeft w:val="0"/>
      <w:marRight w:val="0"/>
      <w:marTop w:val="0"/>
      <w:marBottom w:val="0"/>
      <w:divBdr>
        <w:top w:val="none" w:sz="0" w:space="0" w:color="auto"/>
        <w:left w:val="none" w:sz="0" w:space="0" w:color="auto"/>
        <w:bottom w:val="none" w:sz="0" w:space="0" w:color="auto"/>
        <w:right w:val="none" w:sz="0" w:space="0" w:color="auto"/>
      </w:divBdr>
    </w:div>
    <w:div w:id="198470994">
      <w:bodyDiv w:val="1"/>
      <w:marLeft w:val="0"/>
      <w:marRight w:val="0"/>
      <w:marTop w:val="0"/>
      <w:marBottom w:val="0"/>
      <w:divBdr>
        <w:top w:val="none" w:sz="0" w:space="0" w:color="auto"/>
        <w:left w:val="none" w:sz="0" w:space="0" w:color="auto"/>
        <w:bottom w:val="none" w:sz="0" w:space="0" w:color="auto"/>
        <w:right w:val="none" w:sz="0" w:space="0" w:color="auto"/>
      </w:divBdr>
    </w:div>
    <w:div w:id="199362788">
      <w:bodyDiv w:val="1"/>
      <w:marLeft w:val="0"/>
      <w:marRight w:val="0"/>
      <w:marTop w:val="0"/>
      <w:marBottom w:val="0"/>
      <w:divBdr>
        <w:top w:val="none" w:sz="0" w:space="0" w:color="auto"/>
        <w:left w:val="none" w:sz="0" w:space="0" w:color="auto"/>
        <w:bottom w:val="none" w:sz="0" w:space="0" w:color="auto"/>
        <w:right w:val="none" w:sz="0" w:space="0" w:color="auto"/>
      </w:divBdr>
    </w:div>
    <w:div w:id="200017320">
      <w:bodyDiv w:val="1"/>
      <w:marLeft w:val="0"/>
      <w:marRight w:val="0"/>
      <w:marTop w:val="0"/>
      <w:marBottom w:val="0"/>
      <w:divBdr>
        <w:top w:val="none" w:sz="0" w:space="0" w:color="auto"/>
        <w:left w:val="none" w:sz="0" w:space="0" w:color="auto"/>
        <w:bottom w:val="none" w:sz="0" w:space="0" w:color="auto"/>
        <w:right w:val="none" w:sz="0" w:space="0" w:color="auto"/>
      </w:divBdr>
    </w:div>
    <w:div w:id="206338030">
      <w:bodyDiv w:val="1"/>
      <w:marLeft w:val="0"/>
      <w:marRight w:val="0"/>
      <w:marTop w:val="0"/>
      <w:marBottom w:val="0"/>
      <w:divBdr>
        <w:top w:val="none" w:sz="0" w:space="0" w:color="auto"/>
        <w:left w:val="none" w:sz="0" w:space="0" w:color="auto"/>
        <w:bottom w:val="none" w:sz="0" w:space="0" w:color="auto"/>
        <w:right w:val="none" w:sz="0" w:space="0" w:color="auto"/>
      </w:divBdr>
    </w:div>
    <w:div w:id="206456495">
      <w:bodyDiv w:val="1"/>
      <w:marLeft w:val="0"/>
      <w:marRight w:val="0"/>
      <w:marTop w:val="0"/>
      <w:marBottom w:val="0"/>
      <w:divBdr>
        <w:top w:val="none" w:sz="0" w:space="0" w:color="auto"/>
        <w:left w:val="none" w:sz="0" w:space="0" w:color="auto"/>
        <w:bottom w:val="none" w:sz="0" w:space="0" w:color="auto"/>
        <w:right w:val="none" w:sz="0" w:space="0" w:color="auto"/>
      </w:divBdr>
    </w:div>
    <w:div w:id="207183181">
      <w:bodyDiv w:val="1"/>
      <w:marLeft w:val="0"/>
      <w:marRight w:val="0"/>
      <w:marTop w:val="0"/>
      <w:marBottom w:val="0"/>
      <w:divBdr>
        <w:top w:val="none" w:sz="0" w:space="0" w:color="auto"/>
        <w:left w:val="none" w:sz="0" w:space="0" w:color="auto"/>
        <w:bottom w:val="none" w:sz="0" w:space="0" w:color="auto"/>
        <w:right w:val="none" w:sz="0" w:space="0" w:color="auto"/>
      </w:divBdr>
    </w:div>
    <w:div w:id="211310640">
      <w:bodyDiv w:val="1"/>
      <w:marLeft w:val="0"/>
      <w:marRight w:val="0"/>
      <w:marTop w:val="0"/>
      <w:marBottom w:val="0"/>
      <w:divBdr>
        <w:top w:val="none" w:sz="0" w:space="0" w:color="auto"/>
        <w:left w:val="none" w:sz="0" w:space="0" w:color="auto"/>
        <w:bottom w:val="none" w:sz="0" w:space="0" w:color="auto"/>
        <w:right w:val="none" w:sz="0" w:space="0" w:color="auto"/>
      </w:divBdr>
    </w:div>
    <w:div w:id="214195621">
      <w:bodyDiv w:val="1"/>
      <w:marLeft w:val="0"/>
      <w:marRight w:val="0"/>
      <w:marTop w:val="0"/>
      <w:marBottom w:val="0"/>
      <w:divBdr>
        <w:top w:val="none" w:sz="0" w:space="0" w:color="auto"/>
        <w:left w:val="none" w:sz="0" w:space="0" w:color="auto"/>
        <w:bottom w:val="none" w:sz="0" w:space="0" w:color="auto"/>
        <w:right w:val="none" w:sz="0" w:space="0" w:color="auto"/>
      </w:divBdr>
    </w:div>
    <w:div w:id="214242750">
      <w:bodyDiv w:val="1"/>
      <w:marLeft w:val="0"/>
      <w:marRight w:val="0"/>
      <w:marTop w:val="0"/>
      <w:marBottom w:val="0"/>
      <w:divBdr>
        <w:top w:val="none" w:sz="0" w:space="0" w:color="auto"/>
        <w:left w:val="none" w:sz="0" w:space="0" w:color="auto"/>
        <w:bottom w:val="none" w:sz="0" w:space="0" w:color="auto"/>
        <w:right w:val="none" w:sz="0" w:space="0" w:color="auto"/>
      </w:divBdr>
    </w:div>
    <w:div w:id="215895168">
      <w:bodyDiv w:val="1"/>
      <w:marLeft w:val="0"/>
      <w:marRight w:val="0"/>
      <w:marTop w:val="0"/>
      <w:marBottom w:val="0"/>
      <w:divBdr>
        <w:top w:val="none" w:sz="0" w:space="0" w:color="auto"/>
        <w:left w:val="none" w:sz="0" w:space="0" w:color="auto"/>
        <w:bottom w:val="none" w:sz="0" w:space="0" w:color="auto"/>
        <w:right w:val="none" w:sz="0" w:space="0" w:color="auto"/>
      </w:divBdr>
    </w:div>
    <w:div w:id="217205006">
      <w:bodyDiv w:val="1"/>
      <w:marLeft w:val="0"/>
      <w:marRight w:val="0"/>
      <w:marTop w:val="0"/>
      <w:marBottom w:val="0"/>
      <w:divBdr>
        <w:top w:val="none" w:sz="0" w:space="0" w:color="auto"/>
        <w:left w:val="none" w:sz="0" w:space="0" w:color="auto"/>
        <w:bottom w:val="none" w:sz="0" w:space="0" w:color="auto"/>
        <w:right w:val="none" w:sz="0" w:space="0" w:color="auto"/>
      </w:divBdr>
    </w:div>
    <w:div w:id="217399378">
      <w:bodyDiv w:val="1"/>
      <w:marLeft w:val="0"/>
      <w:marRight w:val="0"/>
      <w:marTop w:val="0"/>
      <w:marBottom w:val="0"/>
      <w:divBdr>
        <w:top w:val="none" w:sz="0" w:space="0" w:color="auto"/>
        <w:left w:val="none" w:sz="0" w:space="0" w:color="auto"/>
        <w:bottom w:val="none" w:sz="0" w:space="0" w:color="auto"/>
        <w:right w:val="none" w:sz="0" w:space="0" w:color="auto"/>
      </w:divBdr>
    </w:div>
    <w:div w:id="218129198">
      <w:bodyDiv w:val="1"/>
      <w:marLeft w:val="0"/>
      <w:marRight w:val="0"/>
      <w:marTop w:val="0"/>
      <w:marBottom w:val="0"/>
      <w:divBdr>
        <w:top w:val="none" w:sz="0" w:space="0" w:color="auto"/>
        <w:left w:val="none" w:sz="0" w:space="0" w:color="auto"/>
        <w:bottom w:val="none" w:sz="0" w:space="0" w:color="auto"/>
        <w:right w:val="none" w:sz="0" w:space="0" w:color="auto"/>
      </w:divBdr>
    </w:div>
    <w:div w:id="221143604">
      <w:bodyDiv w:val="1"/>
      <w:marLeft w:val="0"/>
      <w:marRight w:val="0"/>
      <w:marTop w:val="0"/>
      <w:marBottom w:val="0"/>
      <w:divBdr>
        <w:top w:val="none" w:sz="0" w:space="0" w:color="auto"/>
        <w:left w:val="none" w:sz="0" w:space="0" w:color="auto"/>
        <w:bottom w:val="none" w:sz="0" w:space="0" w:color="auto"/>
        <w:right w:val="none" w:sz="0" w:space="0" w:color="auto"/>
      </w:divBdr>
    </w:div>
    <w:div w:id="222914695">
      <w:bodyDiv w:val="1"/>
      <w:marLeft w:val="0"/>
      <w:marRight w:val="0"/>
      <w:marTop w:val="0"/>
      <w:marBottom w:val="0"/>
      <w:divBdr>
        <w:top w:val="none" w:sz="0" w:space="0" w:color="auto"/>
        <w:left w:val="none" w:sz="0" w:space="0" w:color="auto"/>
        <w:bottom w:val="none" w:sz="0" w:space="0" w:color="auto"/>
        <w:right w:val="none" w:sz="0" w:space="0" w:color="auto"/>
      </w:divBdr>
    </w:div>
    <w:div w:id="223683783">
      <w:bodyDiv w:val="1"/>
      <w:marLeft w:val="0"/>
      <w:marRight w:val="0"/>
      <w:marTop w:val="0"/>
      <w:marBottom w:val="0"/>
      <w:divBdr>
        <w:top w:val="none" w:sz="0" w:space="0" w:color="auto"/>
        <w:left w:val="none" w:sz="0" w:space="0" w:color="auto"/>
        <w:bottom w:val="none" w:sz="0" w:space="0" w:color="auto"/>
        <w:right w:val="none" w:sz="0" w:space="0" w:color="auto"/>
      </w:divBdr>
    </w:div>
    <w:div w:id="224148036">
      <w:bodyDiv w:val="1"/>
      <w:marLeft w:val="0"/>
      <w:marRight w:val="0"/>
      <w:marTop w:val="0"/>
      <w:marBottom w:val="0"/>
      <w:divBdr>
        <w:top w:val="none" w:sz="0" w:space="0" w:color="auto"/>
        <w:left w:val="none" w:sz="0" w:space="0" w:color="auto"/>
        <w:bottom w:val="none" w:sz="0" w:space="0" w:color="auto"/>
        <w:right w:val="none" w:sz="0" w:space="0" w:color="auto"/>
      </w:divBdr>
    </w:div>
    <w:div w:id="225067368">
      <w:bodyDiv w:val="1"/>
      <w:marLeft w:val="0"/>
      <w:marRight w:val="0"/>
      <w:marTop w:val="0"/>
      <w:marBottom w:val="0"/>
      <w:divBdr>
        <w:top w:val="none" w:sz="0" w:space="0" w:color="auto"/>
        <w:left w:val="none" w:sz="0" w:space="0" w:color="auto"/>
        <w:bottom w:val="none" w:sz="0" w:space="0" w:color="auto"/>
        <w:right w:val="none" w:sz="0" w:space="0" w:color="auto"/>
      </w:divBdr>
    </w:div>
    <w:div w:id="231082788">
      <w:bodyDiv w:val="1"/>
      <w:marLeft w:val="0"/>
      <w:marRight w:val="0"/>
      <w:marTop w:val="0"/>
      <w:marBottom w:val="0"/>
      <w:divBdr>
        <w:top w:val="none" w:sz="0" w:space="0" w:color="auto"/>
        <w:left w:val="none" w:sz="0" w:space="0" w:color="auto"/>
        <w:bottom w:val="none" w:sz="0" w:space="0" w:color="auto"/>
        <w:right w:val="none" w:sz="0" w:space="0" w:color="auto"/>
      </w:divBdr>
    </w:div>
    <w:div w:id="233978923">
      <w:bodyDiv w:val="1"/>
      <w:marLeft w:val="0"/>
      <w:marRight w:val="0"/>
      <w:marTop w:val="0"/>
      <w:marBottom w:val="0"/>
      <w:divBdr>
        <w:top w:val="none" w:sz="0" w:space="0" w:color="auto"/>
        <w:left w:val="none" w:sz="0" w:space="0" w:color="auto"/>
        <w:bottom w:val="none" w:sz="0" w:space="0" w:color="auto"/>
        <w:right w:val="none" w:sz="0" w:space="0" w:color="auto"/>
      </w:divBdr>
    </w:div>
    <w:div w:id="235475478">
      <w:bodyDiv w:val="1"/>
      <w:marLeft w:val="0"/>
      <w:marRight w:val="0"/>
      <w:marTop w:val="0"/>
      <w:marBottom w:val="0"/>
      <w:divBdr>
        <w:top w:val="none" w:sz="0" w:space="0" w:color="auto"/>
        <w:left w:val="none" w:sz="0" w:space="0" w:color="auto"/>
        <w:bottom w:val="none" w:sz="0" w:space="0" w:color="auto"/>
        <w:right w:val="none" w:sz="0" w:space="0" w:color="auto"/>
      </w:divBdr>
    </w:div>
    <w:div w:id="236551616">
      <w:bodyDiv w:val="1"/>
      <w:marLeft w:val="0"/>
      <w:marRight w:val="0"/>
      <w:marTop w:val="0"/>
      <w:marBottom w:val="0"/>
      <w:divBdr>
        <w:top w:val="none" w:sz="0" w:space="0" w:color="auto"/>
        <w:left w:val="none" w:sz="0" w:space="0" w:color="auto"/>
        <w:bottom w:val="none" w:sz="0" w:space="0" w:color="auto"/>
        <w:right w:val="none" w:sz="0" w:space="0" w:color="auto"/>
      </w:divBdr>
    </w:div>
    <w:div w:id="237138540">
      <w:bodyDiv w:val="1"/>
      <w:marLeft w:val="0"/>
      <w:marRight w:val="0"/>
      <w:marTop w:val="0"/>
      <w:marBottom w:val="0"/>
      <w:divBdr>
        <w:top w:val="none" w:sz="0" w:space="0" w:color="auto"/>
        <w:left w:val="none" w:sz="0" w:space="0" w:color="auto"/>
        <w:bottom w:val="none" w:sz="0" w:space="0" w:color="auto"/>
        <w:right w:val="none" w:sz="0" w:space="0" w:color="auto"/>
      </w:divBdr>
    </w:div>
    <w:div w:id="240332563">
      <w:bodyDiv w:val="1"/>
      <w:marLeft w:val="0"/>
      <w:marRight w:val="0"/>
      <w:marTop w:val="0"/>
      <w:marBottom w:val="0"/>
      <w:divBdr>
        <w:top w:val="none" w:sz="0" w:space="0" w:color="auto"/>
        <w:left w:val="none" w:sz="0" w:space="0" w:color="auto"/>
        <w:bottom w:val="none" w:sz="0" w:space="0" w:color="auto"/>
        <w:right w:val="none" w:sz="0" w:space="0" w:color="auto"/>
      </w:divBdr>
    </w:div>
    <w:div w:id="240871975">
      <w:bodyDiv w:val="1"/>
      <w:marLeft w:val="0"/>
      <w:marRight w:val="0"/>
      <w:marTop w:val="0"/>
      <w:marBottom w:val="0"/>
      <w:divBdr>
        <w:top w:val="none" w:sz="0" w:space="0" w:color="auto"/>
        <w:left w:val="none" w:sz="0" w:space="0" w:color="auto"/>
        <w:bottom w:val="none" w:sz="0" w:space="0" w:color="auto"/>
        <w:right w:val="none" w:sz="0" w:space="0" w:color="auto"/>
      </w:divBdr>
    </w:div>
    <w:div w:id="245311612">
      <w:bodyDiv w:val="1"/>
      <w:marLeft w:val="0"/>
      <w:marRight w:val="0"/>
      <w:marTop w:val="0"/>
      <w:marBottom w:val="0"/>
      <w:divBdr>
        <w:top w:val="none" w:sz="0" w:space="0" w:color="auto"/>
        <w:left w:val="none" w:sz="0" w:space="0" w:color="auto"/>
        <w:bottom w:val="none" w:sz="0" w:space="0" w:color="auto"/>
        <w:right w:val="none" w:sz="0" w:space="0" w:color="auto"/>
      </w:divBdr>
    </w:div>
    <w:div w:id="248806250">
      <w:bodyDiv w:val="1"/>
      <w:marLeft w:val="0"/>
      <w:marRight w:val="0"/>
      <w:marTop w:val="0"/>
      <w:marBottom w:val="0"/>
      <w:divBdr>
        <w:top w:val="none" w:sz="0" w:space="0" w:color="auto"/>
        <w:left w:val="none" w:sz="0" w:space="0" w:color="auto"/>
        <w:bottom w:val="none" w:sz="0" w:space="0" w:color="auto"/>
        <w:right w:val="none" w:sz="0" w:space="0" w:color="auto"/>
      </w:divBdr>
    </w:div>
    <w:div w:id="249513375">
      <w:bodyDiv w:val="1"/>
      <w:marLeft w:val="0"/>
      <w:marRight w:val="0"/>
      <w:marTop w:val="0"/>
      <w:marBottom w:val="0"/>
      <w:divBdr>
        <w:top w:val="none" w:sz="0" w:space="0" w:color="auto"/>
        <w:left w:val="none" w:sz="0" w:space="0" w:color="auto"/>
        <w:bottom w:val="none" w:sz="0" w:space="0" w:color="auto"/>
        <w:right w:val="none" w:sz="0" w:space="0" w:color="auto"/>
      </w:divBdr>
    </w:div>
    <w:div w:id="249588284">
      <w:bodyDiv w:val="1"/>
      <w:marLeft w:val="0"/>
      <w:marRight w:val="0"/>
      <w:marTop w:val="0"/>
      <w:marBottom w:val="0"/>
      <w:divBdr>
        <w:top w:val="none" w:sz="0" w:space="0" w:color="auto"/>
        <w:left w:val="none" w:sz="0" w:space="0" w:color="auto"/>
        <w:bottom w:val="none" w:sz="0" w:space="0" w:color="auto"/>
        <w:right w:val="none" w:sz="0" w:space="0" w:color="auto"/>
      </w:divBdr>
    </w:div>
    <w:div w:id="249777264">
      <w:bodyDiv w:val="1"/>
      <w:marLeft w:val="0"/>
      <w:marRight w:val="0"/>
      <w:marTop w:val="0"/>
      <w:marBottom w:val="0"/>
      <w:divBdr>
        <w:top w:val="none" w:sz="0" w:space="0" w:color="auto"/>
        <w:left w:val="none" w:sz="0" w:space="0" w:color="auto"/>
        <w:bottom w:val="none" w:sz="0" w:space="0" w:color="auto"/>
        <w:right w:val="none" w:sz="0" w:space="0" w:color="auto"/>
      </w:divBdr>
    </w:div>
    <w:div w:id="250510402">
      <w:bodyDiv w:val="1"/>
      <w:marLeft w:val="0"/>
      <w:marRight w:val="0"/>
      <w:marTop w:val="0"/>
      <w:marBottom w:val="0"/>
      <w:divBdr>
        <w:top w:val="none" w:sz="0" w:space="0" w:color="auto"/>
        <w:left w:val="none" w:sz="0" w:space="0" w:color="auto"/>
        <w:bottom w:val="none" w:sz="0" w:space="0" w:color="auto"/>
        <w:right w:val="none" w:sz="0" w:space="0" w:color="auto"/>
      </w:divBdr>
    </w:div>
    <w:div w:id="252054603">
      <w:bodyDiv w:val="1"/>
      <w:marLeft w:val="0"/>
      <w:marRight w:val="0"/>
      <w:marTop w:val="0"/>
      <w:marBottom w:val="0"/>
      <w:divBdr>
        <w:top w:val="none" w:sz="0" w:space="0" w:color="auto"/>
        <w:left w:val="none" w:sz="0" w:space="0" w:color="auto"/>
        <w:bottom w:val="none" w:sz="0" w:space="0" w:color="auto"/>
        <w:right w:val="none" w:sz="0" w:space="0" w:color="auto"/>
      </w:divBdr>
    </w:div>
    <w:div w:id="255093200">
      <w:bodyDiv w:val="1"/>
      <w:marLeft w:val="0"/>
      <w:marRight w:val="0"/>
      <w:marTop w:val="0"/>
      <w:marBottom w:val="0"/>
      <w:divBdr>
        <w:top w:val="none" w:sz="0" w:space="0" w:color="auto"/>
        <w:left w:val="none" w:sz="0" w:space="0" w:color="auto"/>
        <w:bottom w:val="none" w:sz="0" w:space="0" w:color="auto"/>
        <w:right w:val="none" w:sz="0" w:space="0" w:color="auto"/>
      </w:divBdr>
    </w:div>
    <w:div w:id="259416218">
      <w:bodyDiv w:val="1"/>
      <w:marLeft w:val="0"/>
      <w:marRight w:val="0"/>
      <w:marTop w:val="0"/>
      <w:marBottom w:val="0"/>
      <w:divBdr>
        <w:top w:val="none" w:sz="0" w:space="0" w:color="auto"/>
        <w:left w:val="none" w:sz="0" w:space="0" w:color="auto"/>
        <w:bottom w:val="none" w:sz="0" w:space="0" w:color="auto"/>
        <w:right w:val="none" w:sz="0" w:space="0" w:color="auto"/>
      </w:divBdr>
    </w:div>
    <w:div w:id="259457495">
      <w:bodyDiv w:val="1"/>
      <w:marLeft w:val="0"/>
      <w:marRight w:val="0"/>
      <w:marTop w:val="0"/>
      <w:marBottom w:val="0"/>
      <w:divBdr>
        <w:top w:val="none" w:sz="0" w:space="0" w:color="auto"/>
        <w:left w:val="none" w:sz="0" w:space="0" w:color="auto"/>
        <w:bottom w:val="none" w:sz="0" w:space="0" w:color="auto"/>
        <w:right w:val="none" w:sz="0" w:space="0" w:color="auto"/>
      </w:divBdr>
    </w:div>
    <w:div w:id="263728253">
      <w:bodyDiv w:val="1"/>
      <w:marLeft w:val="0"/>
      <w:marRight w:val="0"/>
      <w:marTop w:val="0"/>
      <w:marBottom w:val="0"/>
      <w:divBdr>
        <w:top w:val="none" w:sz="0" w:space="0" w:color="auto"/>
        <w:left w:val="none" w:sz="0" w:space="0" w:color="auto"/>
        <w:bottom w:val="none" w:sz="0" w:space="0" w:color="auto"/>
        <w:right w:val="none" w:sz="0" w:space="0" w:color="auto"/>
      </w:divBdr>
    </w:div>
    <w:div w:id="265508745">
      <w:bodyDiv w:val="1"/>
      <w:marLeft w:val="0"/>
      <w:marRight w:val="0"/>
      <w:marTop w:val="0"/>
      <w:marBottom w:val="0"/>
      <w:divBdr>
        <w:top w:val="none" w:sz="0" w:space="0" w:color="auto"/>
        <w:left w:val="none" w:sz="0" w:space="0" w:color="auto"/>
        <w:bottom w:val="none" w:sz="0" w:space="0" w:color="auto"/>
        <w:right w:val="none" w:sz="0" w:space="0" w:color="auto"/>
      </w:divBdr>
    </w:div>
    <w:div w:id="266235925">
      <w:bodyDiv w:val="1"/>
      <w:marLeft w:val="0"/>
      <w:marRight w:val="0"/>
      <w:marTop w:val="0"/>
      <w:marBottom w:val="0"/>
      <w:divBdr>
        <w:top w:val="none" w:sz="0" w:space="0" w:color="auto"/>
        <w:left w:val="none" w:sz="0" w:space="0" w:color="auto"/>
        <w:bottom w:val="none" w:sz="0" w:space="0" w:color="auto"/>
        <w:right w:val="none" w:sz="0" w:space="0" w:color="auto"/>
      </w:divBdr>
    </w:div>
    <w:div w:id="267472725">
      <w:bodyDiv w:val="1"/>
      <w:marLeft w:val="0"/>
      <w:marRight w:val="0"/>
      <w:marTop w:val="0"/>
      <w:marBottom w:val="0"/>
      <w:divBdr>
        <w:top w:val="none" w:sz="0" w:space="0" w:color="auto"/>
        <w:left w:val="none" w:sz="0" w:space="0" w:color="auto"/>
        <w:bottom w:val="none" w:sz="0" w:space="0" w:color="auto"/>
        <w:right w:val="none" w:sz="0" w:space="0" w:color="auto"/>
      </w:divBdr>
    </w:div>
    <w:div w:id="269046029">
      <w:bodyDiv w:val="1"/>
      <w:marLeft w:val="0"/>
      <w:marRight w:val="0"/>
      <w:marTop w:val="0"/>
      <w:marBottom w:val="0"/>
      <w:divBdr>
        <w:top w:val="none" w:sz="0" w:space="0" w:color="auto"/>
        <w:left w:val="none" w:sz="0" w:space="0" w:color="auto"/>
        <w:bottom w:val="none" w:sz="0" w:space="0" w:color="auto"/>
        <w:right w:val="none" w:sz="0" w:space="0" w:color="auto"/>
      </w:divBdr>
    </w:div>
    <w:div w:id="269970327">
      <w:bodyDiv w:val="1"/>
      <w:marLeft w:val="0"/>
      <w:marRight w:val="0"/>
      <w:marTop w:val="0"/>
      <w:marBottom w:val="0"/>
      <w:divBdr>
        <w:top w:val="none" w:sz="0" w:space="0" w:color="auto"/>
        <w:left w:val="none" w:sz="0" w:space="0" w:color="auto"/>
        <w:bottom w:val="none" w:sz="0" w:space="0" w:color="auto"/>
        <w:right w:val="none" w:sz="0" w:space="0" w:color="auto"/>
      </w:divBdr>
    </w:div>
    <w:div w:id="270674813">
      <w:bodyDiv w:val="1"/>
      <w:marLeft w:val="0"/>
      <w:marRight w:val="0"/>
      <w:marTop w:val="0"/>
      <w:marBottom w:val="0"/>
      <w:divBdr>
        <w:top w:val="none" w:sz="0" w:space="0" w:color="auto"/>
        <w:left w:val="none" w:sz="0" w:space="0" w:color="auto"/>
        <w:bottom w:val="none" w:sz="0" w:space="0" w:color="auto"/>
        <w:right w:val="none" w:sz="0" w:space="0" w:color="auto"/>
      </w:divBdr>
    </w:div>
    <w:div w:id="272901785">
      <w:bodyDiv w:val="1"/>
      <w:marLeft w:val="0"/>
      <w:marRight w:val="0"/>
      <w:marTop w:val="0"/>
      <w:marBottom w:val="0"/>
      <w:divBdr>
        <w:top w:val="none" w:sz="0" w:space="0" w:color="auto"/>
        <w:left w:val="none" w:sz="0" w:space="0" w:color="auto"/>
        <w:bottom w:val="none" w:sz="0" w:space="0" w:color="auto"/>
        <w:right w:val="none" w:sz="0" w:space="0" w:color="auto"/>
      </w:divBdr>
    </w:div>
    <w:div w:id="274992578">
      <w:bodyDiv w:val="1"/>
      <w:marLeft w:val="0"/>
      <w:marRight w:val="0"/>
      <w:marTop w:val="0"/>
      <w:marBottom w:val="0"/>
      <w:divBdr>
        <w:top w:val="none" w:sz="0" w:space="0" w:color="auto"/>
        <w:left w:val="none" w:sz="0" w:space="0" w:color="auto"/>
        <w:bottom w:val="none" w:sz="0" w:space="0" w:color="auto"/>
        <w:right w:val="none" w:sz="0" w:space="0" w:color="auto"/>
      </w:divBdr>
    </w:div>
    <w:div w:id="278075413">
      <w:bodyDiv w:val="1"/>
      <w:marLeft w:val="0"/>
      <w:marRight w:val="0"/>
      <w:marTop w:val="0"/>
      <w:marBottom w:val="0"/>
      <w:divBdr>
        <w:top w:val="none" w:sz="0" w:space="0" w:color="auto"/>
        <w:left w:val="none" w:sz="0" w:space="0" w:color="auto"/>
        <w:bottom w:val="none" w:sz="0" w:space="0" w:color="auto"/>
        <w:right w:val="none" w:sz="0" w:space="0" w:color="auto"/>
      </w:divBdr>
    </w:div>
    <w:div w:id="278145416">
      <w:bodyDiv w:val="1"/>
      <w:marLeft w:val="0"/>
      <w:marRight w:val="0"/>
      <w:marTop w:val="0"/>
      <w:marBottom w:val="0"/>
      <w:divBdr>
        <w:top w:val="none" w:sz="0" w:space="0" w:color="auto"/>
        <w:left w:val="none" w:sz="0" w:space="0" w:color="auto"/>
        <w:bottom w:val="none" w:sz="0" w:space="0" w:color="auto"/>
        <w:right w:val="none" w:sz="0" w:space="0" w:color="auto"/>
      </w:divBdr>
    </w:div>
    <w:div w:id="283972235">
      <w:bodyDiv w:val="1"/>
      <w:marLeft w:val="0"/>
      <w:marRight w:val="0"/>
      <w:marTop w:val="0"/>
      <w:marBottom w:val="0"/>
      <w:divBdr>
        <w:top w:val="none" w:sz="0" w:space="0" w:color="auto"/>
        <w:left w:val="none" w:sz="0" w:space="0" w:color="auto"/>
        <w:bottom w:val="none" w:sz="0" w:space="0" w:color="auto"/>
        <w:right w:val="none" w:sz="0" w:space="0" w:color="auto"/>
      </w:divBdr>
    </w:div>
    <w:div w:id="286161971">
      <w:bodyDiv w:val="1"/>
      <w:marLeft w:val="0"/>
      <w:marRight w:val="0"/>
      <w:marTop w:val="0"/>
      <w:marBottom w:val="0"/>
      <w:divBdr>
        <w:top w:val="none" w:sz="0" w:space="0" w:color="auto"/>
        <w:left w:val="none" w:sz="0" w:space="0" w:color="auto"/>
        <w:bottom w:val="none" w:sz="0" w:space="0" w:color="auto"/>
        <w:right w:val="none" w:sz="0" w:space="0" w:color="auto"/>
      </w:divBdr>
    </w:div>
    <w:div w:id="288243200">
      <w:bodyDiv w:val="1"/>
      <w:marLeft w:val="0"/>
      <w:marRight w:val="0"/>
      <w:marTop w:val="0"/>
      <w:marBottom w:val="0"/>
      <w:divBdr>
        <w:top w:val="none" w:sz="0" w:space="0" w:color="auto"/>
        <w:left w:val="none" w:sz="0" w:space="0" w:color="auto"/>
        <w:bottom w:val="none" w:sz="0" w:space="0" w:color="auto"/>
        <w:right w:val="none" w:sz="0" w:space="0" w:color="auto"/>
      </w:divBdr>
    </w:div>
    <w:div w:id="290675717">
      <w:bodyDiv w:val="1"/>
      <w:marLeft w:val="0"/>
      <w:marRight w:val="0"/>
      <w:marTop w:val="0"/>
      <w:marBottom w:val="0"/>
      <w:divBdr>
        <w:top w:val="none" w:sz="0" w:space="0" w:color="auto"/>
        <w:left w:val="none" w:sz="0" w:space="0" w:color="auto"/>
        <w:bottom w:val="none" w:sz="0" w:space="0" w:color="auto"/>
        <w:right w:val="none" w:sz="0" w:space="0" w:color="auto"/>
      </w:divBdr>
    </w:div>
    <w:div w:id="294915321">
      <w:bodyDiv w:val="1"/>
      <w:marLeft w:val="0"/>
      <w:marRight w:val="0"/>
      <w:marTop w:val="0"/>
      <w:marBottom w:val="0"/>
      <w:divBdr>
        <w:top w:val="none" w:sz="0" w:space="0" w:color="auto"/>
        <w:left w:val="none" w:sz="0" w:space="0" w:color="auto"/>
        <w:bottom w:val="none" w:sz="0" w:space="0" w:color="auto"/>
        <w:right w:val="none" w:sz="0" w:space="0" w:color="auto"/>
      </w:divBdr>
    </w:div>
    <w:div w:id="296683522">
      <w:bodyDiv w:val="1"/>
      <w:marLeft w:val="0"/>
      <w:marRight w:val="0"/>
      <w:marTop w:val="0"/>
      <w:marBottom w:val="0"/>
      <w:divBdr>
        <w:top w:val="none" w:sz="0" w:space="0" w:color="auto"/>
        <w:left w:val="none" w:sz="0" w:space="0" w:color="auto"/>
        <w:bottom w:val="none" w:sz="0" w:space="0" w:color="auto"/>
        <w:right w:val="none" w:sz="0" w:space="0" w:color="auto"/>
      </w:divBdr>
    </w:div>
    <w:div w:id="298271248">
      <w:bodyDiv w:val="1"/>
      <w:marLeft w:val="0"/>
      <w:marRight w:val="0"/>
      <w:marTop w:val="0"/>
      <w:marBottom w:val="0"/>
      <w:divBdr>
        <w:top w:val="none" w:sz="0" w:space="0" w:color="auto"/>
        <w:left w:val="none" w:sz="0" w:space="0" w:color="auto"/>
        <w:bottom w:val="none" w:sz="0" w:space="0" w:color="auto"/>
        <w:right w:val="none" w:sz="0" w:space="0" w:color="auto"/>
      </w:divBdr>
    </w:div>
    <w:div w:id="299113219">
      <w:bodyDiv w:val="1"/>
      <w:marLeft w:val="0"/>
      <w:marRight w:val="0"/>
      <w:marTop w:val="0"/>
      <w:marBottom w:val="0"/>
      <w:divBdr>
        <w:top w:val="none" w:sz="0" w:space="0" w:color="auto"/>
        <w:left w:val="none" w:sz="0" w:space="0" w:color="auto"/>
        <w:bottom w:val="none" w:sz="0" w:space="0" w:color="auto"/>
        <w:right w:val="none" w:sz="0" w:space="0" w:color="auto"/>
      </w:divBdr>
    </w:div>
    <w:div w:id="300382436">
      <w:bodyDiv w:val="1"/>
      <w:marLeft w:val="0"/>
      <w:marRight w:val="0"/>
      <w:marTop w:val="0"/>
      <w:marBottom w:val="0"/>
      <w:divBdr>
        <w:top w:val="none" w:sz="0" w:space="0" w:color="auto"/>
        <w:left w:val="none" w:sz="0" w:space="0" w:color="auto"/>
        <w:bottom w:val="none" w:sz="0" w:space="0" w:color="auto"/>
        <w:right w:val="none" w:sz="0" w:space="0" w:color="auto"/>
      </w:divBdr>
    </w:div>
    <w:div w:id="300770105">
      <w:bodyDiv w:val="1"/>
      <w:marLeft w:val="0"/>
      <w:marRight w:val="0"/>
      <w:marTop w:val="0"/>
      <w:marBottom w:val="0"/>
      <w:divBdr>
        <w:top w:val="none" w:sz="0" w:space="0" w:color="auto"/>
        <w:left w:val="none" w:sz="0" w:space="0" w:color="auto"/>
        <w:bottom w:val="none" w:sz="0" w:space="0" w:color="auto"/>
        <w:right w:val="none" w:sz="0" w:space="0" w:color="auto"/>
      </w:divBdr>
    </w:div>
    <w:div w:id="302933514">
      <w:bodyDiv w:val="1"/>
      <w:marLeft w:val="0"/>
      <w:marRight w:val="0"/>
      <w:marTop w:val="0"/>
      <w:marBottom w:val="0"/>
      <w:divBdr>
        <w:top w:val="none" w:sz="0" w:space="0" w:color="auto"/>
        <w:left w:val="none" w:sz="0" w:space="0" w:color="auto"/>
        <w:bottom w:val="none" w:sz="0" w:space="0" w:color="auto"/>
        <w:right w:val="none" w:sz="0" w:space="0" w:color="auto"/>
      </w:divBdr>
    </w:div>
    <w:div w:id="303318292">
      <w:bodyDiv w:val="1"/>
      <w:marLeft w:val="0"/>
      <w:marRight w:val="0"/>
      <w:marTop w:val="0"/>
      <w:marBottom w:val="0"/>
      <w:divBdr>
        <w:top w:val="none" w:sz="0" w:space="0" w:color="auto"/>
        <w:left w:val="none" w:sz="0" w:space="0" w:color="auto"/>
        <w:bottom w:val="none" w:sz="0" w:space="0" w:color="auto"/>
        <w:right w:val="none" w:sz="0" w:space="0" w:color="auto"/>
      </w:divBdr>
    </w:div>
    <w:div w:id="303387286">
      <w:bodyDiv w:val="1"/>
      <w:marLeft w:val="0"/>
      <w:marRight w:val="0"/>
      <w:marTop w:val="0"/>
      <w:marBottom w:val="0"/>
      <w:divBdr>
        <w:top w:val="none" w:sz="0" w:space="0" w:color="auto"/>
        <w:left w:val="none" w:sz="0" w:space="0" w:color="auto"/>
        <w:bottom w:val="none" w:sz="0" w:space="0" w:color="auto"/>
        <w:right w:val="none" w:sz="0" w:space="0" w:color="auto"/>
      </w:divBdr>
    </w:div>
    <w:div w:id="305085526">
      <w:bodyDiv w:val="1"/>
      <w:marLeft w:val="0"/>
      <w:marRight w:val="0"/>
      <w:marTop w:val="0"/>
      <w:marBottom w:val="0"/>
      <w:divBdr>
        <w:top w:val="none" w:sz="0" w:space="0" w:color="auto"/>
        <w:left w:val="none" w:sz="0" w:space="0" w:color="auto"/>
        <w:bottom w:val="none" w:sz="0" w:space="0" w:color="auto"/>
        <w:right w:val="none" w:sz="0" w:space="0" w:color="auto"/>
      </w:divBdr>
    </w:div>
    <w:div w:id="305820312">
      <w:bodyDiv w:val="1"/>
      <w:marLeft w:val="0"/>
      <w:marRight w:val="0"/>
      <w:marTop w:val="0"/>
      <w:marBottom w:val="0"/>
      <w:divBdr>
        <w:top w:val="none" w:sz="0" w:space="0" w:color="auto"/>
        <w:left w:val="none" w:sz="0" w:space="0" w:color="auto"/>
        <w:bottom w:val="none" w:sz="0" w:space="0" w:color="auto"/>
        <w:right w:val="none" w:sz="0" w:space="0" w:color="auto"/>
      </w:divBdr>
    </w:div>
    <w:div w:id="307784028">
      <w:bodyDiv w:val="1"/>
      <w:marLeft w:val="0"/>
      <w:marRight w:val="0"/>
      <w:marTop w:val="0"/>
      <w:marBottom w:val="0"/>
      <w:divBdr>
        <w:top w:val="none" w:sz="0" w:space="0" w:color="auto"/>
        <w:left w:val="none" w:sz="0" w:space="0" w:color="auto"/>
        <w:bottom w:val="none" w:sz="0" w:space="0" w:color="auto"/>
        <w:right w:val="none" w:sz="0" w:space="0" w:color="auto"/>
      </w:divBdr>
    </w:div>
    <w:div w:id="309408871">
      <w:bodyDiv w:val="1"/>
      <w:marLeft w:val="0"/>
      <w:marRight w:val="0"/>
      <w:marTop w:val="0"/>
      <w:marBottom w:val="0"/>
      <w:divBdr>
        <w:top w:val="none" w:sz="0" w:space="0" w:color="auto"/>
        <w:left w:val="none" w:sz="0" w:space="0" w:color="auto"/>
        <w:bottom w:val="none" w:sz="0" w:space="0" w:color="auto"/>
        <w:right w:val="none" w:sz="0" w:space="0" w:color="auto"/>
      </w:divBdr>
    </w:div>
    <w:div w:id="310715626">
      <w:bodyDiv w:val="1"/>
      <w:marLeft w:val="0"/>
      <w:marRight w:val="0"/>
      <w:marTop w:val="0"/>
      <w:marBottom w:val="0"/>
      <w:divBdr>
        <w:top w:val="none" w:sz="0" w:space="0" w:color="auto"/>
        <w:left w:val="none" w:sz="0" w:space="0" w:color="auto"/>
        <w:bottom w:val="none" w:sz="0" w:space="0" w:color="auto"/>
        <w:right w:val="none" w:sz="0" w:space="0" w:color="auto"/>
      </w:divBdr>
    </w:div>
    <w:div w:id="311760315">
      <w:bodyDiv w:val="1"/>
      <w:marLeft w:val="0"/>
      <w:marRight w:val="0"/>
      <w:marTop w:val="0"/>
      <w:marBottom w:val="0"/>
      <w:divBdr>
        <w:top w:val="none" w:sz="0" w:space="0" w:color="auto"/>
        <w:left w:val="none" w:sz="0" w:space="0" w:color="auto"/>
        <w:bottom w:val="none" w:sz="0" w:space="0" w:color="auto"/>
        <w:right w:val="none" w:sz="0" w:space="0" w:color="auto"/>
      </w:divBdr>
    </w:div>
    <w:div w:id="312565778">
      <w:bodyDiv w:val="1"/>
      <w:marLeft w:val="0"/>
      <w:marRight w:val="0"/>
      <w:marTop w:val="0"/>
      <w:marBottom w:val="0"/>
      <w:divBdr>
        <w:top w:val="none" w:sz="0" w:space="0" w:color="auto"/>
        <w:left w:val="none" w:sz="0" w:space="0" w:color="auto"/>
        <w:bottom w:val="none" w:sz="0" w:space="0" w:color="auto"/>
        <w:right w:val="none" w:sz="0" w:space="0" w:color="auto"/>
      </w:divBdr>
    </w:div>
    <w:div w:id="316614882">
      <w:bodyDiv w:val="1"/>
      <w:marLeft w:val="0"/>
      <w:marRight w:val="0"/>
      <w:marTop w:val="0"/>
      <w:marBottom w:val="0"/>
      <w:divBdr>
        <w:top w:val="none" w:sz="0" w:space="0" w:color="auto"/>
        <w:left w:val="none" w:sz="0" w:space="0" w:color="auto"/>
        <w:bottom w:val="none" w:sz="0" w:space="0" w:color="auto"/>
        <w:right w:val="none" w:sz="0" w:space="0" w:color="auto"/>
      </w:divBdr>
    </w:div>
    <w:div w:id="316618192">
      <w:bodyDiv w:val="1"/>
      <w:marLeft w:val="0"/>
      <w:marRight w:val="0"/>
      <w:marTop w:val="0"/>
      <w:marBottom w:val="0"/>
      <w:divBdr>
        <w:top w:val="none" w:sz="0" w:space="0" w:color="auto"/>
        <w:left w:val="none" w:sz="0" w:space="0" w:color="auto"/>
        <w:bottom w:val="none" w:sz="0" w:space="0" w:color="auto"/>
        <w:right w:val="none" w:sz="0" w:space="0" w:color="auto"/>
      </w:divBdr>
    </w:div>
    <w:div w:id="317349001">
      <w:bodyDiv w:val="1"/>
      <w:marLeft w:val="0"/>
      <w:marRight w:val="0"/>
      <w:marTop w:val="0"/>
      <w:marBottom w:val="0"/>
      <w:divBdr>
        <w:top w:val="none" w:sz="0" w:space="0" w:color="auto"/>
        <w:left w:val="none" w:sz="0" w:space="0" w:color="auto"/>
        <w:bottom w:val="none" w:sz="0" w:space="0" w:color="auto"/>
        <w:right w:val="none" w:sz="0" w:space="0" w:color="auto"/>
      </w:divBdr>
    </w:div>
    <w:div w:id="317539827">
      <w:bodyDiv w:val="1"/>
      <w:marLeft w:val="0"/>
      <w:marRight w:val="0"/>
      <w:marTop w:val="0"/>
      <w:marBottom w:val="0"/>
      <w:divBdr>
        <w:top w:val="none" w:sz="0" w:space="0" w:color="auto"/>
        <w:left w:val="none" w:sz="0" w:space="0" w:color="auto"/>
        <w:bottom w:val="none" w:sz="0" w:space="0" w:color="auto"/>
        <w:right w:val="none" w:sz="0" w:space="0" w:color="auto"/>
      </w:divBdr>
    </w:div>
    <w:div w:id="321475301">
      <w:bodyDiv w:val="1"/>
      <w:marLeft w:val="0"/>
      <w:marRight w:val="0"/>
      <w:marTop w:val="0"/>
      <w:marBottom w:val="0"/>
      <w:divBdr>
        <w:top w:val="none" w:sz="0" w:space="0" w:color="auto"/>
        <w:left w:val="none" w:sz="0" w:space="0" w:color="auto"/>
        <w:bottom w:val="none" w:sz="0" w:space="0" w:color="auto"/>
        <w:right w:val="none" w:sz="0" w:space="0" w:color="auto"/>
      </w:divBdr>
    </w:div>
    <w:div w:id="323096466">
      <w:bodyDiv w:val="1"/>
      <w:marLeft w:val="0"/>
      <w:marRight w:val="0"/>
      <w:marTop w:val="0"/>
      <w:marBottom w:val="0"/>
      <w:divBdr>
        <w:top w:val="none" w:sz="0" w:space="0" w:color="auto"/>
        <w:left w:val="none" w:sz="0" w:space="0" w:color="auto"/>
        <w:bottom w:val="none" w:sz="0" w:space="0" w:color="auto"/>
        <w:right w:val="none" w:sz="0" w:space="0" w:color="auto"/>
      </w:divBdr>
    </w:div>
    <w:div w:id="323432430">
      <w:bodyDiv w:val="1"/>
      <w:marLeft w:val="0"/>
      <w:marRight w:val="0"/>
      <w:marTop w:val="0"/>
      <w:marBottom w:val="0"/>
      <w:divBdr>
        <w:top w:val="none" w:sz="0" w:space="0" w:color="auto"/>
        <w:left w:val="none" w:sz="0" w:space="0" w:color="auto"/>
        <w:bottom w:val="none" w:sz="0" w:space="0" w:color="auto"/>
        <w:right w:val="none" w:sz="0" w:space="0" w:color="auto"/>
      </w:divBdr>
    </w:div>
    <w:div w:id="324827029">
      <w:bodyDiv w:val="1"/>
      <w:marLeft w:val="0"/>
      <w:marRight w:val="0"/>
      <w:marTop w:val="0"/>
      <w:marBottom w:val="0"/>
      <w:divBdr>
        <w:top w:val="none" w:sz="0" w:space="0" w:color="auto"/>
        <w:left w:val="none" w:sz="0" w:space="0" w:color="auto"/>
        <w:bottom w:val="none" w:sz="0" w:space="0" w:color="auto"/>
        <w:right w:val="none" w:sz="0" w:space="0" w:color="auto"/>
      </w:divBdr>
    </w:div>
    <w:div w:id="325286045">
      <w:bodyDiv w:val="1"/>
      <w:marLeft w:val="0"/>
      <w:marRight w:val="0"/>
      <w:marTop w:val="0"/>
      <w:marBottom w:val="0"/>
      <w:divBdr>
        <w:top w:val="none" w:sz="0" w:space="0" w:color="auto"/>
        <w:left w:val="none" w:sz="0" w:space="0" w:color="auto"/>
        <w:bottom w:val="none" w:sz="0" w:space="0" w:color="auto"/>
        <w:right w:val="none" w:sz="0" w:space="0" w:color="auto"/>
      </w:divBdr>
    </w:div>
    <w:div w:id="328407964">
      <w:bodyDiv w:val="1"/>
      <w:marLeft w:val="0"/>
      <w:marRight w:val="0"/>
      <w:marTop w:val="0"/>
      <w:marBottom w:val="0"/>
      <w:divBdr>
        <w:top w:val="none" w:sz="0" w:space="0" w:color="auto"/>
        <w:left w:val="none" w:sz="0" w:space="0" w:color="auto"/>
        <w:bottom w:val="none" w:sz="0" w:space="0" w:color="auto"/>
        <w:right w:val="none" w:sz="0" w:space="0" w:color="auto"/>
      </w:divBdr>
    </w:div>
    <w:div w:id="333994444">
      <w:bodyDiv w:val="1"/>
      <w:marLeft w:val="0"/>
      <w:marRight w:val="0"/>
      <w:marTop w:val="0"/>
      <w:marBottom w:val="0"/>
      <w:divBdr>
        <w:top w:val="none" w:sz="0" w:space="0" w:color="auto"/>
        <w:left w:val="none" w:sz="0" w:space="0" w:color="auto"/>
        <w:bottom w:val="none" w:sz="0" w:space="0" w:color="auto"/>
        <w:right w:val="none" w:sz="0" w:space="0" w:color="auto"/>
      </w:divBdr>
    </w:div>
    <w:div w:id="340544884">
      <w:bodyDiv w:val="1"/>
      <w:marLeft w:val="0"/>
      <w:marRight w:val="0"/>
      <w:marTop w:val="0"/>
      <w:marBottom w:val="0"/>
      <w:divBdr>
        <w:top w:val="none" w:sz="0" w:space="0" w:color="auto"/>
        <w:left w:val="none" w:sz="0" w:space="0" w:color="auto"/>
        <w:bottom w:val="none" w:sz="0" w:space="0" w:color="auto"/>
        <w:right w:val="none" w:sz="0" w:space="0" w:color="auto"/>
      </w:divBdr>
    </w:div>
    <w:div w:id="340622960">
      <w:bodyDiv w:val="1"/>
      <w:marLeft w:val="0"/>
      <w:marRight w:val="0"/>
      <w:marTop w:val="0"/>
      <w:marBottom w:val="0"/>
      <w:divBdr>
        <w:top w:val="none" w:sz="0" w:space="0" w:color="auto"/>
        <w:left w:val="none" w:sz="0" w:space="0" w:color="auto"/>
        <w:bottom w:val="none" w:sz="0" w:space="0" w:color="auto"/>
        <w:right w:val="none" w:sz="0" w:space="0" w:color="auto"/>
      </w:divBdr>
    </w:div>
    <w:div w:id="341667204">
      <w:bodyDiv w:val="1"/>
      <w:marLeft w:val="0"/>
      <w:marRight w:val="0"/>
      <w:marTop w:val="0"/>
      <w:marBottom w:val="0"/>
      <w:divBdr>
        <w:top w:val="none" w:sz="0" w:space="0" w:color="auto"/>
        <w:left w:val="none" w:sz="0" w:space="0" w:color="auto"/>
        <w:bottom w:val="none" w:sz="0" w:space="0" w:color="auto"/>
        <w:right w:val="none" w:sz="0" w:space="0" w:color="auto"/>
      </w:divBdr>
    </w:div>
    <w:div w:id="343092931">
      <w:bodyDiv w:val="1"/>
      <w:marLeft w:val="0"/>
      <w:marRight w:val="0"/>
      <w:marTop w:val="0"/>
      <w:marBottom w:val="0"/>
      <w:divBdr>
        <w:top w:val="none" w:sz="0" w:space="0" w:color="auto"/>
        <w:left w:val="none" w:sz="0" w:space="0" w:color="auto"/>
        <w:bottom w:val="none" w:sz="0" w:space="0" w:color="auto"/>
        <w:right w:val="none" w:sz="0" w:space="0" w:color="auto"/>
      </w:divBdr>
    </w:div>
    <w:div w:id="345253310">
      <w:bodyDiv w:val="1"/>
      <w:marLeft w:val="0"/>
      <w:marRight w:val="0"/>
      <w:marTop w:val="0"/>
      <w:marBottom w:val="0"/>
      <w:divBdr>
        <w:top w:val="none" w:sz="0" w:space="0" w:color="auto"/>
        <w:left w:val="none" w:sz="0" w:space="0" w:color="auto"/>
        <w:bottom w:val="none" w:sz="0" w:space="0" w:color="auto"/>
        <w:right w:val="none" w:sz="0" w:space="0" w:color="auto"/>
      </w:divBdr>
    </w:div>
    <w:div w:id="346174109">
      <w:bodyDiv w:val="1"/>
      <w:marLeft w:val="0"/>
      <w:marRight w:val="0"/>
      <w:marTop w:val="0"/>
      <w:marBottom w:val="0"/>
      <w:divBdr>
        <w:top w:val="none" w:sz="0" w:space="0" w:color="auto"/>
        <w:left w:val="none" w:sz="0" w:space="0" w:color="auto"/>
        <w:bottom w:val="none" w:sz="0" w:space="0" w:color="auto"/>
        <w:right w:val="none" w:sz="0" w:space="0" w:color="auto"/>
      </w:divBdr>
    </w:div>
    <w:div w:id="346369875">
      <w:bodyDiv w:val="1"/>
      <w:marLeft w:val="0"/>
      <w:marRight w:val="0"/>
      <w:marTop w:val="0"/>
      <w:marBottom w:val="0"/>
      <w:divBdr>
        <w:top w:val="none" w:sz="0" w:space="0" w:color="auto"/>
        <w:left w:val="none" w:sz="0" w:space="0" w:color="auto"/>
        <w:bottom w:val="none" w:sz="0" w:space="0" w:color="auto"/>
        <w:right w:val="none" w:sz="0" w:space="0" w:color="auto"/>
      </w:divBdr>
    </w:div>
    <w:div w:id="346518876">
      <w:bodyDiv w:val="1"/>
      <w:marLeft w:val="0"/>
      <w:marRight w:val="0"/>
      <w:marTop w:val="0"/>
      <w:marBottom w:val="0"/>
      <w:divBdr>
        <w:top w:val="none" w:sz="0" w:space="0" w:color="auto"/>
        <w:left w:val="none" w:sz="0" w:space="0" w:color="auto"/>
        <w:bottom w:val="none" w:sz="0" w:space="0" w:color="auto"/>
        <w:right w:val="none" w:sz="0" w:space="0" w:color="auto"/>
      </w:divBdr>
    </w:div>
    <w:div w:id="347488898">
      <w:bodyDiv w:val="1"/>
      <w:marLeft w:val="0"/>
      <w:marRight w:val="0"/>
      <w:marTop w:val="0"/>
      <w:marBottom w:val="0"/>
      <w:divBdr>
        <w:top w:val="none" w:sz="0" w:space="0" w:color="auto"/>
        <w:left w:val="none" w:sz="0" w:space="0" w:color="auto"/>
        <w:bottom w:val="none" w:sz="0" w:space="0" w:color="auto"/>
        <w:right w:val="none" w:sz="0" w:space="0" w:color="auto"/>
      </w:divBdr>
    </w:div>
    <w:div w:id="351686870">
      <w:bodyDiv w:val="1"/>
      <w:marLeft w:val="0"/>
      <w:marRight w:val="0"/>
      <w:marTop w:val="0"/>
      <w:marBottom w:val="0"/>
      <w:divBdr>
        <w:top w:val="none" w:sz="0" w:space="0" w:color="auto"/>
        <w:left w:val="none" w:sz="0" w:space="0" w:color="auto"/>
        <w:bottom w:val="none" w:sz="0" w:space="0" w:color="auto"/>
        <w:right w:val="none" w:sz="0" w:space="0" w:color="auto"/>
      </w:divBdr>
    </w:div>
    <w:div w:id="351763293">
      <w:bodyDiv w:val="1"/>
      <w:marLeft w:val="0"/>
      <w:marRight w:val="0"/>
      <w:marTop w:val="0"/>
      <w:marBottom w:val="0"/>
      <w:divBdr>
        <w:top w:val="none" w:sz="0" w:space="0" w:color="auto"/>
        <w:left w:val="none" w:sz="0" w:space="0" w:color="auto"/>
        <w:bottom w:val="none" w:sz="0" w:space="0" w:color="auto"/>
        <w:right w:val="none" w:sz="0" w:space="0" w:color="auto"/>
      </w:divBdr>
    </w:div>
    <w:div w:id="352000295">
      <w:bodyDiv w:val="1"/>
      <w:marLeft w:val="0"/>
      <w:marRight w:val="0"/>
      <w:marTop w:val="0"/>
      <w:marBottom w:val="0"/>
      <w:divBdr>
        <w:top w:val="none" w:sz="0" w:space="0" w:color="auto"/>
        <w:left w:val="none" w:sz="0" w:space="0" w:color="auto"/>
        <w:bottom w:val="none" w:sz="0" w:space="0" w:color="auto"/>
        <w:right w:val="none" w:sz="0" w:space="0" w:color="auto"/>
      </w:divBdr>
    </w:div>
    <w:div w:id="352532329">
      <w:bodyDiv w:val="1"/>
      <w:marLeft w:val="0"/>
      <w:marRight w:val="0"/>
      <w:marTop w:val="0"/>
      <w:marBottom w:val="0"/>
      <w:divBdr>
        <w:top w:val="none" w:sz="0" w:space="0" w:color="auto"/>
        <w:left w:val="none" w:sz="0" w:space="0" w:color="auto"/>
        <w:bottom w:val="none" w:sz="0" w:space="0" w:color="auto"/>
        <w:right w:val="none" w:sz="0" w:space="0" w:color="auto"/>
      </w:divBdr>
    </w:div>
    <w:div w:id="352807600">
      <w:bodyDiv w:val="1"/>
      <w:marLeft w:val="0"/>
      <w:marRight w:val="0"/>
      <w:marTop w:val="0"/>
      <w:marBottom w:val="0"/>
      <w:divBdr>
        <w:top w:val="none" w:sz="0" w:space="0" w:color="auto"/>
        <w:left w:val="none" w:sz="0" w:space="0" w:color="auto"/>
        <w:bottom w:val="none" w:sz="0" w:space="0" w:color="auto"/>
        <w:right w:val="none" w:sz="0" w:space="0" w:color="auto"/>
      </w:divBdr>
    </w:div>
    <w:div w:id="353920898">
      <w:bodyDiv w:val="1"/>
      <w:marLeft w:val="0"/>
      <w:marRight w:val="0"/>
      <w:marTop w:val="0"/>
      <w:marBottom w:val="0"/>
      <w:divBdr>
        <w:top w:val="none" w:sz="0" w:space="0" w:color="auto"/>
        <w:left w:val="none" w:sz="0" w:space="0" w:color="auto"/>
        <w:bottom w:val="none" w:sz="0" w:space="0" w:color="auto"/>
        <w:right w:val="none" w:sz="0" w:space="0" w:color="auto"/>
      </w:divBdr>
    </w:div>
    <w:div w:id="357003913">
      <w:bodyDiv w:val="1"/>
      <w:marLeft w:val="0"/>
      <w:marRight w:val="0"/>
      <w:marTop w:val="0"/>
      <w:marBottom w:val="0"/>
      <w:divBdr>
        <w:top w:val="none" w:sz="0" w:space="0" w:color="auto"/>
        <w:left w:val="none" w:sz="0" w:space="0" w:color="auto"/>
        <w:bottom w:val="none" w:sz="0" w:space="0" w:color="auto"/>
        <w:right w:val="none" w:sz="0" w:space="0" w:color="auto"/>
      </w:divBdr>
    </w:div>
    <w:div w:id="357120297">
      <w:bodyDiv w:val="1"/>
      <w:marLeft w:val="0"/>
      <w:marRight w:val="0"/>
      <w:marTop w:val="0"/>
      <w:marBottom w:val="0"/>
      <w:divBdr>
        <w:top w:val="none" w:sz="0" w:space="0" w:color="auto"/>
        <w:left w:val="none" w:sz="0" w:space="0" w:color="auto"/>
        <w:bottom w:val="none" w:sz="0" w:space="0" w:color="auto"/>
        <w:right w:val="none" w:sz="0" w:space="0" w:color="auto"/>
      </w:divBdr>
    </w:div>
    <w:div w:id="358631993">
      <w:bodyDiv w:val="1"/>
      <w:marLeft w:val="0"/>
      <w:marRight w:val="0"/>
      <w:marTop w:val="0"/>
      <w:marBottom w:val="0"/>
      <w:divBdr>
        <w:top w:val="none" w:sz="0" w:space="0" w:color="auto"/>
        <w:left w:val="none" w:sz="0" w:space="0" w:color="auto"/>
        <w:bottom w:val="none" w:sz="0" w:space="0" w:color="auto"/>
        <w:right w:val="none" w:sz="0" w:space="0" w:color="auto"/>
      </w:divBdr>
    </w:div>
    <w:div w:id="359014002">
      <w:bodyDiv w:val="1"/>
      <w:marLeft w:val="0"/>
      <w:marRight w:val="0"/>
      <w:marTop w:val="0"/>
      <w:marBottom w:val="0"/>
      <w:divBdr>
        <w:top w:val="none" w:sz="0" w:space="0" w:color="auto"/>
        <w:left w:val="none" w:sz="0" w:space="0" w:color="auto"/>
        <w:bottom w:val="none" w:sz="0" w:space="0" w:color="auto"/>
        <w:right w:val="none" w:sz="0" w:space="0" w:color="auto"/>
      </w:divBdr>
    </w:div>
    <w:div w:id="362706834">
      <w:bodyDiv w:val="1"/>
      <w:marLeft w:val="0"/>
      <w:marRight w:val="0"/>
      <w:marTop w:val="0"/>
      <w:marBottom w:val="0"/>
      <w:divBdr>
        <w:top w:val="none" w:sz="0" w:space="0" w:color="auto"/>
        <w:left w:val="none" w:sz="0" w:space="0" w:color="auto"/>
        <w:bottom w:val="none" w:sz="0" w:space="0" w:color="auto"/>
        <w:right w:val="none" w:sz="0" w:space="0" w:color="auto"/>
      </w:divBdr>
    </w:div>
    <w:div w:id="365717356">
      <w:bodyDiv w:val="1"/>
      <w:marLeft w:val="0"/>
      <w:marRight w:val="0"/>
      <w:marTop w:val="0"/>
      <w:marBottom w:val="0"/>
      <w:divBdr>
        <w:top w:val="none" w:sz="0" w:space="0" w:color="auto"/>
        <w:left w:val="none" w:sz="0" w:space="0" w:color="auto"/>
        <w:bottom w:val="none" w:sz="0" w:space="0" w:color="auto"/>
        <w:right w:val="none" w:sz="0" w:space="0" w:color="auto"/>
      </w:divBdr>
    </w:div>
    <w:div w:id="368072437">
      <w:bodyDiv w:val="1"/>
      <w:marLeft w:val="0"/>
      <w:marRight w:val="0"/>
      <w:marTop w:val="0"/>
      <w:marBottom w:val="0"/>
      <w:divBdr>
        <w:top w:val="none" w:sz="0" w:space="0" w:color="auto"/>
        <w:left w:val="none" w:sz="0" w:space="0" w:color="auto"/>
        <w:bottom w:val="none" w:sz="0" w:space="0" w:color="auto"/>
        <w:right w:val="none" w:sz="0" w:space="0" w:color="auto"/>
      </w:divBdr>
    </w:div>
    <w:div w:id="371080115">
      <w:bodyDiv w:val="1"/>
      <w:marLeft w:val="0"/>
      <w:marRight w:val="0"/>
      <w:marTop w:val="0"/>
      <w:marBottom w:val="0"/>
      <w:divBdr>
        <w:top w:val="none" w:sz="0" w:space="0" w:color="auto"/>
        <w:left w:val="none" w:sz="0" w:space="0" w:color="auto"/>
        <w:bottom w:val="none" w:sz="0" w:space="0" w:color="auto"/>
        <w:right w:val="none" w:sz="0" w:space="0" w:color="auto"/>
      </w:divBdr>
    </w:div>
    <w:div w:id="372775875">
      <w:bodyDiv w:val="1"/>
      <w:marLeft w:val="0"/>
      <w:marRight w:val="0"/>
      <w:marTop w:val="0"/>
      <w:marBottom w:val="0"/>
      <w:divBdr>
        <w:top w:val="none" w:sz="0" w:space="0" w:color="auto"/>
        <w:left w:val="none" w:sz="0" w:space="0" w:color="auto"/>
        <w:bottom w:val="none" w:sz="0" w:space="0" w:color="auto"/>
        <w:right w:val="none" w:sz="0" w:space="0" w:color="auto"/>
      </w:divBdr>
    </w:div>
    <w:div w:id="373308120">
      <w:bodyDiv w:val="1"/>
      <w:marLeft w:val="0"/>
      <w:marRight w:val="0"/>
      <w:marTop w:val="0"/>
      <w:marBottom w:val="0"/>
      <w:divBdr>
        <w:top w:val="none" w:sz="0" w:space="0" w:color="auto"/>
        <w:left w:val="none" w:sz="0" w:space="0" w:color="auto"/>
        <w:bottom w:val="none" w:sz="0" w:space="0" w:color="auto"/>
        <w:right w:val="none" w:sz="0" w:space="0" w:color="auto"/>
      </w:divBdr>
    </w:div>
    <w:div w:id="376709527">
      <w:bodyDiv w:val="1"/>
      <w:marLeft w:val="0"/>
      <w:marRight w:val="0"/>
      <w:marTop w:val="0"/>
      <w:marBottom w:val="0"/>
      <w:divBdr>
        <w:top w:val="none" w:sz="0" w:space="0" w:color="auto"/>
        <w:left w:val="none" w:sz="0" w:space="0" w:color="auto"/>
        <w:bottom w:val="none" w:sz="0" w:space="0" w:color="auto"/>
        <w:right w:val="none" w:sz="0" w:space="0" w:color="auto"/>
      </w:divBdr>
    </w:div>
    <w:div w:id="377704260">
      <w:bodyDiv w:val="1"/>
      <w:marLeft w:val="0"/>
      <w:marRight w:val="0"/>
      <w:marTop w:val="0"/>
      <w:marBottom w:val="0"/>
      <w:divBdr>
        <w:top w:val="none" w:sz="0" w:space="0" w:color="auto"/>
        <w:left w:val="none" w:sz="0" w:space="0" w:color="auto"/>
        <w:bottom w:val="none" w:sz="0" w:space="0" w:color="auto"/>
        <w:right w:val="none" w:sz="0" w:space="0" w:color="auto"/>
      </w:divBdr>
    </w:div>
    <w:div w:id="379675237">
      <w:bodyDiv w:val="1"/>
      <w:marLeft w:val="0"/>
      <w:marRight w:val="0"/>
      <w:marTop w:val="0"/>
      <w:marBottom w:val="0"/>
      <w:divBdr>
        <w:top w:val="none" w:sz="0" w:space="0" w:color="auto"/>
        <w:left w:val="none" w:sz="0" w:space="0" w:color="auto"/>
        <w:bottom w:val="none" w:sz="0" w:space="0" w:color="auto"/>
        <w:right w:val="none" w:sz="0" w:space="0" w:color="auto"/>
      </w:divBdr>
    </w:div>
    <w:div w:id="380713399">
      <w:bodyDiv w:val="1"/>
      <w:marLeft w:val="0"/>
      <w:marRight w:val="0"/>
      <w:marTop w:val="0"/>
      <w:marBottom w:val="0"/>
      <w:divBdr>
        <w:top w:val="none" w:sz="0" w:space="0" w:color="auto"/>
        <w:left w:val="none" w:sz="0" w:space="0" w:color="auto"/>
        <w:bottom w:val="none" w:sz="0" w:space="0" w:color="auto"/>
        <w:right w:val="none" w:sz="0" w:space="0" w:color="auto"/>
      </w:divBdr>
    </w:div>
    <w:div w:id="381832776">
      <w:bodyDiv w:val="1"/>
      <w:marLeft w:val="0"/>
      <w:marRight w:val="0"/>
      <w:marTop w:val="0"/>
      <w:marBottom w:val="0"/>
      <w:divBdr>
        <w:top w:val="none" w:sz="0" w:space="0" w:color="auto"/>
        <w:left w:val="none" w:sz="0" w:space="0" w:color="auto"/>
        <w:bottom w:val="none" w:sz="0" w:space="0" w:color="auto"/>
        <w:right w:val="none" w:sz="0" w:space="0" w:color="auto"/>
      </w:divBdr>
    </w:div>
    <w:div w:id="384064654">
      <w:bodyDiv w:val="1"/>
      <w:marLeft w:val="0"/>
      <w:marRight w:val="0"/>
      <w:marTop w:val="0"/>
      <w:marBottom w:val="0"/>
      <w:divBdr>
        <w:top w:val="none" w:sz="0" w:space="0" w:color="auto"/>
        <w:left w:val="none" w:sz="0" w:space="0" w:color="auto"/>
        <w:bottom w:val="none" w:sz="0" w:space="0" w:color="auto"/>
        <w:right w:val="none" w:sz="0" w:space="0" w:color="auto"/>
      </w:divBdr>
    </w:div>
    <w:div w:id="385876910">
      <w:bodyDiv w:val="1"/>
      <w:marLeft w:val="0"/>
      <w:marRight w:val="0"/>
      <w:marTop w:val="0"/>
      <w:marBottom w:val="0"/>
      <w:divBdr>
        <w:top w:val="none" w:sz="0" w:space="0" w:color="auto"/>
        <w:left w:val="none" w:sz="0" w:space="0" w:color="auto"/>
        <w:bottom w:val="none" w:sz="0" w:space="0" w:color="auto"/>
        <w:right w:val="none" w:sz="0" w:space="0" w:color="auto"/>
      </w:divBdr>
    </w:div>
    <w:div w:id="388654552">
      <w:bodyDiv w:val="1"/>
      <w:marLeft w:val="0"/>
      <w:marRight w:val="0"/>
      <w:marTop w:val="0"/>
      <w:marBottom w:val="0"/>
      <w:divBdr>
        <w:top w:val="none" w:sz="0" w:space="0" w:color="auto"/>
        <w:left w:val="none" w:sz="0" w:space="0" w:color="auto"/>
        <w:bottom w:val="none" w:sz="0" w:space="0" w:color="auto"/>
        <w:right w:val="none" w:sz="0" w:space="0" w:color="auto"/>
      </w:divBdr>
    </w:div>
    <w:div w:id="390421489">
      <w:bodyDiv w:val="1"/>
      <w:marLeft w:val="0"/>
      <w:marRight w:val="0"/>
      <w:marTop w:val="0"/>
      <w:marBottom w:val="0"/>
      <w:divBdr>
        <w:top w:val="none" w:sz="0" w:space="0" w:color="auto"/>
        <w:left w:val="none" w:sz="0" w:space="0" w:color="auto"/>
        <w:bottom w:val="none" w:sz="0" w:space="0" w:color="auto"/>
        <w:right w:val="none" w:sz="0" w:space="0" w:color="auto"/>
      </w:divBdr>
    </w:div>
    <w:div w:id="394164109">
      <w:bodyDiv w:val="1"/>
      <w:marLeft w:val="0"/>
      <w:marRight w:val="0"/>
      <w:marTop w:val="0"/>
      <w:marBottom w:val="0"/>
      <w:divBdr>
        <w:top w:val="none" w:sz="0" w:space="0" w:color="auto"/>
        <w:left w:val="none" w:sz="0" w:space="0" w:color="auto"/>
        <w:bottom w:val="none" w:sz="0" w:space="0" w:color="auto"/>
        <w:right w:val="none" w:sz="0" w:space="0" w:color="auto"/>
      </w:divBdr>
    </w:div>
    <w:div w:id="394201581">
      <w:bodyDiv w:val="1"/>
      <w:marLeft w:val="0"/>
      <w:marRight w:val="0"/>
      <w:marTop w:val="0"/>
      <w:marBottom w:val="0"/>
      <w:divBdr>
        <w:top w:val="none" w:sz="0" w:space="0" w:color="auto"/>
        <w:left w:val="none" w:sz="0" w:space="0" w:color="auto"/>
        <w:bottom w:val="none" w:sz="0" w:space="0" w:color="auto"/>
        <w:right w:val="none" w:sz="0" w:space="0" w:color="auto"/>
      </w:divBdr>
    </w:div>
    <w:div w:id="400177572">
      <w:bodyDiv w:val="1"/>
      <w:marLeft w:val="0"/>
      <w:marRight w:val="0"/>
      <w:marTop w:val="0"/>
      <w:marBottom w:val="0"/>
      <w:divBdr>
        <w:top w:val="none" w:sz="0" w:space="0" w:color="auto"/>
        <w:left w:val="none" w:sz="0" w:space="0" w:color="auto"/>
        <w:bottom w:val="none" w:sz="0" w:space="0" w:color="auto"/>
        <w:right w:val="none" w:sz="0" w:space="0" w:color="auto"/>
      </w:divBdr>
    </w:div>
    <w:div w:id="400560836">
      <w:bodyDiv w:val="1"/>
      <w:marLeft w:val="0"/>
      <w:marRight w:val="0"/>
      <w:marTop w:val="0"/>
      <w:marBottom w:val="0"/>
      <w:divBdr>
        <w:top w:val="none" w:sz="0" w:space="0" w:color="auto"/>
        <w:left w:val="none" w:sz="0" w:space="0" w:color="auto"/>
        <w:bottom w:val="none" w:sz="0" w:space="0" w:color="auto"/>
        <w:right w:val="none" w:sz="0" w:space="0" w:color="auto"/>
      </w:divBdr>
    </w:div>
    <w:div w:id="402260999">
      <w:bodyDiv w:val="1"/>
      <w:marLeft w:val="0"/>
      <w:marRight w:val="0"/>
      <w:marTop w:val="0"/>
      <w:marBottom w:val="0"/>
      <w:divBdr>
        <w:top w:val="none" w:sz="0" w:space="0" w:color="auto"/>
        <w:left w:val="none" w:sz="0" w:space="0" w:color="auto"/>
        <w:bottom w:val="none" w:sz="0" w:space="0" w:color="auto"/>
        <w:right w:val="none" w:sz="0" w:space="0" w:color="auto"/>
      </w:divBdr>
    </w:div>
    <w:div w:id="402261663">
      <w:bodyDiv w:val="1"/>
      <w:marLeft w:val="0"/>
      <w:marRight w:val="0"/>
      <w:marTop w:val="0"/>
      <w:marBottom w:val="0"/>
      <w:divBdr>
        <w:top w:val="none" w:sz="0" w:space="0" w:color="auto"/>
        <w:left w:val="none" w:sz="0" w:space="0" w:color="auto"/>
        <w:bottom w:val="none" w:sz="0" w:space="0" w:color="auto"/>
        <w:right w:val="none" w:sz="0" w:space="0" w:color="auto"/>
      </w:divBdr>
    </w:div>
    <w:div w:id="403264250">
      <w:bodyDiv w:val="1"/>
      <w:marLeft w:val="0"/>
      <w:marRight w:val="0"/>
      <w:marTop w:val="0"/>
      <w:marBottom w:val="0"/>
      <w:divBdr>
        <w:top w:val="none" w:sz="0" w:space="0" w:color="auto"/>
        <w:left w:val="none" w:sz="0" w:space="0" w:color="auto"/>
        <w:bottom w:val="none" w:sz="0" w:space="0" w:color="auto"/>
        <w:right w:val="none" w:sz="0" w:space="0" w:color="auto"/>
      </w:divBdr>
    </w:div>
    <w:div w:id="404183917">
      <w:bodyDiv w:val="1"/>
      <w:marLeft w:val="0"/>
      <w:marRight w:val="0"/>
      <w:marTop w:val="0"/>
      <w:marBottom w:val="0"/>
      <w:divBdr>
        <w:top w:val="none" w:sz="0" w:space="0" w:color="auto"/>
        <w:left w:val="none" w:sz="0" w:space="0" w:color="auto"/>
        <w:bottom w:val="none" w:sz="0" w:space="0" w:color="auto"/>
        <w:right w:val="none" w:sz="0" w:space="0" w:color="auto"/>
      </w:divBdr>
    </w:div>
    <w:div w:id="407776096">
      <w:bodyDiv w:val="1"/>
      <w:marLeft w:val="0"/>
      <w:marRight w:val="0"/>
      <w:marTop w:val="0"/>
      <w:marBottom w:val="0"/>
      <w:divBdr>
        <w:top w:val="none" w:sz="0" w:space="0" w:color="auto"/>
        <w:left w:val="none" w:sz="0" w:space="0" w:color="auto"/>
        <w:bottom w:val="none" w:sz="0" w:space="0" w:color="auto"/>
        <w:right w:val="none" w:sz="0" w:space="0" w:color="auto"/>
      </w:divBdr>
    </w:div>
    <w:div w:id="407844490">
      <w:bodyDiv w:val="1"/>
      <w:marLeft w:val="0"/>
      <w:marRight w:val="0"/>
      <w:marTop w:val="0"/>
      <w:marBottom w:val="0"/>
      <w:divBdr>
        <w:top w:val="none" w:sz="0" w:space="0" w:color="auto"/>
        <w:left w:val="none" w:sz="0" w:space="0" w:color="auto"/>
        <w:bottom w:val="none" w:sz="0" w:space="0" w:color="auto"/>
        <w:right w:val="none" w:sz="0" w:space="0" w:color="auto"/>
      </w:divBdr>
    </w:div>
    <w:div w:id="413861075">
      <w:bodyDiv w:val="1"/>
      <w:marLeft w:val="0"/>
      <w:marRight w:val="0"/>
      <w:marTop w:val="0"/>
      <w:marBottom w:val="0"/>
      <w:divBdr>
        <w:top w:val="none" w:sz="0" w:space="0" w:color="auto"/>
        <w:left w:val="none" w:sz="0" w:space="0" w:color="auto"/>
        <w:bottom w:val="none" w:sz="0" w:space="0" w:color="auto"/>
        <w:right w:val="none" w:sz="0" w:space="0" w:color="auto"/>
      </w:divBdr>
    </w:div>
    <w:div w:id="416097286">
      <w:bodyDiv w:val="1"/>
      <w:marLeft w:val="0"/>
      <w:marRight w:val="0"/>
      <w:marTop w:val="0"/>
      <w:marBottom w:val="0"/>
      <w:divBdr>
        <w:top w:val="none" w:sz="0" w:space="0" w:color="auto"/>
        <w:left w:val="none" w:sz="0" w:space="0" w:color="auto"/>
        <w:bottom w:val="none" w:sz="0" w:space="0" w:color="auto"/>
        <w:right w:val="none" w:sz="0" w:space="0" w:color="auto"/>
      </w:divBdr>
    </w:div>
    <w:div w:id="417137890">
      <w:bodyDiv w:val="1"/>
      <w:marLeft w:val="0"/>
      <w:marRight w:val="0"/>
      <w:marTop w:val="0"/>
      <w:marBottom w:val="0"/>
      <w:divBdr>
        <w:top w:val="none" w:sz="0" w:space="0" w:color="auto"/>
        <w:left w:val="none" w:sz="0" w:space="0" w:color="auto"/>
        <w:bottom w:val="none" w:sz="0" w:space="0" w:color="auto"/>
        <w:right w:val="none" w:sz="0" w:space="0" w:color="auto"/>
      </w:divBdr>
    </w:div>
    <w:div w:id="418143718">
      <w:bodyDiv w:val="1"/>
      <w:marLeft w:val="0"/>
      <w:marRight w:val="0"/>
      <w:marTop w:val="0"/>
      <w:marBottom w:val="0"/>
      <w:divBdr>
        <w:top w:val="none" w:sz="0" w:space="0" w:color="auto"/>
        <w:left w:val="none" w:sz="0" w:space="0" w:color="auto"/>
        <w:bottom w:val="none" w:sz="0" w:space="0" w:color="auto"/>
        <w:right w:val="none" w:sz="0" w:space="0" w:color="auto"/>
      </w:divBdr>
    </w:div>
    <w:div w:id="422579597">
      <w:bodyDiv w:val="1"/>
      <w:marLeft w:val="0"/>
      <w:marRight w:val="0"/>
      <w:marTop w:val="0"/>
      <w:marBottom w:val="0"/>
      <w:divBdr>
        <w:top w:val="none" w:sz="0" w:space="0" w:color="auto"/>
        <w:left w:val="none" w:sz="0" w:space="0" w:color="auto"/>
        <w:bottom w:val="none" w:sz="0" w:space="0" w:color="auto"/>
        <w:right w:val="none" w:sz="0" w:space="0" w:color="auto"/>
      </w:divBdr>
    </w:div>
    <w:div w:id="426080813">
      <w:bodyDiv w:val="1"/>
      <w:marLeft w:val="0"/>
      <w:marRight w:val="0"/>
      <w:marTop w:val="0"/>
      <w:marBottom w:val="0"/>
      <w:divBdr>
        <w:top w:val="none" w:sz="0" w:space="0" w:color="auto"/>
        <w:left w:val="none" w:sz="0" w:space="0" w:color="auto"/>
        <w:bottom w:val="none" w:sz="0" w:space="0" w:color="auto"/>
        <w:right w:val="none" w:sz="0" w:space="0" w:color="auto"/>
      </w:divBdr>
    </w:div>
    <w:div w:id="428432566">
      <w:bodyDiv w:val="1"/>
      <w:marLeft w:val="0"/>
      <w:marRight w:val="0"/>
      <w:marTop w:val="0"/>
      <w:marBottom w:val="0"/>
      <w:divBdr>
        <w:top w:val="none" w:sz="0" w:space="0" w:color="auto"/>
        <w:left w:val="none" w:sz="0" w:space="0" w:color="auto"/>
        <w:bottom w:val="none" w:sz="0" w:space="0" w:color="auto"/>
        <w:right w:val="none" w:sz="0" w:space="0" w:color="auto"/>
      </w:divBdr>
    </w:div>
    <w:div w:id="430979813">
      <w:bodyDiv w:val="1"/>
      <w:marLeft w:val="0"/>
      <w:marRight w:val="0"/>
      <w:marTop w:val="0"/>
      <w:marBottom w:val="0"/>
      <w:divBdr>
        <w:top w:val="none" w:sz="0" w:space="0" w:color="auto"/>
        <w:left w:val="none" w:sz="0" w:space="0" w:color="auto"/>
        <w:bottom w:val="none" w:sz="0" w:space="0" w:color="auto"/>
        <w:right w:val="none" w:sz="0" w:space="0" w:color="auto"/>
      </w:divBdr>
    </w:div>
    <w:div w:id="433132586">
      <w:bodyDiv w:val="1"/>
      <w:marLeft w:val="0"/>
      <w:marRight w:val="0"/>
      <w:marTop w:val="0"/>
      <w:marBottom w:val="0"/>
      <w:divBdr>
        <w:top w:val="none" w:sz="0" w:space="0" w:color="auto"/>
        <w:left w:val="none" w:sz="0" w:space="0" w:color="auto"/>
        <w:bottom w:val="none" w:sz="0" w:space="0" w:color="auto"/>
        <w:right w:val="none" w:sz="0" w:space="0" w:color="auto"/>
      </w:divBdr>
    </w:div>
    <w:div w:id="438991392">
      <w:bodyDiv w:val="1"/>
      <w:marLeft w:val="0"/>
      <w:marRight w:val="0"/>
      <w:marTop w:val="0"/>
      <w:marBottom w:val="0"/>
      <w:divBdr>
        <w:top w:val="none" w:sz="0" w:space="0" w:color="auto"/>
        <w:left w:val="none" w:sz="0" w:space="0" w:color="auto"/>
        <w:bottom w:val="none" w:sz="0" w:space="0" w:color="auto"/>
        <w:right w:val="none" w:sz="0" w:space="0" w:color="auto"/>
      </w:divBdr>
    </w:div>
    <w:div w:id="439421415">
      <w:bodyDiv w:val="1"/>
      <w:marLeft w:val="0"/>
      <w:marRight w:val="0"/>
      <w:marTop w:val="0"/>
      <w:marBottom w:val="0"/>
      <w:divBdr>
        <w:top w:val="none" w:sz="0" w:space="0" w:color="auto"/>
        <w:left w:val="none" w:sz="0" w:space="0" w:color="auto"/>
        <w:bottom w:val="none" w:sz="0" w:space="0" w:color="auto"/>
        <w:right w:val="none" w:sz="0" w:space="0" w:color="auto"/>
      </w:divBdr>
    </w:div>
    <w:div w:id="444692841">
      <w:bodyDiv w:val="1"/>
      <w:marLeft w:val="0"/>
      <w:marRight w:val="0"/>
      <w:marTop w:val="0"/>
      <w:marBottom w:val="0"/>
      <w:divBdr>
        <w:top w:val="none" w:sz="0" w:space="0" w:color="auto"/>
        <w:left w:val="none" w:sz="0" w:space="0" w:color="auto"/>
        <w:bottom w:val="none" w:sz="0" w:space="0" w:color="auto"/>
        <w:right w:val="none" w:sz="0" w:space="0" w:color="auto"/>
      </w:divBdr>
    </w:div>
    <w:div w:id="445348149">
      <w:bodyDiv w:val="1"/>
      <w:marLeft w:val="0"/>
      <w:marRight w:val="0"/>
      <w:marTop w:val="0"/>
      <w:marBottom w:val="0"/>
      <w:divBdr>
        <w:top w:val="none" w:sz="0" w:space="0" w:color="auto"/>
        <w:left w:val="none" w:sz="0" w:space="0" w:color="auto"/>
        <w:bottom w:val="none" w:sz="0" w:space="0" w:color="auto"/>
        <w:right w:val="none" w:sz="0" w:space="0" w:color="auto"/>
      </w:divBdr>
    </w:div>
    <w:div w:id="446317285">
      <w:bodyDiv w:val="1"/>
      <w:marLeft w:val="0"/>
      <w:marRight w:val="0"/>
      <w:marTop w:val="0"/>
      <w:marBottom w:val="0"/>
      <w:divBdr>
        <w:top w:val="none" w:sz="0" w:space="0" w:color="auto"/>
        <w:left w:val="none" w:sz="0" w:space="0" w:color="auto"/>
        <w:bottom w:val="none" w:sz="0" w:space="0" w:color="auto"/>
        <w:right w:val="none" w:sz="0" w:space="0" w:color="auto"/>
      </w:divBdr>
    </w:div>
    <w:div w:id="446701172">
      <w:bodyDiv w:val="1"/>
      <w:marLeft w:val="0"/>
      <w:marRight w:val="0"/>
      <w:marTop w:val="0"/>
      <w:marBottom w:val="0"/>
      <w:divBdr>
        <w:top w:val="none" w:sz="0" w:space="0" w:color="auto"/>
        <w:left w:val="none" w:sz="0" w:space="0" w:color="auto"/>
        <w:bottom w:val="none" w:sz="0" w:space="0" w:color="auto"/>
        <w:right w:val="none" w:sz="0" w:space="0" w:color="auto"/>
      </w:divBdr>
    </w:div>
    <w:div w:id="446968157">
      <w:bodyDiv w:val="1"/>
      <w:marLeft w:val="0"/>
      <w:marRight w:val="0"/>
      <w:marTop w:val="0"/>
      <w:marBottom w:val="0"/>
      <w:divBdr>
        <w:top w:val="none" w:sz="0" w:space="0" w:color="auto"/>
        <w:left w:val="none" w:sz="0" w:space="0" w:color="auto"/>
        <w:bottom w:val="none" w:sz="0" w:space="0" w:color="auto"/>
        <w:right w:val="none" w:sz="0" w:space="0" w:color="auto"/>
      </w:divBdr>
    </w:div>
    <w:div w:id="448931746">
      <w:bodyDiv w:val="1"/>
      <w:marLeft w:val="0"/>
      <w:marRight w:val="0"/>
      <w:marTop w:val="0"/>
      <w:marBottom w:val="0"/>
      <w:divBdr>
        <w:top w:val="none" w:sz="0" w:space="0" w:color="auto"/>
        <w:left w:val="none" w:sz="0" w:space="0" w:color="auto"/>
        <w:bottom w:val="none" w:sz="0" w:space="0" w:color="auto"/>
        <w:right w:val="none" w:sz="0" w:space="0" w:color="auto"/>
      </w:divBdr>
    </w:div>
    <w:div w:id="449205412">
      <w:bodyDiv w:val="1"/>
      <w:marLeft w:val="0"/>
      <w:marRight w:val="0"/>
      <w:marTop w:val="0"/>
      <w:marBottom w:val="0"/>
      <w:divBdr>
        <w:top w:val="none" w:sz="0" w:space="0" w:color="auto"/>
        <w:left w:val="none" w:sz="0" w:space="0" w:color="auto"/>
        <w:bottom w:val="none" w:sz="0" w:space="0" w:color="auto"/>
        <w:right w:val="none" w:sz="0" w:space="0" w:color="auto"/>
      </w:divBdr>
    </w:div>
    <w:div w:id="449398803">
      <w:bodyDiv w:val="1"/>
      <w:marLeft w:val="0"/>
      <w:marRight w:val="0"/>
      <w:marTop w:val="0"/>
      <w:marBottom w:val="0"/>
      <w:divBdr>
        <w:top w:val="none" w:sz="0" w:space="0" w:color="auto"/>
        <w:left w:val="none" w:sz="0" w:space="0" w:color="auto"/>
        <w:bottom w:val="none" w:sz="0" w:space="0" w:color="auto"/>
        <w:right w:val="none" w:sz="0" w:space="0" w:color="auto"/>
      </w:divBdr>
    </w:div>
    <w:div w:id="450171589">
      <w:bodyDiv w:val="1"/>
      <w:marLeft w:val="0"/>
      <w:marRight w:val="0"/>
      <w:marTop w:val="0"/>
      <w:marBottom w:val="0"/>
      <w:divBdr>
        <w:top w:val="none" w:sz="0" w:space="0" w:color="auto"/>
        <w:left w:val="none" w:sz="0" w:space="0" w:color="auto"/>
        <w:bottom w:val="none" w:sz="0" w:space="0" w:color="auto"/>
        <w:right w:val="none" w:sz="0" w:space="0" w:color="auto"/>
      </w:divBdr>
    </w:div>
    <w:div w:id="450511400">
      <w:bodyDiv w:val="1"/>
      <w:marLeft w:val="0"/>
      <w:marRight w:val="0"/>
      <w:marTop w:val="0"/>
      <w:marBottom w:val="0"/>
      <w:divBdr>
        <w:top w:val="none" w:sz="0" w:space="0" w:color="auto"/>
        <w:left w:val="none" w:sz="0" w:space="0" w:color="auto"/>
        <w:bottom w:val="none" w:sz="0" w:space="0" w:color="auto"/>
        <w:right w:val="none" w:sz="0" w:space="0" w:color="auto"/>
      </w:divBdr>
    </w:div>
    <w:div w:id="450592181">
      <w:bodyDiv w:val="1"/>
      <w:marLeft w:val="0"/>
      <w:marRight w:val="0"/>
      <w:marTop w:val="0"/>
      <w:marBottom w:val="0"/>
      <w:divBdr>
        <w:top w:val="none" w:sz="0" w:space="0" w:color="auto"/>
        <w:left w:val="none" w:sz="0" w:space="0" w:color="auto"/>
        <w:bottom w:val="none" w:sz="0" w:space="0" w:color="auto"/>
        <w:right w:val="none" w:sz="0" w:space="0" w:color="auto"/>
      </w:divBdr>
    </w:div>
    <w:div w:id="454101605">
      <w:bodyDiv w:val="1"/>
      <w:marLeft w:val="0"/>
      <w:marRight w:val="0"/>
      <w:marTop w:val="0"/>
      <w:marBottom w:val="0"/>
      <w:divBdr>
        <w:top w:val="none" w:sz="0" w:space="0" w:color="auto"/>
        <w:left w:val="none" w:sz="0" w:space="0" w:color="auto"/>
        <w:bottom w:val="none" w:sz="0" w:space="0" w:color="auto"/>
        <w:right w:val="none" w:sz="0" w:space="0" w:color="auto"/>
      </w:divBdr>
    </w:div>
    <w:div w:id="455685884">
      <w:bodyDiv w:val="1"/>
      <w:marLeft w:val="0"/>
      <w:marRight w:val="0"/>
      <w:marTop w:val="0"/>
      <w:marBottom w:val="0"/>
      <w:divBdr>
        <w:top w:val="none" w:sz="0" w:space="0" w:color="auto"/>
        <w:left w:val="none" w:sz="0" w:space="0" w:color="auto"/>
        <w:bottom w:val="none" w:sz="0" w:space="0" w:color="auto"/>
        <w:right w:val="none" w:sz="0" w:space="0" w:color="auto"/>
      </w:divBdr>
    </w:div>
    <w:div w:id="455877592">
      <w:bodyDiv w:val="1"/>
      <w:marLeft w:val="0"/>
      <w:marRight w:val="0"/>
      <w:marTop w:val="0"/>
      <w:marBottom w:val="0"/>
      <w:divBdr>
        <w:top w:val="none" w:sz="0" w:space="0" w:color="auto"/>
        <w:left w:val="none" w:sz="0" w:space="0" w:color="auto"/>
        <w:bottom w:val="none" w:sz="0" w:space="0" w:color="auto"/>
        <w:right w:val="none" w:sz="0" w:space="0" w:color="auto"/>
      </w:divBdr>
    </w:div>
    <w:div w:id="456217514">
      <w:bodyDiv w:val="1"/>
      <w:marLeft w:val="0"/>
      <w:marRight w:val="0"/>
      <w:marTop w:val="0"/>
      <w:marBottom w:val="0"/>
      <w:divBdr>
        <w:top w:val="none" w:sz="0" w:space="0" w:color="auto"/>
        <w:left w:val="none" w:sz="0" w:space="0" w:color="auto"/>
        <w:bottom w:val="none" w:sz="0" w:space="0" w:color="auto"/>
        <w:right w:val="none" w:sz="0" w:space="0" w:color="auto"/>
      </w:divBdr>
    </w:div>
    <w:div w:id="457726821">
      <w:bodyDiv w:val="1"/>
      <w:marLeft w:val="0"/>
      <w:marRight w:val="0"/>
      <w:marTop w:val="0"/>
      <w:marBottom w:val="0"/>
      <w:divBdr>
        <w:top w:val="none" w:sz="0" w:space="0" w:color="auto"/>
        <w:left w:val="none" w:sz="0" w:space="0" w:color="auto"/>
        <w:bottom w:val="none" w:sz="0" w:space="0" w:color="auto"/>
        <w:right w:val="none" w:sz="0" w:space="0" w:color="auto"/>
      </w:divBdr>
    </w:div>
    <w:div w:id="460076557">
      <w:bodyDiv w:val="1"/>
      <w:marLeft w:val="0"/>
      <w:marRight w:val="0"/>
      <w:marTop w:val="0"/>
      <w:marBottom w:val="0"/>
      <w:divBdr>
        <w:top w:val="none" w:sz="0" w:space="0" w:color="auto"/>
        <w:left w:val="none" w:sz="0" w:space="0" w:color="auto"/>
        <w:bottom w:val="none" w:sz="0" w:space="0" w:color="auto"/>
        <w:right w:val="none" w:sz="0" w:space="0" w:color="auto"/>
      </w:divBdr>
    </w:div>
    <w:div w:id="461120465">
      <w:bodyDiv w:val="1"/>
      <w:marLeft w:val="0"/>
      <w:marRight w:val="0"/>
      <w:marTop w:val="0"/>
      <w:marBottom w:val="0"/>
      <w:divBdr>
        <w:top w:val="none" w:sz="0" w:space="0" w:color="auto"/>
        <w:left w:val="none" w:sz="0" w:space="0" w:color="auto"/>
        <w:bottom w:val="none" w:sz="0" w:space="0" w:color="auto"/>
        <w:right w:val="none" w:sz="0" w:space="0" w:color="auto"/>
      </w:divBdr>
    </w:div>
    <w:div w:id="462888187">
      <w:bodyDiv w:val="1"/>
      <w:marLeft w:val="0"/>
      <w:marRight w:val="0"/>
      <w:marTop w:val="0"/>
      <w:marBottom w:val="0"/>
      <w:divBdr>
        <w:top w:val="none" w:sz="0" w:space="0" w:color="auto"/>
        <w:left w:val="none" w:sz="0" w:space="0" w:color="auto"/>
        <w:bottom w:val="none" w:sz="0" w:space="0" w:color="auto"/>
        <w:right w:val="none" w:sz="0" w:space="0" w:color="auto"/>
      </w:divBdr>
    </w:div>
    <w:div w:id="463236425">
      <w:bodyDiv w:val="1"/>
      <w:marLeft w:val="0"/>
      <w:marRight w:val="0"/>
      <w:marTop w:val="0"/>
      <w:marBottom w:val="0"/>
      <w:divBdr>
        <w:top w:val="none" w:sz="0" w:space="0" w:color="auto"/>
        <w:left w:val="none" w:sz="0" w:space="0" w:color="auto"/>
        <w:bottom w:val="none" w:sz="0" w:space="0" w:color="auto"/>
        <w:right w:val="none" w:sz="0" w:space="0" w:color="auto"/>
      </w:divBdr>
    </w:div>
    <w:div w:id="467017575">
      <w:bodyDiv w:val="1"/>
      <w:marLeft w:val="0"/>
      <w:marRight w:val="0"/>
      <w:marTop w:val="0"/>
      <w:marBottom w:val="0"/>
      <w:divBdr>
        <w:top w:val="none" w:sz="0" w:space="0" w:color="auto"/>
        <w:left w:val="none" w:sz="0" w:space="0" w:color="auto"/>
        <w:bottom w:val="none" w:sz="0" w:space="0" w:color="auto"/>
        <w:right w:val="none" w:sz="0" w:space="0" w:color="auto"/>
      </w:divBdr>
    </w:div>
    <w:div w:id="467017576">
      <w:bodyDiv w:val="1"/>
      <w:marLeft w:val="0"/>
      <w:marRight w:val="0"/>
      <w:marTop w:val="0"/>
      <w:marBottom w:val="0"/>
      <w:divBdr>
        <w:top w:val="none" w:sz="0" w:space="0" w:color="auto"/>
        <w:left w:val="none" w:sz="0" w:space="0" w:color="auto"/>
        <w:bottom w:val="none" w:sz="0" w:space="0" w:color="auto"/>
        <w:right w:val="none" w:sz="0" w:space="0" w:color="auto"/>
      </w:divBdr>
    </w:div>
    <w:div w:id="467864276">
      <w:bodyDiv w:val="1"/>
      <w:marLeft w:val="0"/>
      <w:marRight w:val="0"/>
      <w:marTop w:val="0"/>
      <w:marBottom w:val="0"/>
      <w:divBdr>
        <w:top w:val="none" w:sz="0" w:space="0" w:color="auto"/>
        <w:left w:val="none" w:sz="0" w:space="0" w:color="auto"/>
        <w:bottom w:val="none" w:sz="0" w:space="0" w:color="auto"/>
        <w:right w:val="none" w:sz="0" w:space="0" w:color="auto"/>
      </w:divBdr>
    </w:div>
    <w:div w:id="468130544">
      <w:bodyDiv w:val="1"/>
      <w:marLeft w:val="0"/>
      <w:marRight w:val="0"/>
      <w:marTop w:val="0"/>
      <w:marBottom w:val="0"/>
      <w:divBdr>
        <w:top w:val="none" w:sz="0" w:space="0" w:color="auto"/>
        <w:left w:val="none" w:sz="0" w:space="0" w:color="auto"/>
        <w:bottom w:val="none" w:sz="0" w:space="0" w:color="auto"/>
        <w:right w:val="none" w:sz="0" w:space="0" w:color="auto"/>
      </w:divBdr>
    </w:div>
    <w:div w:id="472253216">
      <w:bodyDiv w:val="1"/>
      <w:marLeft w:val="0"/>
      <w:marRight w:val="0"/>
      <w:marTop w:val="0"/>
      <w:marBottom w:val="0"/>
      <w:divBdr>
        <w:top w:val="none" w:sz="0" w:space="0" w:color="auto"/>
        <w:left w:val="none" w:sz="0" w:space="0" w:color="auto"/>
        <w:bottom w:val="none" w:sz="0" w:space="0" w:color="auto"/>
        <w:right w:val="none" w:sz="0" w:space="0" w:color="auto"/>
      </w:divBdr>
    </w:div>
    <w:div w:id="472647797">
      <w:bodyDiv w:val="1"/>
      <w:marLeft w:val="0"/>
      <w:marRight w:val="0"/>
      <w:marTop w:val="0"/>
      <w:marBottom w:val="0"/>
      <w:divBdr>
        <w:top w:val="none" w:sz="0" w:space="0" w:color="auto"/>
        <w:left w:val="none" w:sz="0" w:space="0" w:color="auto"/>
        <w:bottom w:val="none" w:sz="0" w:space="0" w:color="auto"/>
        <w:right w:val="none" w:sz="0" w:space="0" w:color="auto"/>
      </w:divBdr>
    </w:div>
    <w:div w:id="472989418">
      <w:bodyDiv w:val="1"/>
      <w:marLeft w:val="0"/>
      <w:marRight w:val="0"/>
      <w:marTop w:val="0"/>
      <w:marBottom w:val="0"/>
      <w:divBdr>
        <w:top w:val="none" w:sz="0" w:space="0" w:color="auto"/>
        <w:left w:val="none" w:sz="0" w:space="0" w:color="auto"/>
        <w:bottom w:val="none" w:sz="0" w:space="0" w:color="auto"/>
        <w:right w:val="none" w:sz="0" w:space="0" w:color="auto"/>
      </w:divBdr>
    </w:div>
    <w:div w:id="473910039">
      <w:bodyDiv w:val="1"/>
      <w:marLeft w:val="0"/>
      <w:marRight w:val="0"/>
      <w:marTop w:val="0"/>
      <w:marBottom w:val="0"/>
      <w:divBdr>
        <w:top w:val="none" w:sz="0" w:space="0" w:color="auto"/>
        <w:left w:val="none" w:sz="0" w:space="0" w:color="auto"/>
        <w:bottom w:val="none" w:sz="0" w:space="0" w:color="auto"/>
        <w:right w:val="none" w:sz="0" w:space="0" w:color="auto"/>
      </w:divBdr>
    </w:div>
    <w:div w:id="476385539">
      <w:bodyDiv w:val="1"/>
      <w:marLeft w:val="0"/>
      <w:marRight w:val="0"/>
      <w:marTop w:val="0"/>
      <w:marBottom w:val="0"/>
      <w:divBdr>
        <w:top w:val="none" w:sz="0" w:space="0" w:color="auto"/>
        <w:left w:val="none" w:sz="0" w:space="0" w:color="auto"/>
        <w:bottom w:val="none" w:sz="0" w:space="0" w:color="auto"/>
        <w:right w:val="none" w:sz="0" w:space="0" w:color="auto"/>
      </w:divBdr>
    </w:div>
    <w:div w:id="478810684">
      <w:bodyDiv w:val="1"/>
      <w:marLeft w:val="0"/>
      <w:marRight w:val="0"/>
      <w:marTop w:val="0"/>
      <w:marBottom w:val="0"/>
      <w:divBdr>
        <w:top w:val="none" w:sz="0" w:space="0" w:color="auto"/>
        <w:left w:val="none" w:sz="0" w:space="0" w:color="auto"/>
        <w:bottom w:val="none" w:sz="0" w:space="0" w:color="auto"/>
        <w:right w:val="none" w:sz="0" w:space="0" w:color="auto"/>
      </w:divBdr>
    </w:div>
    <w:div w:id="478811905">
      <w:bodyDiv w:val="1"/>
      <w:marLeft w:val="0"/>
      <w:marRight w:val="0"/>
      <w:marTop w:val="0"/>
      <w:marBottom w:val="0"/>
      <w:divBdr>
        <w:top w:val="none" w:sz="0" w:space="0" w:color="auto"/>
        <w:left w:val="none" w:sz="0" w:space="0" w:color="auto"/>
        <w:bottom w:val="none" w:sz="0" w:space="0" w:color="auto"/>
        <w:right w:val="none" w:sz="0" w:space="0" w:color="auto"/>
      </w:divBdr>
    </w:div>
    <w:div w:id="479008515">
      <w:bodyDiv w:val="1"/>
      <w:marLeft w:val="0"/>
      <w:marRight w:val="0"/>
      <w:marTop w:val="0"/>
      <w:marBottom w:val="0"/>
      <w:divBdr>
        <w:top w:val="none" w:sz="0" w:space="0" w:color="auto"/>
        <w:left w:val="none" w:sz="0" w:space="0" w:color="auto"/>
        <w:bottom w:val="none" w:sz="0" w:space="0" w:color="auto"/>
        <w:right w:val="none" w:sz="0" w:space="0" w:color="auto"/>
      </w:divBdr>
    </w:div>
    <w:div w:id="480853857">
      <w:bodyDiv w:val="1"/>
      <w:marLeft w:val="0"/>
      <w:marRight w:val="0"/>
      <w:marTop w:val="0"/>
      <w:marBottom w:val="0"/>
      <w:divBdr>
        <w:top w:val="none" w:sz="0" w:space="0" w:color="auto"/>
        <w:left w:val="none" w:sz="0" w:space="0" w:color="auto"/>
        <w:bottom w:val="none" w:sz="0" w:space="0" w:color="auto"/>
        <w:right w:val="none" w:sz="0" w:space="0" w:color="auto"/>
      </w:divBdr>
    </w:div>
    <w:div w:id="483393886">
      <w:bodyDiv w:val="1"/>
      <w:marLeft w:val="0"/>
      <w:marRight w:val="0"/>
      <w:marTop w:val="0"/>
      <w:marBottom w:val="0"/>
      <w:divBdr>
        <w:top w:val="none" w:sz="0" w:space="0" w:color="auto"/>
        <w:left w:val="none" w:sz="0" w:space="0" w:color="auto"/>
        <w:bottom w:val="none" w:sz="0" w:space="0" w:color="auto"/>
        <w:right w:val="none" w:sz="0" w:space="0" w:color="auto"/>
      </w:divBdr>
    </w:div>
    <w:div w:id="485249395">
      <w:bodyDiv w:val="1"/>
      <w:marLeft w:val="0"/>
      <w:marRight w:val="0"/>
      <w:marTop w:val="0"/>
      <w:marBottom w:val="0"/>
      <w:divBdr>
        <w:top w:val="none" w:sz="0" w:space="0" w:color="auto"/>
        <w:left w:val="none" w:sz="0" w:space="0" w:color="auto"/>
        <w:bottom w:val="none" w:sz="0" w:space="0" w:color="auto"/>
        <w:right w:val="none" w:sz="0" w:space="0" w:color="auto"/>
      </w:divBdr>
    </w:div>
    <w:div w:id="487402382">
      <w:bodyDiv w:val="1"/>
      <w:marLeft w:val="0"/>
      <w:marRight w:val="0"/>
      <w:marTop w:val="0"/>
      <w:marBottom w:val="0"/>
      <w:divBdr>
        <w:top w:val="none" w:sz="0" w:space="0" w:color="auto"/>
        <w:left w:val="none" w:sz="0" w:space="0" w:color="auto"/>
        <w:bottom w:val="none" w:sz="0" w:space="0" w:color="auto"/>
        <w:right w:val="none" w:sz="0" w:space="0" w:color="auto"/>
      </w:divBdr>
    </w:div>
    <w:div w:id="487601377">
      <w:bodyDiv w:val="1"/>
      <w:marLeft w:val="0"/>
      <w:marRight w:val="0"/>
      <w:marTop w:val="0"/>
      <w:marBottom w:val="0"/>
      <w:divBdr>
        <w:top w:val="none" w:sz="0" w:space="0" w:color="auto"/>
        <w:left w:val="none" w:sz="0" w:space="0" w:color="auto"/>
        <w:bottom w:val="none" w:sz="0" w:space="0" w:color="auto"/>
        <w:right w:val="none" w:sz="0" w:space="0" w:color="auto"/>
      </w:divBdr>
    </w:div>
    <w:div w:id="495532408">
      <w:bodyDiv w:val="1"/>
      <w:marLeft w:val="0"/>
      <w:marRight w:val="0"/>
      <w:marTop w:val="0"/>
      <w:marBottom w:val="0"/>
      <w:divBdr>
        <w:top w:val="none" w:sz="0" w:space="0" w:color="auto"/>
        <w:left w:val="none" w:sz="0" w:space="0" w:color="auto"/>
        <w:bottom w:val="none" w:sz="0" w:space="0" w:color="auto"/>
        <w:right w:val="none" w:sz="0" w:space="0" w:color="auto"/>
      </w:divBdr>
    </w:div>
    <w:div w:id="496729783">
      <w:bodyDiv w:val="1"/>
      <w:marLeft w:val="0"/>
      <w:marRight w:val="0"/>
      <w:marTop w:val="0"/>
      <w:marBottom w:val="0"/>
      <w:divBdr>
        <w:top w:val="none" w:sz="0" w:space="0" w:color="auto"/>
        <w:left w:val="none" w:sz="0" w:space="0" w:color="auto"/>
        <w:bottom w:val="none" w:sz="0" w:space="0" w:color="auto"/>
        <w:right w:val="none" w:sz="0" w:space="0" w:color="auto"/>
      </w:divBdr>
    </w:div>
    <w:div w:id="498614827">
      <w:bodyDiv w:val="1"/>
      <w:marLeft w:val="0"/>
      <w:marRight w:val="0"/>
      <w:marTop w:val="0"/>
      <w:marBottom w:val="0"/>
      <w:divBdr>
        <w:top w:val="none" w:sz="0" w:space="0" w:color="auto"/>
        <w:left w:val="none" w:sz="0" w:space="0" w:color="auto"/>
        <w:bottom w:val="none" w:sz="0" w:space="0" w:color="auto"/>
        <w:right w:val="none" w:sz="0" w:space="0" w:color="auto"/>
      </w:divBdr>
    </w:div>
    <w:div w:id="502280165">
      <w:bodyDiv w:val="1"/>
      <w:marLeft w:val="0"/>
      <w:marRight w:val="0"/>
      <w:marTop w:val="0"/>
      <w:marBottom w:val="0"/>
      <w:divBdr>
        <w:top w:val="none" w:sz="0" w:space="0" w:color="auto"/>
        <w:left w:val="none" w:sz="0" w:space="0" w:color="auto"/>
        <w:bottom w:val="none" w:sz="0" w:space="0" w:color="auto"/>
        <w:right w:val="none" w:sz="0" w:space="0" w:color="auto"/>
      </w:divBdr>
    </w:div>
    <w:div w:id="502284166">
      <w:bodyDiv w:val="1"/>
      <w:marLeft w:val="0"/>
      <w:marRight w:val="0"/>
      <w:marTop w:val="0"/>
      <w:marBottom w:val="0"/>
      <w:divBdr>
        <w:top w:val="none" w:sz="0" w:space="0" w:color="auto"/>
        <w:left w:val="none" w:sz="0" w:space="0" w:color="auto"/>
        <w:bottom w:val="none" w:sz="0" w:space="0" w:color="auto"/>
        <w:right w:val="none" w:sz="0" w:space="0" w:color="auto"/>
      </w:divBdr>
    </w:div>
    <w:div w:id="503131184">
      <w:bodyDiv w:val="1"/>
      <w:marLeft w:val="0"/>
      <w:marRight w:val="0"/>
      <w:marTop w:val="0"/>
      <w:marBottom w:val="0"/>
      <w:divBdr>
        <w:top w:val="none" w:sz="0" w:space="0" w:color="auto"/>
        <w:left w:val="none" w:sz="0" w:space="0" w:color="auto"/>
        <w:bottom w:val="none" w:sz="0" w:space="0" w:color="auto"/>
        <w:right w:val="none" w:sz="0" w:space="0" w:color="auto"/>
      </w:divBdr>
    </w:div>
    <w:div w:id="503787084">
      <w:bodyDiv w:val="1"/>
      <w:marLeft w:val="0"/>
      <w:marRight w:val="0"/>
      <w:marTop w:val="0"/>
      <w:marBottom w:val="0"/>
      <w:divBdr>
        <w:top w:val="none" w:sz="0" w:space="0" w:color="auto"/>
        <w:left w:val="none" w:sz="0" w:space="0" w:color="auto"/>
        <w:bottom w:val="none" w:sz="0" w:space="0" w:color="auto"/>
        <w:right w:val="none" w:sz="0" w:space="0" w:color="auto"/>
      </w:divBdr>
    </w:div>
    <w:div w:id="504129588">
      <w:bodyDiv w:val="1"/>
      <w:marLeft w:val="0"/>
      <w:marRight w:val="0"/>
      <w:marTop w:val="0"/>
      <w:marBottom w:val="0"/>
      <w:divBdr>
        <w:top w:val="none" w:sz="0" w:space="0" w:color="auto"/>
        <w:left w:val="none" w:sz="0" w:space="0" w:color="auto"/>
        <w:bottom w:val="none" w:sz="0" w:space="0" w:color="auto"/>
        <w:right w:val="none" w:sz="0" w:space="0" w:color="auto"/>
      </w:divBdr>
    </w:div>
    <w:div w:id="505444385">
      <w:bodyDiv w:val="1"/>
      <w:marLeft w:val="0"/>
      <w:marRight w:val="0"/>
      <w:marTop w:val="0"/>
      <w:marBottom w:val="0"/>
      <w:divBdr>
        <w:top w:val="none" w:sz="0" w:space="0" w:color="auto"/>
        <w:left w:val="none" w:sz="0" w:space="0" w:color="auto"/>
        <w:bottom w:val="none" w:sz="0" w:space="0" w:color="auto"/>
        <w:right w:val="none" w:sz="0" w:space="0" w:color="auto"/>
      </w:divBdr>
    </w:div>
    <w:div w:id="506091673">
      <w:bodyDiv w:val="1"/>
      <w:marLeft w:val="0"/>
      <w:marRight w:val="0"/>
      <w:marTop w:val="0"/>
      <w:marBottom w:val="0"/>
      <w:divBdr>
        <w:top w:val="none" w:sz="0" w:space="0" w:color="auto"/>
        <w:left w:val="none" w:sz="0" w:space="0" w:color="auto"/>
        <w:bottom w:val="none" w:sz="0" w:space="0" w:color="auto"/>
        <w:right w:val="none" w:sz="0" w:space="0" w:color="auto"/>
      </w:divBdr>
    </w:div>
    <w:div w:id="507642352">
      <w:bodyDiv w:val="1"/>
      <w:marLeft w:val="0"/>
      <w:marRight w:val="0"/>
      <w:marTop w:val="0"/>
      <w:marBottom w:val="0"/>
      <w:divBdr>
        <w:top w:val="none" w:sz="0" w:space="0" w:color="auto"/>
        <w:left w:val="none" w:sz="0" w:space="0" w:color="auto"/>
        <w:bottom w:val="none" w:sz="0" w:space="0" w:color="auto"/>
        <w:right w:val="none" w:sz="0" w:space="0" w:color="auto"/>
      </w:divBdr>
    </w:div>
    <w:div w:id="507646918">
      <w:bodyDiv w:val="1"/>
      <w:marLeft w:val="0"/>
      <w:marRight w:val="0"/>
      <w:marTop w:val="0"/>
      <w:marBottom w:val="0"/>
      <w:divBdr>
        <w:top w:val="none" w:sz="0" w:space="0" w:color="auto"/>
        <w:left w:val="none" w:sz="0" w:space="0" w:color="auto"/>
        <w:bottom w:val="none" w:sz="0" w:space="0" w:color="auto"/>
        <w:right w:val="none" w:sz="0" w:space="0" w:color="auto"/>
      </w:divBdr>
    </w:div>
    <w:div w:id="509101642">
      <w:bodyDiv w:val="1"/>
      <w:marLeft w:val="0"/>
      <w:marRight w:val="0"/>
      <w:marTop w:val="0"/>
      <w:marBottom w:val="0"/>
      <w:divBdr>
        <w:top w:val="none" w:sz="0" w:space="0" w:color="auto"/>
        <w:left w:val="none" w:sz="0" w:space="0" w:color="auto"/>
        <w:bottom w:val="none" w:sz="0" w:space="0" w:color="auto"/>
        <w:right w:val="none" w:sz="0" w:space="0" w:color="auto"/>
      </w:divBdr>
    </w:div>
    <w:div w:id="509374606">
      <w:bodyDiv w:val="1"/>
      <w:marLeft w:val="0"/>
      <w:marRight w:val="0"/>
      <w:marTop w:val="0"/>
      <w:marBottom w:val="0"/>
      <w:divBdr>
        <w:top w:val="none" w:sz="0" w:space="0" w:color="auto"/>
        <w:left w:val="none" w:sz="0" w:space="0" w:color="auto"/>
        <w:bottom w:val="none" w:sz="0" w:space="0" w:color="auto"/>
        <w:right w:val="none" w:sz="0" w:space="0" w:color="auto"/>
      </w:divBdr>
    </w:div>
    <w:div w:id="510225516">
      <w:bodyDiv w:val="1"/>
      <w:marLeft w:val="0"/>
      <w:marRight w:val="0"/>
      <w:marTop w:val="0"/>
      <w:marBottom w:val="0"/>
      <w:divBdr>
        <w:top w:val="none" w:sz="0" w:space="0" w:color="auto"/>
        <w:left w:val="none" w:sz="0" w:space="0" w:color="auto"/>
        <w:bottom w:val="none" w:sz="0" w:space="0" w:color="auto"/>
        <w:right w:val="none" w:sz="0" w:space="0" w:color="auto"/>
      </w:divBdr>
    </w:div>
    <w:div w:id="511801036">
      <w:bodyDiv w:val="1"/>
      <w:marLeft w:val="0"/>
      <w:marRight w:val="0"/>
      <w:marTop w:val="0"/>
      <w:marBottom w:val="0"/>
      <w:divBdr>
        <w:top w:val="none" w:sz="0" w:space="0" w:color="auto"/>
        <w:left w:val="none" w:sz="0" w:space="0" w:color="auto"/>
        <w:bottom w:val="none" w:sz="0" w:space="0" w:color="auto"/>
        <w:right w:val="none" w:sz="0" w:space="0" w:color="auto"/>
      </w:divBdr>
    </w:div>
    <w:div w:id="512426800">
      <w:bodyDiv w:val="1"/>
      <w:marLeft w:val="0"/>
      <w:marRight w:val="0"/>
      <w:marTop w:val="0"/>
      <w:marBottom w:val="0"/>
      <w:divBdr>
        <w:top w:val="none" w:sz="0" w:space="0" w:color="auto"/>
        <w:left w:val="none" w:sz="0" w:space="0" w:color="auto"/>
        <w:bottom w:val="none" w:sz="0" w:space="0" w:color="auto"/>
        <w:right w:val="none" w:sz="0" w:space="0" w:color="auto"/>
      </w:divBdr>
    </w:div>
    <w:div w:id="513302761">
      <w:bodyDiv w:val="1"/>
      <w:marLeft w:val="0"/>
      <w:marRight w:val="0"/>
      <w:marTop w:val="0"/>
      <w:marBottom w:val="0"/>
      <w:divBdr>
        <w:top w:val="none" w:sz="0" w:space="0" w:color="auto"/>
        <w:left w:val="none" w:sz="0" w:space="0" w:color="auto"/>
        <w:bottom w:val="none" w:sz="0" w:space="0" w:color="auto"/>
        <w:right w:val="none" w:sz="0" w:space="0" w:color="auto"/>
      </w:divBdr>
    </w:div>
    <w:div w:id="514684920">
      <w:bodyDiv w:val="1"/>
      <w:marLeft w:val="0"/>
      <w:marRight w:val="0"/>
      <w:marTop w:val="0"/>
      <w:marBottom w:val="0"/>
      <w:divBdr>
        <w:top w:val="none" w:sz="0" w:space="0" w:color="auto"/>
        <w:left w:val="none" w:sz="0" w:space="0" w:color="auto"/>
        <w:bottom w:val="none" w:sz="0" w:space="0" w:color="auto"/>
        <w:right w:val="none" w:sz="0" w:space="0" w:color="auto"/>
      </w:divBdr>
    </w:div>
    <w:div w:id="516626866">
      <w:bodyDiv w:val="1"/>
      <w:marLeft w:val="0"/>
      <w:marRight w:val="0"/>
      <w:marTop w:val="0"/>
      <w:marBottom w:val="0"/>
      <w:divBdr>
        <w:top w:val="none" w:sz="0" w:space="0" w:color="auto"/>
        <w:left w:val="none" w:sz="0" w:space="0" w:color="auto"/>
        <w:bottom w:val="none" w:sz="0" w:space="0" w:color="auto"/>
        <w:right w:val="none" w:sz="0" w:space="0" w:color="auto"/>
      </w:divBdr>
    </w:div>
    <w:div w:id="519391498">
      <w:bodyDiv w:val="1"/>
      <w:marLeft w:val="0"/>
      <w:marRight w:val="0"/>
      <w:marTop w:val="0"/>
      <w:marBottom w:val="0"/>
      <w:divBdr>
        <w:top w:val="none" w:sz="0" w:space="0" w:color="auto"/>
        <w:left w:val="none" w:sz="0" w:space="0" w:color="auto"/>
        <w:bottom w:val="none" w:sz="0" w:space="0" w:color="auto"/>
        <w:right w:val="none" w:sz="0" w:space="0" w:color="auto"/>
      </w:divBdr>
    </w:div>
    <w:div w:id="520165124">
      <w:bodyDiv w:val="1"/>
      <w:marLeft w:val="0"/>
      <w:marRight w:val="0"/>
      <w:marTop w:val="0"/>
      <w:marBottom w:val="0"/>
      <w:divBdr>
        <w:top w:val="none" w:sz="0" w:space="0" w:color="auto"/>
        <w:left w:val="none" w:sz="0" w:space="0" w:color="auto"/>
        <w:bottom w:val="none" w:sz="0" w:space="0" w:color="auto"/>
        <w:right w:val="none" w:sz="0" w:space="0" w:color="auto"/>
      </w:divBdr>
    </w:div>
    <w:div w:id="520975128">
      <w:bodyDiv w:val="1"/>
      <w:marLeft w:val="0"/>
      <w:marRight w:val="0"/>
      <w:marTop w:val="0"/>
      <w:marBottom w:val="0"/>
      <w:divBdr>
        <w:top w:val="none" w:sz="0" w:space="0" w:color="auto"/>
        <w:left w:val="none" w:sz="0" w:space="0" w:color="auto"/>
        <w:bottom w:val="none" w:sz="0" w:space="0" w:color="auto"/>
        <w:right w:val="none" w:sz="0" w:space="0" w:color="auto"/>
      </w:divBdr>
    </w:div>
    <w:div w:id="521942140">
      <w:bodyDiv w:val="1"/>
      <w:marLeft w:val="0"/>
      <w:marRight w:val="0"/>
      <w:marTop w:val="0"/>
      <w:marBottom w:val="0"/>
      <w:divBdr>
        <w:top w:val="none" w:sz="0" w:space="0" w:color="auto"/>
        <w:left w:val="none" w:sz="0" w:space="0" w:color="auto"/>
        <w:bottom w:val="none" w:sz="0" w:space="0" w:color="auto"/>
        <w:right w:val="none" w:sz="0" w:space="0" w:color="auto"/>
      </w:divBdr>
    </w:div>
    <w:div w:id="522132253">
      <w:bodyDiv w:val="1"/>
      <w:marLeft w:val="0"/>
      <w:marRight w:val="0"/>
      <w:marTop w:val="0"/>
      <w:marBottom w:val="0"/>
      <w:divBdr>
        <w:top w:val="none" w:sz="0" w:space="0" w:color="auto"/>
        <w:left w:val="none" w:sz="0" w:space="0" w:color="auto"/>
        <w:bottom w:val="none" w:sz="0" w:space="0" w:color="auto"/>
        <w:right w:val="none" w:sz="0" w:space="0" w:color="auto"/>
      </w:divBdr>
    </w:div>
    <w:div w:id="525212327">
      <w:bodyDiv w:val="1"/>
      <w:marLeft w:val="0"/>
      <w:marRight w:val="0"/>
      <w:marTop w:val="0"/>
      <w:marBottom w:val="0"/>
      <w:divBdr>
        <w:top w:val="none" w:sz="0" w:space="0" w:color="auto"/>
        <w:left w:val="none" w:sz="0" w:space="0" w:color="auto"/>
        <w:bottom w:val="none" w:sz="0" w:space="0" w:color="auto"/>
        <w:right w:val="none" w:sz="0" w:space="0" w:color="auto"/>
      </w:divBdr>
    </w:div>
    <w:div w:id="528683742">
      <w:bodyDiv w:val="1"/>
      <w:marLeft w:val="0"/>
      <w:marRight w:val="0"/>
      <w:marTop w:val="0"/>
      <w:marBottom w:val="0"/>
      <w:divBdr>
        <w:top w:val="none" w:sz="0" w:space="0" w:color="auto"/>
        <w:left w:val="none" w:sz="0" w:space="0" w:color="auto"/>
        <w:bottom w:val="none" w:sz="0" w:space="0" w:color="auto"/>
        <w:right w:val="none" w:sz="0" w:space="0" w:color="auto"/>
      </w:divBdr>
    </w:div>
    <w:div w:id="530529943">
      <w:bodyDiv w:val="1"/>
      <w:marLeft w:val="0"/>
      <w:marRight w:val="0"/>
      <w:marTop w:val="0"/>
      <w:marBottom w:val="0"/>
      <w:divBdr>
        <w:top w:val="none" w:sz="0" w:space="0" w:color="auto"/>
        <w:left w:val="none" w:sz="0" w:space="0" w:color="auto"/>
        <w:bottom w:val="none" w:sz="0" w:space="0" w:color="auto"/>
        <w:right w:val="none" w:sz="0" w:space="0" w:color="auto"/>
      </w:divBdr>
    </w:div>
    <w:div w:id="531383459">
      <w:bodyDiv w:val="1"/>
      <w:marLeft w:val="0"/>
      <w:marRight w:val="0"/>
      <w:marTop w:val="0"/>
      <w:marBottom w:val="0"/>
      <w:divBdr>
        <w:top w:val="none" w:sz="0" w:space="0" w:color="auto"/>
        <w:left w:val="none" w:sz="0" w:space="0" w:color="auto"/>
        <w:bottom w:val="none" w:sz="0" w:space="0" w:color="auto"/>
        <w:right w:val="none" w:sz="0" w:space="0" w:color="auto"/>
      </w:divBdr>
    </w:div>
    <w:div w:id="534267700">
      <w:bodyDiv w:val="1"/>
      <w:marLeft w:val="0"/>
      <w:marRight w:val="0"/>
      <w:marTop w:val="0"/>
      <w:marBottom w:val="0"/>
      <w:divBdr>
        <w:top w:val="none" w:sz="0" w:space="0" w:color="auto"/>
        <w:left w:val="none" w:sz="0" w:space="0" w:color="auto"/>
        <w:bottom w:val="none" w:sz="0" w:space="0" w:color="auto"/>
        <w:right w:val="none" w:sz="0" w:space="0" w:color="auto"/>
      </w:divBdr>
    </w:div>
    <w:div w:id="534271704">
      <w:bodyDiv w:val="1"/>
      <w:marLeft w:val="0"/>
      <w:marRight w:val="0"/>
      <w:marTop w:val="0"/>
      <w:marBottom w:val="0"/>
      <w:divBdr>
        <w:top w:val="none" w:sz="0" w:space="0" w:color="auto"/>
        <w:left w:val="none" w:sz="0" w:space="0" w:color="auto"/>
        <w:bottom w:val="none" w:sz="0" w:space="0" w:color="auto"/>
        <w:right w:val="none" w:sz="0" w:space="0" w:color="auto"/>
      </w:divBdr>
    </w:div>
    <w:div w:id="535242938">
      <w:bodyDiv w:val="1"/>
      <w:marLeft w:val="0"/>
      <w:marRight w:val="0"/>
      <w:marTop w:val="0"/>
      <w:marBottom w:val="0"/>
      <w:divBdr>
        <w:top w:val="none" w:sz="0" w:space="0" w:color="auto"/>
        <w:left w:val="none" w:sz="0" w:space="0" w:color="auto"/>
        <w:bottom w:val="none" w:sz="0" w:space="0" w:color="auto"/>
        <w:right w:val="none" w:sz="0" w:space="0" w:color="auto"/>
      </w:divBdr>
    </w:div>
    <w:div w:id="535506480">
      <w:bodyDiv w:val="1"/>
      <w:marLeft w:val="0"/>
      <w:marRight w:val="0"/>
      <w:marTop w:val="0"/>
      <w:marBottom w:val="0"/>
      <w:divBdr>
        <w:top w:val="none" w:sz="0" w:space="0" w:color="auto"/>
        <w:left w:val="none" w:sz="0" w:space="0" w:color="auto"/>
        <w:bottom w:val="none" w:sz="0" w:space="0" w:color="auto"/>
        <w:right w:val="none" w:sz="0" w:space="0" w:color="auto"/>
      </w:divBdr>
    </w:div>
    <w:div w:id="536696674">
      <w:bodyDiv w:val="1"/>
      <w:marLeft w:val="0"/>
      <w:marRight w:val="0"/>
      <w:marTop w:val="0"/>
      <w:marBottom w:val="0"/>
      <w:divBdr>
        <w:top w:val="none" w:sz="0" w:space="0" w:color="auto"/>
        <w:left w:val="none" w:sz="0" w:space="0" w:color="auto"/>
        <w:bottom w:val="none" w:sz="0" w:space="0" w:color="auto"/>
        <w:right w:val="none" w:sz="0" w:space="0" w:color="auto"/>
      </w:divBdr>
    </w:div>
    <w:div w:id="538006958">
      <w:bodyDiv w:val="1"/>
      <w:marLeft w:val="0"/>
      <w:marRight w:val="0"/>
      <w:marTop w:val="0"/>
      <w:marBottom w:val="0"/>
      <w:divBdr>
        <w:top w:val="none" w:sz="0" w:space="0" w:color="auto"/>
        <w:left w:val="none" w:sz="0" w:space="0" w:color="auto"/>
        <w:bottom w:val="none" w:sz="0" w:space="0" w:color="auto"/>
        <w:right w:val="none" w:sz="0" w:space="0" w:color="auto"/>
      </w:divBdr>
    </w:div>
    <w:div w:id="538203599">
      <w:bodyDiv w:val="1"/>
      <w:marLeft w:val="0"/>
      <w:marRight w:val="0"/>
      <w:marTop w:val="0"/>
      <w:marBottom w:val="0"/>
      <w:divBdr>
        <w:top w:val="none" w:sz="0" w:space="0" w:color="auto"/>
        <w:left w:val="none" w:sz="0" w:space="0" w:color="auto"/>
        <w:bottom w:val="none" w:sz="0" w:space="0" w:color="auto"/>
        <w:right w:val="none" w:sz="0" w:space="0" w:color="auto"/>
      </w:divBdr>
    </w:div>
    <w:div w:id="546525878">
      <w:bodyDiv w:val="1"/>
      <w:marLeft w:val="0"/>
      <w:marRight w:val="0"/>
      <w:marTop w:val="0"/>
      <w:marBottom w:val="0"/>
      <w:divBdr>
        <w:top w:val="none" w:sz="0" w:space="0" w:color="auto"/>
        <w:left w:val="none" w:sz="0" w:space="0" w:color="auto"/>
        <w:bottom w:val="none" w:sz="0" w:space="0" w:color="auto"/>
        <w:right w:val="none" w:sz="0" w:space="0" w:color="auto"/>
      </w:divBdr>
    </w:div>
    <w:div w:id="548566631">
      <w:bodyDiv w:val="1"/>
      <w:marLeft w:val="0"/>
      <w:marRight w:val="0"/>
      <w:marTop w:val="0"/>
      <w:marBottom w:val="0"/>
      <w:divBdr>
        <w:top w:val="none" w:sz="0" w:space="0" w:color="auto"/>
        <w:left w:val="none" w:sz="0" w:space="0" w:color="auto"/>
        <w:bottom w:val="none" w:sz="0" w:space="0" w:color="auto"/>
        <w:right w:val="none" w:sz="0" w:space="0" w:color="auto"/>
      </w:divBdr>
    </w:div>
    <w:div w:id="549921227">
      <w:bodyDiv w:val="1"/>
      <w:marLeft w:val="0"/>
      <w:marRight w:val="0"/>
      <w:marTop w:val="0"/>
      <w:marBottom w:val="0"/>
      <w:divBdr>
        <w:top w:val="none" w:sz="0" w:space="0" w:color="auto"/>
        <w:left w:val="none" w:sz="0" w:space="0" w:color="auto"/>
        <w:bottom w:val="none" w:sz="0" w:space="0" w:color="auto"/>
        <w:right w:val="none" w:sz="0" w:space="0" w:color="auto"/>
      </w:divBdr>
    </w:div>
    <w:div w:id="550730015">
      <w:bodyDiv w:val="1"/>
      <w:marLeft w:val="0"/>
      <w:marRight w:val="0"/>
      <w:marTop w:val="0"/>
      <w:marBottom w:val="0"/>
      <w:divBdr>
        <w:top w:val="none" w:sz="0" w:space="0" w:color="auto"/>
        <w:left w:val="none" w:sz="0" w:space="0" w:color="auto"/>
        <w:bottom w:val="none" w:sz="0" w:space="0" w:color="auto"/>
        <w:right w:val="none" w:sz="0" w:space="0" w:color="auto"/>
      </w:divBdr>
    </w:div>
    <w:div w:id="551695380">
      <w:bodyDiv w:val="1"/>
      <w:marLeft w:val="0"/>
      <w:marRight w:val="0"/>
      <w:marTop w:val="0"/>
      <w:marBottom w:val="0"/>
      <w:divBdr>
        <w:top w:val="none" w:sz="0" w:space="0" w:color="auto"/>
        <w:left w:val="none" w:sz="0" w:space="0" w:color="auto"/>
        <w:bottom w:val="none" w:sz="0" w:space="0" w:color="auto"/>
        <w:right w:val="none" w:sz="0" w:space="0" w:color="auto"/>
      </w:divBdr>
    </w:div>
    <w:div w:id="552617546">
      <w:bodyDiv w:val="1"/>
      <w:marLeft w:val="0"/>
      <w:marRight w:val="0"/>
      <w:marTop w:val="0"/>
      <w:marBottom w:val="0"/>
      <w:divBdr>
        <w:top w:val="none" w:sz="0" w:space="0" w:color="auto"/>
        <w:left w:val="none" w:sz="0" w:space="0" w:color="auto"/>
        <w:bottom w:val="none" w:sz="0" w:space="0" w:color="auto"/>
        <w:right w:val="none" w:sz="0" w:space="0" w:color="auto"/>
      </w:divBdr>
    </w:div>
    <w:div w:id="553084136">
      <w:bodyDiv w:val="1"/>
      <w:marLeft w:val="0"/>
      <w:marRight w:val="0"/>
      <w:marTop w:val="0"/>
      <w:marBottom w:val="0"/>
      <w:divBdr>
        <w:top w:val="none" w:sz="0" w:space="0" w:color="auto"/>
        <w:left w:val="none" w:sz="0" w:space="0" w:color="auto"/>
        <w:bottom w:val="none" w:sz="0" w:space="0" w:color="auto"/>
        <w:right w:val="none" w:sz="0" w:space="0" w:color="auto"/>
      </w:divBdr>
    </w:div>
    <w:div w:id="553468881">
      <w:bodyDiv w:val="1"/>
      <w:marLeft w:val="0"/>
      <w:marRight w:val="0"/>
      <w:marTop w:val="0"/>
      <w:marBottom w:val="0"/>
      <w:divBdr>
        <w:top w:val="none" w:sz="0" w:space="0" w:color="auto"/>
        <w:left w:val="none" w:sz="0" w:space="0" w:color="auto"/>
        <w:bottom w:val="none" w:sz="0" w:space="0" w:color="auto"/>
        <w:right w:val="none" w:sz="0" w:space="0" w:color="auto"/>
      </w:divBdr>
    </w:div>
    <w:div w:id="555630024">
      <w:bodyDiv w:val="1"/>
      <w:marLeft w:val="0"/>
      <w:marRight w:val="0"/>
      <w:marTop w:val="0"/>
      <w:marBottom w:val="0"/>
      <w:divBdr>
        <w:top w:val="none" w:sz="0" w:space="0" w:color="auto"/>
        <w:left w:val="none" w:sz="0" w:space="0" w:color="auto"/>
        <w:bottom w:val="none" w:sz="0" w:space="0" w:color="auto"/>
        <w:right w:val="none" w:sz="0" w:space="0" w:color="auto"/>
      </w:divBdr>
    </w:div>
    <w:div w:id="559632803">
      <w:bodyDiv w:val="1"/>
      <w:marLeft w:val="0"/>
      <w:marRight w:val="0"/>
      <w:marTop w:val="0"/>
      <w:marBottom w:val="0"/>
      <w:divBdr>
        <w:top w:val="none" w:sz="0" w:space="0" w:color="auto"/>
        <w:left w:val="none" w:sz="0" w:space="0" w:color="auto"/>
        <w:bottom w:val="none" w:sz="0" w:space="0" w:color="auto"/>
        <w:right w:val="none" w:sz="0" w:space="0" w:color="auto"/>
      </w:divBdr>
    </w:div>
    <w:div w:id="560286177">
      <w:bodyDiv w:val="1"/>
      <w:marLeft w:val="0"/>
      <w:marRight w:val="0"/>
      <w:marTop w:val="0"/>
      <w:marBottom w:val="0"/>
      <w:divBdr>
        <w:top w:val="none" w:sz="0" w:space="0" w:color="auto"/>
        <w:left w:val="none" w:sz="0" w:space="0" w:color="auto"/>
        <w:bottom w:val="none" w:sz="0" w:space="0" w:color="auto"/>
        <w:right w:val="none" w:sz="0" w:space="0" w:color="auto"/>
      </w:divBdr>
    </w:div>
    <w:div w:id="561065053">
      <w:bodyDiv w:val="1"/>
      <w:marLeft w:val="0"/>
      <w:marRight w:val="0"/>
      <w:marTop w:val="0"/>
      <w:marBottom w:val="0"/>
      <w:divBdr>
        <w:top w:val="none" w:sz="0" w:space="0" w:color="auto"/>
        <w:left w:val="none" w:sz="0" w:space="0" w:color="auto"/>
        <w:bottom w:val="none" w:sz="0" w:space="0" w:color="auto"/>
        <w:right w:val="none" w:sz="0" w:space="0" w:color="auto"/>
      </w:divBdr>
    </w:div>
    <w:div w:id="561912885">
      <w:bodyDiv w:val="1"/>
      <w:marLeft w:val="0"/>
      <w:marRight w:val="0"/>
      <w:marTop w:val="0"/>
      <w:marBottom w:val="0"/>
      <w:divBdr>
        <w:top w:val="none" w:sz="0" w:space="0" w:color="auto"/>
        <w:left w:val="none" w:sz="0" w:space="0" w:color="auto"/>
        <w:bottom w:val="none" w:sz="0" w:space="0" w:color="auto"/>
        <w:right w:val="none" w:sz="0" w:space="0" w:color="auto"/>
      </w:divBdr>
    </w:div>
    <w:div w:id="562177925">
      <w:bodyDiv w:val="1"/>
      <w:marLeft w:val="0"/>
      <w:marRight w:val="0"/>
      <w:marTop w:val="0"/>
      <w:marBottom w:val="0"/>
      <w:divBdr>
        <w:top w:val="none" w:sz="0" w:space="0" w:color="auto"/>
        <w:left w:val="none" w:sz="0" w:space="0" w:color="auto"/>
        <w:bottom w:val="none" w:sz="0" w:space="0" w:color="auto"/>
        <w:right w:val="none" w:sz="0" w:space="0" w:color="auto"/>
      </w:divBdr>
    </w:div>
    <w:div w:id="562640823">
      <w:bodyDiv w:val="1"/>
      <w:marLeft w:val="0"/>
      <w:marRight w:val="0"/>
      <w:marTop w:val="0"/>
      <w:marBottom w:val="0"/>
      <w:divBdr>
        <w:top w:val="none" w:sz="0" w:space="0" w:color="auto"/>
        <w:left w:val="none" w:sz="0" w:space="0" w:color="auto"/>
        <w:bottom w:val="none" w:sz="0" w:space="0" w:color="auto"/>
        <w:right w:val="none" w:sz="0" w:space="0" w:color="auto"/>
      </w:divBdr>
    </w:div>
    <w:div w:id="563294639">
      <w:bodyDiv w:val="1"/>
      <w:marLeft w:val="0"/>
      <w:marRight w:val="0"/>
      <w:marTop w:val="0"/>
      <w:marBottom w:val="0"/>
      <w:divBdr>
        <w:top w:val="none" w:sz="0" w:space="0" w:color="auto"/>
        <w:left w:val="none" w:sz="0" w:space="0" w:color="auto"/>
        <w:bottom w:val="none" w:sz="0" w:space="0" w:color="auto"/>
        <w:right w:val="none" w:sz="0" w:space="0" w:color="auto"/>
      </w:divBdr>
    </w:div>
    <w:div w:id="569536894">
      <w:bodyDiv w:val="1"/>
      <w:marLeft w:val="0"/>
      <w:marRight w:val="0"/>
      <w:marTop w:val="0"/>
      <w:marBottom w:val="0"/>
      <w:divBdr>
        <w:top w:val="none" w:sz="0" w:space="0" w:color="auto"/>
        <w:left w:val="none" w:sz="0" w:space="0" w:color="auto"/>
        <w:bottom w:val="none" w:sz="0" w:space="0" w:color="auto"/>
        <w:right w:val="none" w:sz="0" w:space="0" w:color="auto"/>
      </w:divBdr>
    </w:div>
    <w:div w:id="569997392">
      <w:bodyDiv w:val="1"/>
      <w:marLeft w:val="0"/>
      <w:marRight w:val="0"/>
      <w:marTop w:val="0"/>
      <w:marBottom w:val="0"/>
      <w:divBdr>
        <w:top w:val="none" w:sz="0" w:space="0" w:color="auto"/>
        <w:left w:val="none" w:sz="0" w:space="0" w:color="auto"/>
        <w:bottom w:val="none" w:sz="0" w:space="0" w:color="auto"/>
        <w:right w:val="none" w:sz="0" w:space="0" w:color="auto"/>
      </w:divBdr>
    </w:div>
    <w:div w:id="570114801">
      <w:bodyDiv w:val="1"/>
      <w:marLeft w:val="0"/>
      <w:marRight w:val="0"/>
      <w:marTop w:val="0"/>
      <w:marBottom w:val="0"/>
      <w:divBdr>
        <w:top w:val="none" w:sz="0" w:space="0" w:color="auto"/>
        <w:left w:val="none" w:sz="0" w:space="0" w:color="auto"/>
        <w:bottom w:val="none" w:sz="0" w:space="0" w:color="auto"/>
        <w:right w:val="none" w:sz="0" w:space="0" w:color="auto"/>
      </w:divBdr>
    </w:div>
    <w:div w:id="573970878">
      <w:bodyDiv w:val="1"/>
      <w:marLeft w:val="0"/>
      <w:marRight w:val="0"/>
      <w:marTop w:val="0"/>
      <w:marBottom w:val="0"/>
      <w:divBdr>
        <w:top w:val="none" w:sz="0" w:space="0" w:color="auto"/>
        <w:left w:val="none" w:sz="0" w:space="0" w:color="auto"/>
        <w:bottom w:val="none" w:sz="0" w:space="0" w:color="auto"/>
        <w:right w:val="none" w:sz="0" w:space="0" w:color="auto"/>
      </w:divBdr>
    </w:div>
    <w:div w:id="580137797">
      <w:bodyDiv w:val="1"/>
      <w:marLeft w:val="0"/>
      <w:marRight w:val="0"/>
      <w:marTop w:val="0"/>
      <w:marBottom w:val="0"/>
      <w:divBdr>
        <w:top w:val="none" w:sz="0" w:space="0" w:color="auto"/>
        <w:left w:val="none" w:sz="0" w:space="0" w:color="auto"/>
        <w:bottom w:val="none" w:sz="0" w:space="0" w:color="auto"/>
        <w:right w:val="none" w:sz="0" w:space="0" w:color="auto"/>
      </w:divBdr>
    </w:div>
    <w:div w:id="585506033">
      <w:bodyDiv w:val="1"/>
      <w:marLeft w:val="0"/>
      <w:marRight w:val="0"/>
      <w:marTop w:val="0"/>
      <w:marBottom w:val="0"/>
      <w:divBdr>
        <w:top w:val="none" w:sz="0" w:space="0" w:color="auto"/>
        <w:left w:val="none" w:sz="0" w:space="0" w:color="auto"/>
        <w:bottom w:val="none" w:sz="0" w:space="0" w:color="auto"/>
        <w:right w:val="none" w:sz="0" w:space="0" w:color="auto"/>
      </w:divBdr>
    </w:div>
    <w:div w:id="586155979">
      <w:bodyDiv w:val="1"/>
      <w:marLeft w:val="0"/>
      <w:marRight w:val="0"/>
      <w:marTop w:val="0"/>
      <w:marBottom w:val="0"/>
      <w:divBdr>
        <w:top w:val="none" w:sz="0" w:space="0" w:color="auto"/>
        <w:left w:val="none" w:sz="0" w:space="0" w:color="auto"/>
        <w:bottom w:val="none" w:sz="0" w:space="0" w:color="auto"/>
        <w:right w:val="none" w:sz="0" w:space="0" w:color="auto"/>
      </w:divBdr>
    </w:div>
    <w:div w:id="589968234">
      <w:bodyDiv w:val="1"/>
      <w:marLeft w:val="0"/>
      <w:marRight w:val="0"/>
      <w:marTop w:val="0"/>
      <w:marBottom w:val="0"/>
      <w:divBdr>
        <w:top w:val="none" w:sz="0" w:space="0" w:color="auto"/>
        <w:left w:val="none" w:sz="0" w:space="0" w:color="auto"/>
        <w:bottom w:val="none" w:sz="0" w:space="0" w:color="auto"/>
        <w:right w:val="none" w:sz="0" w:space="0" w:color="auto"/>
      </w:divBdr>
    </w:div>
    <w:div w:id="589972116">
      <w:bodyDiv w:val="1"/>
      <w:marLeft w:val="0"/>
      <w:marRight w:val="0"/>
      <w:marTop w:val="0"/>
      <w:marBottom w:val="0"/>
      <w:divBdr>
        <w:top w:val="none" w:sz="0" w:space="0" w:color="auto"/>
        <w:left w:val="none" w:sz="0" w:space="0" w:color="auto"/>
        <w:bottom w:val="none" w:sz="0" w:space="0" w:color="auto"/>
        <w:right w:val="none" w:sz="0" w:space="0" w:color="auto"/>
      </w:divBdr>
    </w:div>
    <w:div w:id="592787627">
      <w:bodyDiv w:val="1"/>
      <w:marLeft w:val="0"/>
      <w:marRight w:val="0"/>
      <w:marTop w:val="0"/>
      <w:marBottom w:val="0"/>
      <w:divBdr>
        <w:top w:val="none" w:sz="0" w:space="0" w:color="auto"/>
        <w:left w:val="none" w:sz="0" w:space="0" w:color="auto"/>
        <w:bottom w:val="none" w:sz="0" w:space="0" w:color="auto"/>
        <w:right w:val="none" w:sz="0" w:space="0" w:color="auto"/>
      </w:divBdr>
    </w:div>
    <w:div w:id="594287405">
      <w:bodyDiv w:val="1"/>
      <w:marLeft w:val="0"/>
      <w:marRight w:val="0"/>
      <w:marTop w:val="0"/>
      <w:marBottom w:val="0"/>
      <w:divBdr>
        <w:top w:val="none" w:sz="0" w:space="0" w:color="auto"/>
        <w:left w:val="none" w:sz="0" w:space="0" w:color="auto"/>
        <w:bottom w:val="none" w:sz="0" w:space="0" w:color="auto"/>
        <w:right w:val="none" w:sz="0" w:space="0" w:color="auto"/>
      </w:divBdr>
    </w:div>
    <w:div w:id="595863429">
      <w:bodyDiv w:val="1"/>
      <w:marLeft w:val="0"/>
      <w:marRight w:val="0"/>
      <w:marTop w:val="0"/>
      <w:marBottom w:val="0"/>
      <w:divBdr>
        <w:top w:val="none" w:sz="0" w:space="0" w:color="auto"/>
        <w:left w:val="none" w:sz="0" w:space="0" w:color="auto"/>
        <w:bottom w:val="none" w:sz="0" w:space="0" w:color="auto"/>
        <w:right w:val="none" w:sz="0" w:space="0" w:color="auto"/>
      </w:divBdr>
    </w:div>
    <w:div w:id="602567958">
      <w:bodyDiv w:val="1"/>
      <w:marLeft w:val="0"/>
      <w:marRight w:val="0"/>
      <w:marTop w:val="0"/>
      <w:marBottom w:val="0"/>
      <w:divBdr>
        <w:top w:val="none" w:sz="0" w:space="0" w:color="auto"/>
        <w:left w:val="none" w:sz="0" w:space="0" w:color="auto"/>
        <w:bottom w:val="none" w:sz="0" w:space="0" w:color="auto"/>
        <w:right w:val="none" w:sz="0" w:space="0" w:color="auto"/>
      </w:divBdr>
    </w:div>
    <w:div w:id="602689844">
      <w:bodyDiv w:val="1"/>
      <w:marLeft w:val="0"/>
      <w:marRight w:val="0"/>
      <w:marTop w:val="0"/>
      <w:marBottom w:val="0"/>
      <w:divBdr>
        <w:top w:val="none" w:sz="0" w:space="0" w:color="auto"/>
        <w:left w:val="none" w:sz="0" w:space="0" w:color="auto"/>
        <w:bottom w:val="none" w:sz="0" w:space="0" w:color="auto"/>
        <w:right w:val="none" w:sz="0" w:space="0" w:color="auto"/>
      </w:divBdr>
    </w:div>
    <w:div w:id="603417249">
      <w:bodyDiv w:val="1"/>
      <w:marLeft w:val="0"/>
      <w:marRight w:val="0"/>
      <w:marTop w:val="0"/>
      <w:marBottom w:val="0"/>
      <w:divBdr>
        <w:top w:val="none" w:sz="0" w:space="0" w:color="auto"/>
        <w:left w:val="none" w:sz="0" w:space="0" w:color="auto"/>
        <w:bottom w:val="none" w:sz="0" w:space="0" w:color="auto"/>
        <w:right w:val="none" w:sz="0" w:space="0" w:color="auto"/>
      </w:divBdr>
    </w:div>
    <w:div w:id="606474166">
      <w:bodyDiv w:val="1"/>
      <w:marLeft w:val="0"/>
      <w:marRight w:val="0"/>
      <w:marTop w:val="0"/>
      <w:marBottom w:val="0"/>
      <w:divBdr>
        <w:top w:val="none" w:sz="0" w:space="0" w:color="auto"/>
        <w:left w:val="none" w:sz="0" w:space="0" w:color="auto"/>
        <w:bottom w:val="none" w:sz="0" w:space="0" w:color="auto"/>
        <w:right w:val="none" w:sz="0" w:space="0" w:color="auto"/>
      </w:divBdr>
    </w:div>
    <w:div w:id="608202216">
      <w:bodyDiv w:val="1"/>
      <w:marLeft w:val="0"/>
      <w:marRight w:val="0"/>
      <w:marTop w:val="0"/>
      <w:marBottom w:val="0"/>
      <w:divBdr>
        <w:top w:val="none" w:sz="0" w:space="0" w:color="auto"/>
        <w:left w:val="none" w:sz="0" w:space="0" w:color="auto"/>
        <w:bottom w:val="none" w:sz="0" w:space="0" w:color="auto"/>
        <w:right w:val="none" w:sz="0" w:space="0" w:color="auto"/>
      </w:divBdr>
    </w:div>
    <w:div w:id="611744697">
      <w:bodyDiv w:val="1"/>
      <w:marLeft w:val="0"/>
      <w:marRight w:val="0"/>
      <w:marTop w:val="0"/>
      <w:marBottom w:val="0"/>
      <w:divBdr>
        <w:top w:val="none" w:sz="0" w:space="0" w:color="auto"/>
        <w:left w:val="none" w:sz="0" w:space="0" w:color="auto"/>
        <w:bottom w:val="none" w:sz="0" w:space="0" w:color="auto"/>
        <w:right w:val="none" w:sz="0" w:space="0" w:color="auto"/>
      </w:divBdr>
    </w:div>
    <w:div w:id="613631650">
      <w:bodyDiv w:val="1"/>
      <w:marLeft w:val="0"/>
      <w:marRight w:val="0"/>
      <w:marTop w:val="0"/>
      <w:marBottom w:val="0"/>
      <w:divBdr>
        <w:top w:val="none" w:sz="0" w:space="0" w:color="auto"/>
        <w:left w:val="none" w:sz="0" w:space="0" w:color="auto"/>
        <w:bottom w:val="none" w:sz="0" w:space="0" w:color="auto"/>
        <w:right w:val="none" w:sz="0" w:space="0" w:color="auto"/>
      </w:divBdr>
    </w:div>
    <w:div w:id="620650987">
      <w:bodyDiv w:val="1"/>
      <w:marLeft w:val="0"/>
      <w:marRight w:val="0"/>
      <w:marTop w:val="0"/>
      <w:marBottom w:val="0"/>
      <w:divBdr>
        <w:top w:val="none" w:sz="0" w:space="0" w:color="auto"/>
        <w:left w:val="none" w:sz="0" w:space="0" w:color="auto"/>
        <w:bottom w:val="none" w:sz="0" w:space="0" w:color="auto"/>
        <w:right w:val="none" w:sz="0" w:space="0" w:color="auto"/>
      </w:divBdr>
    </w:div>
    <w:div w:id="625895883">
      <w:bodyDiv w:val="1"/>
      <w:marLeft w:val="0"/>
      <w:marRight w:val="0"/>
      <w:marTop w:val="0"/>
      <w:marBottom w:val="0"/>
      <w:divBdr>
        <w:top w:val="none" w:sz="0" w:space="0" w:color="auto"/>
        <w:left w:val="none" w:sz="0" w:space="0" w:color="auto"/>
        <w:bottom w:val="none" w:sz="0" w:space="0" w:color="auto"/>
        <w:right w:val="none" w:sz="0" w:space="0" w:color="auto"/>
      </w:divBdr>
    </w:div>
    <w:div w:id="633170780">
      <w:bodyDiv w:val="1"/>
      <w:marLeft w:val="0"/>
      <w:marRight w:val="0"/>
      <w:marTop w:val="0"/>
      <w:marBottom w:val="0"/>
      <w:divBdr>
        <w:top w:val="none" w:sz="0" w:space="0" w:color="auto"/>
        <w:left w:val="none" w:sz="0" w:space="0" w:color="auto"/>
        <w:bottom w:val="none" w:sz="0" w:space="0" w:color="auto"/>
        <w:right w:val="none" w:sz="0" w:space="0" w:color="auto"/>
      </w:divBdr>
    </w:div>
    <w:div w:id="633829537">
      <w:bodyDiv w:val="1"/>
      <w:marLeft w:val="0"/>
      <w:marRight w:val="0"/>
      <w:marTop w:val="0"/>
      <w:marBottom w:val="0"/>
      <w:divBdr>
        <w:top w:val="none" w:sz="0" w:space="0" w:color="auto"/>
        <w:left w:val="none" w:sz="0" w:space="0" w:color="auto"/>
        <w:bottom w:val="none" w:sz="0" w:space="0" w:color="auto"/>
        <w:right w:val="none" w:sz="0" w:space="0" w:color="auto"/>
      </w:divBdr>
    </w:div>
    <w:div w:id="639312490">
      <w:bodyDiv w:val="1"/>
      <w:marLeft w:val="0"/>
      <w:marRight w:val="0"/>
      <w:marTop w:val="0"/>
      <w:marBottom w:val="0"/>
      <w:divBdr>
        <w:top w:val="none" w:sz="0" w:space="0" w:color="auto"/>
        <w:left w:val="none" w:sz="0" w:space="0" w:color="auto"/>
        <w:bottom w:val="none" w:sz="0" w:space="0" w:color="auto"/>
        <w:right w:val="none" w:sz="0" w:space="0" w:color="auto"/>
      </w:divBdr>
    </w:div>
    <w:div w:id="641539526">
      <w:bodyDiv w:val="1"/>
      <w:marLeft w:val="0"/>
      <w:marRight w:val="0"/>
      <w:marTop w:val="0"/>
      <w:marBottom w:val="0"/>
      <w:divBdr>
        <w:top w:val="none" w:sz="0" w:space="0" w:color="auto"/>
        <w:left w:val="none" w:sz="0" w:space="0" w:color="auto"/>
        <w:bottom w:val="none" w:sz="0" w:space="0" w:color="auto"/>
        <w:right w:val="none" w:sz="0" w:space="0" w:color="auto"/>
      </w:divBdr>
    </w:div>
    <w:div w:id="641622977">
      <w:bodyDiv w:val="1"/>
      <w:marLeft w:val="0"/>
      <w:marRight w:val="0"/>
      <w:marTop w:val="0"/>
      <w:marBottom w:val="0"/>
      <w:divBdr>
        <w:top w:val="none" w:sz="0" w:space="0" w:color="auto"/>
        <w:left w:val="none" w:sz="0" w:space="0" w:color="auto"/>
        <w:bottom w:val="none" w:sz="0" w:space="0" w:color="auto"/>
        <w:right w:val="none" w:sz="0" w:space="0" w:color="auto"/>
      </w:divBdr>
    </w:div>
    <w:div w:id="641665227">
      <w:bodyDiv w:val="1"/>
      <w:marLeft w:val="0"/>
      <w:marRight w:val="0"/>
      <w:marTop w:val="0"/>
      <w:marBottom w:val="0"/>
      <w:divBdr>
        <w:top w:val="none" w:sz="0" w:space="0" w:color="auto"/>
        <w:left w:val="none" w:sz="0" w:space="0" w:color="auto"/>
        <w:bottom w:val="none" w:sz="0" w:space="0" w:color="auto"/>
        <w:right w:val="none" w:sz="0" w:space="0" w:color="auto"/>
      </w:divBdr>
    </w:div>
    <w:div w:id="643505709">
      <w:bodyDiv w:val="1"/>
      <w:marLeft w:val="0"/>
      <w:marRight w:val="0"/>
      <w:marTop w:val="0"/>
      <w:marBottom w:val="0"/>
      <w:divBdr>
        <w:top w:val="none" w:sz="0" w:space="0" w:color="auto"/>
        <w:left w:val="none" w:sz="0" w:space="0" w:color="auto"/>
        <w:bottom w:val="none" w:sz="0" w:space="0" w:color="auto"/>
        <w:right w:val="none" w:sz="0" w:space="0" w:color="auto"/>
      </w:divBdr>
    </w:div>
    <w:div w:id="643852198">
      <w:bodyDiv w:val="1"/>
      <w:marLeft w:val="0"/>
      <w:marRight w:val="0"/>
      <w:marTop w:val="0"/>
      <w:marBottom w:val="0"/>
      <w:divBdr>
        <w:top w:val="none" w:sz="0" w:space="0" w:color="auto"/>
        <w:left w:val="none" w:sz="0" w:space="0" w:color="auto"/>
        <w:bottom w:val="none" w:sz="0" w:space="0" w:color="auto"/>
        <w:right w:val="none" w:sz="0" w:space="0" w:color="auto"/>
      </w:divBdr>
    </w:div>
    <w:div w:id="648284700">
      <w:bodyDiv w:val="1"/>
      <w:marLeft w:val="0"/>
      <w:marRight w:val="0"/>
      <w:marTop w:val="0"/>
      <w:marBottom w:val="0"/>
      <w:divBdr>
        <w:top w:val="none" w:sz="0" w:space="0" w:color="auto"/>
        <w:left w:val="none" w:sz="0" w:space="0" w:color="auto"/>
        <w:bottom w:val="none" w:sz="0" w:space="0" w:color="auto"/>
        <w:right w:val="none" w:sz="0" w:space="0" w:color="auto"/>
      </w:divBdr>
    </w:div>
    <w:div w:id="649596510">
      <w:bodyDiv w:val="1"/>
      <w:marLeft w:val="0"/>
      <w:marRight w:val="0"/>
      <w:marTop w:val="0"/>
      <w:marBottom w:val="0"/>
      <w:divBdr>
        <w:top w:val="none" w:sz="0" w:space="0" w:color="auto"/>
        <w:left w:val="none" w:sz="0" w:space="0" w:color="auto"/>
        <w:bottom w:val="none" w:sz="0" w:space="0" w:color="auto"/>
        <w:right w:val="none" w:sz="0" w:space="0" w:color="auto"/>
      </w:divBdr>
    </w:div>
    <w:div w:id="652292012">
      <w:bodyDiv w:val="1"/>
      <w:marLeft w:val="0"/>
      <w:marRight w:val="0"/>
      <w:marTop w:val="0"/>
      <w:marBottom w:val="0"/>
      <w:divBdr>
        <w:top w:val="none" w:sz="0" w:space="0" w:color="auto"/>
        <w:left w:val="none" w:sz="0" w:space="0" w:color="auto"/>
        <w:bottom w:val="none" w:sz="0" w:space="0" w:color="auto"/>
        <w:right w:val="none" w:sz="0" w:space="0" w:color="auto"/>
      </w:divBdr>
    </w:div>
    <w:div w:id="654726623">
      <w:bodyDiv w:val="1"/>
      <w:marLeft w:val="0"/>
      <w:marRight w:val="0"/>
      <w:marTop w:val="0"/>
      <w:marBottom w:val="0"/>
      <w:divBdr>
        <w:top w:val="none" w:sz="0" w:space="0" w:color="auto"/>
        <w:left w:val="none" w:sz="0" w:space="0" w:color="auto"/>
        <w:bottom w:val="none" w:sz="0" w:space="0" w:color="auto"/>
        <w:right w:val="none" w:sz="0" w:space="0" w:color="auto"/>
      </w:divBdr>
    </w:div>
    <w:div w:id="655843837">
      <w:bodyDiv w:val="1"/>
      <w:marLeft w:val="0"/>
      <w:marRight w:val="0"/>
      <w:marTop w:val="0"/>
      <w:marBottom w:val="0"/>
      <w:divBdr>
        <w:top w:val="none" w:sz="0" w:space="0" w:color="auto"/>
        <w:left w:val="none" w:sz="0" w:space="0" w:color="auto"/>
        <w:bottom w:val="none" w:sz="0" w:space="0" w:color="auto"/>
        <w:right w:val="none" w:sz="0" w:space="0" w:color="auto"/>
      </w:divBdr>
    </w:div>
    <w:div w:id="656037777">
      <w:bodyDiv w:val="1"/>
      <w:marLeft w:val="0"/>
      <w:marRight w:val="0"/>
      <w:marTop w:val="0"/>
      <w:marBottom w:val="0"/>
      <w:divBdr>
        <w:top w:val="none" w:sz="0" w:space="0" w:color="auto"/>
        <w:left w:val="none" w:sz="0" w:space="0" w:color="auto"/>
        <w:bottom w:val="none" w:sz="0" w:space="0" w:color="auto"/>
        <w:right w:val="none" w:sz="0" w:space="0" w:color="auto"/>
      </w:divBdr>
    </w:div>
    <w:div w:id="656612807">
      <w:bodyDiv w:val="1"/>
      <w:marLeft w:val="0"/>
      <w:marRight w:val="0"/>
      <w:marTop w:val="0"/>
      <w:marBottom w:val="0"/>
      <w:divBdr>
        <w:top w:val="none" w:sz="0" w:space="0" w:color="auto"/>
        <w:left w:val="none" w:sz="0" w:space="0" w:color="auto"/>
        <w:bottom w:val="none" w:sz="0" w:space="0" w:color="auto"/>
        <w:right w:val="none" w:sz="0" w:space="0" w:color="auto"/>
      </w:divBdr>
    </w:div>
    <w:div w:id="656885200">
      <w:bodyDiv w:val="1"/>
      <w:marLeft w:val="0"/>
      <w:marRight w:val="0"/>
      <w:marTop w:val="0"/>
      <w:marBottom w:val="0"/>
      <w:divBdr>
        <w:top w:val="none" w:sz="0" w:space="0" w:color="auto"/>
        <w:left w:val="none" w:sz="0" w:space="0" w:color="auto"/>
        <w:bottom w:val="none" w:sz="0" w:space="0" w:color="auto"/>
        <w:right w:val="none" w:sz="0" w:space="0" w:color="auto"/>
      </w:divBdr>
    </w:div>
    <w:div w:id="657685834">
      <w:bodyDiv w:val="1"/>
      <w:marLeft w:val="0"/>
      <w:marRight w:val="0"/>
      <w:marTop w:val="0"/>
      <w:marBottom w:val="0"/>
      <w:divBdr>
        <w:top w:val="none" w:sz="0" w:space="0" w:color="auto"/>
        <w:left w:val="none" w:sz="0" w:space="0" w:color="auto"/>
        <w:bottom w:val="none" w:sz="0" w:space="0" w:color="auto"/>
        <w:right w:val="none" w:sz="0" w:space="0" w:color="auto"/>
      </w:divBdr>
    </w:div>
    <w:div w:id="658385043">
      <w:bodyDiv w:val="1"/>
      <w:marLeft w:val="0"/>
      <w:marRight w:val="0"/>
      <w:marTop w:val="0"/>
      <w:marBottom w:val="0"/>
      <w:divBdr>
        <w:top w:val="none" w:sz="0" w:space="0" w:color="auto"/>
        <w:left w:val="none" w:sz="0" w:space="0" w:color="auto"/>
        <w:bottom w:val="none" w:sz="0" w:space="0" w:color="auto"/>
        <w:right w:val="none" w:sz="0" w:space="0" w:color="auto"/>
      </w:divBdr>
    </w:div>
    <w:div w:id="658459816">
      <w:bodyDiv w:val="1"/>
      <w:marLeft w:val="0"/>
      <w:marRight w:val="0"/>
      <w:marTop w:val="0"/>
      <w:marBottom w:val="0"/>
      <w:divBdr>
        <w:top w:val="none" w:sz="0" w:space="0" w:color="auto"/>
        <w:left w:val="none" w:sz="0" w:space="0" w:color="auto"/>
        <w:bottom w:val="none" w:sz="0" w:space="0" w:color="auto"/>
        <w:right w:val="none" w:sz="0" w:space="0" w:color="auto"/>
      </w:divBdr>
    </w:div>
    <w:div w:id="660081189">
      <w:bodyDiv w:val="1"/>
      <w:marLeft w:val="0"/>
      <w:marRight w:val="0"/>
      <w:marTop w:val="0"/>
      <w:marBottom w:val="0"/>
      <w:divBdr>
        <w:top w:val="none" w:sz="0" w:space="0" w:color="auto"/>
        <w:left w:val="none" w:sz="0" w:space="0" w:color="auto"/>
        <w:bottom w:val="none" w:sz="0" w:space="0" w:color="auto"/>
        <w:right w:val="none" w:sz="0" w:space="0" w:color="auto"/>
      </w:divBdr>
    </w:div>
    <w:div w:id="665326083">
      <w:bodyDiv w:val="1"/>
      <w:marLeft w:val="0"/>
      <w:marRight w:val="0"/>
      <w:marTop w:val="0"/>
      <w:marBottom w:val="0"/>
      <w:divBdr>
        <w:top w:val="none" w:sz="0" w:space="0" w:color="auto"/>
        <w:left w:val="none" w:sz="0" w:space="0" w:color="auto"/>
        <w:bottom w:val="none" w:sz="0" w:space="0" w:color="auto"/>
        <w:right w:val="none" w:sz="0" w:space="0" w:color="auto"/>
      </w:divBdr>
    </w:div>
    <w:div w:id="665861298">
      <w:bodyDiv w:val="1"/>
      <w:marLeft w:val="0"/>
      <w:marRight w:val="0"/>
      <w:marTop w:val="0"/>
      <w:marBottom w:val="0"/>
      <w:divBdr>
        <w:top w:val="none" w:sz="0" w:space="0" w:color="auto"/>
        <w:left w:val="none" w:sz="0" w:space="0" w:color="auto"/>
        <w:bottom w:val="none" w:sz="0" w:space="0" w:color="auto"/>
        <w:right w:val="none" w:sz="0" w:space="0" w:color="auto"/>
      </w:divBdr>
    </w:div>
    <w:div w:id="667367223">
      <w:bodyDiv w:val="1"/>
      <w:marLeft w:val="0"/>
      <w:marRight w:val="0"/>
      <w:marTop w:val="0"/>
      <w:marBottom w:val="0"/>
      <w:divBdr>
        <w:top w:val="none" w:sz="0" w:space="0" w:color="auto"/>
        <w:left w:val="none" w:sz="0" w:space="0" w:color="auto"/>
        <w:bottom w:val="none" w:sz="0" w:space="0" w:color="auto"/>
        <w:right w:val="none" w:sz="0" w:space="0" w:color="auto"/>
      </w:divBdr>
    </w:div>
    <w:div w:id="669792808">
      <w:bodyDiv w:val="1"/>
      <w:marLeft w:val="0"/>
      <w:marRight w:val="0"/>
      <w:marTop w:val="0"/>
      <w:marBottom w:val="0"/>
      <w:divBdr>
        <w:top w:val="none" w:sz="0" w:space="0" w:color="auto"/>
        <w:left w:val="none" w:sz="0" w:space="0" w:color="auto"/>
        <w:bottom w:val="none" w:sz="0" w:space="0" w:color="auto"/>
        <w:right w:val="none" w:sz="0" w:space="0" w:color="auto"/>
      </w:divBdr>
    </w:div>
    <w:div w:id="669986215">
      <w:bodyDiv w:val="1"/>
      <w:marLeft w:val="0"/>
      <w:marRight w:val="0"/>
      <w:marTop w:val="0"/>
      <w:marBottom w:val="0"/>
      <w:divBdr>
        <w:top w:val="none" w:sz="0" w:space="0" w:color="auto"/>
        <w:left w:val="none" w:sz="0" w:space="0" w:color="auto"/>
        <w:bottom w:val="none" w:sz="0" w:space="0" w:color="auto"/>
        <w:right w:val="none" w:sz="0" w:space="0" w:color="auto"/>
      </w:divBdr>
    </w:div>
    <w:div w:id="669991102">
      <w:bodyDiv w:val="1"/>
      <w:marLeft w:val="0"/>
      <w:marRight w:val="0"/>
      <w:marTop w:val="0"/>
      <w:marBottom w:val="0"/>
      <w:divBdr>
        <w:top w:val="none" w:sz="0" w:space="0" w:color="auto"/>
        <w:left w:val="none" w:sz="0" w:space="0" w:color="auto"/>
        <w:bottom w:val="none" w:sz="0" w:space="0" w:color="auto"/>
        <w:right w:val="none" w:sz="0" w:space="0" w:color="auto"/>
      </w:divBdr>
    </w:div>
    <w:div w:id="672336318">
      <w:bodyDiv w:val="1"/>
      <w:marLeft w:val="0"/>
      <w:marRight w:val="0"/>
      <w:marTop w:val="0"/>
      <w:marBottom w:val="0"/>
      <w:divBdr>
        <w:top w:val="none" w:sz="0" w:space="0" w:color="auto"/>
        <w:left w:val="none" w:sz="0" w:space="0" w:color="auto"/>
        <w:bottom w:val="none" w:sz="0" w:space="0" w:color="auto"/>
        <w:right w:val="none" w:sz="0" w:space="0" w:color="auto"/>
      </w:divBdr>
    </w:div>
    <w:div w:id="680551880">
      <w:bodyDiv w:val="1"/>
      <w:marLeft w:val="0"/>
      <w:marRight w:val="0"/>
      <w:marTop w:val="0"/>
      <w:marBottom w:val="0"/>
      <w:divBdr>
        <w:top w:val="none" w:sz="0" w:space="0" w:color="auto"/>
        <w:left w:val="none" w:sz="0" w:space="0" w:color="auto"/>
        <w:bottom w:val="none" w:sz="0" w:space="0" w:color="auto"/>
        <w:right w:val="none" w:sz="0" w:space="0" w:color="auto"/>
      </w:divBdr>
    </w:div>
    <w:div w:id="681012488">
      <w:bodyDiv w:val="1"/>
      <w:marLeft w:val="0"/>
      <w:marRight w:val="0"/>
      <w:marTop w:val="0"/>
      <w:marBottom w:val="0"/>
      <w:divBdr>
        <w:top w:val="none" w:sz="0" w:space="0" w:color="auto"/>
        <w:left w:val="none" w:sz="0" w:space="0" w:color="auto"/>
        <w:bottom w:val="none" w:sz="0" w:space="0" w:color="auto"/>
        <w:right w:val="none" w:sz="0" w:space="0" w:color="auto"/>
      </w:divBdr>
    </w:div>
    <w:div w:id="681319484">
      <w:bodyDiv w:val="1"/>
      <w:marLeft w:val="0"/>
      <w:marRight w:val="0"/>
      <w:marTop w:val="0"/>
      <w:marBottom w:val="0"/>
      <w:divBdr>
        <w:top w:val="none" w:sz="0" w:space="0" w:color="auto"/>
        <w:left w:val="none" w:sz="0" w:space="0" w:color="auto"/>
        <w:bottom w:val="none" w:sz="0" w:space="0" w:color="auto"/>
        <w:right w:val="none" w:sz="0" w:space="0" w:color="auto"/>
      </w:divBdr>
    </w:div>
    <w:div w:id="681782695">
      <w:bodyDiv w:val="1"/>
      <w:marLeft w:val="0"/>
      <w:marRight w:val="0"/>
      <w:marTop w:val="0"/>
      <w:marBottom w:val="0"/>
      <w:divBdr>
        <w:top w:val="none" w:sz="0" w:space="0" w:color="auto"/>
        <w:left w:val="none" w:sz="0" w:space="0" w:color="auto"/>
        <w:bottom w:val="none" w:sz="0" w:space="0" w:color="auto"/>
        <w:right w:val="none" w:sz="0" w:space="0" w:color="auto"/>
      </w:divBdr>
    </w:div>
    <w:div w:id="683048179">
      <w:bodyDiv w:val="1"/>
      <w:marLeft w:val="0"/>
      <w:marRight w:val="0"/>
      <w:marTop w:val="0"/>
      <w:marBottom w:val="0"/>
      <w:divBdr>
        <w:top w:val="none" w:sz="0" w:space="0" w:color="auto"/>
        <w:left w:val="none" w:sz="0" w:space="0" w:color="auto"/>
        <w:bottom w:val="none" w:sz="0" w:space="0" w:color="auto"/>
        <w:right w:val="none" w:sz="0" w:space="0" w:color="auto"/>
      </w:divBdr>
    </w:div>
    <w:div w:id="683753720">
      <w:bodyDiv w:val="1"/>
      <w:marLeft w:val="0"/>
      <w:marRight w:val="0"/>
      <w:marTop w:val="0"/>
      <w:marBottom w:val="0"/>
      <w:divBdr>
        <w:top w:val="none" w:sz="0" w:space="0" w:color="auto"/>
        <w:left w:val="none" w:sz="0" w:space="0" w:color="auto"/>
        <w:bottom w:val="none" w:sz="0" w:space="0" w:color="auto"/>
        <w:right w:val="none" w:sz="0" w:space="0" w:color="auto"/>
      </w:divBdr>
    </w:div>
    <w:div w:id="684282714">
      <w:bodyDiv w:val="1"/>
      <w:marLeft w:val="0"/>
      <w:marRight w:val="0"/>
      <w:marTop w:val="0"/>
      <w:marBottom w:val="0"/>
      <w:divBdr>
        <w:top w:val="none" w:sz="0" w:space="0" w:color="auto"/>
        <w:left w:val="none" w:sz="0" w:space="0" w:color="auto"/>
        <w:bottom w:val="none" w:sz="0" w:space="0" w:color="auto"/>
        <w:right w:val="none" w:sz="0" w:space="0" w:color="auto"/>
      </w:divBdr>
    </w:div>
    <w:div w:id="688795027">
      <w:bodyDiv w:val="1"/>
      <w:marLeft w:val="0"/>
      <w:marRight w:val="0"/>
      <w:marTop w:val="0"/>
      <w:marBottom w:val="0"/>
      <w:divBdr>
        <w:top w:val="none" w:sz="0" w:space="0" w:color="auto"/>
        <w:left w:val="none" w:sz="0" w:space="0" w:color="auto"/>
        <w:bottom w:val="none" w:sz="0" w:space="0" w:color="auto"/>
        <w:right w:val="none" w:sz="0" w:space="0" w:color="auto"/>
      </w:divBdr>
    </w:div>
    <w:div w:id="691339625">
      <w:bodyDiv w:val="1"/>
      <w:marLeft w:val="0"/>
      <w:marRight w:val="0"/>
      <w:marTop w:val="0"/>
      <w:marBottom w:val="0"/>
      <w:divBdr>
        <w:top w:val="none" w:sz="0" w:space="0" w:color="auto"/>
        <w:left w:val="none" w:sz="0" w:space="0" w:color="auto"/>
        <w:bottom w:val="none" w:sz="0" w:space="0" w:color="auto"/>
        <w:right w:val="none" w:sz="0" w:space="0" w:color="auto"/>
      </w:divBdr>
    </w:div>
    <w:div w:id="693532009">
      <w:bodyDiv w:val="1"/>
      <w:marLeft w:val="0"/>
      <w:marRight w:val="0"/>
      <w:marTop w:val="0"/>
      <w:marBottom w:val="0"/>
      <w:divBdr>
        <w:top w:val="none" w:sz="0" w:space="0" w:color="auto"/>
        <w:left w:val="none" w:sz="0" w:space="0" w:color="auto"/>
        <w:bottom w:val="none" w:sz="0" w:space="0" w:color="auto"/>
        <w:right w:val="none" w:sz="0" w:space="0" w:color="auto"/>
      </w:divBdr>
    </w:div>
    <w:div w:id="696587845">
      <w:bodyDiv w:val="1"/>
      <w:marLeft w:val="0"/>
      <w:marRight w:val="0"/>
      <w:marTop w:val="0"/>
      <w:marBottom w:val="0"/>
      <w:divBdr>
        <w:top w:val="none" w:sz="0" w:space="0" w:color="auto"/>
        <w:left w:val="none" w:sz="0" w:space="0" w:color="auto"/>
        <w:bottom w:val="none" w:sz="0" w:space="0" w:color="auto"/>
        <w:right w:val="none" w:sz="0" w:space="0" w:color="auto"/>
      </w:divBdr>
    </w:div>
    <w:div w:id="696924894">
      <w:bodyDiv w:val="1"/>
      <w:marLeft w:val="0"/>
      <w:marRight w:val="0"/>
      <w:marTop w:val="0"/>
      <w:marBottom w:val="0"/>
      <w:divBdr>
        <w:top w:val="none" w:sz="0" w:space="0" w:color="auto"/>
        <w:left w:val="none" w:sz="0" w:space="0" w:color="auto"/>
        <w:bottom w:val="none" w:sz="0" w:space="0" w:color="auto"/>
        <w:right w:val="none" w:sz="0" w:space="0" w:color="auto"/>
      </w:divBdr>
    </w:div>
    <w:div w:id="697123094">
      <w:bodyDiv w:val="1"/>
      <w:marLeft w:val="0"/>
      <w:marRight w:val="0"/>
      <w:marTop w:val="0"/>
      <w:marBottom w:val="0"/>
      <w:divBdr>
        <w:top w:val="none" w:sz="0" w:space="0" w:color="auto"/>
        <w:left w:val="none" w:sz="0" w:space="0" w:color="auto"/>
        <w:bottom w:val="none" w:sz="0" w:space="0" w:color="auto"/>
        <w:right w:val="none" w:sz="0" w:space="0" w:color="auto"/>
      </w:divBdr>
    </w:div>
    <w:div w:id="698431924">
      <w:bodyDiv w:val="1"/>
      <w:marLeft w:val="0"/>
      <w:marRight w:val="0"/>
      <w:marTop w:val="0"/>
      <w:marBottom w:val="0"/>
      <w:divBdr>
        <w:top w:val="none" w:sz="0" w:space="0" w:color="auto"/>
        <w:left w:val="none" w:sz="0" w:space="0" w:color="auto"/>
        <w:bottom w:val="none" w:sz="0" w:space="0" w:color="auto"/>
        <w:right w:val="none" w:sz="0" w:space="0" w:color="auto"/>
      </w:divBdr>
    </w:div>
    <w:div w:id="699009846">
      <w:bodyDiv w:val="1"/>
      <w:marLeft w:val="0"/>
      <w:marRight w:val="0"/>
      <w:marTop w:val="0"/>
      <w:marBottom w:val="0"/>
      <w:divBdr>
        <w:top w:val="none" w:sz="0" w:space="0" w:color="auto"/>
        <w:left w:val="none" w:sz="0" w:space="0" w:color="auto"/>
        <w:bottom w:val="none" w:sz="0" w:space="0" w:color="auto"/>
        <w:right w:val="none" w:sz="0" w:space="0" w:color="auto"/>
      </w:divBdr>
    </w:div>
    <w:div w:id="699015636">
      <w:bodyDiv w:val="1"/>
      <w:marLeft w:val="0"/>
      <w:marRight w:val="0"/>
      <w:marTop w:val="0"/>
      <w:marBottom w:val="0"/>
      <w:divBdr>
        <w:top w:val="none" w:sz="0" w:space="0" w:color="auto"/>
        <w:left w:val="none" w:sz="0" w:space="0" w:color="auto"/>
        <w:bottom w:val="none" w:sz="0" w:space="0" w:color="auto"/>
        <w:right w:val="none" w:sz="0" w:space="0" w:color="auto"/>
      </w:divBdr>
    </w:div>
    <w:div w:id="700403802">
      <w:bodyDiv w:val="1"/>
      <w:marLeft w:val="0"/>
      <w:marRight w:val="0"/>
      <w:marTop w:val="0"/>
      <w:marBottom w:val="0"/>
      <w:divBdr>
        <w:top w:val="none" w:sz="0" w:space="0" w:color="auto"/>
        <w:left w:val="none" w:sz="0" w:space="0" w:color="auto"/>
        <w:bottom w:val="none" w:sz="0" w:space="0" w:color="auto"/>
        <w:right w:val="none" w:sz="0" w:space="0" w:color="auto"/>
      </w:divBdr>
    </w:div>
    <w:div w:id="701632181">
      <w:bodyDiv w:val="1"/>
      <w:marLeft w:val="0"/>
      <w:marRight w:val="0"/>
      <w:marTop w:val="0"/>
      <w:marBottom w:val="0"/>
      <w:divBdr>
        <w:top w:val="none" w:sz="0" w:space="0" w:color="auto"/>
        <w:left w:val="none" w:sz="0" w:space="0" w:color="auto"/>
        <w:bottom w:val="none" w:sz="0" w:space="0" w:color="auto"/>
        <w:right w:val="none" w:sz="0" w:space="0" w:color="auto"/>
      </w:divBdr>
    </w:div>
    <w:div w:id="703481920">
      <w:bodyDiv w:val="1"/>
      <w:marLeft w:val="0"/>
      <w:marRight w:val="0"/>
      <w:marTop w:val="0"/>
      <w:marBottom w:val="0"/>
      <w:divBdr>
        <w:top w:val="none" w:sz="0" w:space="0" w:color="auto"/>
        <w:left w:val="none" w:sz="0" w:space="0" w:color="auto"/>
        <w:bottom w:val="none" w:sz="0" w:space="0" w:color="auto"/>
        <w:right w:val="none" w:sz="0" w:space="0" w:color="auto"/>
      </w:divBdr>
    </w:div>
    <w:div w:id="704447940">
      <w:bodyDiv w:val="1"/>
      <w:marLeft w:val="0"/>
      <w:marRight w:val="0"/>
      <w:marTop w:val="0"/>
      <w:marBottom w:val="0"/>
      <w:divBdr>
        <w:top w:val="none" w:sz="0" w:space="0" w:color="auto"/>
        <w:left w:val="none" w:sz="0" w:space="0" w:color="auto"/>
        <w:bottom w:val="none" w:sz="0" w:space="0" w:color="auto"/>
        <w:right w:val="none" w:sz="0" w:space="0" w:color="auto"/>
      </w:divBdr>
    </w:div>
    <w:div w:id="704983126">
      <w:bodyDiv w:val="1"/>
      <w:marLeft w:val="0"/>
      <w:marRight w:val="0"/>
      <w:marTop w:val="0"/>
      <w:marBottom w:val="0"/>
      <w:divBdr>
        <w:top w:val="none" w:sz="0" w:space="0" w:color="auto"/>
        <w:left w:val="none" w:sz="0" w:space="0" w:color="auto"/>
        <w:bottom w:val="none" w:sz="0" w:space="0" w:color="auto"/>
        <w:right w:val="none" w:sz="0" w:space="0" w:color="auto"/>
      </w:divBdr>
    </w:div>
    <w:div w:id="706761701">
      <w:bodyDiv w:val="1"/>
      <w:marLeft w:val="0"/>
      <w:marRight w:val="0"/>
      <w:marTop w:val="0"/>
      <w:marBottom w:val="0"/>
      <w:divBdr>
        <w:top w:val="none" w:sz="0" w:space="0" w:color="auto"/>
        <w:left w:val="none" w:sz="0" w:space="0" w:color="auto"/>
        <w:bottom w:val="none" w:sz="0" w:space="0" w:color="auto"/>
        <w:right w:val="none" w:sz="0" w:space="0" w:color="auto"/>
      </w:divBdr>
    </w:div>
    <w:div w:id="706836750">
      <w:bodyDiv w:val="1"/>
      <w:marLeft w:val="0"/>
      <w:marRight w:val="0"/>
      <w:marTop w:val="0"/>
      <w:marBottom w:val="0"/>
      <w:divBdr>
        <w:top w:val="none" w:sz="0" w:space="0" w:color="auto"/>
        <w:left w:val="none" w:sz="0" w:space="0" w:color="auto"/>
        <w:bottom w:val="none" w:sz="0" w:space="0" w:color="auto"/>
        <w:right w:val="none" w:sz="0" w:space="0" w:color="auto"/>
      </w:divBdr>
    </w:div>
    <w:div w:id="709186665">
      <w:bodyDiv w:val="1"/>
      <w:marLeft w:val="0"/>
      <w:marRight w:val="0"/>
      <w:marTop w:val="0"/>
      <w:marBottom w:val="0"/>
      <w:divBdr>
        <w:top w:val="none" w:sz="0" w:space="0" w:color="auto"/>
        <w:left w:val="none" w:sz="0" w:space="0" w:color="auto"/>
        <w:bottom w:val="none" w:sz="0" w:space="0" w:color="auto"/>
        <w:right w:val="none" w:sz="0" w:space="0" w:color="auto"/>
      </w:divBdr>
    </w:div>
    <w:div w:id="710106762">
      <w:bodyDiv w:val="1"/>
      <w:marLeft w:val="0"/>
      <w:marRight w:val="0"/>
      <w:marTop w:val="0"/>
      <w:marBottom w:val="0"/>
      <w:divBdr>
        <w:top w:val="none" w:sz="0" w:space="0" w:color="auto"/>
        <w:left w:val="none" w:sz="0" w:space="0" w:color="auto"/>
        <w:bottom w:val="none" w:sz="0" w:space="0" w:color="auto"/>
        <w:right w:val="none" w:sz="0" w:space="0" w:color="auto"/>
      </w:divBdr>
    </w:div>
    <w:div w:id="711078564">
      <w:bodyDiv w:val="1"/>
      <w:marLeft w:val="0"/>
      <w:marRight w:val="0"/>
      <w:marTop w:val="0"/>
      <w:marBottom w:val="0"/>
      <w:divBdr>
        <w:top w:val="none" w:sz="0" w:space="0" w:color="auto"/>
        <w:left w:val="none" w:sz="0" w:space="0" w:color="auto"/>
        <w:bottom w:val="none" w:sz="0" w:space="0" w:color="auto"/>
        <w:right w:val="none" w:sz="0" w:space="0" w:color="auto"/>
      </w:divBdr>
    </w:div>
    <w:div w:id="712312399">
      <w:bodyDiv w:val="1"/>
      <w:marLeft w:val="0"/>
      <w:marRight w:val="0"/>
      <w:marTop w:val="0"/>
      <w:marBottom w:val="0"/>
      <w:divBdr>
        <w:top w:val="none" w:sz="0" w:space="0" w:color="auto"/>
        <w:left w:val="none" w:sz="0" w:space="0" w:color="auto"/>
        <w:bottom w:val="none" w:sz="0" w:space="0" w:color="auto"/>
        <w:right w:val="none" w:sz="0" w:space="0" w:color="auto"/>
      </w:divBdr>
    </w:div>
    <w:div w:id="712585216">
      <w:bodyDiv w:val="1"/>
      <w:marLeft w:val="0"/>
      <w:marRight w:val="0"/>
      <w:marTop w:val="0"/>
      <w:marBottom w:val="0"/>
      <w:divBdr>
        <w:top w:val="none" w:sz="0" w:space="0" w:color="auto"/>
        <w:left w:val="none" w:sz="0" w:space="0" w:color="auto"/>
        <w:bottom w:val="none" w:sz="0" w:space="0" w:color="auto"/>
        <w:right w:val="none" w:sz="0" w:space="0" w:color="auto"/>
      </w:divBdr>
    </w:div>
    <w:div w:id="715392516">
      <w:bodyDiv w:val="1"/>
      <w:marLeft w:val="0"/>
      <w:marRight w:val="0"/>
      <w:marTop w:val="0"/>
      <w:marBottom w:val="0"/>
      <w:divBdr>
        <w:top w:val="none" w:sz="0" w:space="0" w:color="auto"/>
        <w:left w:val="none" w:sz="0" w:space="0" w:color="auto"/>
        <w:bottom w:val="none" w:sz="0" w:space="0" w:color="auto"/>
        <w:right w:val="none" w:sz="0" w:space="0" w:color="auto"/>
      </w:divBdr>
    </w:div>
    <w:div w:id="716124299">
      <w:bodyDiv w:val="1"/>
      <w:marLeft w:val="0"/>
      <w:marRight w:val="0"/>
      <w:marTop w:val="0"/>
      <w:marBottom w:val="0"/>
      <w:divBdr>
        <w:top w:val="none" w:sz="0" w:space="0" w:color="auto"/>
        <w:left w:val="none" w:sz="0" w:space="0" w:color="auto"/>
        <w:bottom w:val="none" w:sz="0" w:space="0" w:color="auto"/>
        <w:right w:val="none" w:sz="0" w:space="0" w:color="auto"/>
      </w:divBdr>
    </w:div>
    <w:div w:id="716591775">
      <w:bodyDiv w:val="1"/>
      <w:marLeft w:val="0"/>
      <w:marRight w:val="0"/>
      <w:marTop w:val="0"/>
      <w:marBottom w:val="0"/>
      <w:divBdr>
        <w:top w:val="none" w:sz="0" w:space="0" w:color="auto"/>
        <w:left w:val="none" w:sz="0" w:space="0" w:color="auto"/>
        <w:bottom w:val="none" w:sz="0" w:space="0" w:color="auto"/>
        <w:right w:val="none" w:sz="0" w:space="0" w:color="auto"/>
      </w:divBdr>
    </w:div>
    <w:div w:id="719090541">
      <w:bodyDiv w:val="1"/>
      <w:marLeft w:val="0"/>
      <w:marRight w:val="0"/>
      <w:marTop w:val="0"/>
      <w:marBottom w:val="0"/>
      <w:divBdr>
        <w:top w:val="none" w:sz="0" w:space="0" w:color="auto"/>
        <w:left w:val="none" w:sz="0" w:space="0" w:color="auto"/>
        <w:bottom w:val="none" w:sz="0" w:space="0" w:color="auto"/>
        <w:right w:val="none" w:sz="0" w:space="0" w:color="auto"/>
      </w:divBdr>
    </w:div>
    <w:div w:id="719209649">
      <w:bodyDiv w:val="1"/>
      <w:marLeft w:val="0"/>
      <w:marRight w:val="0"/>
      <w:marTop w:val="0"/>
      <w:marBottom w:val="0"/>
      <w:divBdr>
        <w:top w:val="none" w:sz="0" w:space="0" w:color="auto"/>
        <w:left w:val="none" w:sz="0" w:space="0" w:color="auto"/>
        <w:bottom w:val="none" w:sz="0" w:space="0" w:color="auto"/>
        <w:right w:val="none" w:sz="0" w:space="0" w:color="auto"/>
      </w:divBdr>
    </w:div>
    <w:div w:id="720062122">
      <w:bodyDiv w:val="1"/>
      <w:marLeft w:val="0"/>
      <w:marRight w:val="0"/>
      <w:marTop w:val="0"/>
      <w:marBottom w:val="0"/>
      <w:divBdr>
        <w:top w:val="none" w:sz="0" w:space="0" w:color="auto"/>
        <w:left w:val="none" w:sz="0" w:space="0" w:color="auto"/>
        <w:bottom w:val="none" w:sz="0" w:space="0" w:color="auto"/>
        <w:right w:val="none" w:sz="0" w:space="0" w:color="auto"/>
      </w:divBdr>
    </w:div>
    <w:div w:id="723137300">
      <w:bodyDiv w:val="1"/>
      <w:marLeft w:val="0"/>
      <w:marRight w:val="0"/>
      <w:marTop w:val="0"/>
      <w:marBottom w:val="0"/>
      <w:divBdr>
        <w:top w:val="none" w:sz="0" w:space="0" w:color="auto"/>
        <w:left w:val="none" w:sz="0" w:space="0" w:color="auto"/>
        <w:bottom w:val="none" w:sz="0" w:space="0" w:color="auto"/>
        <w:right w:val="none" w:sz="0" w:space="0" w:color="auto"/>
      </w:divBdr>
    </w:div>
    <w:div w:id="724834697">
      <w:bodyDiv w:val="1"/>
      <w:marLeft w:val="0"/>
      <w:marRight w:val="0"/>
      <w:marTop w:val="0"/>
      <w:marBottom w:val="0"/>
      <w:divBdr>
        <w:top w:val="none" w:sz="0" w:space="0" w:color="auto"/>
        <w:left w:val="none" w:sz="0" w:space="0" w:color="auto"/>
        <w:bottom w:val="none" w:sz="0" w:space="0" w:color="auto"/>
        <w:right w:val="none" w:sz="0" w:space="0" w:color="auto"/>
      </w:divBdr>
    </w:div>
    <w:div w:id="728572541">
      <w:bodyDiv w:val="1"/>
      <w:marLeft w:val="0"/>
      <w:marRight w:val="0"/>
      <w:marTop w:val="0"/>
      <w:marBottom w:val="0"/>
      <w:divBdr>
        <w:top w:val="none" w:sz="0" w:space="0" w:color="auto"/>
        <w:left w:val="none" w:sz="0" w:space="0" w:color="auto"/>
        <w:bottom w:val="none" w:sz="0" w:space="0" w:color="auto"/>
        <w:right w:val="none" w:sz="0" w:space="0" w:color="auto"/>
      </w:divBdr>
    </w:div>
    <w:div w:id="732117685">
      <w:bodyDiv w:val="1"/>
      <w:marLeft w:val="0"/>
      <w:marRight w:val="0"/>
      <w:marTop w:val="0"/>
      <w:marBottom w:val="0"/>
      <w:divBdr>
        <w:top w:val="none" w:sz="0" w:space="0" w:color="auto"/>
        <w:left w:val="none" w:sz="0" w:space="0" w:color="auto"/>
        <w:bottom w:val="none" w:sz="0" w:space="0" w:color="auto"/>
        <w:right w:val="none" w:sz="0" w:space="0" w:color="auto"/>
      </w:divBdr>
    </w:div>
    <w:div w:id="737165958">
      <w:bodyDiv w:val="1"/>
      <w:marLeft w:val="0"/>
      <w:marRight w:val="0"/>
      <w:marTop w:val="0"/>
      <w:marBottom w:val="0"/>
      <w:divBdr>
        <w:top w:val="none" w:sz="0" w:space="0" w:color="auto"/>
        <w:left w:val="none" w:sz="0" w:space="0" w:color="auto"/>
        <w:bottom w:val="none" w:sz="0" w:space="0" w:color="auto"/>
        <w:right w:val="none" w:sz="0" w:space="0" w:color="auto"/>
      </w:divBdr>
    </w:div>
    <w:div w:id="737174297">
      <w:bodyDiv w:val="1"/>
      <w:marLeft w:val="0"/>
      <w:marRight w:val="0"/>
      <w:marTop w:val="0"/>
      <w:marBottom w:val="0"/>
      <w:divBdr>
        <w:top w:val="none" w:sz="0" w:space="0" w:color="auto"/>
        <w:left w:val="none" w:sz="0" w:space="0" w:color="auto"/>
        <w:bottom w:val="none" w:sz="0" w:space="0" w:color="auto"/>
        <w:right w:val="none" w:sz="0" w:space="0" w:color="auto"/>
      </w:divBdr>
    </w:div>
    <w:div w:id="739517848">
      <w:bodyDiv w:val="1"/>
      <w:marLeft w:val="0"/>
      <w:marRight w:val="0"/>
      <w:marTop w:val="0"/>
      <w:marBottom w:val="0"/>
      <w:divBdr>
        <w:top w:val="none" w:sz="0" w:space="0" w:color="auto"/>
        <w:left w:val="none" w:sz="0" w:space="0" w:color="auto"/>
        <w:bottom w:val="none" w:sz="0" w:space="0" w:color="auto"/>
        <w:right w:val="none" w:sz="0" w:space="0" w:color="auto"/>
      </w:divBdr>
    </w:div>
    <w:div w:id="739718387">
      <w:bodyDiv w:val="1"/>
      <w:marLeft w:val="0"/>
      <w:marRight w:val="0"/>
      <w:marTop w:val="0"/>
      <w:marBottom w:val="0"/>
      <w:divBdr>
        <w:top w:val="none" w:sz="0" w:space="0" w:color="auto"/>
        <w:left w:val="none" w:sz="0" w:space="0" w:color="auto"/>
        <w:bottom w:val="none" w:sz="0" w:space="0" w:color="auto"/>
        <w:right w:val="none" w:sz="0" w:space="0" w:color="auto"/>
      </w:divBdr>
    </w:div>
    <w:div w:id="741374192">
      <w:bodyDiv w:val="1"/>
      <w:marLeft w:val="0"/>
      <w:marRight w:val="0"/>
      <w:marTop w:val="0"/>
      <w:marBottom w:val="0"/>
      <w:divBdr>
        <w:top w:val="none" w:sz="0" w:space="0" w:color="auto"/>
        <w:left w:val="none" w:sz="0" w:space="0" w:color="auto"/>
        <w:bottom w:val="none" w:sz="0" w:space="0" w:color="auto"/>
        <w:right w:val="none" w:sz="0" w:space="0" w:color="auto"/>
      </w:divBdr>
    </w:div>
    <w:div w:id="742534432">
      <w:bodyDiv w:val="1"/>
      <w:marLeft w:val="0"/>
      <w:marRight w:val="0"/>
      <w:marTop w:val="0"/>
      <w:marBottom w:val="0"/>
      <w:divBdr>
        <w:top w:val="none" w:sz="0" w:space="0" w:color="auto"/>
        <w:left w:val="none" w:sz="0" w:space="0" w:color="auto"/>
        <w:bottom w:val="none" w:sz="0" w:space="0" w:color="auto"/>
        <w:right w:val="none" w:sz="0" w:space="0" w:color="auto"/>
      </w:divBdr>
    </w:div>
    <w:div w:id="747964936">
      <w:bodyDiv w:val="1"/>
      <w:marLeft w:val="0"/>
      <w:marRight w:val="0"/>
      <w:marTop w:val="0"/>
      <w:marBottom w:val="0"/>
      <w:divBdr>
        <w:top w:val="none" w:sz="0" w:space="0" w:color="auto"/>
        <w:left w:val="none" w:sz="0" w:space="0" w:color="auto"/>
        <w:bottom w:val="none" w:sz="0" w:space="0" w:color="auto"/>
        <w:right w:val="none" w:sz="0" w:space="0" w:color="auto"/>
      </w:divBdr>
    </w:div>
    <w:div w:id="748624326">
      <w:bodyDiv w:val="1"/>
      <w:marLeft w:val="0"/>
      <w:marRight w:val="0"/>
      <w:marTop w:val="0"/>
      <w:marBottom w:val="0"/>
      <w:divBdr>
        <w:top w:val="none" w:sz="0" w:space="0" w:color="auto"/>
        <w:left w:val="none" w:sz="0" w:space="0" w:color="auto"/>
        <w:bottom w:val="none" w:sz="0" w:space="0" w:color="auto"/>
        <w:right w:val="none" w:sz="0" w:space="0" w:color="auto"/>
      </w:divBdr>
    </w:div>
    <w:div w:id="750657093">
      <w:bodyDiv w:val="1"/>
      <w:marLeft w:val="0"/>
      <w:marRight w:val="0"/>
      <w:marTop w:val="0"/>
      <w:marBottom w:val="0"/>
      <w:divBdr>
        <w:top w:val="none" w:sz="0" w:space="0" w:color="auto"/>
        <w:left w:val="none" w:sz="0" w:space="0" w:color="auto"/>
        <w:bottom w:val="none" w:sz="0" w:space="0" w:color="auto"/>
        <w:right w:val="none" w:sz="0" w:space="0" w:color="auto"/>
      </w:divBdr>
    </w:div>
    <w:div w:id="751703983">
      <w:bodyDiv w:val="1"/>
      <w:marLeft w:val="0"/>
      <w:marRight w:val="0"/>
      <w:marTop w:val="0"/>
      <w:marBottom w:val="0"/>
      <w:divBdr>
        <w:top w:val="none" w:sz="0" w:space="0" w:color="auto"/>
        <w:left w:val="none" w:sz="0" w:space="0" w:color="auto"/>
        <w:bottom w:val="none" w:sz="0" w:space="0" w:color="auto"/>
        <w:right w:val="none" w:sz="0" w:space="0" w:color="auto"/>
      </w:divBdr>
    </w:div>
    <w:div w:id="752703071">
      <w:bodyDiv w:val="1"/>
      <w:marLeft w:val="0"/>
      <w:marRight w:val="0"/>
      <w:marTop w:val="0"/>
      <w:marBottom w:val="0"/>
      <w:divBdr>
        <w:top w:val="none" w:sz="0" w:space="0" w:color="auto"/>
        <w:left w:val="none" w:sz="0" w:space="0" w:color="auto"/>
        <w:bottom w:val="none" w:sz="0" w:space="0" w:color="auto"/>
        <w:right w:val="none" w:sz="0" w:space="0" w:color="auto"/>
      </w:divBdr>
    </w:div>
    <w:div w:id="753011591">
      <w:bodyDiv w:val="1"/>
      <w:marLeft w:val="0"/>
      <w:marRight w:val="0"/>
      <w:marTop w:val="0"/>
      <w:marBottom w:val="0"/>
      <w:divBdr>
        <w:top w:val="none" w:sz="0" w:space="0" w:color="auto"/>
        <w:left w:val="none" w:sz="0" w:space="0" w:color="auto"/>
        <w:bottom w:val="none" w:sz="0" w:space="0" w:color="auto"/>
        <w:right w:val="none" w:sz="0" w:space="0" w:color="auto"/>
      </w:divBdr>
    </w:div>
    <w:div w:id="753210866">
      <w:bodyDiv w:val="1"/>
      <w:marLeft w:val="0"/>
      <w:marRight w:val="0"/>
      <w:marTop w:val="0"/>
      <w:marBottom w:val="0"/>
      <w:divBdr>
        <w:top w:val="none" w:sz="0" w:space="0" w:color="auto"/>
        <w:left w:val="none" w:sz="0" w:space="0" w:color="auto"/>
        <w:bottom w:val="none" w:sz="0" w:space="0" w:color="auto"/>
        <w:right w:val="none" w:sz="0" w:space="0" w:color="auto"/>
      </w:divBdr>
    </w:div>
    <w:div w:id="756708368">
      <w:bodyDiv w:val="1"/>
      <w:marLeft w:val="0"/>
      <w:marRight w:val="0"/>
      <w:marTop w:val="0"/>
      <w:marBottom w:val="0"/>
      <w:divBdr>
        <w:top w:val="none" w:sz="0" w:space="0" w:color="auto"/>
        <w:left w:val="none" w:sz="0" w:space="0" w:color="auto"/>
        <w:bottom w:val="none" w:sz="0" w:space="0" w:color="auto"/>
        <w:right w:val="none" w:sz="0" w:space="0" w:color="auto"/>
      </w:divBdr>
    </w:div>
    <w:div w:id="765006777">
      <w:bodyDiv w:val="1"/>
      <w:marLeft w:val="0"/>
      <w:marRight w:val="0"/>
      <w:marTop w:val="0"/>
      <w:marBottom w:val="0"/>
      <w:divBdr>
        <w:top w:val="none" w:sz="0" w:space="0" w:color="auto"/>
        <w:left w:val="none" w:sz="0" w:space="0" w:color="auto"/>
        <w:bottom w:val="none" w:sz="0" w:space="0" w:color="auto"/>
        <w:right w:val="none" w:sz="0" w:space="0" w:color="auto"/>
      </w:divBdr>
    </w:div>
    <w:div w:id="767577736">
      <w:bodyDiv w:val="1"/>
      <w:marLeft w:val="0"/>
      <w:marRight w:val="0"/>
      <w:marTop w:val="0"/>
      <w:marBottom w:val="0"/>
      <w:divBdr>
        <w:top w:val="none" w:sz="0" w:space="0" w:color="auto"/>
        <w:left w:val="none" w:sz="0" w:space="0" w:color="auto"/>
        <w:bottom w:val="none" w:sz="0" w:space="0" w:color="auto"/>
        <w:right w:val="none" w:sz="0" w:space="0" w:color="auto"/>
      </w:divBdr>
    </w:div>
    <w:div w:id="772361267">
      <w:bodyDiv w:val="1"/>
      <w:marLeft w:val="0"/>
      <w:marRight w:val="0"/>
      <w:marTop w:val="0"/>
      <w:marBottom w:val="0"/>
      <w:divBdr>
        <w:top w:val="none" w:sz="0" w:space="0" w:color="auto"/>
        <w:left w:val="none" w:sz="0" w:space="0" w:color="auto"/>
        <w:bottom w:val="none" w:sz="0" w:space="0" w:color="auto"/>
        <w:right w:val="none" w:sz="0" w:space="0" w:color="auto"/>
      </w:divBdr>
    </w:div>
    <w:div w:id="775708547">
      <w:bodyDiv w:val="1"/>
      <w:marLeft w:val="0"/>
      <w:marRight w:val="0"/>
      <w:marTop w:val="0"/>
      <w:marBottom w:val="0"/>
      <w:divBdr>
        <w:top w:val="none" w:sz="0" w:space="0" w:color="auto"/>
        <w:left w:val="none" w:sz="0" w:space="0" w:color="auto"/>
        <w:bottom w:val="none" w:sz="0" w:space="0" w:color="auto"/>
        <w:right w:val="none" w:sz="0" w:space="0" w:color="auto"/>
      </w:divBdr>
    </w:div>
    <w:div w:id="780884123">
      <w:bodyDiv w:val="1"/>
      <w:marLeft w:val="0"/>
      <w:marRight w:val="0"/>
      <w:marTop w:val="0"/>
      <w:marBottom w:val="0"/>
      <w:divBdr>
        <w:top w:val="none" w:sz="0" w:space="0" w:color="auto"/>
        <w:left w:val="none" w:sz="0" w:space="0" w:color="auto"/>
        <w:bottom w:val="none" w:sz="0" w:space="0" w:color="auto"/>
        <w:right w:val="none" w:sz="0" w:space="0" w:color="auto"/>
      </w:divBdr>
    </w:div>
    <w:div w:id="785539795">
      <w:bodyDiv w:val="1"/>
      <w:marLeft w:val="0"/>
      <w:marRight w:val="0"/>
      <w:marTop w:val="0"/>
      <w:marBottom w:val="0"/>
      <w:divBdr>
        <w:top w:val="none" w:sz="0" w:space="0" w:color="auto"/>
        <w:left w:val="none" w:sz="0" w:space="0" w:color="auto"/>
        <w:bottom w:val="none" w:sz="0" w:space="0" w:color="auto"/>
        <w:right w:val="none" w:sz="0" w:space="0" w:color="auto"/>
      </w:divBdr>
    </w:div>
    <w:div w:id="785542112">
      <w:bodyDiv w:val="1"/>
      <w:marLeft w:val="0"/>
      <w:marRight w:val="0"/>
      <w:marTop w:val="0"/>
      <w:marBottom w:val="0"/>
      <w:divBdr>
        <w:top w:val="none" w:sz="0" w:space="0" w:color="auto"/>
        <w:left w:val="none" w:sz="0" w:space="0" w:color="auto"/>
        <w:bottom w:val="none" w:sz="0" w:space="0" w:color="auto"/>
        <w:right w:val="none" w:sz="0" w:space="0" w:color="auto"/>
      </w:divBdr>
    </w:div>
    <w:div w:id="787046404">
      <w:bodyDiv w:val="1"/>
      <w:marLeft w:val="0"/>
      <w:marRight w:val="0"/>
      <w:marTop w:val="0"/>
      <w:marBottom w:val="0"/>
      <w:divBdr>
        <w:top w:val="none" w:sz="0" w:space="0" w:color="auto"/>
        <w:left w:val="none" w:sz="0" w:space="0" w:color="auto"/>
        <w:bottom w:val="none" w:sz="0" w:space="0" w:color="auto"/>
        <w:right w:val="none" w:sz="0" w:space="0" w:color="auto"/>
      </w:divBdr>
    </w:div>
    <w:div w:id="787433626">
      <w:bodyDiv w:val="1"/>
      <w:marLeft w:val="0"/>
      <w:marRight w:val="0"/>
      <w:marTop w:val="0"/>
      <w:marBottom w:val="0"/>
      <w:divBdr>
        <w:top w:val="none" w:sz="0" w:space="0" w:color="auto"/>
        <w:left w:val="none" w:sz="0" w:space="0" w:color="auto"/>
        <w:bottom w:val="none" w:sz="0" w:space="0" w:color="auto"/>
        <w:right w:val="none" w:sz="0" w:space="0" w:color="auto"/>
      </w:divBdr>
    </w:div>
    <w:div w:id="787746473">
      <w:bodyDiv w:val="1"/>
      <w:marLeft w:val="0"/>
      <w:marRight w:val="0"/>
      <w:marTop w:val="0"/>
      <w:marBottom w:val="0"/>
      <w:divBdr>
        <w:top w:val="none" w:sz="0" w:space="0" w:color="auto"/>
        <w:left w:val="none" w:sz="0" w:space="0" w:color="auto"/>
        <w:bottom w:val="none" w:sz="0" w:space="0" w:color="auto"/>
        <w:right w:val="none" w:sz="0" w:space="0" w:color="auto"/>
      </w:divBdr>
    </w:div>
    <w:div w:id="788276357">
      <w:bodyDiv w:val="1"/>
      <w:marLeft w:val="0"/>
      <w:marRight w:val="0"/>
      <w:marTop w:val="0"/>
      <w:marBottom w:val="0"/>
      <w:divBdr>
        <w:top w:val="none" w:sz="0" w:space="0" w:color="auto"/>
        <w:left w:val="none" w:sz="0" w:space="0" w:color="auto"/>
        <w:bottom w:val="none" w:sz="0" w:space="0" w:color="auto"/>
        <w:right w:val="none" w:sz="0" w:space="0" w:color="auto"/>
      </w:divBdr>
    </w:div>
    <w:div w:id="790248124">
      <w:bodyDiv w:val="1"/>
      <w:marLeft w:val="0"/>
      <w:marRight w:val="0"/>
      <w:marTop w:val="0"/>
      <w:marBottom w:val="0"/>
      <w:divBdr>
        <w:top w:val="none" w:sz="0" w:space="0" w:color="auto"/>
        <w:left w:val="none" w:sz="0" w:space="0" w:color="auto"/>
        <w:bottom w:val="none" w:sz="0" w:space="0" w:color="auto"/>
        <w:right w:val="none" w:sz="0" w:space="0" w:color="auto"/>
      </w:divBdr>
    </w:div>
    <w:div w:id="790980387">
      <w:bodyDiv w:val="1"/>
      <w:marLeft w:val="0"/>
      <w:marRight w:val="0"/>
      <w:marTop w:val="0"/>
      <w:marBottom w:val="0"/>
      <w:divBdr>
        <w:top w:val="none" w:sz="0" w:space="0" w:color="auto"/>
        <w:left w:val="none" w:sz="0" w:space="0" w:color="auto"/>
        <w:bottom w:val="none" w:sz="0" w:space="0" w:color="auto"/>
        <w:right w:val="none" w:sz="0" w:space="0" w:color="auto"/>
      </w:divBdr>
    </w:div>
    <w:div w:id="792863049">
      <w:bodyDiv w:val="1"/>
      <w:marLeft w:val="0"/>
      <w:marRight w:val="0"/>
      <w:marTop w:val="0"/>
      <w:marBottom w:val="0"/>
      <w:divBdr>
        <w:top w:val="none" w:sz="0" w:space="0" w:color="auto"/>
        <w:left w:val="none" w:sz="0" w:space="0" w:color="auto"/>
        <w:bottom w:val="none" w:sz="0" w:space="0" w:color="auto"/>
        <w:right w:val="none" w:sz="0" w:space="0" w:color="auto"/>
      </w:divBdr>
    </w:div>
    <w:div w:id="794524579">
      <w:bodyDiv w:val="1"/>
      <w:marLeft w:val="0"/>
      <w:marRight w:val="0"/>
      <w:marTop w:val="0"/>
      <w:marBottom w:val="0"/>
      <w:divBdr>
        <w:top w:val="none" w:sz="0" w:space="0" w:color="auto"/>
        <w:left w:val="none" w:sz="0" w:space="0" w:color="auto"/>
        <w:bottom w:val="none" w:sz="0" w:space="0" w:color="auto"/>
        <w:right w:val="none" w:sz="0" w:space="0" w:color="auto"/>
      </w:divBdr>
    </w:div>
    <w:div w:id="796947944">
      <w:bodyDiv w:val="1"/>
      <w:marLeft w:val="0"/>
      <w:marRight w:val="0"/>
      <w:marTop w:val="0"/>
      <w:marBottom w:val="0"/>
      <w:divBdr>
        <w:top w:val="none" w:sz="0" w:space="0" w:color="auto"/>
        <w:left w:val="none" w:sz="0" w:space="0" w:color="auto"/>
        <w:bottom w:val="none" w:sz="0" w:space="0" w:color="auto"/>
        <w:right w:val="none" w:sz="0" w:space="0" w:color="auto"/>
      </w:divBdr>
    </w:div>
    <w:div w:id="796948318">
      <w:bodyDiv w:val="1"/>
      <w:marLeft w:val="0"/>
      <w:marRight w:val="0"/>
      <w:marTop w:val="0"/>
      <w:marBottom w:val="0"/>
      <w:divBdr>
        <w:top w:val="none" w:sz="0" w:space="0" w:color="auto"/>
        <w:left w:val="none" w:sz="0" w:space="0" w:color="auto"/>
        <w:bottom w:val="none" w:sz="0" w:space="0" w:color="auto"/>
        <w:right w:val="none" w:sz="0" w:space="0" w:color="auto"/>
      </w:divBdr>
    </w:div>
    <w:div w:id="797650895">
      <w:bodyDiv w:val="1"/>
      <w:marLeft w:val="0"/>
      <w:marRight w:val="0"/>
      <w:marTop w:val="0"/>
      <w:marBottom w:val="0"/>
      <w:divBdr>
        <w:top w:val="none" w:sz="0" w:space="0" w:color="auto"/>
        <w:left w:val="none" w:sz="0" w:space="0" w:color="auto"/>
        <w:bottom w:val="none" w:sz="0" w:space="0" w:color="auto"/>
        <w:right w:val="none" w:sz="0" w:space="0" w:color="auto"/>
      </w:divBdr>
    </w:div>
    <w:div w:id="797841456">
      <w:bodyDiv w:val="1"/>
      <w:marLeft w:val="0"/>
      <w:marRight w:val="0"/>
      <w:marTop w:val="0"/>
      <w:marBottom w:val="0"/>
      <w:divBdr>
        <w:top w:val="none" w:sz="0" w:space="0" w:color="auto"/>
        <w:left w:val="none" w:sz="0" w:space="0" w:color="auto"/>
        <w:bottom w:val="none" w:sz="0" w:space="0" w:color="auto"/>
        <w:right w:val="none" w:sz="0" w:space="0" w:color="auto"/>
      </w:divBdr>
    </w:div>
    <w:div w:id="799080649">
      <w:bodyDiv w:val="1"/>
      <w:marLeft w:val="0"/>
      <w:marRight w:val="0"/>
      <w:marTop w:val="0"/>
      <w:marBottom w:val="0"/>
      <w:divBdr>
        <w:top w:val="none" w:sz="0" w:space="0" w:color="auto"/>
        <w:left w:val="none" w:sz="0" w:space="0" w:color="auto"/>
        <w:bottom w:val="none" w:sz="0" w:space="0" w:color="auto"/>
        <w:right w:val="none" w:sz="0" w:space="0" w:color="auto"/>
      </w:divBdr>
    </w:div>
    <w:div w:id="806514940">
      <w:bodyDiv w:val="1"/>
      <w:marLeft w:val="0"/>
      <w:marRight w:val="0"/>
      <w:marTop w:val="0"/>
      <w:marBottom w:val="0"/>
      <w:divBdr>
        <w:top w:val="none" w:sz="0" w:space="0" w:color="auto"/>
        <w:left w:val="none" w:sz="0" w:space="0" w:color="auto"/>
        <w:bottom w:val="none" w:sz="0" w:space="0" w:color="auto"/>
        <w:right w:val="none" w:sz="0" w:space="0" w:color="auto"/>
      </w:divBdr>
    </w:div>
    <w:div w:id="806822906">
      <w:bodyDiv w:val="1"/>
      <w:marLeft w:val="0"/>
      <w:marRight w:val="0"/>
      <w:marTop w:val="0"/>
      <w:marBottom w:val="0"/>
      <w:divBdr>
        <w:top w:val="none" w:sz="0" w:space="0" w:color="auto"/>
        <w:left w:val="none" w:sz="0" w:space="0" w:color="auto"/>
        <w:bottom w:val="none" w:sz="0" w:space="0" w:color="auto"/>
        <w:right w:val="none" w:sz="0" w:space="0" w:color="auto"/>
      </w:divBdr>
    </w:div>
    <w:div w:id="809244992">
      <w:bodyDiv w:val="1"/>
      <w:marLeft w:val="0"/>
      <w:marRight w:val="0"/>
      <w:marTop w:val="0"/>
      <w:marBottom w:val="0"/>
      <w:divBdr>
        <w:top w:val="none" w:sz="0" w:space="0" w:color="auto"/>
        <w:left w:val="none" w:sz="0" w:space="0" w:color="auto"/>
        <w:bottom w:val="none" w:sz="0" w:space="0" w:color="auto"/>
        <w:right w:val="none" w:sz="0" w:space="0" w:color="auto"/>
      </w:divBdr>
    </w:div>
    <w:div w:id="809789615">
      <w:bodyDiv w:val="1"/>
      <w:marLeft w:val="0"/>
      <w:marRight w:val="0"/>
      <w:marTop w:val="0"/>
      <w:marBottom w:val="0"/>
      <w:divBdr>
        <w:top w:val="none" w:sz="0" w:space="0" w:color="auto"/>
        <w:left w:val="none" w:sz="0" w:space="0" w:color="auto"/>
        <w:bottom w:val="none" w:sz="0" w:space="0" w:color="auto"/>
        <w:right w:val="none" w:sz="0" w:space="0" w:color="auto"/>
      </w:divBdr>
    </w:div>
    <w:div w:id="809903369">
      <w:bodyDiv w:val="1"/>
      <w:marLeft w:val="0"/>
      <w:marRight w:val="0"/>
      <w:marTop w:val="0"/>
      <w:marBottom w:val="0"/>
      <w:divBdr>
        <w:top w:val="none" w:sz="0" w:space="0" w:color="auto"/>
        <w:left w:val="none" w:sz="0" w:space="0" w:color="auto"/>
        <w:bottom w:val="none" w:sz="0" w:space="0" w:color="auto"/>
        <w:right w:val="none" w:sz="0" w:space="0" w:color="auto"/>
      </w:divBdr>
    </w:div>
    <w:div w:id="811601464">
      <w:bodyDiv w:val="1"/>
      <w:marLeft w:val="0"/>
      <w:marRight w:val="0"/>
      <w:marTop w:val="0"/>
      <w:marBottom w:val="0"/>
      <w:divBdr>
        <w:top w:val="none" w:sz="0" w:space="0" w:color="auto"/>
        <w:left w:val="none" w:sz="0" w:space="0" w:color="auto"/>
        <w:bottom w:val="none" w:sz="0" w:space="0" w:color="auto"/>
        <w:right w:val="none" w:sz="0" w:space="0" w:color="auto"/>
      </w:divBdr>
    </w:div>
    <w:div w:id="812791990">
      <w:bodyDiv w:val="1"/>
      <w:marLeft w:val="0"/>
      <w:marRight w:val="0"/>
      <w:marTop w:val="0"/>
      <w:marBottom w:val="0"/>
      <w:divBdr>
        <w:top w:val="none" w:sz="0" w:space="0" w:color="auto"/>
        <w:left w:val="none" w:sz="0" w:space="0" w:color="auto"/>
        <w:bottom w:val="none" w:sz="0" w:space="0" w:color="auto"/>
        <w:right w:val="none" w:sz="0" w:space="0" w:color="auto"/>
      </w:divBdr>
    </w:div>
    <w:div w:id="812940638">
      <w:bodyDiv w:val="1"/>
      <w:marLeft w:val="0"/>
      <w:marRight w:val="0"/>
      <w:marTop w:val="0"/>
      <w:marBottom w:val="0"/>
      <w:divBdr>
        <w:top w:val="none" w:sz="0" w:space="0" w:color="auto"/>
        <w:left w:val="none" w:sz="0" w:space="0" w:color="auto"/>
        <w:bottom w:val="none" w:sz="0" w:space="0" w:color="auto"/>
        <w:right w:val="none" w:sz="0" w:space="0" w:color="auto"/>
      </w:divBdr>
    </w:div>
    <w:div w:id="813988199">
      <w:bodyDiv w:val="1"/>
      <w:marLeft w:val="0"/>
      <w:marRight w:val="0"/>
      <w:marTop w:val="0"/>
      <w:marBottom w:val="0"/>
      <w:divBdr>
        <w:top w:val="none" w:sz="0" w:space="0" w:color="auto"/>
        <w:left w:val="none" w:sz="0" w:space="0" w:color="auto"/>
        <w:bottom w:val="none" w:sz="0" w:space="0" w:color="auto"/>
        <w:right w:val="none" w:sz="0" w:space="0" w:color="auto"/>
      </w:divBdr>
    </w:div>
    <w:div w:id="814219335">
      <w:bodyDiv w:val="1"/>
      <w:marLeft w:val="0"/>
      <w:marRight w:val="0"/>
      <w:marTop w:val="0"/>
      <w:marBottom w:val="0"/>
      <w:divBdr>
        <w:top w:val="none" w:sz="0" w:space="0" w:color="auto"/>
        <w:left w:val="none" w:sz="0" w:space="0" w:color="auto"/>
        <w:bottom w:val="none" w:sz="0" w:space="0" w:color="auto"/>
        <w:right w:val="none" w:sz="0" w:space="0" w:color="auto"/>
      </w:divBdr>
    </w:div>
    <w:div w:id="815495100">
      <w:bodyDiv w:val="1"/>
      <w:marLeft w:val="0"/>
      <w:marRight w:val="0"/>
      <w:marTop w:val="0"/>
      <w:marBottom w:val="0"/>
      <w:divBdr>
        <w:top w:val="none" w:sz="0" w:space="0" w:color="auto"/>
        <w:left w:val="none" w:sz="0" w:space="0" w:color="auto"/>
        <w:bottom w:val="none" w:sz="0" w:space="0" w:color="auto"/>
        <w:right w:val="none" w:sz="0" w:space="0" w:color="auto"/>
      </w:divBdr>
    </w:div>
    <w:div w:id="817110856">
      <w:bodyDiv w:val="1"/>
      <w:marLeft w:val="0"/>
      <w:marRight w:val="0"/>
      <w:marTop w:val="0"/>
      <w:marBottom w:val="0"/>
      <w:divBdr>
        <w:top w:val="none" w:sz="0" w:space="0" w:color="auto"/>
        <w:left w:val="none" w:sz="0" w:space="0" w:color="auto"/>
        <w:bottom w:val="none" w:sz="0" w:space="0" w:color="auto"/>
        <w:right w:val="none" w:sz="0" w:space="0" w:color="auto"/>
      </w:divBdr>
    </w:div>
    <w:div w:id="820118748">
      <w:bodyDiv w:val="1"/>
      <w:marLeft w:val="0"/>
      <w:marRight w:val="0"/>
      <w:marTop w:val="0"/>
      <w:marBottom w:val="0"/>
      <w:divBdr>
        <w:top w:val="none" w:sz="0" w:space="0" w:color="auto"/>
        <w:left w:val="none" w:sz="0" w:space="0" w:color="auto"/>
        <w:bottom w:val="none" w:sz="0" w:space="0" w:color="auto"/>
        <w:right w:val="none" w:sz="0" w:space="0" w:color="auto"/>
      </w:divBdr>
    </w:div>
    <w:div w:id="821234537">
      <w:bodyDiv w:val="1"/>
      <w:marLeft w:val="0"/>
      <w:marRight w:val="0"/>
      <w:marTop w:val="0"/>
      <w:marBottom w:val="0"/>
      <w:divBdr>
        <w:top w:val="none" w:sz="0" w:space="0" w:color="auto"/>
        <w:left w:val="none" w:sz="0" w:space="0" w:color="auto"/>
        <w:bottom w:val="none" w:sz="0" w:space="0" w:color="auto"/>
        <w:right w:val="none" w:sz="0" w:space="0" w:color="auto"/>
      </w:divBdr>
    </w:div>
    <w:div w:id="824317743">
      <w:bodyDiv w:val="1"/>
      <w:marLeft w:val="0"/>
      <w:marRight w:val="0"/>
      <w:marTop w:val="0"/>
      <w:marBottom w:val="0"/>
      <w:divBdr>
        <w:top w:val="none" w:sz="0" w:space="0" w:color="auto"/>
        <w:left w:val="none" w:sz="0" w:space="0" w:color="auto"/>
        <w:bottom w:val="none" w:sz="0" w:space="0" w:color="auto"/>
        <w:right w:val="none" w:sz="0" w:space="0" w:color="auto"/>
      </w:divBdr>
    </w:div>
    <w:div w:id="827401983">
      <w:bodyDiv w:val="1"/>
      <w:marLeft w:val="0"/>
      <w:marRight w:val="0"/>
      <w:marTop w:val="0"/>
      <w:marBottom w:val="0"/>
      <w:divBdr>
        <w:top w:val="none" w:sz="0" w:space="0" w:color="auto"/>
        <w:left w:val="none" w:sz="0" w:space="0" w:color="auto"/>
        <w:bottom w:val="none" w:sz="0" w:space="0" w:color="auto"/>
        <w:right w:val="none" w:sz="0" w:space="0" w:color="auto"/>
      </w:divBdr>
    </w:div>
    <w:div w:id="828643256">
      <w:bodyDiv w:val="1"/>
      <w:marLeft w:val="0"/>
      <w:marRight w:val="0"/>
      <w:marTop w:val="0"/>
      <w:marBottom w:val="0"/>
      <w:divBdr>
        <w:top w:val="none" w:sz="0" w:space="0" w:color="auto"/>
        <w:left w:val="none" w:sz="0" w:space="0" w:color="auto"/>
        <w:bottom w:val="none" w:sz="0" w:space="0" w:color="auto"/>
        <w:right w:val="none" w:sz="0" w:space="0" w:color="auto"/>
      </w:divBdr>
    </w:div>
    <w:div w:id="830365456">
      <w:bodyDiv w:val="1"/>
      <w:marLeft w:val="0"/>
      <w:marRight w:val="0"/>
      <w:marTop w:val="0"/>
      <w:marBottom w:val="0"/>
      <w:divBdr>
        <w:top w:val="none" w:sz="0" w:space="0" w:color="auto"/>
        <w:left w:val="none" w:sz="0" w:space="0" w:color="auto"/>
        <w:bottom w:val="none" w:sz="0" w:space="0" w:color="auto"/>
        <w:right w:val="none" w:sz="0" w:space="0" w:color="auto"/>
      </w:divBdr>
    </w:div>
    <w:div w:id="834418463">
      <w:bodyDiv w:val="1"/>
      <w:marLeft w:val="0"/>
      <w:marRight w:val="0"/>
      <w:marTop w:val="0"/>
      <w:marBottom w:val="0"/>
      <w:divBdr>
        <w:top w:val="none" w:sz="0" w:space="0" w:color="auto"/>
        <w:left w:val="none" w:sz="0" w:space="0" w:color="auto"/>
        <w:bottom w:val="none" w:sz="0" w:space="0" w:color="auto"/>
        <w:right w:val="none" w:sz="0" w:space="0" w:color="auto"/>
      </w:divBdr>
    </w:div>
    <w:div w:id="834566273">
      <w:bodyDiv w:val="1"/>
      <w:marLeft w:val="0"/>
      <w:marRight w:val="0"/>
      <w:marTop w:val="0"/>
      <w:marBottom w:val="0"/>
      <w:divBdr>
        <w:top w:val="none" w:sz="0" w:space="0" w:color="auto"/>
        <w:left w:val="none" w:sz="0" w:space="0" w:color="auto"/>
        <w:bottom w:val="none" w:sz="0" w:space="0" w:color="auto"/>
        <w:right w:val="none" w:sz="0" w:space="0" w:color="auto"/>
      </w:divBdr>
    </w:div>
    <w:div w:id="835847982">
      <w:bodyDiv w:val="1"/>
      <w:marLeft w:val="0"/>
      <w:marRight w:val="0"/>
      <w:marTop w:val="0"/>
      <w:marBottom w:val="0"/>
      <w:divBdr>
        <w:top w:val="none" w:sz="0" w:space="0" w:color="auto"/>
        <w:left w:val="none" w:sz="0" w:space="0" w:color="auto"/>
        <w:bottom w:val="none" w:sz="0" w:space="0" w:color="auto"/>
        <w:right w:val="none" w:sz="0" w:space="0" w:color="auto"/>
      </w:divBdr>
    </w:div>
    <w:div w:id="836842705">
      <w:bodyDiv w:val="1"/>
      <w:marLeft w:val="0"/>
      <w:marRight w:val="0"/>
      <w:marTop w:val="0"/>
      <w:marBottom w:val="0"/>
      <w:divBdr>
        <w:top w:val="none" w:sz="0" w:space="0" w:color="auto"/>
        <w:left w:val="none" w:sz="0" w:space="0" w:color="auto"/>
        <w:bottom w:val="none" w:sz="0" w:space="0" w:color="auto"/>
        <w:right w:val="none" w:sz="0" w:space="0" w:color="auto"/>
      </w:divBdr>
    </w:div>
    <w:div w:id="836848514">
      <w:bodyDiv w:val="1"/>
      <w:marLeft w:val="0"/>
      <w:marRight w:val="0"/>
      <w:marTop w:val="0"/>
      <w:marBottom w:val="0"/>
      <w:divBdr>
        <w:top w:val="none" w:sz="0" w:space="0" w:color="auto"/>
        <w:left w:val="none" w:sz="0" w:space="0" w:color="auto"/>
        <w:bottom w:val="none" w:sz="0" w:space="0" w:color="auto"/>
        <w:right w:val="none" w:sz="0" w:space="0" w:color="auto"/>
      </w:divBdr>
    </w:div>
    <w:div w:id="837309659">
      <w:bodyDiv w:val="1"/>
      <w:marLeft w:val="0"/>
      <w:marRight w:val="0"/>
      <w:marTop w:val="0"/>
      <w:marBottom w:val="0"/>
      <w:divBdr>
        <w:top w:val="none" w:sz="0" w:space="0" w:color="auto"/>
        <w:left w:val="none" w:sz="0" w:space="0" w:color="auto"/>
        <w:bottom w:val="none" w:sz="0" w:space="0" w:color="auto"/>
        <w:right w:val="none" w:sz="0" w:space="0" w:color="auto"/>
      </w:divBdr>
    </w:div>
    <w:div w:id="840195914">
      <w:bodyDiv w:val="1"/>
      <w:marLeft w:val="0"/>
      <w:marRight w:val="0"/>
      <w:marTop w:val="0"/>
      <w:marBottom w:val="0"/>
      <w:divBdr>
        <w:top w:val="none" w:sz="0" w:space="0" w:color="auto"/>
        <w:left w:val="none" w:sz="0" w:space="0" w:color="auto"/>
        <w:bottom w:val="none" w:sz="0" w:space="0" w:color="auto"/>
        <w:right w:val="none" w:sz="0" w:space="0" w:color="auto"/>
      </w:divBdr>
    </w:div>
    <w:div w:id="841552537">
      <w:bodyDiv w:val="1"/>
      <w:marLeft w:val="0"/>
      <w:marRight w:val="0"/>
      <w:marTop w:val="0"/>
      <w:marBottom w:val="0"/>
      <w:divBdr>
        <w:top w:val="none" w:sz="0" w:space="0" w:color="auto"/>
        <w:left w:val="none" w:sz="0" w:space="0" w:color="auto"/>
        <w:bottom w:val="none" w:sz="0" w:space="0" w:color="auto"/>
        <w:right w:val="none" w:sz="0" w:space="0" w:color="auto"/>
      </w:divBdr>
    </w:div>
    <w:div w:id="843202355">
      <w:bodyDiv w:val="1"/>
      <w:marLeft w:val="0"/>
      <w:marRight w:val="0"/>
      <w:marTop w:val="0"/>
      <w:marBottom w:val="0"/>
      <w:divBdr>
        <w:top w:val="none" w:sz="0" w:space="0" w:color="auto"/>
        <w:left w:val="none" w:sz="0" w:space="0" w:color="auto"/>
        <w:bottom w:val="none" w:sz="0" w:space="0" w:color="auto"/>
        <w:right w:val="none" w:sz="0" w:space="0" w:color="auto"/>
      </w:divBdr>
    </w:div>
    <w:div w:id="843478200">
      <w:bodyDiv w:val="1"/>
      <w:marLeft w:val="0"/>
      <w:marRight w:val="0"/>
      <w:marTop w:val="0"/>
      <w:marBottom w:val="0"/>
      <w:divBdr>
        <w:top w:val="none" w:sz="0" w:space="0" w:color="auto"/>
        <w:left w:val="none" w:sz="0" w:space="0" w:color="auto"/>
        <w:bottom w:val="none" w:sz="0" w:space="0" w:color="auto"/>
        <w:right w:val="none" w:sz="0" w:space="0" w:color="auto"/>
      </w:divBdr>
    </w:div>
    <w:div w:id="850606977">
      <w:bodyDiv w:val="1"/>
      <w:marLeft w:val="0"/>
      <w:marRight w:val="0"/>
      <w:marTop w:val="0"/>
      <w:marBottom w:val="0"/>
      <w:divBdr>
        <w:top w:val="none" w:sz="0" w:space="0" w:color="auto"/>
        <w:left w:val="none" w:sz="0" w:space="0" w:color="auto"/>
        <w:bottom w:val="none" w:sz="0" w:space="0" w:color="auto"/>
        <w:right w:val="none" w:sz="0" w:space="0" w:color="auto"/>
      </w:divBdr>
    </w:div>
    <w:div w:id="851919070">
      <w:bodyDiv w:val="1"/>
      <w:marLeft w:val="0"/>
      <w:marRight w:val="0"/>
      <w:marTop w:val="0"/>
      <w:marBottom w:val="0"/>
      <w:divBdr>
        <w:top w:val="none" w:sz="0" w:space="0" w:color="auto"/>
        <w:left w:val="none" w:sz="0" w:space="0" w:color="auto"/>
        <w:bottom w:val="none" w:sz="0" w:space="0" w:color="auto"/>
        <w:right w:val="none" w:sz="0" w:space="0" w:color="auto"/>
      </w:divBdr>
    </w:div>
    <w:div w:id="851997012">
      <w:bodyDiv w:val="1"/>
      <w:marLeft w:val="0"/>
      <w:marRight w:val="0"/>
      <w:marTop w:val="0"/>
      <w:marBottom w:val="0"/>
      <w:divBdr>
        <w:top w:val="none" w:sz="0" w:space="0" w:color="auto"/>
        <w:left w:val="none" w:sz="0" w:space="0" w:color="auto"/>
        <w:bottom w:val="none" w:sz="0" w:space="0" w:color="auto"/>
        <w:right w:val="none" w:sz="0" w:space="0" w:color="auto"/>
      </w:divBdr>
    </w:div>
    <w:div w:id="852257083">
      <w:bodyDiv w:val="1"/>
      <w:marLeft w:val="0"/>
      <w:marRight w:val="0"/>
      <w:marTop w:val="0"/>
      <w:marBottom w:val="0"/>
      <w:divBdr>
        <w:top w:val="none" w:sz="0" w:space="0" w:color="auto"/>
        <w:left w:val="none" w:sz="0" w:space="0" w:color="auto"/>
        <w:bottom w:val="none" w:sz="0" w:space="0" w:color="auto"/>
        <w:right w:val="none" w:sz="0" w:space="0" w:color="auto"/>
      </w:divBdr>
    </w:div>
    <w:div w:id="854655555">
      <w:bodyDiv w:val="1"/>
      <w:marLeft w:val="0"/>
      <w:marRight w:val="0"/>
      <w:marTop w:val="0"/>
      <w:marBottom w:val="0"/>
      <w:divBdr>
        <w:top w:val="none" w:sz="0" w:space="0" w:color="auto"/>
        <w:left w:val="none" w:sz="0" w:space="0" w:color="auto"/>
        <w:bottom w:val="none" w:sz="0" w:space="0" w:color="auto"/>
        <w:right w:val="none" w:sz="0" w:space="0" w:color="auto"/>
      </w:divBdr>
    </w:div>
    <w:div w:id="855844846">
      <w:bodyDiv w:val="1"/>
      <w:marLeft w:val="0"/>
      <w:marRight w:val="0"/>
      <w:marTop w:val="0"/>
      <w:marBottom w:val="0"/>
      <w:divBdr>
        <w:top w:val="none" w:sz="0" w:space="0" w:color="auto"/>
        <w:left w:val="none" w:sz="0" w:space="0" w:color="auto"/>
        <w:bottom w:val="none" w:sz="0" w:space="0" w:color="auto"/>
        <w:right w:val="none" w:sz="0" w:space="0" w:color="auto"/>
      </w:divBdr>
    </w:div>
    <w:div w:id="856578753">
      <w:bodyDiv w:val="1"/>
      <w:marLeft w:val="0"/>
      <w:marRight w:val="0"/>
      <w:marTop w:val="0"/>
      <w:marBottom w:val="0"/>
      <w:divBdr>
        <w:top w:val="none" w:sz="0" w:space="0" w:color="auto"/>
        <w:left w:val="none" w:sz="0" w:space="0" w:color="auto"/>
        <w:bottom w:val="none" w:sz="0" w:space="0" w:color="auto"/>
        <w:right w:val="none" w:sz="0" w:space="0" w:color="auto"/>
      </w:divBdr>
    </w:div>
    <w:div w:id="856621298">
      <w:bodyDiv w:val="1"/>
      <w:marLeft w:val="0"/>
      <w:marRight w:val="0"/>
      <w:marTop w:val="0"/>
      <w:marBottom w:val="0"/>
      <w:divBdr>
        <w:top w:val="none" w:sz="0" w:space="0" w:color="auto"/>
        <w:left w:val="none" w:sz="0" w:space="0" w:color="auto"/>
        <w:bottom w:val="none" w:sz="0" w:space="0" w:color="auto"/>
        <w:right w:val="none" w:sz="0" w:space="0" w:color="auto"/>
      </w:divBdr>
    </w:div>
    <w:div w:id="856888806">
      <w:bodyDiv w:val="1"/>
      <w:marLeft w:val="0"/>
      <w:marRight w:val="0"/>
      <w:marTop w:val="0"/>
      <w:marBottom w:val="0"/>
      <w:divBdr>
        <w:top w:val="none" w:sz="0" w:space="0" w:color="auto"/>
        <w:left w:val="none" w:sz="0" w:space="0" w:color="auto"/>
        <w:bottom w:val="none" w:sz="0" w:space="0" w:color="auto"/>
        <w:right w:val="none" w:sz="0" w:space="0" w:color="auto"/>
      </w:divBdr>
    </w:div>
    <w:div w:id="857700367">
      <w:bodyDiv w:val="1"/>
      <w:marLeft w:val="0"/>
      <w:marRight w:val="0"/>
      <w:marTop w:val="0"/>
      <w:marBottom w:val="0"/>
      <w:divBdr>
        <w:top w:val="none" w:sz="0" w:space="0" w:color="auto"/>
        <w:left w:val="none" w:sz="0" w:space="0" w:color="auto"/>
        <w:bottom w:val="none" w:sz="0" w:space="0" w:color="auto"/>
        <w:right w:val="none" w:sz="0" w:space="0" w:color="auto"/>
      </w:divBdr>
    </w:div>
    <w:div w:id="857886049">
      <w:bodyDiv w:val="1"/>
      <w:marLeft w:val="0"/>
      <w:marRight w:val="0"/>
      <w:marTop w:val="0"/>
      <w:marBottom w:val="0"/>
      <w:divBdr>
        <w:top w:val="none" w:sz="0" w:space="0" w:color="auto"/>
        <w:left w:val="none" w:sz="0" w:space="0" w:color="auto"/>
        <w:bottom w:val="none" w:sz="0" w:space="0" w:color="auto"/>
        <w:right w:val="none" w:sz="0" w:space="0" w:color="auto"/>
      </w:divBdr>
    </w:div>
    <w:div w:id="859007186">
      <w:bodyDiv w:val="1"/>
      <w:marLeft w:val="0"/>
      <w:marRight w:val="0"/>
      <w:marTop w:val="0"/>
      <w:marBottom w:val="0"/>
      <w:divBdr>
        <w:top w:val="none" w:sz="0" w:space="0" w:color="auto"/>
        <w:left w:val="none" w:sz="0" w:space="0" w:color="auto"/>
        <w:bottom w:val="none" w:sz="0" w:space="0" w:color="auto"/>
        <w:right w:val="none" w:sz="0" w:space="0" w:color="auto"/>
      </w:divBdr>
    </w:div>
    <w:div w:id="860167723">
      <w:bodyDiv w:val="1"/>
      <w:marLeft w:val="0"/>
      <w:marRight w:val="0"/>
      <w:marTop w:val="0"/>
      <w:marBottom w:val="0"/>
      <w:divBdr>
        <w:top w:val="none" w:sz="0" w:space="0" w:color="auto"/>
        <w:left w:val="none" w:sz="0" w:space="0" w:color="auto"/>
        <w:bottom w:val="none" w:sz="0" w:space="0" w:color="auto"/>
        <w:right w:val="none" w:sz="0" w:space="0" w:color="auto"/>
      </w:divBdr>
    </w:div>
    <w:div w:id="863059350">
      <w:bodyDiv w:val="1"/>
      <w:marLeft w:val="0"/>
      <w:marRight w:val="0"/>
      <w:marTop w:val="0"/>
      <w:marBottom w:val="0"/>
      <w:divBdr>
        <w:top w:val="none" w:sz="0" w:space="0" w:color="auto"/>
        <w:left w:val="none" w:sz="0" w:space="0" w:color="auto"/>
        <w:bottom w:val="none" w:sz="0" w:space="0" w:color="auto"/>
        <w:right w:val="none" w:sz="0" w:space="0" w:color="auto"/>
      </w:divBdr>
    </w:div>
    <w:div w:id="863714837">
      <w:bodyDiv w:val="1"/>
      <w:marLeft w:val="0"/>
      <w:marRight w:val="0"/>
      <w:marTop w:val="0"/>
      <w:marBottom w:val="0"/>
      <w:divBdr>
        <w:top w:val="none" w:sz="0" w:space="0" w:color="auto"/>
        <w:left w:val="none" w:sz="0" w:space="0" w:color="auto"/>
        <w:bottom w:val="none" w:sz="0" w:space="0" w:color="auto"/>
        <w:right w:val="none" w:sz="0" w:space="0" w:color="auto"/>
      </w:divBdr>
    </w:div>
    <w:div w:id="867525876">
      <w:bodyDiv w:val="1"/>
      <w:marLeft w:val="0"/>
      <w:marRight w:val="0"/>
      <w:marTop w:val="0"/>
      <w:marBottom w:val="0"/>
      <w:divBdr>
        <w:top w:val="none" w:sz="0" w:space="0" w:color="auto"/>
        <w:left w:val="none" w:sz="0" w:space="0" w:color="auto"/>
        <w:bottom w:val="none" w:sz="0" w:space="0" w:color="auto"/>
        <w:right w:val="none" w:sz="0" w:space="0" w:color="auto"/>
      </w:divBdr>
    </w:div>
    <w:div w:id="867837973">
      <w:bodyDiv w:val="1"/>
      <w:marLeft w:val="0"/>
      <w:marRight w:val="0"/>
      <w:marTop w:val="0"/>
      <w:marBottom w:val="0"/>
      <w:divBdr>
        <w:top w:val="none" w:sz="0" w:space="0" w:color="auto"/>
        <w:left w:val="none" w:sz="0" w:space="0" w:color="auto"/>
        <w:bottom w:val="none" w:sz="0" w:space="0" w:color="auto"/>
        <w:right w:val="none" w:sz="0" w:space="0" w:color="auto"/>
      </w:divBdr>
    </w:div>
    <w:div w:id="867909472">
      <w:bodyDiv w:val="1"/>
      <w:marLeft w:val="0"/>
      <w:marRight w:val="0"/>
      <w:marTop w:val="0"/>
      <w:marBottom w:val="0"/>
      <w:divBdr>
        <w:top w:val="none" w:sz="0" w:space="0" w:color="auto"/>
        <w:left w:val="none" w:sz="0" w:space="0" w:color="auto"/>
        <w:bottom w:val="none" w:sz="0" w:space="0" w:color="auto"/>
        <w:right w:val="none" w:sz="0" w:space="0" w:color="auto"/>
      </w:divBdr>
    </w:div>
    <w:div w:id="868027754">
      <w:bodyDiv w:val="1"/>
      <w:marLeft w:val="0"/>
      <w:marRight w:val="0"/>
      <w:marTop w:val="0"/>
      <w:marBottom w:val="0"/>
      <w:divBdr>
        <w:top w:val="none" w:sz="0" w:space="0" w:color="auto"/>
        <w:left w:val="none" w:sz="0" w:space="0" w:color="auto"/>
        <w:bottom w:val="none" w:sz="0" w:space="0" w:color="auto"/>
        <w:right w:val="none" w:sz="0" w:space="0" w:color="auto"/>
      </w:divBdr>
    </w:div>
    <w:div w:id="868184107">
      <w:bodyDiv w:val="1"/>
      <w:marLeft w:val="0"/>
      <w:marRight w:val="0"/>
      <w:marTop w:val="0"/>
      <w:marBottom w:val="0"/>
      <w:divBdr>
        <w:top w:val="none" w:sz="0" w:space="0" w:color="auto"/>
        <w:left w:val="none" w:sz="0" w:space="0" w:color="auto"/>
        <w:bottom w:val="none" w:sz="0" w:space="0" w:color="auto"/>
        <w:right w:val="none" w:sz="0" w:space="0" w:color="auto"/>
      </w:divBdr>
    </w:div>
    <w:div w:id="868761214">
      <w:bodyDiv w:val="1"/>
      <w:marLeft w:val="0"/>
      <w:marRight w:val="0"/>
      <w:marTop w:val="0"/>
      <w:marBottom w:val="0"/>
      <w:divBdr>
        <w:top w:val="none" w:sz="0" w:space="0" w:color="auto"/>
        <w:left w:val="none" w:sz="0" w:space="0" w:color="auto"/>
        <w:bottom w:val="none" w:sz="0" w:space="0" w:color="auto"/>
        <w:right w:val="none" w:sz="0" w:space="0" w:color="auto"/>
      </w:divBdr>
    </w:div>
    <w:div w:id="873151630">
      <w:bodyDiv w:val="1"/>
      <w:marLeft w:val="0"/>
      <w:marRight w:val="0"/>
      <w:marTop w:val="0"/>
      <w:marBottom w:val="0"/>
      <w:divBdr>
        <w:top w:val="none" w:sz="0" w:space="0" w:color="auto"/>
        <w:left w:val="none" w:sz="0" w:space="0" w:color="auto"/>
        <w:bottom w:val="none" w:sz="0" w:space="0" w:color="auto"/>
        <w:right w:val="none" w:sz="0" w:space="0" w:color="auto"/>
      </w:divBdr>
    </w:div>
    <w:div w:id="877820232">
      <w:bodyDiv w:val="1"/>
      <w:marLeft w:val="0"/>
      <w:marRight w:val="0"/>
      <w:marTop w:val="0"/>
      <w:marBottom w:val="0"/>
      <w:divBdr>
        <w:top w:val="none" w:sz="0" w:space="0" w:color="auto"/>
        <w:left w:val="none" w:sz="0" w:space="0" w:color="auto"/>
        <w:bottom w:val="none" w:sz="0" w:space="0" w:color="auto"/>
        <w:right w:val="none" w:sz="0" w:space="0" w:color="auto"/>
      </w:divBdr>
    </w:div>
    <w:div w:id="879898771">
      <w:bodyDiv w:val="1"/>
      <w:marLeft w:val="0"/>
      <w:marRight w:val="0"/>
      <w:marTop w:val="0"/>
      <w:marBottom w:val="0"/>
      <w:divBdr>
        <w:top w:val="none" w:sz="0" w:space="0" w:color="auto"/>
        <w:left w:val="none" w:sz="0" w:space="0" w:color="auto"/>
        <w:bottom w:val="none" w:sz="0" w:space="0" w:color="auto"/>
        <w:right w:val="none" w:sz="0" w:space="0" w:color="auto"/>
      </w:divBdr>
    </w:div>
    <w:div w:id="881476668">
      <w:bodyDiv w:val="1"/>
      <w:marLeft w:val="0"/>
      <w:marRight w:val="0"/>
      <w:marTop w:val="0"/>
      <w:marBottom w:val="0"/>
      <w:divBdr>
        <w:top w:val="none" w:sz="0" w:space="0" w:color="auto"/>
        <w:left w:val="none" w:sz="0" w:space="0" w:color="auto"/>
        <w:bottom w:val="none" w:sz="0" w:space="0" w:color="auto"/>
        <w:right w:val="none" w:sz="0" w:space="0" w:color="auto"/>
      </w:divBdr>
    </w:div>
    <w:div w:id="883637529">
      <w:bodyDiv w:val="1"/>
      <w:marLeft w:val="0"/>
      <w:marRight w:val="0"/>
      <w:marTop w:val="0"/>
      <w:marBottom w:val="0"/>
      <w:divBdr>
        <w:top w:val="none" w:sz="0" w:space="0" w:color="auto"/>
        <w:left w:val="none" w:sz="0" w:space="0" w:color="auto"/>
        <w:bottom w:val="none" w:sz="0" w:space="0" w:color="auto"/>
        <w:right w:val="none" w:sz="0" w:space="0" w:color="auto"/>
      </w:divBdr>
    </w:div>
    <w:div w:id="885218026">
      <w:bodyDiv w:val="1"/>
      <w:marLeft w:val="0"/>
      <w:marRight w:val="0"/>
      <w:marTop w:val="0"/>
      <w:marBottom w:val="0"/>
      <w:divBdr>
        <w:top w:val="none" w:sz="0" w:space="0" w:color="auto"/>
        <w:left w:val="none" w:sz="0" w:space="0" w:color="auto"/>
        <w:bottom w:val="none" w:sz="0" w:space="0" w:color="auto"/>
        <w:right w:val="none" w:sz="0" w:space="0" w:color="auto"/>
      </w:divBdr>
    </w:div>
    <w:div w:id="888734436">
      <w:bodyDiv w:val="1"/>
      <w:marLeft w:val="0"/>
      <w:marRight w:val="0"/>
      <w:marTop w:val="0"/>
      <w:marBottom w:val="0"/>
      <w:divBdr>
        <w:top w:val="none" w:sz="0" w:space="0" w:color="auto"/>
        <w:left w:val="none" w:sz="0" w:space="0" w:color="auto"/>
        <w:bottom w:val="none" w:sz="0" w:space="0" w:color="auto"/>
        <w:right w:val="none" w:sz="0" w:space="0" w:color="auto"/>
      </w:divBdr>
    </w:div>
    <w:div w:id="889149552">
      <w:bodyDiv w:val="1"/>
      <w:marLeft w:val="0"/>
      <w:marRight w:val="0"/>
      <w:marTop w:val="0"/>
      <w:marBottom w:val="0"/>
      <w:divBdr>
        <w:top w:val="none" w:sz="0" w:space="0" w:color="auto"/>
        <w:left w:val="none" w:sz="0" w:space="0" w:color="auto"/>
        <w:bottom w:val="none" w:sz="0" w:space="0" w:color="auto"/>
        <w:right w:val="none" w:sz="0" w:space="0" w:color="auto"/>
      </w:divBdr>
    </w:div>
    <w:div w:id="891190675">
      <w:bodyDiv w:val="1"/>
      <w:marLeft w:val="0"/>
      <w:marRight w:val="0"/>
      <w:marTop w:val="0"/>
      <w:marBottom w:val="0"/>
      <w:divBdr>
        <w:top w:val="none" w:sz="0" w:space="0" w:color="auto"/>
        <w:left w:val="none" w:sz="0" w:space="0" w:color="auto"/>
        <w:bottom w:val="none" w:sz="0" w:space="0" w:color="auto"/>
        <w:right w:val="none" w:sz="0" w:space="0" w:color="auto"/>
      </w:divBdr>
    </w:div>
    <w:div w:id="891620930">
      <w:bodyDiv w:val="1"/>
      <w:marLeft w:val="0"/>
      <w:marRight w:val="0"/>
      <w:marTop w:val="0"/>
      <w:marBottom w:val="0"/>
      <w:divBdr>
        <w:top w:val="none" w:sz="0" w:space="0" w:color="auto"/>
        <w:left w:val="none" w:sz="0" w:space="0" w:color="auto"/>
        <w:bottom w:val="none" w:sz="0" w:space="0" w:color="auto"/>
        <w:right w:val="none" w:sz="0" w:space="0" w:color="auto"/>
      </w:divBdr>
    </w:div>
    <w:div w:id="894587921">
      <w:bodyDiv w:val="1"/>
      <w:marLeft w:val="0"/>
      <w:marRight w:val="0"/>
      <w:marTop w:val="0"/>
      <w:marBottom w:val="0"/>
      <w:divBdr>
        <w:top w:val="none" w:sz="0" w:space="0" w:color="auto"/>
        <w:left w:val="none" w:sz="0" w:space="0" w:color="auto"/>
        <w:bottom w:val="none" w:sz="0" w:space="0" w:color="auto"/>
        <w:right w:val="none" w:sz="0" w:space="0" w:color="auto"/>
      </w:divBdr>
    </w:div>
    <w:div w:id="897939474">
      <w:bodyDiv w:val="1"/>
      <w:marLeft w:val="0"/>
      <w:marRight w:val="0"/>
      <w:marTop w:val="0"/>
      <w:marBottom w:val="0"/>
      <w:divBdr>
        <w:top w:val="none" w:sz="0" w:space="0" w:color="auto"/>
        <w:left w:val="none" w:sz="0" w:space="0" w:color="auto"/>
        <w:bottom w:val="none" w:sz="0" w:space="0" w:color="auto"/>
        <w:right w:val="none" w:sz="0" w:space="0" w:color="auto"/>
      </w:divBdr>
    </w:div>
    <w:div w:id="898175099">
      <w:bodyDiv w:val="1"/>
      <w:marLeft w:val="0"/>
      <w:marRight w:val="0"/>
      <w:marTop w:val="0"/>
      <w:marBottom w:val="0"/>
      <w:divBdr>
        <w:top w:val="none" w:sz="0" w:space="0" w:color="auto"/>
        <w:left w:val="none" w:sz="0" w:space="0" w:color="auto"/>
        <w:bottom w:val="none" w:sz="0" w:space="0" w:color="auto"/>
        <w:right w:val="none" w:sz="0" w:space="0" w:color="auto"/>
      </w:divBdr>
    </w:div>
    <w:div w:id="901674766">
      <w:bodyDiv w:val="1"/>
      <w:marLeft w:val="0"/>
      <w:marRight w:val="0"/>
      <w:marTop w:val="0"/>
      <w:marBottom w:val="0"/>
      <w:divBdr>
        <w:top w:val="none" w:sz="0" w:space="0" w:color="auto"/>
        <w:left w:val="none" w:sz="0" w:space="0" w:color="auto"/>
        <w:bottom w:val="none" w:sz="0" w:space="0" w:color="auto"/>
        <w:right w:val="none" w:sz="0" w:space="0" w:color="auto"/>
      </w:divBdr>
    </w:div>
    <w:div w:id="902178725">
      <w:bodyDiv w:val="1"/>
      <w:marLeft w:val="0"/>
      <w:marRight w:val="0"/>
      <w:marTop w:val="0"/>
      <w:marBottom w:val="0"/>
      <w:divBdr>
        <w:top w:val="none" w:sz="0" w:space="0" w:color="auto"/>
        <w:left w:val="none" w:sz="0" w:space="0" w:color="auto"/>
        <w:bottom w:val="none" w:sz="0" w:space="0" w:color="auto"/>
        <w:right w:val="none" w:sz="0" w:space="0" w:color="auto"/>
      </w:divBdr>
    </w:div>
    <w:div w:id="902563166">
      <w:bodyDiv w:val="1"/>
      <w:marLeft w:val="0"/>
      <w:marRight w:val="0"/>
      <w:marTop w:val="0"/>
      <w:marBottom w:val="0"/>
      <w:divBdr>
        <w:top w:val="none" w:sz="0" w:space="0" w:color="auto"/>
        <w:left w:val="none" w:sz="0" w:space="0" w:color="auto"/>
        <w:bottom w:val="none" w:sz="0" w:space="0" w:color="auto"/>
        <w:right w:val="none" w:sz="0" w:space="0" w:color="auto"/>
      </w:divBdr>
    </w:div>
    <w:div w:id="908610500">
      <w:bodyDiv w:val="1"/>
      <w:marLeft w:val="0"/>
      <w:marRight w:val="0"/>
      <w:marTop w:val="0"/>
      <w:marBottom w:val="0"/>
      <w:divBdr>
        <w:top w:val="none" w:sz="0" w:space="0" w:color="auto"/>
        <w:left w:val="none" w:sz="0" w:space="0" w:color="auto"/>
        <w:bottom w:val="none" w:sz="0" w:space="0" w:color="auto"/>
        <w:right w:val="none" w:sz="0" w:space="0" w:color="auto"/>
      </w:divBdr>
    </w:div>
    <w:div w:id="909080892">
      <w:bodyDiv w:val="1"/>
      <w:marLeft w:val="0"/>
      <w:marRight w:val="0"/>
      <w:marTop w:val="0"/>
      <w:marBottom w:val="0"/>
      <w:divBdr>
        <w:top w:val="none" w:sz="0" w:space="0" w:color="auto"/>
        <w:left w:val="none" w:sz="0" w:space="0" w:color="auto"/>
        <w:bottom w:val="none" w:sz="0" w:space="0" w:color="auto"/>
        <w:right w:val="none" w:sz="0" w:space="0" w:color="auto"/>
      </w:divBdr>
    </w:div>
    <w:div w:id="909192680">
      <w:bodyDiv w:val="1"/>
      <w:marLeft w:val="0"/>
      <w:marRight w:val="0"/>
      <w:marTop w:val="0"/>
      <w:marBottom w:val="0"/>
      <w:divBdr>
        <w:top w:val="none" w:sz="0" w:space="0" w:color="auto"/>
        <w:left w:val="none" w:sz="0" w:space="0" w:color="auto"/>
        <w:bottom w:val="none" w:sz="0" w:space="0" w:color="auto"/>
        <w:right w:val="none" w:sz="0" w:space="0" w:color="auto"/>
      </w:divBdr>
    </w:div>
    <w:div w:id="910042154">
      <w:bodyDiv w:val="1"/>
      <w:marLeft w:val="0"/>
      <w:marRight w:val="0"/>
      <w:marTop w:val="0"/>
      <w:marBottom w:val="0"/>
      <w:divBdr>
        <w:top w:val="none" w:sz="0" w:space="0" w:color="auto"/>
        <w:left w:val="none" w:sz="0" w:space="0" w:color="auto"/>
        <w:bottom w:val="none" w:sz="0" w:space="0" w:color="auto"/>
        <w:right w:val="none" w:sz="0" w:space="0" w:color="auto"/>
      </w:divBdr>
    </w:div>
    <w:div w:id="911740066">
      <w:bodyDiv w:val="1"/>
      <w:marLeft w:val="0"/>
      <w:marRight w:val="0"/>
      <w:marTop w:val="0"/>
      <w:marBottom w:val="0"/>
      <w:divBdr>
        <w:top w:val="none" w:sz="0" w:space="0" w:color="auto"/>
        <w:left w:val="none" w:sz="0" w:space="0" w:color="auto"/>
        <w:bottom w:val="none" w:sz="0" w:space="0" w:color="auto"/>
        <w:right w:val="none" w:sz="0" w:space="0" w:color="auto"/>
      </w:divBdr>
    </w:div>
    <w:div w:id="912591328">
      <w:bodyDiv w:val="1"/>
      <w:marLeft w:val="0"/>
      <w:marRight w:val="0"/>
      <w:marTop w:val="0"/>
      <w:marBottom w:val="0"/>
      <w:divBdr>
        <w:top w:val="none" w:sz="0" w:space="0" w:color="auto"/>
        <w:left w:val="none" w:sz="0" w:space="0" w:color="auto"/>
        <w:bottom w:val="none" w:sz="0" w:space="0" w:color="auto"/>
        <w:right w:val="none" w:sz="0" w:space="0" w:color="auto"/>
      </w:divBdr>
    </w:div>
    <w:div w:id="913660670">
      <w:bodyDiv w:val="1"/>
      <w:marLeft w:val="0"/>
      <w:marRight w:val="0"/>
      <w:marTop w:val="0"/>
      <w:marBottom w:val="0"/>
      <w:divBdr>
        <w:top w:val="none" w:sz="0" w:space="0" w:color="auto"/>
        <w:left w:val="none" w:sz="0" w:space="0" w:color="auto"/>
        <w:bottom w:val="none" w:sz="0" w:space="0" w:color="auto"/>
        <w:right w:val="none" w:sz="0" w:space="0" w:color="auto"/>
      </w:divBdr>
    </w:div>
    <w:div w:id="914437528">
      <w:bodyDiv w:val="1"/>
      <w:marLeft w:val="0"/>
      <w:marRight w:val="0"/>
      <w:marTop w:val="0"/>
      <w:marBottom w:val="0"/>
      <w:divBdr>
        <w:top w:val="none" w:sz="0" w:space="0" w:color="auto"/>
        <w:left w:val="none" w:sz="0" w:space="0" w:color="auto"/>
        <w:bottom w:val="none" w:sz="0" w:space="0" w:color="auto"/>
        <w:right w:val="none" w:sz="0" w:space="0" w:color="auto"/>
      </w:divBdr>
    </w:div>
    <w:div w:id="915282315">
      <w:bodyDiv w:val="1"/>
      <w:marLeft w:val="0"/>
      <w:marRight w:val="0"/>
      <w:marTop w:val="0"/>
      <w:marBottom w:val="0"/>
      <w:divBdr>
        <w:top w:val="none" w:sz="0" w:space="0" w:color="auto"/>
        <w:left w:val="none" w:sz="0" w:space="0" w:color="auto"/>
        <w:bottom w:val="none" w:sz="0" w:space="0" w:color="auto"/>
        <w:right w:val="none" w:sz="0" w:space="0" w:color="auto"/>
      </w:divBdr>
    </w:div>
    <w:div w:id="916860758">
      <w:bodyDiv w:val="1"/>
      <w:marLeft w:val="0"/>
      <w:marRight w:val="0"/>
      <w:marTop w:val="0"/>
      <w:marBottom w:val="0"/>
      <w:divBdr>
        <w:top w:val="none" w:sz="0" w:space="0" w:color="auto"/>
        <w:left w:val="none" w:sz="0" w:space="0" w:color="auto"/>
        <w:bottom w:val="none" w:sz="0" w:space="0" w:color="auto"/>
        <w:right w:val="none" w:sz="0" w:space="0" w:color="auto"/>
      </w:divBdr>
    </w:div>
    <w:div w:id="917636010">
      <w:bodyDiv w:val="1"/>
      <w:marLeft w:val="0"/>
      <w:marRight w:val="0"/>
      <w:marTop w:val="0"/>
      <w:marBottom w:val="0"/>
      <w:divBdr>
        <w:top w:val="none" w:sz="0" w:space="0" w:color="auto"/>
        <w:left w:val="none" w:sz="0" w:space="0" w:color="auto"/>
        <w:bottom w:val="none" w:sz="0" w:space="0" w:color="auto"/>
        <w:right w:val="none" w:sz="0" w:space="0" w:color="auto"/>
      </w:divBdr>
    </w:div>
    <w:div w:id="919018596">
      <w:bodyDiv w:val="1"/>
      <w:marLeft w:val="0"/>
      <w:marRight w:val="0"/>
      <w:marTop w:val="0"/>
      <w:marBottom w:val="0"/>
      <w:divBdr>
        <w:top w:val="none" w:sz="0" w:space="0" w:color="auto"/>
        <w:left w:val="none" w:sz="0" w:space="0" w:color="auto"/>
        <w:bottom w:val="none" w:sz="0" w:space="0" w:color="auto"/>
        <w:right w:val="none" w:sz="0" w:space="0" w:color="auto"/>
      </w:divBdr>
    </w:div>
    <w:div w:id="921718244">
      <w:bodyDiv w:val="1"/>
      <w:marLeft w:val="0"/>
      <w:marRight w:val="0"/>
      <w:marTop w:val="0"/>
      <w:marBottom w:val="0"/>
      <w:divBdr>
        <w:top w:val="none" w:sz="0" w:space="0" w:color="auto"/>
        <w:left w:val="none" w:sz="0" w:space="0" w:color="auto"/>
        <w:bottom w:val="none" w:sz="0" w:space="0" w:color="auto"/>
        <w:right w:val="none" w:sz="0" w:space="0" w:color="auto"/>
      </w:divBdr>
    </w:div>
    <w:div w:id="921767173">
      <w:bodyDiv w:val="1"/>
      <w:marLeft w:val="0"/>
      <w:marRight w:val="0"/>
      <w:marTop w:val="0"/>
      <w:marBottom w:val="0"/>
      <w:divBdr>
        <w:top w:val="none" w:sz="0" w:space="0" w:color="auto"/>
        <w:left w:val="none" w:sz="0" w:space="0" w:color="auto"/>
        <w:bottom w:val="none" w:sz="0" w:space="0" w:color="auto"/>
        <w:right w:val="none" w:sz="0" w:space="0" w:color="auto"/>
      </w:divBdr>
    </w:div>
    <w:div w:id="923147168">
      <w:bodyDiv w:val="1"/>
      <w:marLeft w:val="0"/>
      <w:marRight w:val="0"/>
      <w:marTop w:val="0"/>
      <w:marBottom w:val="0"/>
      <w:divBdr>
        <w:top w:val="none" w:sz="0" w:space="0" w:color="auto"/>
        <w:left w:val="none" w:sz="0" w:space="0" w:color="auto"/>
        <w:bottom w:val="none" w:sz="0" w:space="0" w:color="auto"/>
        <w:right w:val="none" w:sz="0" w:space="0" w:color="auto"/>
      </w:divBdr>
    </w:div>
    <w:div w:id="926232510">
      <w:bodyDiv w:val="1"/>
      <w:marLeft w:val="0"/>
      <w:marRight w:val="0"/>
      <w:marTop w:val="0"/>
      <w:marBottom w:val="0"/>
      <w:divBdr>
        <w:top w:val="none" w:sz="0" w:space="0" w:color="auto"/>
        <w:left w:val="none" w:sz="0" w:space="0" w:color="auto"/>
        <w:bottom w:val="none" w:sz="0" w:space="0" w:color="auto"/>
        <w:right w:val="none" w:sz="0" w:space="0" w:color="auto"/>
      </w:divBdr>
    </w:div>
    <w:div w:id="927539940">
      <w:bodyDiv w:val="1"/>
      <w:marLeft w:val="0"/>
      <w:marRight w:val="0"/>
      <w:marTop w:val="0"/>
      <w:marBottom w:val="0"/>
      <w:divBdr>
        <w:top w:val="none" w:sz="0" w:space="0" w:color="auto"/>
        <w:left w:val="none" w:sz="0" w:space="0" w:color="auto"/>
        <w:bottom w:val="none" w:sz="0" w:space="0" w:color="auto"/>
        <w:right w:val="none" w:sz="0" w:space="0" w:color="auto"/>
      </w:divBdr>
    </w:div>
    <w:div w:id="931666118">
      <w:bodyDiv w:val="1"/>
      <w:marLeft w:val="0"/>
      <w:marRight w:val="0"/>
      <w:marTop w:val="0"/>
      <w:marBottom w:val="0"/>
      <w:divBdr>
        <w:top w:val="none" w:sz="0" w:space="0" w:color="auto"/>
        <w:left w:val="none" w:sz="0" w:space="0" w:color="auto"/>
        <w:bottom w:val="none" w:sz="0" w:space="0" w:color="auto"/>
        <w:right w:val="none" w:sz="0" w:space="0" w:color="auto"/>
      </w:divBdr>
    </w:div>
    <w:div w:id="933510139">
      <w:bodyDiv w:val="1"/>
      <w:marLeft w:val="0"/>
      <w:marRight w:val="0"/>
      <w:marTop w:val="0"/>
      <w:marBottom w:val="0"/>
      <w:divBdr>
        <w:top w:val="none" w:sz="0" w:space="0" w:color="auto"/>
        <w:left w:val="none" w:sz="0" w:space="0" w:color="auto"/>
        <w:bottom w:val="none" w:sz="0" w:space="0" w:color="auto"/>
        <w:right w:val="none" w:sz="0" w:space="0" w:color="auto"/>
      </w:divBdr>
    </w:div>
    <w:div w:id="933779722">
      <w:bodyDiv w:val="1"/>
      <w:marLeft w:val="0"/>
      <w:marRight w:val="0"/>
      <w:marTop w:val="0"/>
      <w:marBottom w:val="0"/>
      <w:divBdr>
        <w:top w:val="none" w:sz="0" w:space="0" w:color="auto"/>
        <w:left w:val="none" w:sz="0" w:space="0" w:color="auto"/>
        <w:bottom w:val="none" w:sz="0" w:space="0" w:color="auto"/>
        <w:right w:val="none" w:sz="0" w:space="0" w:color="auto"/>
      </w:divBdr>
    </w:div>
    <w:div w:id="936403046">
      <w:bodyDiv w:val="1"/>
      <w:marLeft w:val="0"/>
      <w:marRight w:val="0"/>
      <w:marTop w:val="0"/>
      <w:marBottom w:val="0"/>
      <w:divBdr>
        <w:top w:val="none" w:sz="0" w:space="0" w:color="auto"/>
        <w:left w:val="none" w:sz="0" w:space="0" w:color="auto"/>
        <w:bottom w:val="none" w:sz="0" w:space="0" w:color="auto"/>
        <w:right w:val="none" w:sz="0" w:space="0" w:color="auto"/>
      </w:divBdr>
    </w:div>
    <w:div w:id="936789801">
      <w:bodyDiv w:val="1"/>
      <w:marLeft w:val="0"/>
      <w:marRight w:val="0"/>
      <w:marTop w:val="0"/>
      <w:marBottom w:val="0"/>
      <w:divBdr>
        <w:top w:val="none" w:sz="0" w:space="0" w:color="auto"/>
        <w:left w:val="none" w:sz="0" w:space="0" w:color="auto"/>
        <w:bottom w:val="none" w:sz="0" w:space="0" w:color="auto"/>
        <w:right w:val="none" w:sz="0" w:space="0" w:color="auto"/>
      </w:divBdr>
    </w:div>
    <w:div w:id="937833751">
      <w:bodyDiv w:val="1"/>
      <w:marLeft w:val="0"/>
      <w:marRight w:val="0"/>
      <w:marTop w:val="0"/>
      <w:marBottom w:val="0"/>
      <w:divBdr>
        <w:top w:val="none" w:sz="0" w:space="0" w:color="auto"/>
        <w:left w:val="none" w:sz="0" w:space="0" w:color="auto"/>
        <w:bottom w:val="none" w:sz="0" w:space="0" w:color="auto"/>
        <w:right w:val="none" w:sz="0" w:space="0" w:color="auto"/>
      </w:divBdr>
    </w:div>
    <w:div w:id="942803486">
      <w:bodyDiv w:val="1"/>
      <w:marLeft w:val="0"/>
      <w:marRight w:val="0"/>
      <w:marTop w:val="0"/>
      <w:marBottom w:val="0"/>
      <w:divBdr>
        <w:top w:val="none" w:sz="0" w:space="0" w:color="auto"/>
        <w:left w:val="none" w:sz="0" w:space="0" w:color="auto"/>
        <w:bottom w:val="none" w:sz="0" w:space="0" w:color="auto"/>
        <w:right w:val="none" w:sz="0" w:space="0" w:color="auto"/>
      </w:divBdr>
    </w:div>
    <w:div w:id="943532150">
      <w:bodyDiv w:val="1"/>
      <w:marLeft w:val="0"/>
      <w:marRight w:val="0"/>
      <w:marTop w:val="0"/>
      <w:marBottom w:val="0"/>
      <w:divBdr>
        <w:top w:val="none" w:sz="0" w:space="0" w:color="auto"/>
        <w:left w:val="none" w:sz="0" w:space="0" w:color="auto"/>
        <w:bottom w:val="none" w:sz="0" w:space="0" w:color="auto"/>
        <w:right w:val="none" w:sz="0" w:space="0" w:color="auto"/>
      </w:divBdr>
    </w:div>
    <w:div w:id="943534614">
      <w:bodyDiv w:val="1"/>
      <w:marLeft w:val="0"/>
      <w:marRight w:val="0"/>
      <w:marTop w:val="0"/>
      <w:marBottom w:val="0"/>
      <w:divBdr>
        <w:top w:val="none" w:sz="0" w:space="0" w:color="auto"/>
        <w:left w:val="none" w:sz="0" w:space="0" w:color="auto"/>
        <w:bottom w:val="none" w:sz="0" w:space="0" w:color="auto"/>
        <w:right w:val="none" w:sz="0" w:space="0" w:color="auto"/>
      </w:divBdr>
    </w:div>
    <w:div w:id="943612490">
      <w:bodyDiv w:val="1"/>
      <w:marLeft w:val="0"/>
      <w:marRight w:val="0"/>
      <w:marTop w:val="0"/>
      <w:marBottom w:val="0"/>
      <w:divBdr>
        <w:top w:val="none" w:sz="0" w:space="0" w:color="auto"/>
        <w:left w:val="none" w:sz="0" w:space="0" w:color="auto"/>
        <w:bottom w:val="none" w:sz="0" w:space="0" w:color="auto"/>
        <w:right w:val="none" w:sz="0" w:space="0" w:color="auto"/>
      </w:divBdr>
    </w:div>
    <w:div w:id="944383205">
      <w:bodyDiv w:val="1"/>
      <w:marLeft w:val="0"/>
      <w:marRight w:val="0"/>
      <w:marTop w:val="0"/>
      <w:marBottom w:val="0"/>
      <w:divBdr>
        <w:top w:val="none" w:sz="0" w:space="0" w:color="auto"/>
        <w:left w:val="none" w:sz="0" w:space="0" w:color="auto"/>
        <w:bottom w:val="none" w:sz="0" w:space="0" w:color="auto"/>
        <w:right w:val="none" w:sz="0" w:space="0" w:color="auto"/>
      </w:divBdr>
    </w:div>
    <w:div w:id="948850739">
      <w:bodyDiv w:val="1"/>
      <w:marLeft w:val="0"/>
      <w:marRight w:val="0"/>
      <w:marTop w:val="0"/>
      <w:marBottom w:val="0"/>
      <w:divBdr>
        <w:top w:val="none" w:sz="0" w:space="0" w:color="auto"/>
        <w:left w:val="none" w:sz="0" w:space="0" w:color="auto"/>
        <w:bottom w:val="none" w:sz="0" w:space="0" w:color="auto"/>
        <w:right w:val="none" w:sz="0" w:space="0" w:color="auto"/>
      </w:divBdr>
    </w:div>
    <w:div w:id="950361657">
      <w:bodyDiv w:val="1"/>
      <w:marLeft w:val="0"/>
      <w:marRight w:val="0"/>
      <w:marTop w:val="0"/>
      <w:marBottom w:val="0"/>
      <w:divBdr>
        <w:top w:val="none" w:sz="0" w:space="0" w:color="auto"/>
        <w:left w:val="none" w:sz="0" w:space="0" w:color="auto"/>
        <w:bottom w:val="none" w:sz="0" w:space="0" w:color="auto"/>
        <w:right w:val="none" w:sz="0" w:space="0" w:color="auto"/>
      </w:divBdr>
    </w:div>
    <w:div w:id="950433040">
      <w:bodyDiv w:val="1"/>
      <w:marLeft w:val="0"/>
      <w:marRight w:val="0"/>
      <w:marTop w:val="0"/>
      <w:marBottom w:val="0"/>
      <w:divBdr>
        <w:top w:val="none" w:sz="0" w:space="0" w:color="auto"/>
        <w:left w:val="none" w:sz="0" w:space="0" w:color="auto"/>
        <w:bottom w:val="none" w:sz="0" w:space="0" w:color="auto"/>
        <w:right w:val="none" w:sz="0" w:space="0" w:color="auto"/>
      </w:divBdr>
    </w:div>
    <w:div w:id="951324301">
      <w:bodyDiv w:val="1"/>
      <w:marLeft w:val="0"/>
      <w:marRight w:val="0"/>
      <w:marTop w:val="0"/>
      <w:marBottom w:val="0"/>
      <w:divBdr>
        <w:top w:val="none" w:sz="0" w:space="0" w:color="auto"/>
        <w:left w:val="none" w:sz="0" w:space="0" w:color="auto"/>
        <w:bottom w:val="none" w:sz="0" w:space="0" w:color="auto"/>
        <w:right w:val="none" w:sz="0" w:space="0" w:color="auto"/>
      </w:divBdr>
    </w:div>
    <w:div w:id="952594584">
      <w:bodyDiv w:val="1"/>
      <w:marLeft w:val="0"/>
      <w:marRight w:val="0"/>
      <w:marTop w:val="0"/>
      <w:marBottom w:val="0"/>
      <w:divBdr>
        <w:top w:val="none" w:sz="0" w:space="0" w:color="auto"/>
        <w:left w:val="none" w:sz="0" w:space="0" w:color="auto"/>
        <w:bottom w:val="none" w:sz="0" w:space="0" w:color="auto"/>
        <w:right w:val="none" w:sz="0" w:space="0" w:color="auto"/>
      </w:divBdr>
    </w:div>
    <w:div w:id="952631511">
      <w:bodyDiv w:val="1"/>
      <w:marLeft w:val="0"/>
      <w:marRight w:val="0"/>
      <w:marTop w:val="0"/>
      <w:marBottom w:val="0"/>
      <w:divBdr>
        <w:top w:val="none" w:sz="0" w:space="0" w:color="auto"/>
        <w:left w:val="none" w:sz="0" w:space="0" w:color="auto"/>
        <w:bottom w:val="none" w:sz="0" w:space="0" w:color="auto"/>
        <w:right w:val="none" w:sz="0" w:space="0" w:color="auto"/>
      </w:divBdr>
    </w:div>
    <w:div w:id="955020732">
      <w:bodyDiv w:val="1"/>
      <w:marLeft w:val="0"/>
      <w:marRight w:val="0"/>
      <w:marTop w:val="0"/>
      <w:marBottom w:val="0"/>
      <w:divBdr>
        <w:top w:val="none" w:sz="0" w:space="0" w:color="auto"/>
        <w:left w:val="none" w:sz="0" w:space="0" w:color="auto"/>
        <w:bottom w:val="none" w:sz="0" w:space="0" w:color="auto"/>
        <w:right w:val="none" w:sz="0" w:space="0" w:color="auto"/>
      </w:divBdr>
    </w:div>
    <w:div w:id="955406997">
      <w:bodyDiv w:val="1"/>
      <w:marLeft w:val="0"/>
      <w:marRight w:val="0"/>
      <w:marTop w:val="0"/>
      <w:marBottom w:val="0"/>
      <w:divBdr>
        <w:top w:val="none" w:sz="0" w:space="0" w:color="auto"/>
        <w:left w:val="none" w:sz="0" w:space="0" w:color="auto"/>
        <w:bottom w:val="none" w:sz="0" w:space="0" w:color="auto"/>
        <w:right w:val="none" w:sz="0" w:space="0" w:color="auto"/>
      </w:divBdr>
    </w:div>
    <w:div w:id="955722575">
      <w:bodyDiv w:val="1"/>
      <w:marLeft w:val="0"/>
      <w:marRight w:val="0"/>
      <w:marTop w:val="0"/>
      <w:marBottom w:val="0"/>
      <w:divBdr>
        <w:top w:val="none" w:sz="0" w:space="0" w:color="auto"/>
        <w:left w:val="none" w:sz="0" w:space="0" w:color="auto"/>
        <w:bottom w:val="none" w:sz="0" w:space="0" w:color="auto"/>
        <w:right w:val="none" w:sz="0" w:space="0" w:color="auto"/>
      </w:divBdr>
    </w:div>
    <w:div w:id="960453411">
      <w:bodyDiv w:val="1"/>
      <w:marLeft w:val="0"/>
      <w:marRight w:val="0"/>
      <w:marTop w:val="0"/>
      <w:marBottom w:val="0"/>
      <w:divBdr>
        <w:top w:val="none" w:sz="0" w:space="0" w:color="auto"/>
        <w:left w:val="none" w:sz="0" w:space="0" w:color="auto"/>
        <w:bottom w:val="none" w:sz="0" w:space="0" w:color="auto"/>
        <w:right w:val="none" w:sz="0" w:space="0" w:color="auto"/>
      </w:divBdr>
    </w:div>
    <w:div w:id="960767779">
      <w:bodyDiv w:val="1"/>
      <w:marLeft w:val="0"/>
      <w:marRight w:val="0"/>
      <w:marTop w:val="0"/>
      <w:marBottom w:val="0"/>
      <w:divBdr>
        <w:top w:val="none" w:sz="0" w:space="0" w:color="auto"/>
        <w:left w:val="none" w:sz="0" w:space="0" w:color="auto"/>
        <w:bottom w:val="none" w:sz="0" w:space="0" w:color="auto"/>
        <w:right w:val="none" w:sz="0" w:space="0" w:color="auto"/>
      </w:divBdr>
    </w:div>
    <w:div w:id="961305402">
      <w:bodyDiv w:val="1"/>
      <w:marLeft w:val="0"/>
      <w:marRight w:val="0"/>
      <w:marTop w:val="0"/>
      <w:marBottom w:val="0"/>
      <w:divBdr>
        <w:top w:val="none" w:sz="0" w:space="0" w:color="auto"/>
        <w:left w:val="none" w:sz="0" w:space="0" w:color="auto"/>
        <w:bottom w:val="none" w:sz="0" w:space="0" w:color="auto"/>
        <w:right w:val="none" w:sz="0" w:space="0" w:color="auto"/>
      </w:divBdr>
    </w:div>
    <w:div w:id="961690883">
      <w:bodyDiv w:val="1"/>
      <w:marLeft w:val="0"/>
      <w:marRight w:val="0"/>
      <w:marTop w:val="0"/>
      <w:marBottom w:val="0"/>
      <w:divBdr>
        <w:top w:val="none" w:sz="0" w:space="0" w:color="auto"/>
        <w:left w:val="none" w:sz="0" w:space="0" w:color="auto"/>
        <w:bottom w:val="none" w:sz="0" w:space="0" w:color="auto"/>
        <w:right w:val="none" w:sz="0" w:space="0" w:color="auto"/>
      </w:divBdr>
    </w:div>
    <w:div w:id="964771693">
      <w:bodyDiv w:val="1"/>
      <w:marLeft w:val="0"/>
      <w:marRight w:val="0"/>
      <w:marTop w:val="0"/>
      <w:marBottom w:val="0"/>
      <w:divBdr>
        <w:top w:val="none" w:sz="0" w:space="0" w:color="auto"/>
        <w:left w:val="none" w:sz="0" w:space="0" w:color="auto"/>
        <w:bottom w:val="none" w:sz="0" w:space="0" w:color="auto"/>
        <w:right w:val="none" w:sz="0" w:space="0" w:color="auto"/>
      </w:divBdr>
    </w:div>
    <w:div w:id="969215301">
      <w:bodyDiv w:val="1"/>
      <w:marLeft w:val="0"/>
      <w:marRight w:val="0"/>
      <w:marTop w:val="0"/>
      <w:marBottom w:val="0"/>
      <w:divBdr>
        <w:top w:val="none" w:sz="0" w:space="0" w:color="auto"/>
        <w:left w:val="none" w:sz="0" w:space="0" w:color="auto"/>
        <w:bottom w:val="none" w:sz="0" w:space="0" w:color="auto"/>
        <w:right w:val="none" w:sz="0" w:space="0" w:color="auto"/>
      </w:divBdr>
    </w:div>
    <w:div w:id="976111226">
      <w:bodyDiv w:val="1"/>
      <w:marLeft w:val="0"/>
      <w:marRight w:val="0"/>
      <w:marTop w:val="0"/>
      <w:marBottom w:val="0"/>
      <w:divBdr>
        <w:top w:val="none" w:sz="0" w:space="0" w:color="auto"/>
        <w:left w:val="none" w:sz="0" w:space="0" w:color="auto"/>
        <w:bottom w:val="none" w:sz="0" w:space="0" w:color="auto"/>
        <w:right w:val="none" w:sz="0" w:space="0" w:color="auto"/>
      </w:divBdr>
    </w:div>
    <w:div w:id="978457301">
      <w:bodyDiv w:val="1"/>
      <w:marLeft w:val="0"/>
      <w:marRight w:val="0"/>
      <w:marTop w:val="0"/>
      <w:marBottom w:val="0"/>
      <w:divBdr>
        <w:top w:val="none" w:sz="0" w:space="0" w:color="auto"/>
        <w:left w:val="none" w:sz="0" w:space="0" w:color="auto"/>
        <w:bottom w:val="none" w:sz="0" w:space="0" w:color="auto"/>
        <w:right w:val="none" w:sz="0" w:space="0" w:color="auto"/>
      </w:divBdr>
    </w:div>
    <w:div w:id="979576993">
      <w:bodyDiv w:val="1"/>
      <w:marLeft w:val="0"/>
      <w:marRight w:val="0"/>
      <w:marTop w:val="0"/>
      <w:marBottom w:val="0"/>
      <w:divBdr>
        <w:top w:val="none" w:sz="0" w:space="0" w:color="auto"/>
        <w:left w:val="none" w:sz="0" w:space="0" w:color="auto"/>
        <w:bottom w:val="none" w:sz="0" w:space="0" w:color="auto"/>
        <w:right w:val="none" w:sz="0" w:space="0" w:color="auto"/>
      </w:divBdr>
    </w:div>
    <w:div w:id="982007935">
      <w:bodyDiv w:val="1"/>
      <w:marLeft w:val="0"/>
      <w:marRight w:val="0"/>
      <w:marTop w:val="0"/>
      <w:marBottom w:val="0"/>
      <w:divBdr>
        <w:top w:val="none" w:sz="0" w:space="0" w:color="auto"/>
        <w:left w:val="none" w:sz="0" w:space="0" w:color="auto"/>
        <w:bottom w:val="none" w:sz="0" w:space="0" w:color="auto"/>
        <w:right w:val="none" w:sz="0" w:space="0" w:color="auto"/>
      </w:divBdr>
    </w:div>
    <w:div w:id="982197747">
      <w:bodyDiv w:val="1"/>
      <w:marLeft w:val="0"/>
      <w:marRight w:val="0"/>
      <w:marTop w:val="0"/>
      <w:marBottom w:val="0"/>
      <w:divBdr>
        <w:top w:val="none" w:sz="0" w:space="0" w:color="auto"/>
        <w:left w:val="none" w:sz="0" w:space="0" w:color="auto"/>
        <w:bottom w:val="none" w:sz="0" w:space="0" w:color="auto"/>
        <w:right w:val="none" w:sz="0" w:space="0" w:color="auto"/>
      </w:divBdr>
    </w:div>
    <w:div w:id="982583964">
      <w:bodyDiv w:val="1"/>
      <w:marLeft w:val="0"/>
      <w:marRight w:val="0"/>
      <w:marTop w:val="0"/>
      <w:marBottom w:val="0"/>
      <w:divBdr>
        <w:top w:val="none" w:sz="0" w:space="0" w:color="auto"/>
        <w:left w:val="none" w:sz="0" w:space="0" w:color="auto"/>
        <w:bottom w:val="none" w:sz="0" w:space="0" w:color="auto"/>
        <w:right w:val="none" w:sz="0" w:space="0" w:color="auto"/>
      </w:divBdr>
    </w:div>
    <w:div w:id="982855459">
      <w:bodyDiv w:val="1"/>
      <w:marLeft w:val="0"/>
      <w:marRight w:val="0"/>
      <w:marTop w:val="0"/>
      <w:marBottom w:val="0"/>
      <w:divBdr>
        <w:top w:val="none" w:sz="0" w:space="0" w:color="auto"/>
        <w:left w:val="none" w:sz="0" w:space="0" w:color="auto"/>
        <w:bottom w:val="none" w:sz="0" w:space="0" w:color="auto"/>
        <w:right w:val="none" w:sz="0" w:space="0" w:color="auto"/>
      </w:divBdr>
    </w:div>
    <w:div w:id="984091358">
      <w:bodyDiv w:val="1"/>
      <w:marLeft w:val="0"/>
      <w:marRight w:val="0"/>
      <w:marTop w:val="0"/>
      <w:marBottom w:val="0"/>
      <w:divBdr>
        <w:top w:val="none" w:sz="0" w:space="0" w:color="auto"/>
        <w:left w:val="none" w:sz="0" w:space="0" w:color="auto"/>
        <w:bottom w:val="none" w:sz="0" w:space="0" w:color="auto"/>
        <w:right w:val="none" w:sz="0" w:space="0" w:color="auto"/>
      </w:divBdr>
    </w:div>
    <w:div w:id="985669522">
      <w:bodyDiv w:val="1"/>
      <w:marLeft w:val="0"/>
      <w:marRight w:val="0"/>
      <w:marTop w:val="0"/>
      <w:marBottom w:val="0"/>
      <w:divBdr>
        <w:top w:val="none" w:sz="0" w:space="0" w:color="auto"/>
        <w:left w:val="none" w:sz="0" w:space="0" w:color="auto"/>
        <w:bottom w:val="none" w:sz="0" w:space="0" w:color="auto"/>
        <w:right w:val="none" w:sz="0" w:space="0" w:color="auto"/>
      </w:divBdr>
    </w:div>
    <w:div w:id="986669524">
      <w:bodyDiv w:val="1"/>
      <w:marLeft w:val="0"/>
      <w:marRight w:val="0"/>
      <w:marTop w:val="0"/>
      <w:marBottom w:val="0"/>
      <w:divBdr>
        <w:top w:val="none" w:sz="0" w:space="0" w:color="auto"/>
        <w:left w:val="none" w:sz="0" w:space="0" w:color="auto"/>
        <w:bottom w:val="none" w:sz="0" w:space="0" w:color="auto"/>
        <w:right w:val="none" w:sz="0" w:space="0" w:color="auto"/>
      </w:divBdr>
    </w:div>
    <w:div w:id="987786393">
      <w:bodyDiv w:val="1"/>
      <w:marLeft w:val="0"/>
      <w:marRight w:val="0"/>
      <w:marTop w:val="0"/>
      <w:marBottom w:val="0"/>
      <w:divBdr>
        <w:top w:val="none" w:sz="0" w:space="0" w:color="auto"/>
        <w:left w:val="none" w:sz="0" w:space="0" w:color="auto"/>
        <w:bottom w:val="none" w:sz="0" w:space="0" w:color="auto"/>
        <w:right w:val="none" w:sz="0" w:space="0" w:color="auto"/>
      </w:divBdr>
    </w:div>
    <w:div w:id="991369675">
      <w:bodyDiv w:val="1"/>
      <w:marLeft w:val="0"/>
      <w:marRight w:val="0"/>
      <w:marTop w:val="0"/>
      <w:marBottom w:val="0"/>
      <w:divBdr>
        <w:top w:val="none" w:sz="0" w:space="0" w:color="auto"/>
        <w:left w:val="none" w:sz="0" w:space="0" w:color="auto"/>
        <w:bottom w:val="none" w:sz="0" w:space="0" w:color="auto"/>
        <w:right w:val="none" w:sz="0" w:space="0" w:color="auto"/>
      </w:divBdr>
    </w:div>
    <w:div w:id="992225068">
      <w:bodyDiv w:val="1"/>
      <w:marLeft w:val="0"/>
      <w:marRight w:val="0"/>
      <w:marTop w:val="0"/>
      <w:marBottom w:val="0"/>
      <w:divBdr>
        <w:top w:val="none" w:sz="0" w:space="0" w:color="auto"/>
        <w:left w:val="none" w:sz="0" w:space="0" w:color="auto"/>
        <w:bottom w:val="none" w:sz="0" w:space="0" w:color="auto"/>
        <w:right w:val="none" w:sz="0" w:space="0" w:color="auto"/>
      </w:divBdr>
    </w:div>
    <w:div w:id="995113171">
      <w:bodyDiv w:val="1"/>
      <w:marLeft w:val="0"/>
      <w:marRight w:val="0"/>
      <w:marTop w:val="0"/>
      <w:marBottom w:val="0"/>
      <w:divBdr>
        <w:top w:val="none" w:sz="0" w:space="0" w:color="auto"/>
        <w:left w:val="none" w:sz="0" w:space="0" w:color="auto"/>
        <w:bottom w:val="none" w:sz="0" w:space="0" w:color="auto"/>
        <w:right w:val="none" w:sz="0" w:space="0" w:color="auto"/>
      </w:divBdr>
    </w:div>
    <w:div w:id="1000082310">
      <w:bodyDiv w:val="1"/>
      <w:marLeft w:val="0"/>
      <w:marRight w:val="0"/>
      <w:marTop w:val="0"/>
      <w:marBottom w:val="0"/>
      <w:divBdr>
        <w:top w:val="none" w:sz="0" w:space="0" w:color="auto"/>
        <w:left w:val="none" w:sz="0" w:space="0" w:color="auto"/>
        <w:bottom w:val="none" w:sz="0" w:space="0" w:color="auto"/>
        <w:right w:val="none" w:sz="0" w:space="0" w:color="auto"/>
      </w:divBdr>
    </w:div>
    <w:div w:id="1006128826">
      <w:bodyDiv w:val="1"/>
      <w:marLeft w:val="0"/>
      <w:marRight w:val="0"/>
      <w:marTop w:val="0"/>
      <w:marBottom w:val="0"/>
      <w:divBdr>
        <w:top w:val="none" w:sz="0" w:space="0" w:color="auto"/>
        <w:left w:val="none" w:sz="0" w:space="0" w:color="auto"/>
        <w:bottom w:val="none" w:sz="0" w:space="0" w:color="auto"/>
        <w:right w:val="none" w:sz="0" w:space="0" w:color="auto"/>
      </w:divBdr>
    </w:div>
    <w:div w:id="1008143144">
      <w:bodyDiv w:val="1"/>
      <w:marLeft w:val="0"/>
      <w:marRight w:val="0"/>
      <w:marTop w:val="0"/>
      <w:marBottom w:val="0"/>
      <w:divBdr>
        <w:top w:val="none" w:sz="0" w:space="0" w:color="auto"/>
        <w:left w:val="none" w:sz="0" w:space="0" w:color="auto"/>
        <w:bottom w:val="none" w:sz="0" w:space="0" w:color="auto"/>
        <w:right w:val="none" w:sz="0" w:space="0" w:color="auto"/>
      </w:divBdr>
    </w:div>
    <w:div w:id="1011104397">
      <w:bodyDiv w:val="1"/>
      <w:marLeft w:val="0"/>
      <w:marRight w:val="0"/>
      <w:marTop w:val="0"/>
      <w:marBottom w:val="0"/>
      <w:divBdr>
        <w:top w:val="none" w:sz="0" w:space="0" w:color="auto"/>
        <w:left w:val="none" w:sz="0" w:space="0" w:color="auto"/>
        <w:bottom w:val="none" w:sz="0" w:space="0" w:color="auto"/>
        <w:right w:val="none" w:sz="0" w:space="0" w:color="auto"/>
      </w:divBdr>
    </w:div>
    <w:div w:id="1014305957">
      <w:bodyDiv w:val="1"/>
      <w:marLeft w:val="0"/>
      <w:marRight w:val="0"/>
      <w:marTop w:val="0"/>
      <w:marBottom w:val="0"/>
      <w:divBdr>
        <w:top w:val="none" w:sz="0" w:space="0" w:color="auto"/>
        <w:left w:val="none" w:sz="0" w:space="0" w:color="auto"/>
        <w:bottom w:val="none" w:sz="0" w:space="0" w:color="auto"/>
        <w:right w:val="none" w:sz="0" w:space="0" w:color="auto"/>
      </w:divBdr>
    </w:div>
    <w:div w:id="1015502963">
      <w:bodyDiv w:val="1"/>
      <w:marLeft w:val="0"/>
      <w:marRight w:val="0"/>
      <w:marTop w:val="0"/>
      <w:marBottom w:val="0"/>
      <w:divBdr>
        <w:top w:val="none" w:sz="0" w:space="0" w:color="auto"/>
        <w:left w:val="none" w:sz="0" w:space="0" w:color="auto"/>
        <w:bottom w:val="none" w:sz="0" w:space="0" w:color="auto"/>
        <w:right w:val="none" w:sz="0" w:space="0" w:color="auto"/>
      </w:divBdr>
    </w:div>
    <w:div w:id="1017149732">
      <w:bodyDiv w:val="1"/>
      <w:marLeft w:val="0"/>
      <w:marRight w:val="0"/>
      <w:marTop w:val="0"/>
      <w:marBottom w:val="0"/>
      <w:divBdr>
        <w:top w:val="none" w:sz="0" w:space="0" w:color="auto"/>
        <w:left w:val="none" w:sz="0" w:space="0" w:color="auto"/>
        <w:bottom w:val="none" w:sz="0" w:space="0" w:color="auto"/>
        <w:right w:val="none" w:sz="0" w:space="0" w:color="auto"/>
      </w:divBdr>
    </w:div>
    <w:div w:id="1017848959">
      <w:bodyDiv w:val="1"/>
      <w:marLeft w:val="0"/>
      <w:marRight w:val="0"/>
      <w:marTop w:val="0"/>
      <w:marBottom w:val="0"/>
      <w:divBdr>
        <w:top w:val="none" w:sz="0" w:space="0" w:color="auto"/>
        <w:left w:val="none" w:sz="0" w:space="0" w:color="auto"/>
        <w:bottom w:val="none" w:sz="0" w:space="0" w:color="auto"/>
        <w:right w:val="none" w:sz="0" w:space="0" w:color="auto"/>
      </w:divBdr>
    </w:div>
    <w:div w:id="1018853069">
      <w:bodyDiv w:val="1"/>
      <w:marLeft w:val="0"/>
      <w:marRight w:val="0"/>
      <w:marTop w:val="0"/>
      <w:marBottom w:val="0"/>
      <w:divBdr>
        <w:top w:val="none" w:sz="0" w:space="0" w:color="auto"/>
        <w:left w:val="none" w:sz="0" w:space="0" w:color="auto"/>
        <w:bottom w:val="none" w:sz="0" w:space="0" w:color="auto"/>
        <w:right w:val="none" w:sz="0" w:space="0" w:color="auto"/>
      </w:divBdr>
    </w:div>
    <w:div w:id="1019700966">
      <w:bodyDiv w:val="1"/>
      <w:marLeft w:val="0"/>
      <w:marRight w:val="0"/>
      <w:marTop w:val="0"/>
      <w:marBottom w:val="0"/>
      <w:divBdr>
        <w:top w:val="none" w:sz="0" w:space="0" w:color="auto"/>
        <w:left w:val="none" w:sz="0" w:space="0" w:color="auto"/>
        <w:bottom w:val="none" w:sz="0" w:space="0" w:color="auto"/>
        <w:right w:val="none" w:sz="0" w:space="0" w:color="auto"/>
      </w:divBdr>
    </w:div>
    <w:div w:id="1019701953">
      <w:bodyDiv w:val="1"/>
      <w:marLeft w:val="0"/>
      <w:marRight w:val="0"/>
      <w:marTop w:val="0"/>
      <w:marBottom w:val="0"/>
      <w:divBdr>
        <w:top w:val="none" w:sz="0" w:space="0" w:color="auto"/>
        <w:left w:val="none" w:sz="0" w:space="0" w:color="auto"/>
        <w:bottom w:val="none" w:sz="0" w:space="0" w:color="auto"/>
        <w:right w:val="none" w:sz="0" w:space="0" w:color="auto"/>
      </w:divBdr>
    </w:div>
    <w:div w:id="1021932998">
      <w:bodyDiv w:val="1"/>
      <w:marLeft w:val="0"/>
      <w:marRight w:val="0"/>
      <w:marTop w:val="0"/>
      <w:marBottom w:val="0"/>
      <w:divBdr>
        <w:top w:val="none" w:sz="0" w:space="0" w:color="auto"/>
        <w:left w:val="none" w:sz="0" w:space="0" w:color="auto"/>
        <w:bottom w:val="none" w:sz="0" w:space="0" w:color="auto"/>
        <w:right w:val="none" w:sz="0" w:space="0" w:color="auto"/>
      </w:divBdr>
    </w:div>
    <w:div w:id="1024013731">
      <w:bodyDiv w:val="1"/>
      <w:marLeft w:val="0"/>
      <w:marRight w:val="0"/>
      <w:marTop w:val="0"/>
      <w:marBottom w:val="0"/>
      <w:divBdr>
        <w:top w:val="none" w:sz="0" w:space="0" w:color="auto"/>
        <w:left w:val="none" w:sz="0" w:space="0" w:color="auto"/>
        <w:bottom w:val="none" w:sz="0" w:space="0" w:color="auto"/>
        <w:right w:val="none" w:sz="0" w:space="0" w:color="auto"/>
      </w:divBdr>
    </w:div>
    <w:div w:id="1025793290">
      <w:bodyDiv w:val="1"/>
      <w:marLeft w:val="0"/>
      <w:marRight w:val="0"/>
      <w:marTop w:val="0"/>
      <w:marBottom w:val="0"/>
      <w:divBdr>
        <w:top w:val="none" w:sz="0" w:space="0" w:color="auto"/>
        <w:left w:val="none" w:sz="0" w:space="0" w:color="auto"/>
        <w:bottom w:val="none" w:sz="0" w:space="0" w:color="auto"/>
        <w:right w:val="none" w:sz="0" w:space="0" w:color="auto"/>
      </w:divBdr>
    </w:div>
    <w:div w:id="1026520975">
      <w:bodyDiv w:val="1"/>
      <w:marLeft w:val="0"/>
      <w:marRight w:val="0"/>
      <w:marTop w:val="0"/>
      <w:marBottom w:val="0"/>
      <w:divBdr>
        <w:top w:val="none" w:sz="0" w:space="0" w:color="auto"/>
        <w:left w:val="none" w:sz="0" w:space="0" w:color="auto"/>
        <w:bottom w:val="none" w:sz="0" w:space="0" w:color="auto"/>
        <w:right w:val="none" w:sz="0" w:space="0" w:color="auto"/>
      </w:divBdr>
    </w:div>
    <w:div w:id="1028028523">
      <w:bodyDiv w:val="1"/>
      <w:marLeft w:val="0"/>
      <w:marRight w:val="0"/>
      <w:marTop w:val="0"/>
      <w:marBottom w:val="0"/>
      <w:divBdr>
        <w:top w:val="none" w:sz="0" w:space="0" w:color="auto"/>
        <w:left w:val="none" w:sz="0" w:space="0" w:color="auto"/>
        <w:bottom w:val="none" w:sz="0" w:space="0" w:color="auto"/>
        <w:right w:val="none" w:sz="0" w:space="0" w:color="auto"/>
      </w:divBdr>
    </w:div>
    <w:div w:id="1029112665">
      <w:bodyDiv w:val="1"/>
      <w:marLeft w:val="0"/>
      <w:marRight w:val="0"/>
      <w:marTop w:val="0"/>
      <w:marBottom w:val="0"/>
      <w:divBdr>
        <w:top w:val="none" w:sz="0" w:space="0" w:color="auto"/>
        <w:left w:val="none" w:sz="0" w:space="0" w:color="auto"/>
        <w:bottom w:val="none" w:sz="0" w:space="0" w:color="auto"/>
        <w:right w:val="none" w:sz="0" w:space="0" w:color="auto"/>
      </w:divBdr>
    </w:div>
    <w:div w:id="1029142883">
      <w:bodyDiv w:val="1"/>
      <w:marLeft w:val="0"/>
      <w:marRight w:val="0"/>
      <w:marTop w:val="0"/>
      <w:marBottom w:val="0"/>
      <w:divBdr>
        <w:top w:val="none" w:sz="0" w:space="0" w:color="auto"/>
        <w:left w:val="none" w:sz="0" w:space="0" w:color="auto"/>
        <w:bottom w:val="none" w:sz="0" w:space="0" w:color="auto"/>
        <w:right w:val="none" w:sz="0" w:space="0" w:color="auto"/>
      </w:divBdr>
    </w:div>
    <w:div w:id="1031540875">
      <w:bodyDiv w:val="1"/>
      <w:marLeft w:val="0"/>
      <w:marRight w:val="0"/>
      <w:marTop w:val="0"/>
      <w:marBottom w:val="0"/>
      <w:divBdr>
        <w:top w:val="none" w:sz="0" w:space="0" w:color="auto"/>
        <w:left w:val="none" w:sz="0" w:space="0" w:color="auto"/>
        <w:bottom w:val="none" w:sz="0" w:space="0" w:color="auto"/>
        <w:right w:val="none" w:sz="0" w:space="0" w:color="auto"/>
      </w:divBdr>
    </w:div>
    <w:div w:id="1031610774">
      <w:bodyDiv w:val="1"/>
      <w:marLeft w:val="0"/>
      <w:marRight w:val="0"/>
      <w:marTop w:val="0"/>
      <w:marBottom w:val="0"/>
      <w:divBdr>
        <w:top w:val="none" w:sz="0" w:space="0" w:color="auto"/>
        <w:left w:val="none" w:sz="0" w:space="0" w:color="auto"/>
        <w:bottom w:val="none" w:sz="0" w:space="0" w:color="auto"/>
        <w:right w:val="none" w:sz="0" w:space="0" w:color="auto"/>
      </w:divBdr>
    </w:div>
    <w:div w:id="1032538740">
      <w:bodyDiv w:val="1"/>
      <w:marLeft w:val="0"/>
      <w:marRight w:val="0"/>
      <w:marTop w:val="0"/>
      <w:marBottom w:val="0"/>
      <w:divBdr>
        <w:top w:val="none" w:sz="0" w:space="0" w:color="auto"/>
        <w:left w:val="none" w:sz="0" w:space="0" w:color="auto"/>
        <w:bottom w:val="none" w:sz="0" w:space="0" w:color="auto"/>
        <w:right w:val="none" w:sz="0" w:space="0" w:color="auto"/>
      </w:divBdr>
    </w:div>
    <w:div w:id="1033917816">
      <w:bodyDiv w:val="1"/>
      <w:marLeft w:val="0"/>
      <w:marRight w:val="0"/>
      <w:marTop w:val="0"/>
      <w:marBottom w:val="0"/>
      <w:divBdr>
        <w:top w:val="none" w:sz="0" w:space="0" w:color="auto"/>
        <w:left w:val="none" w:sz="0" w:space="0" w:color="auto"/>
        <w:bottom w:val="none" w:sz="0" w:space="0" w:color="auto"/>
        <w:right w:val="none" w:sz="0" w:space="0" w:color="auto"/>
      </w:divBdr>
    </w:div>
    <w:div w:id="1034889383">
      <w:bodyDiv w:val="1"/>
      <w:marLeft w:val="0"/>
      <w:marRight w:val="0"/>
      <w:marTop w:val="0"/>
      <w:marBottom w:val="0"/>
      <w:divBdr>
        <w:top w:val="none" w:sz="0" w:space="0" w:color="auto"/>
        <w:left w:val="none" w:sz="0" w:space="0" w:color="auto"/>
        <w:bottom w:val="none" w:sz="0" w:space="0" w:color="auto"/>
        <w:right w:val="none" w:sz="0" w:space="0" w:color="auto"/>
      </w:divBdr>
    </w:div>
    <w:div w:id="1040276646">
      <w:bodyDiv w:val="1"/>
      <w:marLeft w:val="0"/>
      <w:marRight w:val="0"/>
      <w:marTop w:val="0"/>
      <w:marBottom w:val="0"/>
      <w:divBdr>
        <w:top w:val="none" w:sz="0" w:space="0" w:color="auto"/>
        <w:left w:val="none" w:sz="0" w:space="0" w:color="auto"/>
        <w:bottom w:val="none" w:sz="0" w:space="0" w:color="auto"/>
        <w:right w:val="none" w:sz="0" w:space="0" w:color="auto"/>
      </w:divBdr>
    </w:div>
    <w:div w:id="1044401334">
      <w:bodyDiv w:val="1"/>
      <w:marLeft w:val="0"/>
      <w:marRight w:val="0"/>
      <w:marTop w:val="0"/>
      <w:marBottom w:val="0"/>
      <w:divBdr>
        <w:top w:val="none" w:sz="0" w:space="0" w:color="auto"/>
        <w:left w:val="none" w:sz="0" w:space="0" w:color="auto"/>
        <w:bottom w:val="none" w:sz="0" w:space="0" w:color="auto"/>
        <w:right w:val="none" w:sz="0" w:space="0" w:color="auto"/>
      </w:divBdr>
    </w:div>
    <w:div w:id="1049380886">
      <w:bodyDiv w:val="1"/>
      <w:marLeft w:val="0"/>
      <w:marRight w:val="0"/>
      <w:marTop w:val="0"/>
      <w:marBottom w:val="0"/>
      <w:divBdr>
        <w:top w:val="none" w:sz="0" w:space="0" w:color="auto"/>
        <w:left w:val="none" w:sz="0" w:space="0" w:color="auto"/>
        <w:bottom w:val="none" w:sz="0" w:space="0" w:color="auto"/>
        <w:right w:val="none" w:sz="0" w:space="0" w:color="auto"/>
      </w:divBdr>
    </w:div>
    <w:div w:id="1049961297">
      <w:bodyDiv w:val="1"/>
      <w:marLeft w:val="0"/>
      <w:marRight w:val="0"/>
      <w:marTop w:val="0"/>
      <w:marBottom w:val="0"/>
      <w:divBdr>
        <w:top w:val="none" w:sz="0" w:space="0" w:color="auto"/>
        <w:left w:val="none" w:sz="0" w:space="0" w:color="auto"/>
        <w:bottom w:val="none" w:sz="0" w:space="0" w:color="auto"/>
        <w:right w:val="none" w:sz="0" w:space="0" w:color="auto"/>
      </w:divBdr>
    </w:div>
    <w:div w:id="1050763770">
      <w:bodyDiv w:val="1"/>
      <w:marLeft w:val="0"/>
      <w:marRight w:val="0"/>
      <w:marTop w:val="0"/>
      <w:marBottom w:val="0"/>
      <w:divBdr>
        <w:top w:val="none" w:sz="0" w:space="0" w:color="auto"/>
        <w:left w:val="none" w:sz="0" w:space="0" w:color="auto"/>
        <w:bottom w:val="none" w:sz="0" w:space="0" w:color="auto"/>
        <w:right w:val="none" w:sz="0" w:space="0" w:color="auto"/>
      </w:divBdr>
    </w:div>
    <w:div w:id="1050808531">
      <w:bodyDiv w:val="1"/>
      <w:marLeft w:val="0"/>
      <w:marRight w:val="0"/>
      <w:marTop w:val="0"/>
      <w:marBottom w:val="0"/>
      <w:divBdr>
        <w:top w:val="none" w:sz="0" w:space="0" w:color="auto"/>
        <w:left w:val="none" w:sz="0" w:space="0" w:color="auto"/>
        <w:bottom w:val="none" w:sz="0" w:space="0" w:color="auto"/>
        <w:right w:val="none" w:sz="0" w:space="0" w:color="auto"/>
      </w:divBdr>
    </w:div>
    <w:div w:id="1051462447">
      <w:bodyDiv w:val="1"/>
      <w:marLeft w:val="0"/>
      <w:marRight w:val="0"/>
      <w:marTop w:val="0"/>
      <w:marBottom w:val="0"/>
      <w:divBdr>
        <w:top w:val="none" w:sz="0" w:space="0" w:color="auto"/>
        <w:left w:val="none" w:sz="0" w:space="0" w:color="auto"/>
        <w:bottom w:val="none" w:sz="0" w:space="0" w:color="auto"/>
        <w:right w:val="none" w:sz="0" w:space="0" w:color="auto"/>
      </w:divBdr>
    </w:div>
    <w:div w:id="1056466021">
      <w:bodyDiv w:val="1"/>
      <w:marLeft w:val="0"/>
      <w:marRight w:val="0"/>
      <w:marTop w:val="0"/>
      <w:marBottom w:val="0"/>
      <w:divBdr>
        <w:top w:val="none" w:sz="0" w:space="0" w:color="auto"/>
        <w:left w:val="none" w:sz="0" w:space="0" w:color="auto"/>
        <w:bottom w:val="none" w:sz="0" w:space="0" w:color="auto"/>
        <w:right w:val="none" w:sz="0" w:space="0" w:color="auto"/>
      </w:divBdr>
    </w:div>
    <w:div w:id="1057125440">
      <w:bodyDiv w:val="1"/>
      <w:marLeft w:val="0"/>
      <w:marRight w:val="0"/>
      <w:marTop w:val="0"/>
      <w:marBottom w:val="0"/>
      <w:divBdr>
        <w:top w:val="none" w:sz="0" w:space="0" w:color="auto"/>
        <w:left w:val="none" w:sz="0" w:space="0" w:color="auto"/>
        <w:bottom w:val="none" w:sz="0" w:space="0" w:color="auto"/>
        <w:right w:val="none" w:sz="0" w:space="0" w:color="auto"/>
      </w:divBdr>
    </w:div>
    <w:div w:id="1057629584">
      <w:bodyDiv w:val="1"/>
      <w:marLeft w:val="0"/>
      <w:marRight w:val="0"/>
      <w:marTop w:val="0"/>
      <w:marBottom w:val="0"/>
      <w:divBdr>
        <w:top w:val="none" w:sz="0" w:space="0" w:color="auto"/>
        <w:left w:val="none" w:sz="0" w:space="0" w:color="auto"/>
        <w:bottom w:val="none" w:sz="0" w:space="0" w:color="auto"/>
        <w:right w:val="none" w:sz="0" w:space="0" w:color="auto"/>
      </w:divBdr>
    </w:div>
    <w:div w:id="1057976912">
      <w:bodyDiv w:val="1"/>
      <w:marLeft w:val="0"/>
      <w:marRight w:val="0"/>
      <w:marTop w:val="0"/>
      <w:marBottom w:val="0"/>
      <w:divBdr>
        <w:top w:val="none" w:sz="0" w:space="0" w:color="auto"/>
        <w:left w:val="none" w:sz="0" w:space="0" w:color="auto"/>
        <w:bottom w:val="none" w:sz="0" w:space="0" w:color="auto"/>
        <w:right w:val="none" w:sz="0" w:space="0" w:color="auto"/>
      </w:divBdr>
    </w:div>
    <w:div w:id="1059088491">
      <w:bodyDiv w:val="1"/>
      <w:marLeft w:val="0"/>
      <w:marRight w:val="0"/>
      <w:marTop w:val="0"/>
      <w:marBottom w:val="0"/>
      <w:divBdr>
        <w:top w:val="none" w:sz="0" w:space="0" w:color="auto"/>
        <w:left w:val="none" w:sz="0" w:space="0" w:color="auto"/>
        <w:bottom w:val="none" w:sz="0" w:space="0" w:color="auto"/>
        <w:right w:val="none" w:sz="0" w:space="0" w:color="auto"/>
      </w:divBdr>
    </w:div>
    <w:div w:id="1062094617">
      <w:bodyDiv w:val="1"/>
      <w:marLeft w:val="0"/>
      <w:marRight w:val="0"/>
      <w:marTop w:val="0"/>
      <w:marBottom w:val="0"/>
      <w:divBdr>
        <w:top w:val="none" w:sz="0" w:space="0" w:color="auto"/>
        <w:left w:val="none" w:sz="0" w:space="0" w:color="auto"/>
        <w:bottom w:val="none" w:sz="0" w:space="0" w:color="auto"/>
        <w:right w:val="none" w:sz="0" w:space="0" w:color="auto"/>
      </w:divBdr>
    </w:div>
    <w:div w:id="1062145440">
      <w:bodyDiv w:val="1"/>
      <w:marLeft w:val="0"/>
      <w:marRight w:val="0"/>
      <w:marTop w:val="0"/>
      <w:marBottom w:val="0"/>
      <w:divBdr>
        <w:top w:val="none" w:sz="0" w:space="0" w:color="auto"/>
        <w:left w:val="none" w:sz="0" w:space="0" w:color="auto"/>
        <w:bottom w:val="none" w:sz="0" w:space="0" w:color="auto"/>
        <w:right w:val="none" w:sz="0" w:space="0" w:color="auto"/>
      </w:divBdr>
    </w:div>
    <w:div w:id="1064261371">
      <w:bodyDiv w:val="1"/>
      <w:marLeft w:val="0"/>
      <w:marRight w:val="0"/>
      <w:marTop w:val="0"/>
      <w:marBottom w:val="0"/>
      <w:divBdr>
        <w:top w:val="none" w:sz="0" w:space="0" w:color="auto"/>
        <w:left w:val="none" w:sz="0" w:space="0" w:color="auto"/>
        <w:bottom w:val="none" w:sz="0" w:space="0" w:color="auto"/>
        <w:right w:val="none" w:sz="0" w:space="0" w:color="auto"/>
      </w:divBdr>
    </w:div>
    <w:div w:id="1067998142">
      <w:bodyDiv w:val="1"/>
      <w:marLeft w:val="0"/>
      <w:marRight w:val="0"/>
      <w:marTop w:val="0"/>
      <w:marBottom w:val="0"/>
      <w:divBdr>
        <w:top w:val="none" w:sz="0" w:space="0" w:color="auto"/>
        <w:left w:val="none" w:sz="0" w:space="0" w:color="auto"/>
        <w:bottom w:val="none" w:sz="0" w:space="0" w:color="auto"/>
        <w:right w:val="none" w:sz="0" w:space="0" w:color="auto"/>
      </w:divBdr>
    </w:div>
    <w:div w:id="1068652986">
      <w:bodyDiv w:val="1"/>
      <w:marLeft w:val="0"/>
      <w:marRight w:val="0"/>
      <w:marTop w:val="0"/>
      <w:marBottom w:val="0"/>
      <w:divBdr>
        <w:top w:val="none" w:sz="0" w:space="0" w:color="auto"/>
        <w:left w:val="none" w:sz="0" w:space="0" w:color="auto"/>
        <w:bottom w:val="none" w:sz="0" w:space="0" w:color="auto"/>
        <w:right w:val="none" w:sz="0" w:space="0" w:color="auto"/>
      </w:divBdr>
    </w:div>
    <w:div w:id="1068727800">
      <w:bodyDiv w:val="1"/>
      <w:marLeft w:val="0"/>
      <w:marRight w:val="0"/>
      <w:marTop w:val="0"/>
      <w:marBottom w:val="0"/>
      <w:divBdr>
        <w:top w:val="none" w:sz="0" w:space="0" w:color="auto"/>
        <w:left w:val="none" w:sz="0" w:space="0" w:color="auto"/>
        <w:bottom w:val="none" w:sz="0" w:space="0" w:color="auto"/>
        <w:right w:val="none" w:sz="0" w:space="0" w:color="auto"/>
      </w:divBdr>
    </w:div>
    <w:div w:id="1069229330">
      <w:bodyDiv w:val="1"/>
      <w:marLeft w:val="0"/>
      <w:marRight w:val="0"/>
      <w:marTop w:val="0"/>
      <w:marBottom w:val="0"/>
      <w:divBdr>
        <w:top w:val="none" w:sz="0" w:space="0" w:color="auto"/>
        <w:left w:val="none" w:sz="0" w:space="0" w:color="auto"/>
        <w:bottom w:val="none" w:sz="0" w:space="0" w:color="auto"/>
        <w:right w:val="none" w:sz="0" w:space="0" w:color="auto"/>
      </w:divBdr>
    </w:div>
    <w:div w:id="1070884142">
      <w:bodyDiv w:val="1"/>
      <w:marLeft w:val="0"/>
      <w:marRight w:val="0"/>
      <w:marTop w:val="0"/>
      <w:marBottom w:val="0"/>
      <w:divBdr>
        <w:top w:val="none" w:sz="0" w:space="0" w:color="auto"/>
        <w:left w:val="none" w:sz="0" w:space="0" w:color="auto"/>
        <w:bottom w:val="none" w:sz="0" w:space="0" w:color="auto"/>
        <w:right w:val="none" w:sz="0" w:space="0" w:color="auto"/>
      </w:divBdr>
    </w:div>
    <w:div w:id="1078358288">
      <w:bodyDiv w:val="1"/>
      <w:marLeft w:val="0"/>
      <w:marRight w:val="0"/>
      <w:marTop w:val="0"/>
      <w:marBottom w:val="0"/>
      <w:divBdr>
        <w:top w:val="none" w:sz="0" w:space="0" w:color="auto"/>
        <w:left w:val="none" w:sz="0" w:space="0" w:color="auto"/>
        <w:bottom w:val="none" w:sz="0" w:space="0" w:color="auto"/>
        <w:right w:val="none" w:sz="0" w:space="0" w:color="auto"/>
      </w:divBdr>
    </w:div>
    <w:div w:id="1080561745">
      <w:bodyDiv w:val="1"/>
      <w:marLeft w:val="0"/>
      <w:marRight w:val="0"/>
      <w:marTop w:val="0"/>
      <w:marBottom w:val="0"/>
      <w:divBdr>
        <w:top w:val="none" w:sz="0" w:space="0" w:color="auto"/>
        <w:left w:val="none" w:sz="0" w:space="0" w:color="auto"/>
        <w:bottom w:val="none" w:sz="0" w:space="0" w:color="auto"/>
        <w:right w:val="none" w:sz="0" w:space="0" w:color="auto"/>
      </w:divBdr>
    </w:div>
    <w:div w:id="1080564268">
      <w:bodyDiv w:val="1"/>
      <w:marLeft w:val="0"/>
      <w:marRight w:val="0"/>
      <w:marTop w:val="0"/>
      <w:marBottom w:val="0"/>
      <w:divBdr>
        <w:top w:val="none" w:sz="0" w:space="0" w:color="auto"/>
        <w:left w:val="none" w:sz="0" w:space="0" w:color="auto"/>
        <w:bottom w:val="none" w:sz="0" w:space="0" w:color="auto"/>
        <w:right w:val="none" w:sz="0" w:space="0" w:color="auto"/>
      </w:divBdr>
    </w:div>
    <w:div w:id="1082217372">
      <w:bodyDiv w:val="1"/>
      <w:marLeft w:val="0"/>
      <w:marRight w:val="0"/>
      <w:marTop w:val="0"/>
      <w:marBottom w:val="0"/>
      <w:divBdr>
        <w:top w:val="none" w:sz="0" w:space="0" w:color="auto"/>
        <w:left w:val="none" w:sz="0" w:space="0" w:color="auto"/>
        <w:bottom w:val="none" w:sz="0" w:space="0" w:color="auto"/>
        <w:right w:val="none" w:sz="0" w:space="0" w:color="auto"/>
      </w:divBdr>
    </w:div>
    <w:div w:id="1090271750">
      <w:bodyDiv w:val="1"/>
      <w:marLeft w:val="0"/>
      <w:marRight w:val="0"/>
      <w:marTop w:val="0"/>
      <w:marBottom w:val="0"/>
      <w:divBdr>
        <w:top w:val="none" w:sz="0" w:space="0" w:color="auto"/>
        <w:left w:val="none" w:sz="0" w:space="0" w:color="auto"/>
        <w:bottom w:val="none" w:sz="0" w:space="0" w:color="auto"/>
        <w:right w:val="none" w:sz="0" w:space="0" w:color="auto"/>
      </w:divBdr>
    </w:div>
    <w:div w:id="1091783378">
      <w:bodyDiv w:val="1"/>
      <w:marLeft w:val="0"/>
      <w:marRight w:val="0"/>
      <w:marTop w:val="0"/>
      <w:marBottom w:val="0"/>
      <w:divBdr>
        <w:top w:val="none" w:sz="0" w:space="0" w:color="auto"/>
        <w:left w:val="none" w:sz="0" w:space="0" w:color="auto"/>
        <w:bottom w:val="none" w:sz="0" w:space="0" w:color="auto"/>
        <w:right w:val="none" w:sz="0" w:space="0" w:color="auto"/>
      </w:divBdr>
    </w:div>
    <w:div w:id="1092897371">
      <w:bodyDiv w:val="1"/>
      <w:marLeft w:val="0"/>
      <w:marRight w:val="0"/>
      <w:marTop w:val="0"/>
      <w:marBottom w:val="0"/>
      <w:divBdr>
        <w:top w:val="none" w:sz="0" w:space="0" w:color="auto"/>
        <w:left w:val="none" w:sz="0" w:space="0" w:color="auto"/>
        <w:bottom w:val="none" w:sz="0" w:space="0" w:color="auto"/>
        <w:right w:val="none" w:sz="0" w:space="0" w:color="auto"/>
      </w:divBdr>
    </w:div>
    <w:div w:id="1095832707">
      <w:bodyDiv w:val="1"/>
      <w:marLeft w:val="0"/>
      <w:marRight w:val="0"/>
      <w:marTop w:val="0"/>
      <w:marBottom w:val="0"/>
      <w:divBdr>
        <w:top w:val="none" w:sz="0" w:space="0" w:color="auto"/>
        <w:left w:val="none" w:sz="0" w:space="0" w:color="auto"/>
        <w:bottom w:val="none" w:sz="0" w:space="0" w:color="auto"/>
        <w:right w:val="none" w:sz="0" w:space="0" w:color="auto"/>
      </w:divBdr>
    </w:div>
    <w:div w:id="1098213936">
      <w:bodyDiv w:val="1"/>
      <w:marLeft w:val="0"/>
      <w:marRight w:val="0"/>
      <w:marTop w:val="0"/>
      <w:marBottom w:val="0"/>
      <w:divBdr>
        <w:top w:val="none" w:sz="0" w:space="0" w:color="auto"/>
        <w:left w:val="none" w:sz="0" w:space="0" w:color="auto"/>
        <w:bottom w:val="none" w:sz="0" w:space="0" w:color="auto"/>
        <w:right w:val="none" w:sz="0" w:space="0" w:color="auto"/>
      </w:divBdr>
    </w:div>
    <w:div w:id="1099059437">
      <w:bodyDiv w:val="1"/>
      <w:marLeft w:val="0"/>
      <w:marRight w:val="0"/>
      <w:marTop w:val="0"/>
      <w:marBottom w:val="0"/>
      <w:divBdr>
        <w:top w:val="none" w:sz="0" w:space="0" w:color="auto"/>
        <w:left w:val="none" w:sz="0" w:space="0" w:color="auto"/>
        <w:bottom w:val="none" w:sz="0" w:space="0" w:color="auto"/>
        <w:right w:val="none" w:sz="0" w:space="0" w:color="auto"/>
      </w:divBdr>
    </w:div>
    <w:div w:id="1099906794">
      <w:bodyDiv w:val="1"/>
      <w:marLeft w:val="0"/>
      <w:marRight w:val="0"/>
      <w:marTop w:val="0"/>
      <w:marBottom w:val="0"/>
      <w:divBdr>
        <w:top w:val="none" w:sz="0" w:space="0" w:color="auto"/>
        <w:left w:val="none" w:sz="0" w:space="0" w:color="auto"/>
        <w:bottom w:val="none" w:sz="0" w:space="0" w:color="auto"/>
        <w:right w:val="none" w:sz="0" w:space="0" w:color="auto"/>
      </w:divBdr>
    </w:div>
    <w:div w:id="1100874111">
      <w:bodyDiv w:val="1"/>
      <w:marLeft w:val="0"/>
      <w:marRight w:val="0"/>
      <w:marTop w:val="0"/>
      <w:marBottom w:val="0"/>
      <w:divBdr>
        <w:top w:val="none" w:sz="0" w:space="0" w:color="auto"/>
        <w:left w:val="none" w:sz="0" w:space="0" w:color="auto"/>
        <w:bottom w:val="none" w:sz="0" w:space="0" w:color="auto"/>
        <w:right w:val="none" w:sz="0" w:space="0" w:color="auto"/>
      </w:divBdr>
    </w:div>
    <w:div w:id="1101102718">
      <w:bodyDiv w:val="1"/>
      <w:marLeft w:val="0"/>
      <w:marRight w:val="0"/>
      <w:marTop w:val="0"/>
      <w:marBottom w:val="0"/>
      <w:divBdr>
        <w:top w:val="none" w:sz="0" w:space="0" w:color="auto"/>
        <w:left w:val="none" w:sz="0" w:space="0" w:color="auto"/>
        <w:bottom w:val="none" w:sz="0" w:space="0" w:color="auto"/>
        <w:right w:val="none" w:sz="0" w:space="0" w:color="auto"/>
      </w:divBdr>
    </w:div>
    <w:div w:id="1102729400">
      <w:bodyDiv w:val="1"/>
      <w:marLeft w:val="0"/>
      <w:marRight w:val="0"/>
      <w:marTop w:val="0"/>
      <w:marBottom w:val="0"/>
      <w:divBdr>
        <w:top w:val="none" w:sz="0" w:space="0" w:color="auto"/>
        <w:left w:val="none" w:sz="0" w:space="0" w:color="auto"/>
        <w:bottom w:val="none" w:sz="0" w:space="0" w:color="auto"/>
        <w:right w:val="none" w:sz="0" w:space="0" w:color="auto"/>
      </w:divBdr>
    </w:div>
    <w:div w:id="1102847391">
      <w:bodyDiv w:val="1"/>
      <w:marLeft w:val="0"/>
      <w:marRight w:val="0"/>
      <w:marTop w:val="0"/>
      <w:marBottom w:val="0"/>
      <w:divBdr>
        <w:top w:val="none" w:sz="0" w:space="0" w:color="auto"/>
        <w:left w:val="none" w:sz="0" w:space="0" w:color="auto"/>
        <w:bottom w:val="none" w:sz="0" w:space="0" w:color="auto"/>
        <w:right w:val="none" w:sz="0" w:space="0" w:color="auto"/>
      </w:divBdr>
    </w:div>
    <w:div w:id="1103110761">
      <w:bodyDiv w:val="1"/>
      <w:marLeft w:val="0"/>
      <w:marRight w:val="0"/>
      <w:marTop w:val="0"/>
      <w:marBottom w:val="0"/>
      <w:divBdr>
        <w:top w:val="none" w:sz="0" w:space="0" w:color="auto"/>
        <w:left w:val="none" w:sz="0" w:space="0" w:color="auto"/>
        <w:bottom w:val="none" w:sz="0" w:space="0" w:color="auto"/>
        <w:right w:val="none" w:sz="0" w:space="0" w:color="auto"/>
      </w:divBdr>
    </w:div>
    <w:div w:id="1103769063">
      <w:bodyDiv w:val="1"/>
      <w:marLeft w:val="0"/>
      <w:marRight w:val="0"/>
      <w:marTop w:val="0"/>
      <w:marBottom w:val="0"/>
      <w:divBdr>
        <w:top w:val="none" w:sz="0" w:space="0" w:color="auto"/>
        <w:left w:val="none" w:sz="0" w:space="0" w:color="auto"/>
        <w:bottom w:val="none" w:sz="0" w:space="0" w:color="auto"/>
        <w:right w:val="none" w:sz="0" w:space="0" w:color="auto"/>
      </w:divBdr>
    </w:div>
    <w:div w:id="1103955459">
      <w:bodyDiv w:val="1"/>
      <w:marLeft w:val="0"/>
      <w:marRight w:val="0"/>
      <w:marTop w:val="0"/>
      <w:marBottom w:val="0"/>
      <w:divBdr>
        <w:top w:val="none" w:sz="0" w:space="0" w:color="auto"/>
        <w:left w:val="none" w:sz="0" w:space="0" w:color="auto"/>
        <w:bottom w:val="none" w:sz="0" w:space="0" w:color="auto"/>
        <w:right w:val="none" w:sz="0" w:space="0" w:color="auto"/>
      </w:divBdr>
    </w:div>
    <w:div w:id="1104301700">
      <w:bodyDiv w:val="1"/>
      <w:marLeft w:val="0"/>
      <w:marRight w:val="0"/>
      <w:marTop w:val="0"/>
      <w:marBottom w:val="0"/>
      <w:divBdr>
        <w:top w:val="none" w:sz="0" w:space="0" w:color="auto"/>
        <w:left w:val="none" w:sz="0" w:space="0" w:color="auto"/>
        <w:bottom w:val="none" w:sz="0" w:space="0" w:color="auto"/>
        <w:right w:val="none" w:sz="0" w:space="0" w:color="auto"/>
      </w:divBdr>
    </w:div>
    <w:div w:id="1105614188">
      <w:bodyDiv w:val="1"/>
      <w:marLeft w:val="0"/>
      <w:marRight w:val="0"/>
      <w:marTop w:val="0"/>
      <w:marBottom w:val="0"/>
      <w:divBdr>
        <w:top w:val="none" w:sz="0" w:space="0" w:color="auto"/>
        <w:left w:val="none" w:sz="0" w:space="0" w:color="auto"/>
        <w:bottom w:val="none" w:sz="0" w:space="0" w:color="auto"/>
        <w:right w:val="none" w:sz="0" w:space="0" w:color="auto"/>
      </w:divBdr>
    </w:div>
    <w:div w:id="1107575965">
      <w:bodyDiv w:val="1"/>
      <w:marLeft w:val="0"/>
      <w:marRight w:val="0"/>
      <w:marTop w:val="0"/>
      <w:marBottom w:val="0"/>
      <w:divBdr>
        <w:top w:val="none" w:sz="0" w:space="0" w:color="auto"/>
        <w:left w:val="none" w:sz="0" w:space="0" w:color="auto"/>
        <w:bottom w:val="none" w:sz="0" w:space="0" w:color="auto"/>
        <w:right w:val="none" w:sz="0" w:space="0" w:color="auto"/>
      </w:divBdr>
    </w:div>
    <w:div w:id="1108084087">
      <w:bodyDiv w:val="1"/>
      <w:marLeft w:val="0"/>
      <w:marRight w:val="0"/>
      <w:marTop w:val="0"/>
      <w:marBottom w:val="0"/>
      <w:divBdr>
        <w:top w:val="none" w:sz="0" w:space="0" w:color="auto"/>
        <w:left w:val="none" w:sz="0" w:space="0" w:color="auto"/>
        <w:bottom w:val="none" w:sz="0" w:space="0" w:color="auto"/>
        <w:right w:val="none" w:sz="0" w:space="0" w:color="auto"/>
      </w:divBdr>
    </w:div>
    <w:div w:id="1111239750">
      <w:bodyDiv w:val="1"/>
      <w:marLeft w:val="0"/>
      <w:marRight w:val="0"/>
      <w:marTop w:val="0"/>
      <w:marBottom w:val="0"/>
      <w:divBdr>
        <w:top w:val="none" w:sz="0" w:space="0" w:color="auto"/>
        <w:left w:val="none" w:sz="0" w:space="0" w:color="auto"/>
        <w:bottom w:val="none" w:sz="0" w:space="0" w:color="auto"/>
        <w:right w:val="none" w:sz="0" w:space="0" w:color="auto"/>
      </w:divBdr>
    </w:div>
    <w:div w:id="1111709245">
      <w:bodyDiv w:val="1"/>
      <w:marLeft w:val="0"/>
      <w:marRight w:val="0"/>
      <w:marTop w:val="0"/>
      <w:marBottom w:val="0"/>
      <w:divBdr>
        <w:top w:val="none" w:sz="0" w:space="0" w:color="auto"/>
        <w:left w:val="none" w:sz="0" w:space="0" w:color="auto"/>
        <w:bottom w:val="none" w:sz="0" w:space="0" w:color="auto"/>
        <w:right w:val="none" w:sz="0" w:space="0" w:color="auto"/>
      </w:divBdr>
    </w:div>
    <w:div w:id="1112046019">
      <w:bodyDiv w:val="1"/>
      <w:marLeft w:val="0"/>
      <w:marRight w:val="0"/>
      <w:marTop w:val="0"/>
      <w:marBottom w:val="0"/>
      <w:divBdr>
        <w:top w:val="none" w:sz="0" w:space="0" w:color="auto"/>
        <w:left w:val="none" w:sz="0" w:space="0" w:color="auto"/>
        <w:bottom w:val="none" w:sz="0" w:space="0" w:color="auto"/>
        <w:right w:val="none" w:sz="0" w:space="0" w:color="auto"/>
      </w:divBdr>
    </w:div>
    <w:div w:id="1113790090">
      <w:bodyDiv w:val="1"/>
      <w:marLeft w:val="0"/>
      <w:marRight w:val="0"/>
      <w:marTop w:val="0"/>
      <w:marBottom w:val="0"/>
      <w:divBdr>
        <w:top w:val="none" w:sz="0" w:space="0" w:color="auto"/>
        <w:left w:val="none" w:sz="0" w:space="0" w:color="auto"/>
        <w:bottom w:val="none" w:sz="0" w:space="0" w:color="auto"/>
        <w:right w:val="none" w:sz="0" w:space="0" w:color="auto"/>
      </w:divBdr>
    </w:div>
    <w:div w:id="1113982287">
      <w:bodyDiv w:val="1"/>
      <w:marLeft w:val="0"/>
      <w:marRight w:val="0"/>
      <w:marTop w:val="0"/>
      <w:marBottom w:val="0"/>
      <w:divBdr>
        <w:top w:val="none" w:sz="0" w:space="0" w:color="auto"/>
        <w:left w:val="none" w:sz="0" w:space="0" w:color="auto"/>
        <w:bottom w:val="none" w:sz="0" w:space="0" w:color="auto"/>
        <w:right w:val="none" w:sz="0" w:space="0" w:color="auto"/>
      </w:divBdr>
    </w:div>
    <w:div w:id="1117215904">
      <w:bodyDiv w:val="1"/>
      <w:marLeft w:val="0"/>
      <w:marRight w:val="0"/>
      <w:marTop w:val="0"/>
      <w:marBottom w:val="0"/>
      <w:divBdr>
        <w:top w:val="none" w:sz="0" w:space="0" w:color="auto"/>
        <w:left w:val="none" w:sz="0" w:space="0" w:color="auto"/>
        <w:bottom w:val="none" w:sz="0" w:space="0" w:color="auto"/>
        <w:right w:val="none" w:sz="0" w:space="0" w:color="auto"/>
      </w:divBdr>
    </w:div>
    <w:div w:id="1117717588">
      <w:bodyDiv w:val="1"/>
      <w:marLeft w:val="0"/>
      <w:marRight w:val="0"/>
      <w:marTop w:val="0"/>
      <w:marBottom w:val="0"/>
      <w:divBdr>
        <w:top w:val="none" w:sz="0" w:space="0" w:color="auto"/>
        <w:left w:val="none" w:sz="0" w:space="0" w:color="auto"/>
        <w:bottom w:val="none" w:sz="0" w:space="0" w:color="auto"/>
        <w:right w:val="none" w:sz="0" w:space="0" w:color="auto"/>
      </w:divBdr>
    </w:div>
    <w:div w:id="1118841732">
      <w:bodyDiv w:val="1"/>
      <w:marLeft w:val="0"/>
      <w:marRight w:val="0"/>
      <w:marTop w:val="0"/>
      <w:marBottom w:val="0"/>
      <w:divBdr>
        <w:top w:val="none" w:sz="0" w:space="0" w:color="auto"/>
        <w:left w:val="none" w:sz="0" w:space="0" w:color="auto"/>
        <w:bottom w:val="none" w:sz="0" w:space="0" w:color="auto"/>
        <w:right w:val="none" w:sz="0" w:space="0" w:color="auto"/>
      </w:divBdr>
    </w:div>
    <w:div w:id="1118991386">
      <w:bodyDiv w:val="1"/>
      <w:marLeft w:val="0"/>
      <w:marRight w:val="0"/>
      <w:marTop w:val="0"/>
      <w:marBottom w:val="0"/>
      <w:divBdr>
        <w:top w:val="none" w:sz="0" w:space="0" w:color="auto"/>
        <w:left w:val="none" w:sz="0" w:space="0" w:color="auto"/>
        <w:bottom w:val="none" w:sz="0" w:space="0" w:color="auto"/>
        <w:right w:val="none" w:sz="0" w:space="0" w:color="auto"/>
      </w:divBdr>
    </w:div>
    <w:div w:id="1119959521">
      <w:bodyDiv w:val="1"/>
      <w:marLeft w:val="0"/>
      <w:marRight w:val="0"/>
      <w:marTop w:val="0"/>
      <w:marBottom w:val="0"/>
      <w:divBdr>
        <w:top w:val="none" w:sz="0" w:space="0" w:color="auto"/>
        <w:left w:val="none" w:sz="0" w:space="0" w:color="auto"/>
        <w:bottom w:val="none" w:sz="0" w:space="0" w:color="auto"/>
        <w:right w:val="none" w:sz="0" w:space="0" w:color="auto"/>
      </w:divBdr>
    </w:div>
    <w:div w:id="1120758552">
      <w:bodyDiv w:val="1"/>
      <w:marLeft w:val="0"/>
      <w:marRight w:val="0"/>
      <w:marTop w:val="0"/>
      <w:marBottom w:val="0"/>
      <w:divBdr>
        <w:top w:val="none" w:sz="0" w:space="0" w:color="auto"/>
        <w:left w:val="none" w:sz="0" w:space="0" w:color="auto"/>
        <w:bottom w:val="none" w:sz="0" w:space="0" w:color="auto"/>
        <w:right w:val="none" w:sz="0" w:space="0" w:color="auto"/>
      </w:divBdr>
    </w:div>
    <w:div w:id="1124693467">
      <w:bodyDiv w:val="1"/>
      <w:marLeft w:val="0"/>
      <w:marRight w:val="0"/>
      <w:marTop w:val="0"/>
      <w:marBottom w:val="0"/>
      <w:divBdr>
        <w:top w:val="none" w:sz="0" w:space="0" w:color="auto"/>
        <w:left w:val="none" w:sz="0" w:space="0" w:color="auto"/>
        <w:bottom w:val="none" w:sz="0" w:space="0" w:color="auto"/>
        <w:right w:val="none" w:sz="0" w:space="0" w:color="auto"/>
      </w:divBdr>
    </w:div>
    <w:div w:id="1126463083">
      <w:bodyDiv w:val="1"/>
      <w:marLeft w:val="0"/>
      <w:marRight w:val="0"/>
      <w:marTop w:val="0"/>
      <w:marBottom w:val="0"/>
      <w:divBdr>
        <w:top w:val="none" w:sz="0" w:space="0" w:color="auto"/>
        <w:left w:val="none" w:sz="0" w:space="0" w:color="auto"/>
        <w:bottom w:val="none" w:sz="0" w:space="0" w:color="auto"/>
        <w:right w:val="none" w:sz="0" w:space="0" w:color="auto"/>
      </w:divBdr>
    </w:div>
    <w:div w:id="1127314451">
      <w:bodyDiv w:val="1"/>
      <w:marLeft w:val="0"/>
      <w:marRight w:val="0"/>
      <w:marTop w:val="0"/>
      <w:marBottom w:val="0"/>
      <w:divBdr>
        <w:top w:val="none" w:sz="0" w:space="0" w:color="auto"/>
        <w:left w:val="none" w:sz="0" w:space="0" w:color="auto"/>
        <w:bottom w:val="none" w:sz="0" w:space="0" w:color="auto"/>
        <w:right w:val="none" w:sz="0" w:space="0" w:color="auto"/>
      </w:divBdr>
    </w:div>
    <w:div w:id="1127509600">
      <w:bodyDiv w:val="1"/>
      <w:marLeft w:val="0"/>
      <w:marRight w:val="0"/>
      <w:marTop w:val="0"/>
      <w:marBottom w:val="0"/>
      <w:divBdr>
        <w:top w:val="none" w:sz="0" w:space="0" w:color="auto"/>
        <w:left w:val="none" w:sz="0" w:space="0" w:color="auto"/>
        <w:bottom w:val="none" w:sz="0" w:space="0" w:color="auto"/>
        <w:right w:val="none" w:sz="0" w:space="0" w:color="auto"/>
      </w:divBdr>
    </w:div>
    <w:div w:id="1129863229">
      <w:bodyDiv w:val="1"/>
      <w:marLeft w:val="0"/>
      <w:marRight w:val="0"/>
      <w:marTop w:val="0"/>
      <w:marBottom w:val="0"/>
      <w:divBdr>
        <w:top w:val="none" w:sz="0" w:space="0" w:color="auto"/>
        <w:left w:val="none" w:sz="0" w:space="0" w:color="auto"/>
        <w:bottom w:val="none" w:sz="0" w:space="0" w:color="auto"/>
        <w:right w:val="none" w:sz="0" w:space="0" w:color="auto"/>
      </w:divBdr>
    </w:div>
    <w:div w:id="1130174039">
      <w:bodyDiv w:val="1"/>
      <w:marLeft w:val="0"/>
      <w:marRight w:val="0"/>
      <w:marTop w:val="0"/>
      <w:marBottom w:val="0"/>
      <w:divBdr>
        <w:top w:val="none" w:sz="0" w:space="0" w:color="auto"/>
        <w:left w:val="none" w:sz="0" w:space="0" w:color="auto"/>
        <w:bottom w:val="none" w:sz="0" w:space="0" w:color="auto"/>
        <w:right w:val="none" w:sz="0" w:space="0" w:color="auto"/>
      </w:divBdr>
    </w:div>
    <w:div w:id="1136338504">
      <w:bodyDiv w:val="1"/>
      <w:marLeft w:val="0"/>
      <w:marRight w:val="0"/>
      <w:marTop w:val="0"/>
      <w:marBottom w:val="0"/>
      <w:divBdr>
        <w:top w:val="none" w:sz="0" w:space="0" w:color="auto"/>
        <w:left w:val="none" w:sz="0" w:space="0" w:color="auto"/>
        <w:bottom w:val="none" w:sz="0" w:space="0" w:color="auto"/>
        <w:right w:val="none" w:sz="0" w:space="0" w:color="auto"/>
      </w:divBdr>
    </w:div>
    <w:div w:id="1137259904">
      <w:bodyDiv w:val="1"/>
      <w:marLeft w:val="0"/>
      <w:marRight w:val="0"/>
      <w:marTop w:val="0"/>
      <w:marBottom w:val="0"/>
      <w:divBdr>
        <w:top w:val="none" w:sz="0" w:space="0" w:color="auto"/>
        <w:left w:val="none" w:sz="0" w:space="0" w:color="auto"/>
        <w:bottom w:val="none" w:sz="0" w:space="0" w:color="auto"/>
        <w:right w:val="none" w:sz="0" w:space="0" w:color="auto"/>
      </w:divBdr>
    </w:div>
    <w:div w:id="1137453791">
      <w:bodyDiv w:val="1"/>
      <w:marLeft w:val="0"/>
      <w:marRight w:val="0"/>
      <w:marTop w:val="0"/>
      <w:marBottom w:val="0"/>
      <w:divBdr>
        <w:top w:val="none" w:sz="0" w:space="0" w:color="auto"/>
        <w:left w:val="none" w:sz="0" w:space="0" w:color="auto"/>
        <w:bottom w:val="none" w:sz="0" w:space="0" w:color="auto"/>
        <w:right w:val="none" w:sz="0" w:space="0" w:color="auto"/>
      </w:divBdr>
    </w:div>
    <w:div w:id="1138453563">
      <w:bodyDiv w:val="1"/>
      <w:marLeft w:val="0"/>
      <w:marRight w:val="0"/>
      <w:marTop w:val="0"/>
      <w:marBottom w:val="0"/>
      <w:divBdr>
        <w:top w:val="none" w:sz="0" w:space="0" w:color="auto"/>
        <w:left w:val="none" w:sz="0" w:space="0" w:color="auto"/>
        <w:bottom w:val="none" w:sz="0" w:space="0" w:color="auto"/>
        <w:right w:val="none" w:sz="0" w:space="0" w:color="auto"/>
      </w:divBdr>
    </w:div>
    <w:div w:id="1139615556">
      <w:bodyDiv w:val="1"/>
      <w:marLeft w:val="0"/>
      <w:marRight w:val="0"/>
      <w:marTop w:val="0"/>
      <w:marBottom w:val="0"/>
      <w:divBdr>
        <w:top w:val="none" w:sz="0" w:space="0" w:color="auto"/>
        <w:left w:val="none" w:sz="0" w:space="0" w:color="auto"/>
        <w:bottom w:val="none" w:sz="0" w:space="0" w:color="auto"/>
        <w:right w:val="none" w:sz="0" w:space="0" w:color="auto"/>
      </w:divBdr>
    </w:div>
    <w:div w:id="1147353858">
      <w:bodyDiv w:val="1"/>
      <w:marLeft w:val="0"/>
      <w:marRight w:val="0"/>
      <w:marTop w:val="0"/>
      <w:marBottom w:val="0"/>
      <w:divBdr>
        <w:top w:val="none" w:sz="0" w:space="0" w:color="auto"/>
        <w:left w:val="none" w:sz="0" w:space="0" w:color="auto"/>
        <w:bottom w:val="none" w:sz="0" w:space="0" w:color="auto"/>
        <w:right w:val="none" w:sz="0" w:space="0" w:color="auto"/>
      </w:divBdr>
    </w:div>
    <w:div w:id="1149981146">
      <w:bodyDiv w:val="1"/>
      <w:marLeft w:val="0"/>
      <w:marRight w:val="0"/>
      <w:marTop w:val="0"/>
      <w:marBottom w:val="0"/>
      <w:divBdr>
        <w:top w:val="none" w:sz="0" w:space="0" w:color="auto"/>
        <w:left w:val="none" w:sz="0" w:space="0" w:color="auto"/>
        <w:bottom w:val="none" w:sz="0" w:space="0" w:color="auto"/>
        <w:right w:val="none" w:sz="0" w:space="0" w:color="auto"/>
      </w:divBdr>
    </w:div>
    <w:div w:id="1149984103">
      <w:bodyDiv w:val="1"/>
      <w:marLeft w:val="0"/>
      <w:marRight w:val="0"/>
      <w:marTop w:val="0"/>
      <w:marBottom w:val="0"/>
      <w:divBdr>
        <w:top w:val="none" w:sz="0" w:space="0" w:color="auto"/>
        <w:left w:val="none" w:sz="0" w:space="0" w:color="auto"/>
        <w:bottom w:val="none" w:sz="0" w:space="0" w:color="auto"/>
        <w:right w:val="none" w:sz="0" w:space="0" w:color="auto"/>
      </w:divBdr>
    </w:div>
    <w:div w:id="1157301184">
      <w:bodyDiv w:val="1"/>
      <w:marLeft w:val="0"/>
      <w:marRight w:val="0"/>
      <w:marTop w:val="0"/>
      <w:marBottom w:val="0"/>
      <w:divBdr>
        <w:top w:val="none" w:sz="0" w:space="0" w:color="auto"/>
        <w:left w:val="none" w:sz="0" w:space="0" w:color="auto"/>
        <w:bottom w:val="none" w:sz="0" w:space="0" w:color="auto"/>
        <w:right w:val="none" w:sz="0" w:space="0" w:color="auto"/>
      </w:divBdr>
    </w:div>
    <w:div w:id="1159348819">
      <w:bodyDiv w:val="1"/>
      <w:marLeft w:val="0"/>
      <w:marRight w:val="0"/>
      <w:marTop w:val="0"/>
      <w:marBottom w:val="0"/>
      <w:divBdr>
        <w:top w:val="none" w:sz="0" w:space="0" w:color="auto"/>
        <w:left w:val="none" w:sz="0" w:space="0" w:color="auto"/>
        <w:bottom w:val="none" w:sz="0" w:space="0" w:color="auto"/>
        <w:right w:val="none" w:sz="0" w:space="0" w:color="auto"/>
      </w:divBdr>
    </w:div>
    <w:div w:id="1159541177">
      <w:bodyDiv w:val="1"/>
      <w:marLeft w:val="0"/>
      <w:marRight w:val="0"/>
      <w:marTop w:val="0"/>
      <w:marBottom w:val="0"/>
      <w:divBdr>
        <w:top w:val="none" w:sz="0" w:space="0" w:color="auto"/>
        <w:left w:val="none" w:sz="0" w:space="0" w:color="auto"/>
        <w:bottom w:val="none" w:sz="0" w:space="0" w:color="auto"/>
        <w:right w:val="none" w:sz="0" w:space="0" w:color="auto"/>
      </w:divBdr>
    </w:div>
    <w:div w:id="1160923011">
      <w:bodyDiv w:val="1"/>
      <w:marLeft w:val="0"/>
      <w:marRight w:val="0"/>
      <w:marTop w:val="0"/>
      <w:marBottom w:val="0"/>
      <w:divBdr>
        <w:top w:val="none" w:sz="0" w:space="0" w:color="auto"/>
        <w:left w:val="none" w:sz="0" w:space="0" w:color="auto"/>
        <w:bottom w:val="none" w:sz="0" w:space="0" w:color="auto"/>
        <w:right w:val="none" w:sz="0" w:space="0" w:color="auto"/>
      </w:divBdr>
    </w:div>
    <w:div w:id="1161585841">
      <w:bodyDiv w:val="1"/>
      <w:marLeft w:val="0"/>
      <w:marRight w:val="0"/>
      <w:marTop w:val="0"/>
      <w:marBottom w:val="0"/>
      <w:divBdr>
        <w:top w:val="none" w:sz="0" w:space="0" w:color="auto"/>
        <w:left w:val="none" w:sz="0" w:space="0" w:color="auto"/>
        <w:bottom w:val="none" w:sz="0" w:space="0" w:color="auto"/>
        <w:right w:val="none" w:sz="0" w:space="0" w:color="auto"/>
      </w:divBdr>
    </w:div>
    <w:div w:id="1167668179">
      <w:bodyDiv w:val="1"/>
      <w:marLeft w:val="0"/>
      <w:marRight w:val="0"/>
      <w:marTop w:val="0"/>
      <w:marBottom w:val="0"/>
      <w:divBdr>
        <w:top w:val="none" w:sz="0" w:space="0" w:color="auto"/>
        <w:left w:val="none" w:sz="0" w:space="0" w:color="auto"/>
        <w:bottom w:val="none" w:sz="0" w:space="0" w:color="auto"/>
        <w:right w:val="none" w:sz="0" w:space="0" w:color="auto"/>
      </w:divBdr>
    </w:div>
    <w:div w:id="1168250481">
      <w:bodyDiv w:val="1"/>
      <w:marLeft w:val="0"/>
      <w:marRight w:val="0"/>
      <w:marTop w:val="0"/>
      <w:marBottom w:val="0"/>
      <w:divBdr>
        <w:top w:val="none" w:sz="0" w:space="0" w:color="auto"/>
        <w:left w:val="none" w:sz="0" w:space="0" w:color="auto"/>
        <w:bottom w:val="none" w:sz="0" w:space="0" w:color="auto"/>
        <w:right w:val="none" w:sz="0" w:space="0" w:color="auto"/>
      </w:divBdr>
    </w:div>
    <w:div w:id="1171405809">
      <w:bodyDiv w:val="1"/>
      <w:marLeft w:val="0"/>
      <w:marRight w:val="0"/>
      <w:marTop w:val="0"/>
      <w:marBottom w:val="0"/>
      <w:divBdr>
        <w:top w:val="none" w:sz="0" w:space="0" w:color="auto"/>
        <w:left w:val="none" w:sz="0" w:space="0" w:color="auto"/>
        <w:bottom w:val="none" w:sz="0" w:space="0" w:color="auto"/>
        <w:right w:val="none" w:sz="0" w:space="0" w:color="auto"/>
      </w:divBdr>
    </w:div>
    <w:div w:id="1172065366">
      <w:bodyDiv w:val="1"/>
      <w:marLeft w:val="0"/>
      <w:marRight w:val="0"/>
      <w:marTop w:val="0"/>
      <w:marBottom w:val="0"/>
      <w:divBdr>
        <w:top w:val="none" w:sz="0" w:space="0" w:color="auto"/>
        <w:left w:val="none" w:sz="0" w:space="0" w:color="auto"/>
        <w:bottom w:val="none" w:sz="0" w:space="0" w:color="auto"/>
        <w:right w:val="none" w:sz="0" w:space="0" w:color="auto"/>
      </w:divBdr>
    </w:div>
    <w:div w:id="1172840083">
      <w:bodyDiv w:val="1"/>
      <w:marLeft w:val="0"/>
      <w:marRight w:val="0"/>
      <w:marTop w:val="0"/>
      <w:marBottom w:val="0"/>
      <w:divBdr>
        <w:top w:val="none" w:sz="0" w:space="0" w:color="auto"/>
        <w:left w:val="none" w:sz="0" w:space="0" w:color="auto"/>
        <w:bottom w:val="none" w:sz="0" w:space="0" w:color="auto"/>
        <w:right w:val="none" w:sz="0" w:space="0" w:color="auto"/>
      </w:divBdr>
    </w:div>
    <w:div w:id="1173227421">
      <w:bodyDiv w:val="1"/>
      <w:marLeft w:val="0"/>
      <w:marRight w:val="0"/>
      <w:marTop w:val="0"/>
      <w:marBottom w:val="0"/>
      <w:divBdr>
        <w:top w:val="none" w:sz="0" w:space="0" w:color="auto"/>
        <w:left w:val="none" w:sz="0" w:space="0" w:color="auto"/>
        <w:bottom w:val="none" w:sz="0" w:space="0" w:color="auto"/>
        <w:right w:val="none" w:sz="0" w:space="0" w:color="auto"/>
      </w:divBdr>
    </w:div>
    <w:div w:id="1178421045">
      <w:bodyDiv w:val="1"/>
      <w:marLeft w:val="0"/>
      <w:marRight w:val="0"/>
      <w:marTop w:val="0"/>
      <w:marBottom w:val="0"/>
      <w:divBdr>
        <w:top w:val="none" w:sz="0" w:space="0" w:color="auto"/>
        <w:left w:val="none" w:sz="0" w:space="0" w:color="auto"/>
        <w:bottom w:val="none" w:sz="0" w:space="0" w:color="auto"/>
        <w:right w:val="none" w:sz="0" w:space="0" w:color="auto"/>
      </w:divBdr>
    </w:div>
    <w:div w:id="1179198785">
      <w:bodyDiv w:val="1"/>
      <w:marLeft w:val="0"/>
      <w:marRight w:val="0"/>
      <w:marTop w:val="0"/>
      <w:marBottom w:val="0"/>
      <w:divBdr>
        <w:top w:val="none" w:sz="0" w:space="0" w:color="auto"/>
        <w:left w:val="none" w:sz="0" w:space="0" w:color="auto"/>
        <w:bottom w:val="none" w:sz="0" w:space="0" w:color="auto"/>
        <w:right w:val="none" w:sz="0" w:space="0" w:color="auto"/>
      </w:divBdr>
    </w:div>
    <w:div w:id="1182933524">
      <w:bodyDiv w:val="1"/>
      <w:marLeft w:val="0"/>
      <w:marRight w:val="0"/>
      <w:marTop w:val="0"/>
      <w:marBottom w:val="0"/>
      <w:divBdr>
        <w:top w:val="none" w:sz="0" w:space="0" w:color="auto"/>
        <w:left w:val="none" w:sz="0" w:space="0" w:color="auto"/>
        <w:bottom w:val="none" w:sz="0" w:space="0" w:color="auto"/>
        <w:right w:val="none" w:sz="0" w:space="0" w:color="auto"/>
      </w:divBdr>
    </w:div>
    <w:div w:id="1183086481">
      <w:bodyDiv w:val="1"/>
      <w:marLeft w:val="0"/>
      <w:marRight w:val="0"/>
      <w:marTop w:val="0"/>
      <w:marBottom w:val="0"/>
      <w:divBdr>
        <w:top w:val="none" w:sz="0" w:space="0" w:color="auto"/>
        <w:left w:val="none" w:sz="0" w:space="0" w:color="auto"/>
        <w:bottom w:val="none" w:sz="0" w:space="0" w:color="auto"/>
        <w:right w:val="none" w:sz="0" w:space="0" w:color="auto"/>
      </w:divBdr>
    </w:div>
    <w:div w:id="1184006012">
      <w:bodyDiv w:val="1"/>
      <w:marLeft w:val="0"/>
      <w:marRight w:val="0"/>
      <w:marTop w:val="0"/>
      <w:marBottom w:val="0"/>
      <w:divBdr>
        <w:top w:val="none" w:sz="0" w:space="0" w:color="auto"/>
        <w:left w:val="none" w:sz="0" w:space="0" w:color="auto"/>
        <w:bottom w:val="none" w:sz="0" w:space="0" w:color="auto"/>
        <w:right w:val="none" w:sz="0" w:space="0" w:color="auto"/>
      </w:divBdr>
    </w:div>
    <w:div w:id="1184133172">
      <w:bodyDiv w:val="1"/>
      <w:marLeft w:val="0"/>
      <w:marRight w:val="0"/>
      <w:marTop w:val="0"/>
      <w:marBottom w:val="0"/>
      <w:divBdr>
        <w:top w:val="none" w:sz="0" w:space="0" w:color="auto"/>
        <w:left w:val="none" w:sz="0" w:space="0" w:color="auto"/>
        <w:bottom w:val="none" w:sz="0" w:space="0" w:color="auto"/>
        <w:right w:val="none" w:sz="0" w:space="0" w:color="auto"/>
      </w:divBdr>
    </w:div>
    <w:div w:id="1187672582">
      <w:bodyDiv w:val="1"/>
      <w:marLeft w:val="0"/>
      <w:marRight w:val="0"/>
      <w:marTop w:val="0"/>
      <w:marBottom w:val="0"/>
      <w:divBdr>
        <w:top w:val="none" w:sz="0" w:space="0" w:color="auto"/>
        <w:left w:val="none" w:sz="0" w:space="0" w:color="auto"/>
        <w:bottom w:val="none" w:sz="0" w:space="0" w:color="auto"/>
        <w:right w:val="none" w:sz="0" w:space="0" w:color="auto"/>
      </w:divBdr>
    </w:div>
    <w:div w:id="1191643833">
      <w:bodyDiv w:val="1"/>
      <w:marLeft w:val="0"/>
      <w:marRight w:val="0"/>
      <w:marTop w:val="0"/>
      <w:marBottom w:val="0"/>
      <w:divBdr>
        <w:top w:val="none" w:sz="0" w:space="0" w:color="auto"/>
        <w:left w:val="none" w:sz="0" w:space="0" w:color="auto"/>
        <w:bottom w:val="none" w:sz="0" w:space="0" w:color="auto"/>
        <w:right w:val="none" w:sz="0" w:space="0" w:color="auto"/>
      </w:divBdr>
    </w:div>
    <w:div w:id="1192719697">
      <w:bodyDiv w:val="1"/>
      <w:marLeft w:val="0"/>
      <w:marRight w:val="0"/>
      <w:marTop w:val="0"/>
      <w:marBottom w:val="0"/>
      <w:divBdr>
        <w:top w:val="none" w:sz="0" w:space="0" w:color="auto"/>
        <w:left w:val="none" w:sz="0" w:space="0" w:color="auto"/>
        <w:bottom w:val="none" w:sz="0" w:space="0" w:color="auto"/>
        <w:right w:val="none" w:sz="0" w:space="0" w:color="auto"/>
      </w:divBdr>
    </w:div>
    <w:div w:id="1200778226">
      <w:bodyDiv w:val="1"/>
      <w:marLeft w:val="0"/>
      <w:marRight w:val="0"/>
      <w:marTop w:val="0"/>
      <w:marBottom w:val="0"/>
      <w:divBdr>
        <w:top w:val="none" w:sz="0" w:space="0" w:color="auto"/>
        <w:left w:val="none" w:sz="0" w:space="0" w:color="auto"/>
        <w:bottom w:val="none" w:sz="0" w:space="0" w:color="auto"/>
        <w:right w:val="none" w:sz="0" w:space="0" w:color="auto"/>
      </w:divBdr>
    </w:div>
    <w:div w:id="1201549094">
      <w:bodyDiv w:val="1"/>
      <w:marLeft w:val="0"/>
      <w:marRight w:val="0"/>
      <w:marTop w:val="0"/>
      <w:marBottom w:val="0"/>
      <w:divBdr>
        <w:top w:val="none" w:sz="0" w:space="0" w:color="auto"/>
        <w:left w:val="none" w:sz="0" w:space="0" w:color="auto"/>
        <w:bottom w:val="none" w:sz="0" w:space="0" w:color="auto"/>
        <w:right w:val="none" w:sz="0" w:space="0" w:color="auto"/>
      </w:divBdr>
    </w:div>
    <w:div w:id="1203060186">
      <w:bodyDiv w:val="1"/>
      <w:marLeft w:val="0"/>
      <w:marRight w:val="0"/>
      <w:marTop w:val="0"/>
      <w:marBottom w:val="0"/>
      <w:divBdr>
        <w:top w:val="none" w:sz="0" w:space="0" w:color="auto"/>
        <w:left w:val="none" w:sz="0" w:space="0" w:color="auto"/>
        <w:bottom w:val="none" w:sz="0" w:space="0" w:color="auto"/>
        <w:right w:val="none" w:sz="0" w:space="0" w:color="auto"/>
      </w:divBdr>
    </w:div>
    <w:div w:id="1205412759">
      <w:bodyDiv w:val="1"/>
      <w:marLeft w:val="0"/>
      <w:marRight w:val="0"/>
      <w:marTop w:val="0"/>
      <w:marBottom w:val="0"/>
      <w:divBdr>
        <w:top w:val="none" w:sz="0" w:space="0" w:color="auto"/>
        <w:left w:val="none" w:sz="0" w:space="0" w:color="auto"/>
        <w:bottom w:val="none" w:sz="0" w:space="0" w:color="auto"/>
        <w:right w:val="none" w:sz="0" w:space="0" w:color="auto"/>
      </w:divBdr>
    </w:div>
    <w:div w:id="1206722703">
      <w:bodyDiv w:val="1"/>
      <w:marLeft w:val="0"/>
      <w:marRight w:val="0"/>
      <w:marTop w:val="0"/>
      <w:marBottom w:val="0"/>
      <w:divBdr>
        <w:top w:val="none" w:sz="0" w:space="0" w:color="auto"/>
        <w:left w:val="none" w:sz="0" w:space="0" w:color="auto"/>
        <w:bottom w:val="none" w:sz="0" w:space="0" w:color="auto"/>
        <w:right w:val="none" w:sz="0" w:space="0" w:color="auto"/>
      </w:divBdr>
    </w:div>
    <w:div w:id="1209336488">
      <w:bodyDiv w:val="1"/>
      <w:marLeft w:val="0"/>
      <w:marRight w:val="0"/>
      <w:marTop w:val="0"/>
      <w:marBottom w:val="0"/>
      <w:divBdr>
        <w:top w:val="none" w:sz="0" w:space="0" w:color="auto"/>
        <w:left w:val="none" w:sz="0" w:space="0" w:color="auto"/>
        <w:bottom w:val="none" w:sz="0" w:space="0" w:color="auto"/>
        <w:right w:val="none" w:sz="0" w:space="0" w:color="auto"/>
      </w:divBdr>
    </w:div>
    <w:div w:id="1210150330">
      <w:bodyDiv w:val="1"/>
      <w:marLeft w:val="0"/>
      <w:marRight w:val="0"/>
      <w:marTop w:val="0"/>
      <w:marBottom w:val="0"/>
      <w:divBdr>
        <w:top w:val="none" w:sz="0" w:space="0" w:color="auto"/>
        <w:left w:val="none" w:sz="0" w:space="0" w:color="auto"/>
        <w:bottom w:val="none" w:sz="0" w:space="0" w:color="auto"/>
        <w:right w:val="none" w:sz="0" w:space="0" w:color="auto"/>
      </w:divBdr>
    </w:div>
    <w:div w:id="1210457822">
      <w:bodyDiv w:val="1"/>
      <w:marLeft w:val="0"/>
      <w:marRight w:val="0"/>
      <w:marTop w:val="0"/>
      <w:marBottom w:val="0"/>
      <w:divBdr>
        <w:top w:val="none" w:sz="0" w:space="0" w:color="auto"/>
        <w:left w:val="none" w:sz="0" w:space="0" w:color="auto"/>
        <w:bottom w:val="none" w:sz="0" w:space="0" w:color="auto"/>
        <w:right w:val="none" w:sz="0" w:space="0" w:color="auto"/>
      </w:divBdr>
    </w:div>
    <w:div w:id="1210529203">
      <w:bodyDiv w:val="1"/>
      <w:marLeft w:val="0"/>
      <w:marRight w:val="0"/>
      <w:marTop w:val="0"/>
      <w:marBottom w:val="0"/>
      <w:divBdr>
        <w:top w:val="none" w:sz="0" w:space="0" w:color="auto"/>
        <w:left w:val="none" w:sz="0" w:space="0" w:color="auto"/>
        <w:bottom w:val="none" w:sz="0" w:space="0" w:color="auto"/>
        <w:right w:val="none" w:sz="0" w:space="0" w:color="auto"/>
      </w:divBdr>
    </w:div>
    <w:div w:id="1217161607">
      <w:bodyDiv w:val="1"/>
      <w:marLeft w:val="0"/>
      <w:marRight w:val="0"/>
      <w:marTop w:val="0"/>
      <w:marBottom w:val="0"/>
      <w:divBdr>
        <w:top w:val="none" w:sz="0" w:space="0" w:color="auto"/>
        <w:left w:val="none" w:sz="0" w:space="0" w:color="auto"/>
        <w:bottom w:val="none" w:sz="0" w:space="0" w:color="auto"/>
        <w:right w:val="none" w:sz="0" w:space="0" w:color="auto"/>
      </w:divBdr>
    </w:div>
    <w:div w:id="1217356183">
      <w:bodyDiv w:val="1"/>
      <w:marLeft w:val="0"/>
      <w:marRight w:val="0"/>
      <w:marTop w:val="0"/>
      <w:marBottom w:val="0"/>
      <w:divBdr>
        <w:top w:val="none" w:sz="0" w:space="0" w:color="auto"/>
        <w:left w:val="none" w:sz="0" w:space="0" w:color="auto"/>
        <w:bottom w:val="none" w:sz="0" w:space="0" w:color="auto"/>
        <w:right w:val="none" w:sz="0" w:space="0" w:color="auto"/>
      </w:divBdr>
    </w:div>
    <w:div w:id="1217668233">
      <w:bodyDiv w:val="1"/>
      <w:marLeft w:val="0"/>
      <w:marRight w:val="0"/>
      <w:marTop w:val="0"/>
      <w:marBottom w:val="0"/>
      <w:divBdr>
        <w:top w:val="none" w:sz="0" w:space="0" w:color="auto"/>
        <w:left w:val="none" w:sz="0" w:space="0" w:color="auto"/>
        <w:bottom w:val="none" w:sz="0" w:space="0" w:color="auto"/>
        <w:right w:val="none" w:sz="0" w:space="0" w:color="auto"/>
      </w:divBdr>
    </w:div>
    <w:div w:id="1218471477">
      <w:bodyDiv w:val="1"/>
      <w:marLeft w:val="0"/>
      <w:marRight w:val="0"/>
      <w:marTop w:val="0"/>
      <w:marBottom w:val="0"/>
      <w:divBdr>
        <w:top w:val="none" w:sz="0" w:space="0" w:color="auto"/>
        <w:left w:val="none" w:sz="0" w:space="0" w:color="auto"/>
        <w:bottom w:val="none" w:sz="0" w:space="0" w:color="auto"/>
        <w:right w:val="none" w:sz="0" w:space="0" w:color="auto"/>
      </w:divBdr>
    </w:div>
    <w:div w:id="1218932681">
      <w:bodyDiv w:val="1"/>
      <w:marLeft w:val="0"/>
      <w:marRight w:val="0"/>
      <w:marTop w:val="0"/>
      <w:marBottom w:val="0"/>
      <w:divBdr>
        <w:top w:val="none" w:sz="0" w:space="0" w:color="auto"/>
        <w:left w:val="none" w:sz="0" w:space="0" w:color="auto"/>
        <w:bottom w:val="none" w:sz="0" w:space="0" w:color="auto"/>
        <w:right w:val="none" w:sz="0" w:space="0" w:color="auto"/>
      </w:divBdr>
    </w:div>
    <w:div w:id="1220247442">
      <w:bodyDiv w:val="1"/>
      <w:marLeft w:val="0"/>
      <w:marRight w:val="0"/>
      <w:marTop w:val="0"/>
      <w:marBottom w:val="0"/>
      <w:divBdr>
        <w:top w:val="none" w:sz="0" w:space="0" w:color="auto"/>
        <w:left w:val="none" w:sz="0" w:space="0" w:color="auto"/>
        <w:bottom w:val="none" w:sz="0" w:space="0" w:color="auto"/>
        <w:right w:val="none" w:sz="0" w:space="0" w:color="auto"/>
      </w:divBdr>
    </w:div>
    <w:div w:id="1226180066">
      <w:bodyDiv w:val="1"/>
      <w:marLeft w:val="0"/>
      <w:marRight w:val="0"/>
      <w:marTop w:val="0"/>
      <w:marBottom w:val="0"/>
      <w:divBdr>
        <w:top w:val="none" w:sz="0" w:space="0" w:color="auto"/>
        <w:left w:val="none" w:sz="0" w:space="0" w:color="auto"/>
        <w:bottom w:val="none" w:sz="0" w:space="0" w:color="auto"/>
        <w:right w:val="none" w:sz="0" w:space="0" w:color="auto"/>
      </w:divBdr>
    </w:div>
    <w:div w:id="1228371958">
      <w:bodyDiv w:val="1"/>
      <w:marLeft w:val="0"/>
      <w:marRight w:val="0"/>
      <w:marTop w:val="0"/>
      <w:marBottom w:val="0"/>
      <w:divBdr>
        <w:top w:val="none" w:sz="0" w:space="0" w:color="auto"/>
        <w:left w:val="none" w:sz="0" w:space="0" w:color="auto"/>
        <w:bottom w:val="none" w:sz="0" w:space="0" w:color="auto"/>
        <w:right w:val="none" w:sz="0" w:space="0" w:color="auto"/>
      </w:divBdr>
    </w:div>
    <w:div w:id="1230921664">
      <w:bodyDiv w:val="1"/>
      <w:marLeft w:val="0"/>
      <w:marRight w:val="0"/>
      <w:marTop w:val="0"/>
      <w:marBottom w:val="0"/>
      <w:divBdr>
        <w:top w:val="none" w:sz="0" w:space="0" w:color="auto"/>
        <w:left w:val="none" w:sz="0" w:space="0" w:color="auto"/>
        <w:bottom w:val="none" w:sz="0" w:space="0" w:color="auto"/>
        <w:right w:val="none" w:sz="0" w:space="0" w:color="auto"/>
      </w:divBdr>
    </w:div>
    <w:div w:id="1232156854">
      <w:bodyDiv w:val="1"/>
      <w:marLeft w:val="0"/>
      <w:marRight w:val="0"/>
      <w:marTop w:val="0"/>
      <w:marBottom w:val="0"/>
      <w:divBdr>
        <w:top w:val="none" w:sz="0" w:space="0" w:color="auto"/>
        <w:left w:val="none" w:sz="0" w:space="0" w:color="auto"/>
        <w:bottom w:val="none" w:sz="0" w:space="0" w:color="auto"/>
        <w:right w:val="none" w:sz="0" w:space="0" w:color="auto"/>
      </w:divBdr>
    </w:div>
    <w:div w:id="1233277601">
      <w:bodyDiv w:val="1"/>
      <w:marLeft w:val="0"/>
      <w:marRight w:val="0"/>
      <w:marTop w:val="0"/>
      <w:marBottom w:val="0"/>
      <w:divBdr>
        <w:top w:val="none" w:sz="0" w:space="0" w:color="auto"/>
        <w:left w:val="none" w:sz="0" w:space="0" w:color="auto"/>
        <w:bottom w:val="none" w:sz="0" w:space="0" w:color="auto"/>
        <w:right w:val="none" w:sz="0" w:space="0" w:color="auto"/>
      </w:divBdr>
    </w:div>
    <w:div w:id="1234975285">
      <w:bodyDiv w:val="1"/>
      <w:marLeft w:val="0"/>
      <w:marRight w:val="0"/>
      <w:marTop w:val="0"/>
      <w:marBottom w:val="0"/>
      <w:divBdr>
        <w:top w:val="none" w:sz="0" w:space="0" w:color="auto"/>
        <w:left w:val="none" w:sz="0" w:space="0" w:color="auto"/>
        <w:bottom w:val="none" w:sz="0" w:space="0" w:color="auto"/>
        <w:right w:val="none" w:sz="0" w:space="0" w:color="auto"/>
      </w:divBdr>
    </w:div>
    <w:div w:id="1235697011">
      <w:bodyDiv w:val="1"/>
      <w:marLeft w:val="0"/>
      <w:marRight w:val="0"/>
      <w:marTop w:val="0"/>
      <w:marBottom w:val="0"/>
      <w:divBdr>
        <w:top w:val="none" w:sz="0" w:space="0" w:color="auto"/>
        <w:left w:val="none" w:sz="0" w:space="0" w:color="auto"/>
        <w:bottom w:val="none" w:sz="0" w:space="0" w:color="auto"/>
        <w:right w:val="none" w:sz="0" w:space="0" w:color="auto"/>
      </w:divBdr>
    </w:div>
    <w:div w:id="1236747287">
      <w:bodyDiv w:val="1"/>
      <w:marLeft w:val="0"/>
      <w:marRight w:val="0"/>
      <w:marTop w:val="0"/>
      <w:marBottom w:val="0"/>
      <w:divBdr>
        <w:top w:val="none" w:sz="0" w:space="0" w:color="auto"/>
        <w:left w:val="none" w:sz="0" w:space="0" w:color="auto"/>
        <w:bottom w:val="none" w:sz="0" w:space="0" w:color="auto"/>
        <w:right w:val="none" w:sz="0" w:space="0" w:color="auto"/>
      </w:divBdr>
    </w:div>
    <w:div w:id="1237931448">
      <w:bodyDiv w:val="1"/>
      <w:marLeft w:val="0"/>
      <w:marRight w:val="0"/>
      <w:marTop w:val="0"/>
      <w:marBottom w:val="0"/>
      <w:divBdr>
        <w:top w:val="none" w:sz="0" w:space="0" w:color="auto"/>
        <w:left w:val="none" w:sz="0" w:space="0" w:color="auto"/>
        <w:bottom w:val="none" w:sz="0" w:space="0" w:color="auto"/>
        <w:right w:val="none" w:sz="0" w:space="0" w:color="auto"/>
      </w:divBdr>
    </w:div>
    <w:div w:id="1238516010">
      <w:bodyDiv w:val="1"/>
      <w:marLeft w:val="0"/>
      <w:marRight w:val="0"/>
      <w:marTop w:val="0"/>
      <w:marBottom w:val="0"/>
      <w:divBdr>
        <w:top w:val="none" w:sz="0" w:space="0" w:color="auto"/>
        <w:left w:val="none" w:sz="0" w:space="0" w:color="auto"/>
        <w:bottom w:val="none" w:sz="0" w:space="0" w:color="auto"/>
        <w:right w:val="none" w:sz="0" w:space="0" w:color="auto"/>
      </w:divBdr>
    </w:div>
    <w:div w:id="1240561008">
      <w:bodyDiv w:val="1"/>
      <w:marLeft w:val="0"/>
      <w:marRight w:val="0"/>
      <w:marTop w:val="0"/>
      <w:marBottom w:val="0"/>
      <w:divBdr>
        <w:top w:val="none" w:sz="0" w:space="0" w:color="auto"/>
        <w:left w:val="none" w:sz="0" w:space="0" w:color="auto"/>
        <w:bottom w:val="none" w:sz="0" w:space="0" w:color="auto"/>
        <w:right w:val="none" w:sz="0" w:space="0" w:color="auto"/>
      </w:divBdr>
    </w:div>
    <w:div w:id="1241672853">
      <w:bodyDiv w:val="1"/>
      <w:marLeft w:val="0"/>
      <w:marRight w:val="0"/>
      <w:marTop w:val="0"/>
      <w:marBottom w:val="0"/>
      <w:divBdr>
        <w:top w:val="none" w:sz="0" w:space="0" w:color="auto"/>
        <w:left w:val="none" w:sz="0" w:space="0" w:color="auto"/>
        <w:bottom w:val="none" w:sz="0" w:space="0" w:color="auto"/>
        <w:right w:val="none" w:sz="0" w:space="0" w:color="auto"/>
      </w:divBdr>
    </w:div>
    <w:div w:id="1242982471">
      <w:bodyDiv w:val="1"/>
      <w:marLeft w:val="0"/>
      <w:marRight w:val="0"/>
      <w:marTop w:val="0"/>
      <w:marBottom w:val="0"/>
      <w:divBdr>
        <w:top w:val="none" w:sz="0" w:space="0" w:color="auto"/>
        <w:left w:val="none" w:sz="0" w:space="0" w:color="auto"/>
        <w:bottom w:val="none" w:sz="0" w:space="0" w:color="auto"/>
        <w:right w:val="none" w:sz="0" w:space="0" w:color="auto"/>
      </w:divBdr>
    </w:div>
    <w:div w:id="1243442913">
      <w:bodyDiv w:val="1"/>
      <w:marLeft w:val="0"/>
      <w:marRight w:val="0"/>
      <w:marTop w:val="0"/>
      <w:marBottom w:val="0"/>
      <w:divBdr>
        <w:top w:val="none" w:sz="0" w:space="0" w:color="auto"/>
        <w:left w:val="none" w:sz="0" w:space="0" w:color="auto"/>
        <w:bottom w:val="none" w:sz="0" w:space="0" w:color="auto"/>
        <w:right w:val="none" w:sz="0" w:space="0" w:color="auto"/>
      </w:divBdr>
    </w:div>
    <w:div w:id="1247768969">
      <w:bodyDiv w:val="1"/>
      <w:marLeft w:val="0"/>
      <w:marRight w:val="0"/>
      <w:marTop w:val="0"/>
      <w:marBottom w:val="0"/>
      <w:divBdr>
        <w:top w:val="none" w:sz="0" w:space="0" w:color="auto"/>
        <w:left w:val="none" w:sz="0" w:space="0" w:color="auto"/>
        <w:bottom w:val="none" w:sz="0" w:space="0" w:color="auto"/>
        <w:right w:val="none" w:sz="0" w:space="0" w:color="auto"/>
      </w:divBdr>
    </w:div>
    <w:div w:id="1248885418">
      <w:bodyDiv w:val="1"/>
      <w:marLeft w:val="0"/>
      <w:marRight w:val="0"/>
      <w:marTop w:val="0"/>
      <w:marBottom w:val="0"/>
      <w:divBdr>
        <w:top w:val="none" w:sz="0" w:space="0" w:color="auto"/>
        <w:left w:val="none" w:sz="0" w:space="0" w:color="auto"/>
        <w:bottom w:val="none" w:sz="0" w:space="0" w:color="auto"/>
        <w:right w:val="none" w:sz="0" w:space="0" w:color="auto"/>
      </w:divBdr>
    </w:div>
    <w:div w:id="1253705995">
      <w:bodyDiv w:val="1"/>
      <w:marLeft w:val="0"/>
      <w:marRight w:val="0"/>
      <w:marTop w:val="0"/>
      <w:marBottom w:val="0"/>
      <w:divBdr>
        <w:top w:val="none" w:sz="0" w:space="0" w:color="auto"/>
        <w:left w:val="none" w:sz="0" w:space="0" w:color="auto"/>
        <w:bottom w:val="none" w:sz="0" w:space="0" w:color="auto"/>
        <w:right w:val="none" w:sz="0" w:space="0" w:color="auto"/>
      </w:divBdr>
    </w:div>
    <w:div w:id="1257400931">
      <w:bodyDiv w:val="1"/>
      <w:marLeft w:val="0"/>
      <w:marRight w:val="0"/>
      <w:marTop w:val="0"/>
      <w:marBottom w:val="0"/>
      <w:divBdr>
        <w:top w:val="none" w:sz="0" w:space="0" w:color="auto"/>
        <w:left w:val="none" w:sz="0" w:space="0" w:color="auto"/>
        <w:bottom w:val="none" w:sz="0" w:space="0" w:color="auto"/>
        <w:right w:val="none" w:sz="0" w:space="0" w:color="auto"/>
      </w:divBdr>
    </w:div>
    <w:div w:id="1257859302">
      <w:bodyDiv w:val="1"/>
      <w:marLeft w:val="0"/>
      <w:marRight w:val="0"/>
      <w:marTop w:val="0"/>
      <w:marBottom w:val="0"/>
      <w:divBdr>
        <w:top w:val="none" w:sz="0" w:space="0" w:color="auto"/>
        <w:left w:val="none" w:sz="0" w:space="0" w:color="auto"/>
        <w:bottom w:val="none" w:sz="0" w:space="0" w:color="auto"/>
        <w:right w:val="none" w:sz="0" w:space="0" w:color="auto"/>
      </w:divBdr>
    </w:div>
    <w:div w:id="1258754167">
      <w:bodyDiv w:val="1"/>
      <w:marLeft w:val="0"/>
      <w:marRight w:val="0"/>
      <w:marTop w:val="0"/>
      <w:marBottom w:val="0"/>
      <w:divBdr>
        <w:top w:val="none" w:sz="0" w:space="0" w:color="auto"/>
        <w:left w:val="none" w:sz="0" w:space="0" w:color="auto"/>
        <w:bottom w:val="none" w:sz="0" w:space="0" w:color="auto"/>
        <w:right w:val="none" w:sz="0" w:space="0" w:color="auto"/>
      </w:divBdr>
    </w:div>
    <w:div w:id="1261331662">
      <w:bodyDiv w:val="1"/>
      <w:marLeft w:val="0"/>
      <w:marRight w:val="0"/>
      <w:marTop w:val="0"/>
      <w:marBottom w:val="0"/>
      <w:divBdr>
        <w:top w:val="none" w:sz="0" w:space="0" w:color="auto"/>
        <w:left w:val="none" w:sz="0" w:space="0" w:color="auto"/>
        <w:bottom w:val="none" w:sz="0" w:space="0" w:color="auto"/>
        <w:right w:val="none" w:sz="0" w:space="0" w:color="auto"/>
      </w:divBdr>
    </w:div>
    <w:div w:id="1262686685">
      <w:bodyDiv w:val="1"/>
      <w:marLeft w:val="0"/>
      <w:marRight w:val="0"/>
      <w:marTop w:val="0"/>
      <w:marBottom w:val="0"/>
      <w:divBdr>
        <w:top w:val="none" w:sz="0" w:space="0" w:color="auto"/>
        <w:left w:val="none" w:sz="0" w:space="0" w:color="auto"/>
        <w:bottom w:val="none" w:sz="0" w:space="0" w:color="auto"/>
        <w:right w:val="none" w:sz="0" w:space="0" w:color="auto"/>
      </w:divBdr>
    </w:div>
    <w:div w:id="1262958797">
      <w:bodyDiv w:val="1"/>
      <w:marLeft w:val="0"/>
      <w:marRight w:val="0"/>
      <w:marTop w:val="0"/>
      <w:marBottom w:val="0"/>
      <w:divBdr>
        <w:top w:val="none" w:sz="0" w:space="0" w:color="auto"/>
        <w:left w:val="none" w:sz="0" w:space="0" w:color="auto"/>
        <w:bottom w:val="none" w:sz="0" w:space="0" w:color="auto"/>
        <w:right w:val="none" w:sz="0" w:space="0" w:color="auto"/>
      </w:divBdr>
    </w:div>
    <w:div w:id="1263689704">
      <w:bodyDiv w:val="1"/>
      <w:marLeft w:val="0"/>
      <w:marRight w:val="0"/>
      <w:marTop w:val="0"/>
      <w:marBottom w:val="0"/>
      <w:divBdr>
        <w:top w:val="none" w:sz="0" w:space="0" w:color="auto"/>
        <w:left w:val="none" w:sz="0" w:space="0" w:color="auto"/>
        <w:bottom w:val="none" w:sz="0" w:space="0" w:color="auto"/>
        <w:right w:val="none" w:sz="0" w:space="0" w:color="auto"/>
      </w:divBdr>
    </w:div>
    <w:div w:id="1264148595">
      <w:bodyDiv w:val="1"/>
      <w:marLeft w:val="0"/>
      <w:marRight w:val="0"/>
      <w:marTop w:val="0"/>
      <w:marBottom w:val="0"/>
      <w:divBdr>
        <w:top w:val="none" w:sz="0" w:space="0" w:color="auto"/>
        <w:left w:val="none" w:sz="0" w:space="0" w:color="auto"/>
        <w:bottom w:val="none" w:sz="0" w:space="0" w:color="auto"/>
        <w:right w:val="none" w:sz="0" w:space="0" w:color="auto"/>
      </w:divBdr>
    </w:div>
    <w:div w:id="1267805828">
      <w:bodyDiv w:val="1"/>
      <w:marLeft w:val="0"/>
      <w:marRight w:val="0"/>
      <w:marTop w:val="0"/>
      <w:marBottom w:val="0"/>
      <w:divBdr>
        <w:top w:val="none" w:sz="0" w:space="0" w:color="auto"/>
        <w:left w:val="none" w:sz="0" w:space="0" w:color="auto"/>
        <w:bottom w:val="none" w:sz="0" w:space="0" w:color="auto"/>
        <w:right w:val="none" w:sz="0" w:space="0" w:color="auto"/>
      </w:divBdr>
    </w:div>
    <w:div w:id="1268777060">
      <w:bodyDiv w:val="1"/>
      <w:marLeft w:val="0"/>
      <w:marRight w:val="0"/>
      <w:marTop w:val="0"/>
      <w:marBottom w:val="0"/>
      <w:divBdr>
        <w:top w:val="none" w:sz="0" w:space="0" w:color="auto"/>
        <w:left w:val="none" w:sz="0" w:space="0" w:color="auto"/>
        <w:bottom w:val="none" w:sz="0" w:space="0" w:color="auto"/>
        <w:right w:val="none" w:sz="0" w:space="0" w:color="auto"/>
      </w:divBdr>
    </w:div>
    <w:div w:id="1271083825">
      <w:bodyDiv w:val="1"/>
      <w:marLeft w:val="0"/>
      <w:marRight w:val="0"/>
      <w:marTop w:val="0"/>
      <w:marBottom w:val="0"/>
      <w:divBdr>
        <w:top w:val="none" w:sz="0" w:space="0" w:color="auto"/>
        <w:left w:val="none" w:sz="0" w:space="0" w:color="auto"/>
        <w:bottom w:val="none" w:sz="0" w:space="0" w:color="auto"/>
        <w:right w:val="none" w:sz="0" w:space="0" w:color="auto"/>
      </w:divBdr>
    </w:div>
    <w:div w:id="1274283323">
      <w:bodyDiv w:val="1"/>
      <w:marLeft w:val="0"/>
      <w:marRight w:val="0"/>
      <w:marTop w:val="0"/>
      <w:marBottom w:val="0"/>
      <w:divBdr>
        <w:top w:val="none" w:sz="0" w:space="0" w:color="auto"/>
        <w:left w:val="none" w:sz="0" w:space="0" w:color="auto"/>
        <w:bottom w:val="none" w:sz="0" w:space="0" w:color="auto"/>
        <w:right w:val="none" w:sz="0" w:space="0" w:color="auto"/>
      </w:divBdr>
    </w:div>
    <w:div w:id="1277175093">
      <w:bodyDiv w:val="1"/>
      <w:marLeft w:val="0"/>
      <w:marRight w:val="0"/>
      <w:marTop w:val="0"/>
      <w:marBottom w:val="0"/>
      <w:divBdr>
        <w:top w:val="none" w:sz="0" w:space="0" w:color="auto"/>
        <w:left w:val="none" w:sz="0" w:space="0" w:color="auto"/>
        <w:bottom w:val="none" w:sz="0" w:space="0" w:color="auto"/>
        <w:right w:val="none" w:sz="0" w:space="0" w:color="auto"/>
      </w:divBdr>
    </w:div>
    <w:div w:id="1281523436">
      <w:bodyDiv w:val="1"/>
      <w:marLeft w:val="0"/>
      <w:marRight w:val="0"/>
      <w:marTop w:val="0"/>
      <w:marBottom w:val="0"/>
      <w:divBdr>
        <w:top w:val="none" w:sz="0" w:space="0" w:color="auto"/>
        <w:left w:val="none" w:sz="0" w:space="0" w:color="auto"/>
        <w:bottom w:val="none" w:sz="0" w:space="0" w:color="auto"/>
        <w:right w:val="none" w:sz="0" w:space="0" w:color="auto"/>
      </w:divBdr>
    </w:div>
    <w:div w:id="1281641350">
      <w:bodyDiv w:val="1"/>
      <w:marLeft w:val="0"/>
      <w:marRight w:val="0"/>
      <w:marTop w:val="0"/>
      <w:marBottom w:val="0"/>
      <w:divBdr>
        <w:top w:val="none" w:sz="0" w:space="0" w:color="auto"/>
        <w:left w:val="none" w:sz="0" w:space="0" w:color="auto"/>
        <w:bottom w:val="none" w:sz="0" w:space="0" w:color="auto"/>
        <w:right w:val="none" w:sz="0" w:space="0" w:color="auto"/>
      </w:divBdr>
    </w:div>
    <w:div w:id="1282810236">
      <w:bodyDiv w:val="1"/>
      <w:marLeft w:val="0"/>
      <w:marRight w:val="0"/>
      <w:marTop w:val="0"/>
      <w:marBottom w:val="0"/>
      <w:divBdr>
        <w:top w:val="none" w:sz="0" w:space="0" w:color="auto"/>
        <w:left w:val="none" w:sz="0" w:space="0" w:color="auto"/>
        <w:bottom w:val="none" w:sz="0" w:space="0" w:color="auto"/>
        <w:right w:val="none" w:sz="0" w:space="0" w:color="auto"/>
      </w:divBdr>
    </w:div>
    <w:div w:id="1289318217">
      <w:bodyDiv w:val="1"/>
      <w:marLeft w:val="0"/>
      <w:marRight w:val="0"/>
      <w:marTop w:val="0"/>
      <w:marBottom w:val="0"/>
      <w:divBdr>
        <w:top w:val="none" w:sz="0" w:space="0" w:color="auto"/>
        <w:left w:val="none" w:sz="0" w:space="0" w:color="auto"/>
        <w:bottom w:val="none" w:sz="0" w:space="0" w:color="auto"/>
        <w:right w:val="none" w:sz="0" w:space="0" w:color="auto"/>
      </w:divBdr>
    </w:div>
    <w:div w:id="1290936929">
      <w:bodyDiv w:val="1"/>
      <w:marLeft w:val="0"/>
      <w:marRight w:val="0"/>
      <w:marTop w:val="0"/>
      <w:marBottom w:val="0"/>
      <w:divBdr>
        <w:top w:val="none" w:sz="0" w:space="0" w:color="auto"/>
        <w:left w:val="none" w:sz="0" w:space="0" w:color="auto"/>
        <w:bottom w:val="none" w:sz="0" w:space="0" w:color="auto"/>
        <w:right w:val="none" w:sz="0" w:space="0" w:color="auto"/>
      </w:divBdr>
    </w:div>
    <w:div w:id="1292320020">
      <w:bodyDiv w:val="1"/>
      <w:marLeft w:val="0"/>
      <w:marRight w:val="0"/>
      <w:marTop w:val="0"/>
      <w:marBottom w:val="0"/>
      <w:divBdr>
        <w:top w:val="none" w:sz="0" w:space="0" w:color="auto"/>
        <w:left w:val="none" w:sz="0" w:space="0" w:color="auto"/>
        <w:bottom w:val="none" w:sz="0" w:space="0" w:color="auto"/>
        <w:right w:val="none" w:sz="0" w:space="0" w:color="auto"/>
      </w:divBdr>
    </w:div>
    <w:div w:id="1292712729">
      <w:bodyDiv w:val="1"/>
      <w:marLeft w:val="0"/>
      <w:marRight w:val="0"/>
      <w:marTop w:val="0"/>
      <w:marBottom w:val="0"/>
      <w:divBdr>
        <w:top w:val="none" w:sz="0" w:space="0" w:color="auto"/>
        <w:left w:val="none" w:sz="0" w:space="0" w:color="auto"/>
        <w:bottom w:val="none" w:sz="0" w:space="0" w:color="auto"/>
        <w:right w:val="none" w:sz="0" w:space="0" w:color="auto"/>
      </w:divBdr>
    </w:div>
    <w:div w:id="1292903544">
      <w:bodyDiv w:val="1"/>
      <w:marLeft w:val="0"/>
      <w:marRight w:val="0"/>
      <w:marTop w:val="0"/>
      <w:marBottom w:val="0"/>
      <w:divBdr>
        <w:top w:val="none" w:sz="0" w:space="0" w:color="auto"/>
        <w:left w:val="none" w:sz="0" w:space="0" w:color="auto"/>
        <w:bottom w:val="none" w:sz="0" w:space="0" w:color="auto"/>
        <w:right w:val="none" w:sz="0" w:space="0" w:color="auto"/>
      </w:divBdr>
    </w:div>
    <w:div w:id="1295598520">
      <w:bodyDiv w:val="1"/>
      <w:marLeft w:val="0"/>
      <w:marRight w:val="0"/>
      <w:marTop w:val="0"/>
      <w:marBottom w:val="0"/>
      <w:divBdr>
        <w:top w:val="none" w:sz="0" w:space="0" w:color="auto"/>
        <w:left w:val="none" w:sz="0" w:space="0" w:color="auto"/>
        <w:bottom w:val="none" w:sz="0" w:space="0" w:color="auto"/>
        <w:right w:val="none" w:sz="0" w:space="0" w:color="auto"/>
      </w:divBdr>
    </w:div>
    <w:div w:id="1295714032">
      <w:bodyDiv w:val="1"/>
      <w:marLeft w:val="0"/>
      <w:marRight w:val="0"/>
      <w:marTop w:val="0"/>
      <w:marBottom w:val="0"/>
      <w:divBdr>
        <w:top w:val="none" w:sz="0" w:space="0" w:color="auto"/>
        <w:left w:val="none" w:sz="0" w:space="0" w:color="auto"/>
        <w:bottom w:val="none" w:sz="0" w:space="0" w:color="auto"/>
        <w:right w:val="none" w:sz="0" w:space="0" w:color="auto"/>
      </w:divBdr>
    </w:div>
    <w:div w:id="1296063456">
      <w:bodyDiv w:val="1"/>
      <w:marLeft w:val="0"/>
      <w:marRight w:val="0"/>
      <w:marTop w:val="0"/>
      <w:marBottom w:val="0"/>
      <w:divBdr>
        <w:top w:val="none" w:sz="0" w:space="0" w:color="auto"/>
        <w:left w:val="none" w:sz="0" w:space="0" w:color="auto"/>
        <w:bottom w:val="none" w:sz="0" w:space="0" w:color="auto"/>
        <w:right w:val="none" w:sz="0" w:space="0" w:color="auto"/>
      </w:divBdr>
    </w:div>
    <w:div w:id="1296449680">
      <w:bodyDiv w:val="1"/>
      <w:marLeft w:val="0"/>
      <w:marRight w:val="0"/>
      <w:marTop w:val="0"/>
      <w:marBottom w:val="0"/>
      <w:divBdr>
        <w:top w:val="none" w:sz="0" w:space="0" w:color="auto"/>
        <w:left w:val="none" w:sz="0" w:space="0" w:color="auto"/>
        <w:bottom w:val="none" w:sz="0" w:space="0" w:color="auto"/>
        <w:right w:val="none" w:sz="0" w:space="0" w:color="auto"/>
      </w:divBdr>
    </w:div>
    <w:div w:id="1298799387">
      <w:bodyDiv w:val="1"/>
      <w:marLeft w:val="0"/>
      <w:marRight w:val="0"/>
      <w:marTop w:val="0"/>
      <w:marBottom w:val="0"/>
      <w:divBdr>
        <w:top w:val="none" w:sz="0" w:space="0" w:color="auto"/>
        <w:left w:val="none" w:sz="0" w:space="0" w:color="auto"/>
        <w:bottom w:val="none" w:sz="0" w:space="0" w:color="auto"/>
        <w:right w:val="none" w:sz="0" w:space="0" w:color="auto"/>
      </w:divBdr>
    </w:div>
    <w:div w:id="1300695738">
      <w:bodyDiv w:val="1"/>
      <w:marLeft w:val="0"/>
      <w:marRight w:val="0"/>
      <w:marTop w:val="0"/>
      <w:marBottom w:val="0"/>
      <w:divBdr>
        <w:top w:val="none" w:sz="0" w:space="0" w:color="auto"/>
        <w:left w:val="none" w:sz="0" w:space="0" w:color="auto"/>
        <w:bottom w:val="none" w:sz="0" w:space="0" w:color="auto"/>
        <w:right w:val="none" w:sz="0" w:space="0" w:color="auto"/>
      </w:divBdr>
    </w:div>
    <w:div w:id="1301032879">
      <w:bodyDiv w:val="1"/>
      <w:marLeft w:val="0"/>
      <w:marRight w:val="0"/>
      <w:marTop w:val="0"/>
      <w:marBottom w:val="0"/>
      <w:divBdr>
        <w:top w:val="none" w:sz="0" w:space="0" w:color="auto"/>
        <w:left w:val="none" w:sz="0" w:space="0" w:color="auto"/>
        <w:bottom w:val="none" w:sz="0" w:space="0" w:color="auto"/>
        <w:right w:val="none" w:sz="0" w:space="0" w:color="auto"/>
      </w:divBdr>
    </w:div>
    <w:div w:id="1302540213">
      <w:bodyDiv w:val="1"/>
      <w:marLeft w:val="0"/>
      <w:marRight w:val="0"/>
      <w:marTop w:val="0"/>
      <w:marBottom w:val="0"/>
      <w:divBdr>
        <w:top w:val="none" w:sz="0" w:space="0" w:color="auto"/>
        <w:left w:val="none" w:sz="0" w:space="0" w:color="auto"/>
        <w:bottom w:val="none" w:sz="0" w:space="0" w:color="auto"/>
        <w:right w:val="none" w:sz="0" w:space="0" w:color="auto"/>
      </w:divBdr>
    </w:div>
    <w:div w:id="1306199627">
      <w:bodyDiv w:val="1"/>
      <w:marLeft w:val="0"/>
      <w:marRight w:val="0"/>
      <w:marTop w:val="0"/>
      <w:marBottom w:val="0"/>
      <w:divBdr>
        <w:top w:val="none" w:sz="0" w:space="0" w:color="auto"/>
        <w:left w:val="none" w:sz="0" w:space="0" w:color="auto"/>
        <w:bottom w:val="none" w:sz="0" w:space="0" w:color="auto"/>
        <w:right w:val="none" w:sz="0" w:space="0" w:color="auto"/>
      </w:divBdr>
    </w:div>
    <w:div w:id="1306810870">
      <w:bodyDiv w:val="1"/>
      <w:marLeft w:val="0"/>
      <w:marRight w:val="0"/>
      <w:marTop w:val="0"/>
      <w:marBottom w:val="0"/>
      <w:divBdr>
        <w:top w:val="none" w:sz="0" w:space="0" w:color="auto"/>
        <w:left w:val="none" w:sz="0" w:space="0" w:color="auto"/>
        <w:bottom w:val="none" w:sz="0" w:space="0" w:color="auto"/>
        <w:right w:val="none" w:sz="0" w:space="0" w:color="auto"/>
      </w:divBdr>
    </w:div>
    <w:div w:id="1309434518">
      <w:bodyDiv w:val="1"/>
      <w:marLeft w:val="0"/>
      <w:marRight w:val="0"/>
      <w:marTop w:val="0"/>
      <w:marBottom w:val="0"/>
      <w:divBdr>
        <w:top w:val="none" w:sz="0" w:space="0" w:color="auto"/>
        <w:left w:val="none" w:sz="0" w:space="0" w:color="auto"/>
        <w:bottom w:val="none" w:sz="0" w:space="0" w:color="auto"/>
        <w:right w:val="none" w:sz="0" w:space="0" w:color="auto"/>
      </w:divBdr>
    </w:div>
    <w:div w:id="1310474044">
      <w:bodyDiv w:val="1"/>
      <w:marLeft w:val="0"/>
      <w:marRight w:val="0"/>
      <w:marTop w:val="0"/>
      <w:marBottom w:val="0"/>
      <w:divBdr>
        <w:top w:val="none" w:sz="0" w:space="0" w:color="auto"/>
        <w:left w:val="none" w:sz="0" w:space="0" w:color="auto"/>
        <w:bottom w:val="none" w:sz="0" w:space="0" w:color="auto"/>
        <w:right w:val="none" w:sz="0" w:space="0" w:color="auto"/>
      </w:divBdr>
    </w:div>
    <w:div w:id="1314718921">
      <w:bodyDiv w:val="1"/>
      <w:marLeft w:val="0"/>
      <w:marRight w:val="0"/>
      <w:marTop w:val="0"/>
      <w:marBottom w:val="0"/>
      <w:divBdr>
        <w:top w:val="none" w:sz="0" w:space="0" w:color="auto"/>
        <w:left w:val="none" w:sz="0" w:space="0" w:color="auto"/>
        <w:bottom w:val="none" w:sz="0" w:space="0" w:color="auto"/>
        <w:right w:val="none" w:sz="0" w:space="0" w:color="auto"/>
      </w:divBdr>
    </w:div>
    <w:div w:id="1317148915">
      <w:bodyDiv w:val="1"/>
      <w:marLeft w:val="0"/>
      <w:marRight w:val="0"/>
      <w:marTop w:val="0"/>
      <w:marBottom w:val="0"/>
      <w:divBdr>
        <w:top w:val="none" w:sz="0" w:space="0" w:color="auto"/>
        <w:left w:val="none" w:sz="0" w:space="0" w:color="auto"/>
        <w:bottom w:val="none" w:sz="0" w:space="0" w:color="auto"/>
        <w:right w:val="none" w:sz="0" w:space="0" w:color="auto"/>
      </w:divBdr>
    </w:div>
    <w:div w:id="1320617026">
      <w:bodyDiv w:val="1"/>
      <w:marLeft w:val="0"/>
      <w:marRight w:val="0"/>
      <w:marTop w:val="0"/>
      <w:marBottom w:val="0"/>
      <w:divBdr>
        <w:top w:val="none" w:sz="0" w:space="0" w:color="auto"/>
        <w:left w:val="none" w:sz="0" w:space="0" w:color="auto"/>
        <w:bottom w:val="none" w:sz="0" w:space="0" w:color="auto"/>
        <w:right w:val="none" w:sz="0" w:space="0" w:color="auto"/>
      </w:divBdr>
    </w:div>
    <w:div w:id="1321881578">
      <w:bodyDiv w:val="1"/>
      <w:marLeft w:val="0"/>
      <w:marRight w:val="0"/>
      <w:marTop w:val="0"/>
      <w:marBottom w:val="0"/>
      <w:divBdr>
        <w:top w:val="none" w:sz="0" w:space="0" w:color="auto"/>
        <w:left w:val="none" w:sz="0" w:space="0" w:color="auto"/>
        <w:bottom w:val="none" w:sz="0" w:space="0" w:color="auto"/>
        <w:right w:val="none" w:sz="0" w:space="0" w:color="auto"/>
      </w:divBdr>
    </w:div>
    <w:div w:id="1322153282">
      <w:bodyDiv w:val="1"/>
      <w:marLeft w:val="0"/>
      <w:marRight w:val="0"/>
      <w:marTop w:val="0"/>
      <w:marBottom w:val="0"/>
      <w:divBdr>
        <w:top w:val="none" w:sz="0" w:space="0" w:color="auto"/>
        <w:left w:val="none" w:sz="0" w:space="0" w:color="auto"/>
        <w:bottom w:val="none" w:sz="0" w:space="0" w:color="auto"/>
        <w:right w:val="none" w:sz="0" w:space="0" w:color="auto"/>
      </w:divBdr>
    </w:div>
    <w:div w:id="1324626067">
      <w:bodyDiv w:val="1"/>
      <w:marLeft w:val="0"/>
      <w:marRight w:val="0"/>
      <w:marTop w:val="0"/>
      <w:marBottom w:val="0"/>
      <w:divBdr>
        <w:top w:val="none" w:sz="0" w:space="0" w:color="auto"/>
        <w:left w:val="none" w:sz="0" w:space="0" w:color="auto"/>
        <w:bottom w:val="none" w:sz="0" w:space="0" w:color="auto"/>
        <w:right w:val="none" w:sz="0" w:space="0" w:color="auto"/>
      </w:divBdr>
    </w:div>
    <w:div w:id="1325432576">
      <w:bodyDiv w:val="1"/>
      <w:marLeft w:val="0"/>
      <w:marRight w:val="0"/>
      <w:marTop w:val="0"/>
      <w:marBottom w:val="0"/>
      <w:divBdr>
        <w:top w:val="none" w:sz="0" w:space="0" w:color="auto"/>
        <w:left w:val="none" w:sz="0" w:space="0" w:color="auto"/>
        <w:bottom w:val="none" w:sz="0" w:space="0" w:color="auto"/>
        <w:right w:val="none" w:sz="0" w:space="0" w:color="auto"/>
      </w:divBdr>
    </w:div>
    <w:div w:id="1325931371">
      <w:bodyDiv w:val="1"/>
      <w:marLeft w:val="0"/>
      <w:marRight w:val="0"/>
      <w:marTop w:val="0"/>
      <w:marBottom w:val="0"/>
      <w:divBdr>
        <w:top w:val="none" w:sz="0" w:space="0" w:color="auto"/>
        <w:left w:val="none" w:sz="0" w:space="0" w:color="auto"/>
        <w:bottom w:val="none" w:sz="0" w:space="0" w:color="auto"/>
        <w:right w:val="none" w:sz="0" w:space="0" w:color="auto"/>
      </w:divBdr>
    </w:div>
    <w:div w:id="1333142996">
      <w:bodyDiv w:val="1"/>
      <w:marLeft w:val="0"/>
      <w:marRight w:val="0"/>
      <w:marTop w:val="0"/>
      <w:marBottom w:val="0"/>
      <w:divBdr>
        <w:top w:val="none" w:sz="0" w:space="0" w:color="auto"/>
        <w:left w:val="none" w:sz="0" w:space="0" w:color="auto"/>
        <w:bottom w:val="none" w:sz="0" w:space="0" w:color="auto"/>
        <w:right w:val="none" w:sz="0" w:space="0" w:color="auto"/>
      </w:divBdr>
    </w:div>
    <w:div w:id="1336300749">
      <w:bodyDiv w:val="1"/>
      <w:marLeft w:val="0"/>
      <w:marRight w:val="0"/>
      <w:marTop w:val="0"/>
      <w:marBottom w:val="0"/>
      <w:divBdr>
        <w:top w:val="none" w:sz="0" w:space="0" w:color="auto"/>
        <w:left w:val="none" w:sz="0" w:space="0" w:color="auto"/>
        <w:bottom w:val="none" w:sz="0" w:space="0" w:color="auto"/>
        <w:right w:val="none" w:sz="0" w:space="0" w:color="auto"/>
      </w:divBdr>
    </w:div>
    <w:div w:id="1340691786">
      <w:bodyDiv w:val="1"/>
      <w:marLeft w:val="0"/>
      <w:marRight w:val="0"/>
      <w:marTop w:val="0"/>
      <w:marBottom w:val="0"/>
      <w:divBdr>
        <w:top w:val="none" w:sz="0" w:space="0" w:color="auto"/>
        <w:left w:val="none" w:sz="0" w:space="0" w:color="auto"/>
        <w:bottom w:val="none" w:sz="0" w:space="0" w:color="auto"/>
        <w:right w:val="none" w:sz="0" w:space="0" w:color="auto"/>
      </w:divBdr>
    </w:div>
    <w:div w:id="1342201195">
      <w:bodyDiv w:val="1"/>
      <w:marLeft w:val="0"/>
      <w:marRight w:val="0"/>
      <w:marTop w:val="0"/>
      <w:marBottom w:val="0"/>
      <w:divBdr>
        <w:top w:val="none" w:sz="0" w:space="0" w:color="auto"/>
        <w:left w:val="none" w:sz="0" w:space="0" w:color="auto"/>
        <w:bottom w:val="none" w:sz="0" w:space="0" w:color="auto"/>
        <w:right w:val="none" w:sz="0" w:space="0" w:color="auto"/>
      </w:divBdr>
    </w:div>
    <w:div w:id="1343630034">
      <w:bodyDiv w:val="1"/>
      <w:marLeft w:val="0"/>
      <w:marRight w:val="0"/>
      <w:marTop w:val="0"/>
      <w:marBottom w:val="0"/>
      <w:divBdr>
        <w:top w:val="none" w:sz="0" w:space="0" w:color="auto"/>
        <w:left w:val="none" w:sz="0" w:space="0" w:color="auto"/>
        <w:bottom w:val="none" w:sz="0" w:space="0" w:color="auto"/>
        <w:right w:val="none" w:sz="0" w:space="0" w:color="auto"/>
      </w:divBdr>
    </w:div>
    <w:div w:id="1345741814">
      <w:bodyDiv w:val="1"/>
      <w:marLeft w:val="0"/>
      <w:marRight w:val="0"/>
      <w:marTop w:val="0"/>
      <w:marBottom w:val="0"/>
      <w:divBdr>
        <w:top w:val="none" w:sz="0" w:space="0" w:color="auto"/>
        <w:left w:val="none" w:sz="0" w:space="0" w:color="auto"/>
        <w:bottom w:val="none" w:sz="0" w:space="0" w:color="auto"/>
        <w:right w:val="none" w:sz="0" w:space="0" w:color="auto"/>
      </w:divBdr>
    </w:div>
    <w:div w:id="1349408384">
      <w:bodyDiv w:val="1"/>
      <w:marLeft w:val="0"/>
      <w:marRight w:val="0"/>
      <w:marTop w:val="0"/>
      <w:marBottom w:val="0"/>
      <w:divBdr>
        <w:top w:val="none" w:sz="0" w:space="0" w:color="auto"/>
        <w:left w:val="none" w:sz="0" w:space="0" w:color="auto"/>
        <w:bottom w:val="none" w:sz="0" w:space="0" w:color="auto"/>
        <w:right w:val="none" w:sz="0" w:space="0" w:color="auto"/>
      </w:divBdr>
    </w:div>
    <w:div w:id="1350252432">
      <w:bodyDiv w:val="1"/>
      <w:marLeft w:val="0"/>
      <w:marRight w:val="0"/>
      <w:marTop w:val="0"/>
      <w:marBottom w:val="0"/>
      <w:divBdr>
        <w:top w:val="none" w:sz="0" w:space="0" w:color="auto"/>
        <w:left w:val="none" w:sz="0" w:space="0" w:color="auto"/>
        <w:bottom w:val="none" w:sz="0" w:space="0" w:color="auto"/>
        <w:right w:val="none" w:sz="0" w:space="0" w:color="auto"/>
      </w:divBdr>
    </w:div>
    <w:div w:id="1352760167">
      <w:bodyDiv w:val="1"/>
      <w:marLeft w:val="0"/>
      <w:marRight w:val="0"/>
      <w:marTop w:val="0"/>
      <w:marBottom w:val="0"/>
      <w:divBdr>
        <w:top w:val="none" w:sz="0" w:space="0" w:color="auto"/>
        <w:left w:val="none" w:sz="0" w:space="0" w:color="auto"/>
        <w:bottom w:val="none" w:sz="0" w:space="0" w:color="auto"/>
        <w:right w:val="none" w:sz="0" w:space="0" w:color="auto"/>
      </w:divBdr>
    </w:div>
    <w:div w:id="1353146596">
      <w:bodyDiv w:val="1"/>
      <w:marLeft w:val="0"/>
      <w:marRight w:val="0"/>
      <w:marTop w:val="0"/>
      <w:marBottom w:val="0"/>
      <w:divBdr>
        <w:top w:val="none" w:sz="0" w:space="0" w:color="auto"/>
        <w:left w:val="none" w:sz="0" w:space="0" w:color="auto"/>
        <w:bottom w:val="none" w:sz="0" w:space="0" w:color="auto"/>
        <w:right w:val="none" w:sz="0" w:space="0" w:color="auto"/>
      </w:divBdr>
    </w:div>
    <w:div w:id="1353803440">
      <w:bodyDiv w:val="1"/>
      <w:marLeft w:val="0"/>
      <w:marRight w:val="0"/>
      <w:marTop w:val="0"/>
      <w:marBottom w:val="0"/>
      <w:divBdr>
        <w:top w:val="none" w:sz="0" w:space="0" w:color="auto"/>
        <w:left w:val="none" w:sz="0" w:space="0" w:color="auto"/>
        <w:bottom w:val="none" w:sz="0" w:space="0" w:color="auto"/>
        <w:right w:val="none" w:sz="0" w:space="0" w:color="auto"/>
      </w:divBdr>
    </w:div>
    <w:div w:id="1354651143">
      <w:bodyDiv w:val="1"/>
      <w:marLeft w:val="0"/>
      <w:marRight w:val="0"/>
      <w:marTop w:val="0"/>
      <w:marBottom w:val="0"/>
      <w:divBdr>
        <w:top w:val="none" w:sz="0" w:space="0" w:color="auto"/>
        <w:left w:val="none" w:sz="0" w:space="0" w:color="auto"/>
        <w:bottom w:val="none" w:sz="0" w:space="0" w:color="auto"/>
        <w:right w:val="none" w:sz="0" w:space="0" w:color="auto"/>
      </w:divBdr>
    </w:div>
    <w:div w:id="1355885634">
      <w:bodyDiv w:val="1"/>
      <w:marLeft w:val="0"/>
      <w:marRight w:val="0"/>
      <w:marTop w:val="0"/>
      <w:marBottom w:val="0"/>
      <w:divBdr>
        <w:top w:val="none" w:sz="0" w:space="0" w:color="auto"/>
        <w:left w:val="none" w:sz="0" w:space="0" w:color="auto"/>
        <w:bottom w:val="none" w:sz="0" w:space="0" w:color="auto"/>
        <w:right w:val="none" w:sz="0" w:space="0" w:color="auto"/>
      </w:divBdr>
    </w:div>
    <w:div w:id="1356273780">
      <w:bodyDiv w:val="1"/>
      <w:marLeft w:val="0"/>
      <w:marRight w:val="0"/>
      <w:marTop w:val="0"/>
      <w:marBottom w:val="0"/>
      <w:divBdr>
        <w:top w:val="none" w:sz="0" w:space="0" w:color="auto"/>
        <w:left w:val="none" w:sz="0" w:space="0" w:color="auto"/>
        <w:bottom w:val="none" w:sz="0" w:space="0" w:color="auto"/>
        <w:right w:val="none" w:sz="0" w:space="0" w:color="auto"/>
      </w:divBdr>
    </w:div>
    <w:div w:id="1359309592">
      <w:bodyDiv w:val="1"/>
      <w:marLeft w:val="0"/>
      <w:marRight w:val="0"/>
      <w:marTop w:val="0"/>
      <w:marBottom w:val="0"/>
      <w:divBdr>
        <w:top w:val="none" w:sz="0" w:space="0" w:color="auto"/>
        <w:left w:val="none" w:sz="0" w:space="0" w:color="auto"/>
        <w:bottom w:val="none" w:sz="0" w:space="0" w:color="auto"/>
        <w:right w:val="none" w:sz="0" w:space="0" w:color="auto"/>
      </w:divBdr>
    </w:div>
    <w:div w:id="1362127693">
      <w:bodyDiv w:val="1"/>
      <w:marLeft w:val="0"/>
      <w:marRight w:val="0"/>
      <w:marTop w:val="0"/>
      <w:marBottom w:val="0"/>
      <w:divBdr>
        <w:top w:val="none" w:sz="0" w:space="0" w:color="auto"/>
        <w:left w:val="none" w:sz="0" w:space="0" w:color="auto"/>
        <w:bottom w:val="none" w:sz="0" w:space="0" w:color="auto"/>
        <w:right w:val="none" w:sz="0" w:space="0" w:color="auto"/>
      </w:divBdr>
    </w:div>
    <w:div w:id="1363049689">
      <w:bodyDiv w:val="1"/>
      <w:marLeft w:val="0"/>
      <w:marRight w:val="0"/>
      <w:marTop w:val="0"/>
      <w:marBottom w:val="0"/>
      <w:divBdr>
        <w:top w:val="none" w:sz="0" w:space="0" w:color="auto"/>
        <w:left w:val="none" w:sz="0" w:space="0" w:color="auto"/>
        <w:bottom w:val="none" w:sz="0" w:space="0" w:color="auto"/>
        <w:right w:val="none" w:sz="0" w:space="0" w:color="auto"/>
      </w:divBdr>
    </w:div>
    <w:div w:id="1363091138">
      <w:bodyDiv w:val="1"/>
      <w:marLeft w:val="0"/>
      <w:marRight w:val="0"/>
      <w:marTop w:val="0"/>
      <w:marBottom w:val="0"/>
      <w:divBdr>
        <w:top w:val="none" w:sz="0" w:space="0" w:color="auto"/>
        <w:left w:val="none" w:sz="0" w:space="0" w:color="auto"/>
        <w:bottom w:val="none" w:sz="0" w:space="0" w:color="auto"/>
        <w:right w:val="none" w:sz="0" w:space="0" w:color="auto"/>
      </w:divBdr>
    </w:div>
    <w:div w:id="1364135727">
      <w:bodyDiv w:val="1"/>
      <w:marLeft w:val="0"/>
      <w:marRight w:val="0"/>
      <w:marTop w:val="0"/>
      <w:marBottom w:val="0"/>
      <w:divBdr>
        <w:top w:val="none" w:sz="0" w:space="0" w:color="auto"/>
        <w:left w:val="none" w:sz="0" w:space="0" w:color="auto"/>
        <w:bottom w:val="none" w:sz="0" w:space="0" w:color="auto"/>
        <w:right w:val="none" w:sz="0" w:space="0" w:color="auto"/>
      </w:divBdr>
    </w:div>
    <w:div w:id="1364865590">
      <w:bodyDiv w:val="1"/>
      <w:marLeft w:val="0"/>
      <w:marRight w:val="0"/>
      <w:marTop w:val="0"/>
      <w:marBottom w:val="0"/>
      <w:divBdr>
        <w:top w:val="none" w:sz="0" w:space="0" w:color="auto"/>
        <w:left w:val="none" w:sz="0" w:space="0" w:color="auto"/>
        <w:bottom w:val="none" w:sz="0" w:space="0" w:color="auto"/>
        <w:right w:val="none" w:sz="0" w:space="0" w:color="auto"/>
      </w:divBdr>
    </w:div>
    <w:div w:id="1365399696">
      <w:bodyDiv w:val="1"/>
      <w:marLeft w:val="0"/>
      <w:marRight w:val="0"/>
      <w:marTop w:val="0"/>
      <w:marBottom w:val="0"/>
      <w:divBdr>
        <w:top w:val="none" w:sz="0" w:space="0" w:color="auto"/>
        <w:left w:val="none" w:sz="0" w:space="0" w:color="auto"/>
        <w:bottom w:val="none" w:sz="0" w:space="0" w:color="auto"/>
        <w:right w:val="none" w:sz="0" w:space="0" w:color="auto"/>
      </w:divBdr>
    </w:div>
    <w:div w:id="1366178380">
      <w:bodyDiv w:val="1"/>
      <w:marLeft w:val="0"/>
      <w:marRight w:val="0"/>
      <w:marTop w:val="0"/>
      <w:marBottom w:val="0"/>
      <w:divBdr>
        <w:top w:val="none" w:sz="0" w:space="0" w:color="auto"/>
        <w:left w:val="none" w:sz="0" w:space="0" w:color="auto"/>
        <w:bottom w:val="none" w:sz="0" w:space="0" w:color="auto"/>
        <w:right w:val="none" w:sz="0" w:space="0" w:color="auto"/>
      </w:divBdr>
    </w:div>
    <w:div w:id="1366711876">
      <w:bodyDiv w:val="1"/>
      <w:marLeft w:val="0"/>
      <w:marRight w:val="0"/>
      <w:marTop w:val="0"/>
      <w:marBottom w:val="0"/>
      <w:divBdr>
        <w:top w:val="none" w:sz="0" w:space="0" w:color="auto"/>
        <w:left w:val="none" w:sz="0" w:space="0" w:color="auto"/>
        <w:bottom w:val="none" w:sz="0" w:space="0" w:color="auto"/>
        <w:right w:val="none" w:sz="0" w:space="0" w:color="auto"/>
      </w:divBdr>
    </w:div>
    <w:div w:id="1368749843">
      <w:bodyDiv w:val="1"/>
      <w:marLeft w:val="0"/>
      <w:marRight w:val="0"/>
      <w:marTop w:val="0"/>
      <w:marBottom w:val="0"/>
      <w:divBdr>
        <w:top w:val="none" w:sz="0" w:space="0" w:color="auto"/>
        <w:left w:val="none" w:sz="0" w:space="0" w:color="auto"/>
        <w:bottom w:val="none" w:sz="0" w:space="0" w:color="auto"/>
        <w:right w:val="none" w:sz="0" w:space="0" w:color="auto"/>
      </w:divBdr>
    </w:div>
    <w:div w:id="1369452237">
      <w:bodyDiv w:val="1"/>
      <w:marLeft w:val="0"/>
      <w:marRight w:val="0"/>
      <w:marTop w:val="0"/>
      <w:marBottom w:val="0"/>
      <w:divBdr>
        <w:top w:val="none" w:sz="0" w:space="0" w:color="auto"/>
        <w:left w:val="none" w:sz="0" w:space="0" w:color="auto"/>
        <w:bottom w:val="none" w:sz="0" w:space="0" w:color="auto"/>
        <w:right w:val="none" w:sz="0" w:space="0" w:color="auto"/>
      </w:divBdr>
    </w:div>
    <w:div w:id="1369836556">
      <w:bodyDiv w:val="1"/>
      <w:marLeft w:val="0"/>
      <w:marRight w:val="0"/>
      <w:marTop w:val="0"/>
      <w:marBottom w:val="0"/>
      <w:divBdr>
        <w:top w:val="none" w:sz="0" w:space="0" w:color="auto"/>
        <w:left w:val="none" w:sz="0" w:space="0" w:color="auto"/>
        <w:bottom w:val="none" w:sz="0" w:space="0" w:color="auto"/>
        <w:right w:val="none" w:sz="0" w:space="0" w:color="auto"/>
      </w:divBdr>
    </w:div>
    <w:div w:id="1372069619">
      <w:bodyDiv w:val="1"/>
      <w:marLeft w:val="0"/>
      <w:marRight w:val="0"/>
      <w:marTop w:val="0"/>
      <w:marBottom w:val="0"/>
      <w:divBdr>
        <w:top w:val="none" w:sz="0" w:space="0" w:color="auto"/>
        <w:left w:val="none" w:sz="0" w:space="0" w:color="auto"/>
        <w:bottom w:val="none" w:sz="0" w:space="0" w:color="auto"/>
        <w:right w:val="none" w:sz="0" w:space="0" w:color="auto"/>
      </w:divBdr>
    </w:div>
    <w:div w:id="1374113621">
      <w:bodyDiv w:val="1"/>
      <w:marLeft w:val="0"/>
      <w:marRight w:val="0"/>
      <w:marTop w:val="0"/>
      <w:marBottom w:val="0"/>
      <w:divBdr>
        <w:top w:val="none" w:sz="0" w:space="0" w:color="auto"/>
        <w:left w:val="none" w:sz="0" w:space="0" w:color="auto"/>
        <w:bottom w:val="none" w:sz="0" w:space="0" w:color="auto"/>
        <w:right w:val="none" w:sz="0" w:space="0" w:color="auto"/>
      </w:divBdr>
    </w:div>
    <w:div w:id="1375764198">
      <w:bodyDiv w:val="1"/>
      <w:marLeft w:val="0"/>
      <w:marRight w:val="0"/>
      <w:marTop w:val="0"/>
      <w:marBottom w:val="0"/>
      <w:divBdr>
        <w:top w:val="none" w:sz="0" w:space="0" w:color="auto"/>
        <w:left w:val="none" w:sz="0" w:space="0" w:color="auto"/>
        <w:bottom w:val="none" w:sz="0" w:space="0" w:color="auto"/>
        <w:right w:val="none" w:sz="0" w:space="0" w:color="auto"/>
      </w:divBdr>
    </w:div>
    <w:div w:id="1379938910">
      <w:bodyDiv w:val="1"/>
      <w:marLeft w:val="0"/>
      <w:marRight w:val="0"/>
      <w:marTop w:val="0"/>
      <w:marBottom w:val="0"/>
      <w:divBdr>
        <w:top w:val="none" w:sz="0" w:space="0" w:color="auto"/>
        <w:left w:val="none" w:sz="0" w:space="0" w:color="auto"/>
        <w:bottom w:val="none" w:sz="0" w:space="0" w:color="auto"/>
        <w:right w:val="none" w:sz="0" w:space="0" w:color="auto"/>
      </w:divBdr>
    </w:div>
    <w:div w:id="1383751356">
      <w:bodyDiv w:val="1"/>
      <w:marLeft w:val="0"/>
      <w:marRight w:val="0"/>
      <w:marTop w:val="0"/>
      <w:marBottom w:val="0"/>
      <w:divBdr>
        <w:top w:val="none" w:sz="0" w:space="0" w:color="auto"/>
        <w:left w:val="none" w:sz="0" w:space="0" w:color="auto"/>
        <w:bottom w:val="none" w:sz="0" w:space="0" w:color="auto"/>
        <w:right w:val="none" w:sz="0" w:space="0" w:color="auto"/>
      </w:divBdr>
    </w:div>
    <w:div w:id="1384405742">
      <w:bodyDiv w:val="1"/>
      <w:marLeft w:val="0"/>
      <w:marRight w:val="0"/>
      <w:marTop w:val="0"/>
      <w:marBottom w:val="0"/>
      <w:divBdr>
        <w:top w:val="none" w:sz="0" w:space="0" w:color="auto"/>
        <w:left w:val="none" w:sz="0" w:space="0" w:color="auto"/>
        <w:bottom w:val="none" w:sz="0" w:space="0" w:color="auto"/>
        <w:right w:val="none" w:sz="0" w:space="0" w:color="auto"/>
      </w:divBdr>
    </w:div>
    <w:div w:id="1385057184">
      <w:bodyDiv w:val="1"/>
      <w:marLeft w:val="0"/>
      <w:marRight w:val="0"/>
      <w:marTop w:val="0"/>
      <w:marBottom w:val="0"/>
      <w:divBdr>
        <w:top w:val="none" w:sz="0" w:space="0" w:color="auto"/>
        <w:left w:val="none" w:sz="0" w:space="0" w:color="auto"/>
        <w:bottom w:val="none" w:sz="0" w:space="0" w:color="auto"/>
        <w:right w:val="none" w:sz="0" w:space="0" w:color="auto"/>
      </w:divBdr>
    </w:div>
    <w:div w:id="1389498664">
      <w:bodyDiv w:val="1"/>
      <w:marLeft w:val="0"/>
      <w:marRight w:val="0"/>
      <w:marTop w:val="0"/>
      <w:marBottom w:val="0"/>
      <w:divBdr>
        <w:top w:val="none" w:sz="0" w:space="0" w:color="auto"/>
        <w:left w:val="none" w:sz="0" w:space="0" w:color="auto"/>
        <w:bottom w:val="none" w:sz="0" w:space="0" w:color="auto"/>
        <w:right w:val="none" w:sz="0" w:space="0" w:color="auto"/>
      </w:divBdr>
    </w:div>
    <w:div w:id="1390954750">
      <w:bodyDiv w:val="1"/>
      <w:marLeft w:val="0"/>
      <w:marRight w:val="0"/>
      <w:marTop w:val="0"/>
      <w:marBottom w:val="0"/>
      <w:divBdr>
        <w:top w:val="none" w:sz="0" w:space="0" w:color="auto"/>
        <w:left w:val="none" w:sz="0" w:space="0" w:color="auto"/>
        <w:bottom w:val="none" w:sz="0" w:space="0" w:color="auto"/>
        <w:right w:val="none" w:sz="0" w:space="0" w:color="auto"/>
      </w:divBdr>
    </w:div>
    <w:div w:id="1391224383">
      <w:bodyDiv w:val="1"/>
      <w:marLeft w:val="0"/>
      <w:marRight w:val="0"/>
      <w:marTop w:val="0"/>
      <w:marBottom w:val="0"/>
      <w:divBdr>
        <w:top w:val="none" w:sz="0" w:space="0" w:color="auto"/>
        <w:left w:val="none" w:sz="0" w:space="0" w:color="auto"/>
        <w:bottom w:val="none" w:sz="0" w:space="0" w:color="auto"/>
        <w:right w:val="none" w:sz="0" w:space="0" w:color="auto"/>
      </w:divBdr>
    </w:div>
    <w:div w:id="1392653343">
      <w:bodyDiv w:val="1"/>
      <w:marLeft w:val="0"/>
      <w:marRight w:val="0"/>
      <w:marTop w:val="0"/>
      <w:marBottom w:val="0"/>
      <w:divBdr>
        <w:top w:val="none" w:sz="0" w:space="0" w:color="auto"/>
        <w:left w:val="none" w:sz="0" w:space="0" w:color="auto"/>
        <w:bottom w:val="none" w:sz="0" w:space="0" w:color="auto"/>
        <w:right w:val="none" w:sz="0" w:space="0" w:color="auto"/>
      </w:divBdr>
    </w:div>
    <w:div w:id="1392731872">
      <w:bodyDiv w:val="1"/>
      <w:marLeft w:val="0"/>
      <w:marRight w:val="0"/>
      <w:marTop w:val="0"/>
      <w:marBottom w:val="0"/>
      <w:divBdr>
        <w:top w:val="none" w:sz="0" w:space="0" w:color="auto"/>
        <w:left w:val="none" w:sz="0" w:space="0" w:color="auto"/>
        <w:bottom w:val="none" w:sz="0" w:space="0" w:color="auto"/>
        <w:right w:val="none" w:sz="0" w:space="0" w:color="auto"/>
      </w:divBdr>
    </w:div>
    <w:div w:id="1397048903">
      <w:bodyDiv w:val="1"/>
      <w:marLeft w:val="0"/>
      <w:marRight w:val="0"/>
      <w:marTop w:val="0"/>
      <w:marBottom w:val="0"/>
      <w:divBdr>
        <w:top w:val="none" w:sz="0" w:space="0" w:color="auto"/>
        <w:left w:val="none" w:sz="0" w:space="0" w:color="auto"/>
        <w:bottom w:val="none" w:sz="0" w:space="0" w:color="auto"/>
        <w:right w:val="none" w:sz="0" w:space="0" w:color="auto"/>
      </w:divBdr>
    </w:div>
    <w:div w:id="1397171160">
      <w:bodyDiv w:val="1"/>
      <w:marLeft w:val="0"/>
      <w:marRight w:val="0"/>
      <w:marTop w:val="0"/>
      <w:marBottom w:val="0"/>
      <w:divBdr>
        <w:top w:val="none" w:sz="0" w:space="0" w:color="auto"/>
        <w:left w:val="none" w:sz="0" w:space="0" w:color="auto"/>
        <w:bottom w:val="none" w:sz="0" w:space="0" w:color="auto"/>
        <w:right w:val="none" w:sz="0" w:space="0" w:color="auto"/>
      </w:divBdr>
    </w:div>
    <w:div w:id="1398936429">
      <w:bodyDiv w:val="1"/>
      <w:marLeft w:val="0"/>
      <w:marRight w:val="0"/>
      <w:marTop w:val="0"/>
      <w:marBottom w:val="0"/>
      <w:divBdr>
        <w:top w:val="none" w:sz="0" w:space="0" w:color="auto"/>
        <w:left w:val="none" w:sz="0" w:space="0" w:color="auto"/>
        <w:bottom w:val="none" w:sz="0" w:space="0" w:color="auto"/>
        <w:right w:val="none" w:sz="0" w:space="0" w:color="auto"/>
      </w:divBdr>
    </w:div>
    <w:div w:id="1401904202">
      <w:bodyDiv w:val="1"/>
      <w:marLeft w:val="0"/>
      <w:marRight w:val="0"/>
      <w:marTop w:val="0"/>
      <w:marBottom w:val="0"/>
      <w:divBdr>
        <w:top w:val="none" w:sz="0" w:space="0" w:color="auto"/>
        <w:left w:val="none" w:sz="0" w:space="0" w:color="auto"/>
        <w:bottom w:val="none" w:sz="0" w:space="0" w:color="auto"/>
        <w:right w:val="none" w:sz="0" w:space="0" w:color="auto"/>
      </w:divBdr>
    </w:div>
    <w:div w:id="1402632966">
      <w:bodyDiv w:val="1"/>
      <w:marLeft w:val="0"/>
      <w:marRight w:val="0"/>
      <w:marTop w:val="0"/>
      <w:marBottom w:val="0"/>
      <w:divBdr>
        <w:top w:val="none" w:sz="0" w:space="0" w:color="auto"/>
        <w:left w:val="none" w:sz="0" w:space="0" w:color="auto"/>
        <w:bottom w:val="none" w:sz="0" w:space="0" w:color="auto"/>
        <w:right w:val="none" w:sz="0" w:space="0" w:color="auto"/>
      </w:divBdr>
    </w:div>
    <w:div w:id="1403915131">
      <w:bodyDiv w:val="1"/>
      <w:marLeft w:val="0"/>
      <w:marRight w:val="0"/>
      <w:marTop w:val="0"/>
      <w:marBottom w:val="0"/>
      <w:divBdr>
        <w:top w:val="none" w:sz="0" w:space="0" w:color="auto"/>
        <w:left w:val="none" w:sz="0" w:space="0" w:color="auto"/>
        <w:bottom w:val="none" w:sz="0" w:space="0" w:color="auto"/>
        <w:right w:val="none" w:sz="0" w:space="0" w:color="auto"/>
      </w:divBdr>
    </w:div>
    <w:div w:id="1406759908">
      <w:bodyDiv w:val="1"/>
      <w:marLeft w:val="0"/>
      <w:marRight w:val="0"/>
      <w:marTop w:val="0"/>
      <w:marBottom w:val="0"/>
      <w:divBdr>
        <w:top w:val="none" w:sz="0" w:space="0" w:color="auto"/>
        <w:left w:val="none" w:sz="0" w:space="0" w:color="auto"/>
        <w:bottom w:val="none" w:sz="0" w:space="0" w:color="auto"/>
        <w:right w:val="none" w:sz="0" w:space="0" w:color="auto"/>
      </w:divBdr>
    </w:div>
    <w:div w:id="1408380058">
      <w:bodyDiv w:val="1"/>
      <w:marLeft w:val="0"/>
      <w:marRight w:val="0"/>
      <w:marTop w:val="0"/>
      <w:marBottom w:val="0"/>
      <w:divBdr>
        <w:top w:val="none" w:sz="0" w:space="0" w:color="auto"/>
        <w:left w:val="none" w:sz="0" w:space="0" w:color="auto"/>
        <w:bottom w:val="none" w:sz="0" w:space="0" w:color="auto"/>
        <w:right w:val="none" w:sz="0" w:space="0" w:color="auto"/>
      </w:divBdr>
    </w:div>
    <w:div w:id="1409185449">
      <w:bodyDiv w:val="1"/>
      <w:marLeft w:val="0"/>
      <w:marRight w:val="0"/>
      <w:marTop w:val="0"/>
      <w:marBottom w:val="0"/>
      <w:divBdr>
        <w:top w:val="none" w:sz="0" w:space="0" w:color="auto"/>
        <w:left w:val="none" w:sz="0" w:space="0" w:color="auto"/>
        <w:bottom w:val="none" w:sz="0" w:space="0" w:color="auto"/>
        <w:right w:val="none" w:sz="0" w:space="0" w:color="auto"/>
      </w:divBdr>
    </w:div>
    <w:div w:id="1412776531">
      <w:bodyDiv w:val="1"/>
      <w:marLeft w:val="0"/>
      <w:marRight w:val="0"/>
      <w:marTop w:val="0"/>
      <w:marBottom w:val="0"/>
      <w:divBdr>
        <w:top w:val="none" w:sz="0" w:space="0" w:color="auto"/>
        <w:left w:val="none" w:sz="0" w:space="0" w:color="auto"/>
        <w:bottom w:val="none" w:sz="0" w:space="0" w:color="auto"/>
        <w:right w:val="none" w:sz="0" w:space="0" w:color="auto"/>
      </w:divBdr>
    </w:div>
    <w:div w:id="1413891056">
      <w:bodyDiv w:val="1"/>
      <w:marLeft w:val="0"/>
      <w:marRight w:val="0"/>
      <w:marTop w:val="0"/>
      <w:marBottom w:val="0"/>
      <w:divBdr>
        <w:top w:val="none" w:sz="0" w:space="0" w:color="auto"/>
        <w:left w:val="none" w:sz="0" w:space="0" w:color="auto"/>
        <w:bottom w:val="none" w:sz="0" w:space="0" w:color="auto"/>
        <w:right w:val="none" w:sz="0" w:space="0" w:color="auto"/>
      </w:divBdr>
    </w:div>
    <w:div w:id="1415080316">
      <w:bodyDiv w:val="1"/>
      <w:marLeft w:val="0"/>
      <w:marRight w:val="0"/>
      <w:marTop w:val="0"/>
      <w:marBottom w:val="0"/>
      <w:divBdr>
        <w:top w:val="none" w:sz="0" w:space="0" w:color="auto"/>
        <w:left w:val="none" w:sz="0" w:space="0" w:color="auto"/>
        <w:bottom w:val="none" w:sz="0" w:space="0" w:color="auto"/>
        <w:right w:val="none" w:sz="0" w:space="0" w:color="auto"/>
      </w:divBdr>
    </w:div>
    <w:div w:id="1418287465">
      <w:bodyDiv w:val="1"/>
      <w:marLeft w:val="0"/>
      <w:marRight w:val="0"/>
      <w:marTop w:val="0"/>
      <w:marBottom w:val="0"/>
      <w:divBdr>
        <w:top w:val="none" w:sz="0" w:space="0" w:color="auto"/>
        <w:left w:val="none" w:sz="0" w:space="0" w:color="auto"/>
        <w:bottom w:val="none" w:sz="0" w:space="0" w:color="auto"/>
        <w:right w:val="none" w:sz="0" w:space="0" w:color="auto"/>
      </w:divBdr>
    </w:div>
    <w:div w:id="1420368352">
      <w:bodyDiv w:val="1"/>
      <w:marLeft w:val="0"/>
      <w:marRight w:val="0"/>
      <w:marTop w:val="0"/>
      <w:marBottom w:val="0"/>
      <w:divBdr>
        <w:top w:val="none" w:sz="0" w:space="0" w:color="auto"/>
        <w:left w:val="none" w:sz="0" w:space="0" w:color="auto"/>
        <w:bottom w:val="none" w:sz="0" w:space="0" w:color="auto"/>
        <w:right w:val="none" w:sz="0" w:space="0" w:color="auto"/>
      </w:divBdr>
    </w:div>
    <w:div w:id="1420711675">
      <w:bodyDiv w:val="1"/>
      <w:marLeft w:val="0"/>
      <w:marRight w:val="0"/>
      <w:marTop w:val="0"/>
      <w:marBottom w:val="0"/>
      <w:divBdr>
        <w:top w:val="none" w:sz="0" w:space="0" w:color="auto"/>
        <w:left w:val="none" w:sz="0" w:space="0" w:color="auto"/>
        <w:bottom w:val="none" w:sz="0" w:space="0" w:color="auto"/>
        <w:right w:val="none" w:sz="0" w:space="0" w:color="auto"/>
      </w:divBdr>
    </w:div>
    <w:div w:id="1424916010">
      <w:bodyDiv w:val="1"/>
      <w:marLeft w:val="0"/>
      <w:marRight w:val="0"/>
      <w:marTop w:val="0"/>
      <w:marBottom w:val="0"/>
      <w:divBdr>
        <w:top w:val="none" w:sz="0" w:space="0" w:color="auto"/>
        <w:left w:val="none" w:sz="0" w:space="0" w:color="auto"/>
        <w:bottom w:val="none" w:sz="0" w:space="0" w:color="auto"/>
        <w:right w:val="none" w:sz="0" w:space="0" w:color="auto"/>
      </w:divBdr>
    </w:div>
    <w:div w:id="1425346348">
      <w:bodyDiv w:val="1"/>
      <w:marLeft w:val="0"/>
      <w:marRight w:val="0"/>
      <w:marTop w:val="0"/>
      <w:marBottom w:val="0"/>
      <w:divBdr>
        <w:top w:val="none" w:sz="0" w:space="0" w:color="auto"/>
        <w:left w:val="none" w:sz="0" w:space="0" w:color="auto"/>
        <w:bottom w:val="none" w:sz="0" w:space="0" w:color="auto"/>
        <w:right w:val="none" w:sz="0" w:space="0" w:color="auto"/>
      </w:divBdr>
    </w:div>
    <w:div w:id="1427388923">
      <w:bodyDiv w:val="1"/>
      <w:marLeft w:val="0"/>
      <w:marRight w:val="0"/>
      <w:marTop w:val="0"/>
      <w:marBottom w:val="0"/>
      <w:divBdr>
        <w:top w:val="none" w:sz="0" w:space="0" w:color="auto"/>
        <w:left w:val="none" w:sz="0" w:space="0" w:color="auto"/>
        <w:bottom w:val="none" w:sz="0" w:space="0" w:color="auto"/>
        <w:right w:val="none" w:sz="0" w:space="0" w:color="auto"/>
      </w:divBdr>
    </w:div>
    <w:div w:id="1430008817">
      <w:bodyDiv w:val="1"/>
      <w:marLeft w:val="0"/>
      <w:marRight w:val="0"/>
      <w:marTop w:val="0"/>
      <w:marBottom w:val="0"/>
      <w:divBdr>
        <w:top w:val="none" w:sz="0" w:space="0" w:color="auto"/>
        <w:left w:val="none" w:sz="0" w:space="0" w:color="auto"/>
        <w:bottom w:val="none" w:sz="0" w:space="0" w:color="auto"/>
        <w:right w:val="none" w:sz="0" w:space="0" w:color="auto"/>
      </w:divBdr>
    </w:div>
    <w:div w:id="1430544119">
      <w:bodyDiv w:val="1"/>
      <w:marLeft w:val="0"/>
      <w:marRight w:val="0"/>
      <w:marTop w:val="0"/>
      <w:marBottom w:val="0"/>
      <w:divBdr>
        <w:top w:val="none" w:sz="0" w:space="0" w:color="auto"/>
        <w:left w:val="none" w:sz="0" w:space="0" w:color="auto"/>
        <w:bottom w:val="none" w:sz="0" w:space="0" w:color="auto"/>
        <w:right w:val="none" w:sz="0" w:space="0" w:color="auto"/>
      </w:divBdr>
    </w:div>
    <w:div w:id="1433164454">
      <w:bodyDiv w:val="1"/>
      <w:marLeft w:val="0"/>
      <w:marRight w:val="0"/>
      <w:marTop w:val="0"/>
      <w:marBottom w:val="0"/>
      <w:divBdr>
        <w:top w:val="none" w:sz="0" w:space="0" w:color="auto"/>
        <w:left w:val="none" w:sz="0" w:space="0" w:color="auto"/>
        <w:bottom w:val="none" w:sz="0" w:space="0" w:color="auto"/>
        <w:right w:val="none" w:sz="0" w:space="0" w:color="auto"/>
      </w:divBdr>
    </w:div>
    <w:div w:id="1436562200">
      <w:bodyDiv w:val="1"/>
      <w:marLeft w:val="0"/>
      <w:marRight w:val="0"/>
      <w:marTop w:val="0"/>
      <w:marBottom w:val="0"/>
      <w:divBdr>
        <w:top w:val="none" w:sz="0" w:space="0" w:color="auto"/>
        <w:left w:val="none" w:sz="0" w:space="0" w:color="auto"/>
        <w:bottom w:val="none" w:sz="0" w:space="0" w:color="auto"/>
        <w:right w:val="none" w:sz="0" w:space="0" w:color="auto"/>
      </w:divBdr>
    </w:div>
    <w:div w:id="1436942505">
      <w:bodyDiv w:val="1"/>
      <w:marLeft w:val="0"/>
      <w:marRight w:val="0"/>
      <w:marTop w:val="0"/>
      <w:marBottom w:val="0"/>
      <w:divBdr>
        <w:top w:val="none" w:sz="0" w:space="0" w:color="auto"/>
        <w:left w:val="none" w:sz="0" w:space="0" w:color="auto"/>
        <w:bottom w:val="none" w:sz="0" w:space="0" w:color="auto"/>
        <w:right w:val="none" w:sz="0" w:space="0" w:color="auto"/>
      </w:divBdr>
    </w:div>
    <w:div w:id="1440416235">
      <w:bodyDiv w:val="1"/>
      <w:marLeft w:val="0"/>
      <w:marRight w:val="0"/>
      <w:marTop w:val="0"/>
      <w:marBottom w:val="0"/>
      <w:divBdr>
        <w:top w:val="none" w:sz="0" w:space="0" w:color="auto"/>
        <w:left w:val="none" w:sz="0" w:space="0" w:color="auto"/>
        <w:bottom w:val="none" w:sz="0" w:space="0" w:color="auto"/>
        <w:right w:val="none" w:sz="0" w:space="0" w:color="auto"/>
      </w:divBdr>
    </w:div>
    <w:div w:id="1443451693">
      <w:bodyDiv w:val="1"/>
      <w:marLeft w:val="0"/>
      <w:marRight w:val="0"/>
      <w:marTop w:val="0"/>
      <w:marBottom w:val="0"/>
      <w:divBdr>
        <w:top w:val="none" w:sz="0" w:space="0" w:color="auto"/>
        <w:left w:val="none" w:sz="0" w:space="0" w:color="auto"/>
        <w:bottom w:val="none" w:sz="0" w:space="0" w:color="auto"/>
        <w:right w:val="none" w:sz="0" w:space="0" w:color="auto"/>
      </w:divBdr>
    </w:div>
    <w:div w:id="1446921766">
      <w:bodyDiv w:val="1"/>
      <w:marLeft w:val="0"/>
      <w:marRight w:val="0"/>
      <w:marTop w:val="0"/>
      <w:marBottom w:val="0"/>
      <w:divBdr>
        <w:top w:val="none" w:sz="0" w:space="0" w:color="auto"/>
        <w:left w:val="none" w:sz="0" w:space="0" w:color="auto"/>
        <w:bottom w:val="none" w:sz="0" w:space="0" w:color="auto"/>
        <w:right w:val="none" w:sz="0" w:space="0" w:color="auto"/>
      </w:divBdr>
    </w:div>
    <w:div w:id="1448282409">
      <w:bodyDiv w:val="1"/>
      <w:marLeft w:val="0"/>
      <w:marRight w:val="0"/>
      <w:marTop w:val="0"/>
      <w:marBottom w:val="0"/>
      <w:divBdr>
        <w:top w:val="none" w:sz="0" w:space="0" w:color="auto"/>
        <w:left w:val="none" w:sz="0" w:space="0" w:color="auto"/>
        <w:bottom w:val="none" w:sz="0" w:space="0" w:color="auto"/>
        <w:right w:val="none" w:sz="0" w:space="0" w:color="auto"/>
      </w:divBdr>
    </w:div>
    <w:div w:id="1448432711">
      <w:bodyDiv w:val="1"/>
      <w:marLeft w:val="0"/>
      <w:marRight w:val="0"/>
      <w:marTop w:val="0"/>
      <w:marBottom w:val="0"/>
      <w:divBdr>
        <w:top w:val="none" w:sz="0" w:space="0" w:color="auto"/>
        <w:left w:val="none" w:sz="0" w:space="0" w:color="auto"/>
        <w:bottom w:val="none" w:sz="0" w:space="0" w:color="auto"/>
        <w:right w:val="none" w:sz="0" w:space="0" w:color="auto"/>
      </w:divBdr>
    </w:div>
    <w:div w:id="1454709245">
      <w:bodyDiv w:val="1"/>
      <w:marLeft w:val="0"/>
      <w:marRight w:val="0"/>
      <w:marTop w:val="0"/>
      <w:marBottom w:val="0"/>
      <w:divBdr>
        <w:top w:val="none" w:sz="0" w:space="0" w:color="auto"/>
        <w:left w:val="none" w:sz="0" w:space="0" w:color="auto"/>
        <w:bottom w:val="none" w:sz="0" w:space="0" w:color="auto"/>
        <w:right w:val="none" w:sz="0" w:space="0" w:color="auto"/>
      </w:divBdr>
    </w:div>
    <w:div w:id="1454715944">
      <w:bodyDiv w:val="1"/>
      <w:marLeft w:val="0"/>
      <w:marRight w:val="0"/>
      <w:marTop w:val="0"/>
      <w:marBottom w:val="0"/>
      <w:divBdr>
        <w:top w:val="none" w:sz="0" w:space="0" w:color="auto"/>
        <w:left w:val="none" w:sz="0" w:space="0" w:color="auto"/>
        <w:bottom w:val="none" w:sz="0" w:space="0" w:color="auto"/>
        <w:right w:val="none" w:sz="0" w:space="0" w:color="auto"/>
      </w:divBdr>
    </w:div>
    <w:div w:id="1456368131">
      <w:bodyDiv w:val="1"/>
      <w:marLeft w:val="0"/>
      <w:marRight w:val="0"/>
      <w:marTop w:val="0"/>
      <w:marBottom w:val="0"/>
      <w:divBdr>
        <w:top w:val="none" w:sz="0" w:space="0" w:color="auto"/>
        <w:left w:val="none" w:sz="0" w:space="0" w:color="auto"/>
        <w:bottom w:val="none" w:sz="0" w:space="0" w:color="auto"/>
        <w:right w:val="none" w:sz="0" w:space="0" w:color="auto"/>
      </w:divBdr>
    </w:div>
    <w:div w:id="1456605118">
      <w:bodyDiv w:val="1"/>
      <w:marLeft w:val="0"/>
      <w:marRight w:val="0"/>
      <w:marTop w:val="0"/>
      <w:marBottom w:val="0"/>
      <w:divBdr>
        <w:top w:val="none" w:sz="0" w:space="0" w:color="auto"/>
        <w:left w:val="none" w:sz="0" w:space="0" w:color="auto"/>
        <w:bottom w:val="none" w:sz="0" w:space="0" w:color="auto"/>
        <w:right w:val="none" w:sz="0" w:space="0" w:color="auto"/>
      </w:divBdr>
    </w:div>
    <w:div w:id="1457026827">
      <w:bodyDiv w:val="1"/>
      <w:marLeft w:val="0"/>
      <w:marRight w:val="0"/>
      <w:marTop w:val="0"/>
      <w:marBottom w:val="0"/>
      <w:divBdr>
        <w:top w:val="none" w:sz="0" w:space="0" w:color="auto"/>
        <w:left w:val="none" w:sz="0" w:space="0" w:color="auto"/>
        <w:bottom w:val="none" w:sz="0" w:space="0" w:color="auto"/>
        <w:right w:val="none" w:sz="0" w:space="0" w:color="auto"/>
      </w:divBdr>
    </w:div>
    <w:div w:id="1458915643">
      <w:bodyDiv w:val="1"/>
      <w:marLeft w:val="0"/>
      <w:marRight w:val="0"/>
      <w:marTop w:val="0"/>
      <w:marBottom w:val="0"/>
      <w:divBdr>
        <w:top w:val="none" w:sz="0" w:space="0" w:color="auto"/>
        <w:left w:val="none" w:sz="0" w:space="0" w:color="auto"/>
        <w:bottom w:val="none" w:sz="0" w:space="0" w:color="auto"/>
        <w:right w:val="none" w:sz="0" w:space="0" w:color="auto"/>
      </w:divBdr>
    </w:div>
    <w:div w:id="1459765693">
      <w:bodyDiv w:val="1"/>
      <w:marLeft w:val="0"/>
      <w:marRight w:val="0"/>
      <w:marTop w:val="0"/>
      <w:marBottom w:val="0"/>
      <w:divBdr>
        <w:top w:val="none" w:sz="0" w:space="0" w:color="auto"/>
        <w:left w:val="none" w:sz="0" w:space="0" w:color="auto"/>
        <w:bottom w:val="none" w:sz="0" w:space="0" w:color="auto"/>
        <w:right w:val="none" w:sz="0" w:space="0" w:color="auto"/>
      </w:divBdr>
    </w:div>
    <w:div w:id="1460416175">
      <w:bodyDiv w:val="1"/>
      <w:marLeft w:val="0"/>
      <w:marRight w:val="0"/>
      <w:marTop w:val="0"/>
      <w:marBottom w:val="0"/>
      <w:divBdr>
        <w:top w:val="none" w:sz="0" w:space="0" w:color="auto"/>
        <w:left w:val="none" w:sz="0" w:space="0" w:color="auto"/>
        <w:bottom w:val="none" w:sz="0" w:space="0" w:color="auto"/>
        <w:right w:val="none" w:sz="0" w:space="0" w:color="auto"/>
      </w:divBdr>
    </w:div>
    <w:div w:id="1465464249">
      <w:bodyDiv w:val="1"/>
      <w:marLeft w:val="0"/>
      <w:marRight w:val="0"/>
      <w:marTop w:val="0"/>
      <w:marBottom w:val="0"/>
      <w:divBdr>
        <w:top w:val="none" w:sz="0" w:space="0" w:color="auto"/>
        <w:left w:val="none" w:sz="0" w:space="0" w:color="auto"/>
        <w:bottom w:val="none" w:sz="0" w:space="0" w:color="auto"/>
        <w:right w:val="none" w:sz="0" w:space="0" w:color="auto"/>
      </w:divBdr>
    </w:div>
    <w:div w:id="1468160208">
      <w:bodyDiv w:val="1"/>
      <w:marLeft w:val="0"/>
      <w:marRight w:val="0"/>
      <w:marTop w:val="0"/>
      <w:marBottom w:val="0"/>
      <w:divBdr>
        <w:top w:val="none" w:sz="0" w:space="0" w:color="auto"/>
        <w:left w:val="none" w:sz="0" w:space="0" w:color="auto"/>
        <w:bottom w:val="none" w:sz="0" w:space="0" w:color="auto"/>
        <w:right w:val="none" w:sz="0" w:space="0" w:color="auto"/>
      </w:divBdr>
    </w:div>
    <w:div w:id="1470125793">
      <w:bodyDiv w:val="1"/>
      <w:marLeft w:val="0"/>
      <w:marRight w:val="0"/>
      <w:marTop w:val="0"/>
      <w:marBottom w:val="0"/>
      <w:divBdr>
        <w:top w:val="none" w:sz="0" w:space="0" w:color="auto"/>
        <w:left w:val="none" w:sz="0" w:space="0" w:color="auto"/>
        <w:bottom w:val="none" w:sz="0" w:space="0" w:color="auto"/>
        <w:right w:val="none" w:sz="0" w:space="0" w:color="auto"/>
      </w:divBdr>
    </w:div>
    <w:div w:id="1473982922">
      <w:bodyDiv w:val="1"/>
      <w:marLeft w:val="0"/>
      <w:marRight w:val="0"/>
      <w:marTop w:val="0"/>
      <w:marBottom w:val="0"/>
      <w:divBdr>
        <w:top w:val="none" w:sz="0" w:space="0" w:color="auto"/>
        <w:left w:val="none" w:sz="0" w:space="0" w:color="auto"/>
        <w:bottom w:val="none" w:sz="0" w:space="0" w:color="auto"/>
        <w:right w:val="none" w:sz="0" w:space="0" w:color="auto"/>
      </w:divBdr>
    </w:div>
    <w:div w:id="1474638861">
      <w:bodyDiv w:val="1"/>
      <w:marLeft w:val="0"/>
      <w:marRight w:val="0"/>
      <w:marTop w:val="0"/>
      <w:marBottom w:val="0"/>
      <w:divBdr>
        <w:top w:val="none" w:sz="0" w:space="0" w:color="auto"/>
        <w:left w:val="none" w:sz="0" w:space="0" w:color="auto"/>
        <w:bottom w:val="none" w:sz="0" w:space="0" w:color="auto"/>
        <w:right w:val="none" w:sz="0" w:space="0" w:color="auto"/>
      </w:divBdr>
    </w:div>
    <w:div w:id="1475758368">
      <w:bodyDiv w:val="1"/>
      <w:marLeft w:val="0"/>
      <w:marRight w:val="0"/>
      <w:marTop w:val="0"/>
      <w:marBottom w:val="0"/>
      <w:divBdr>
        <w:top w:val="none" w:sz="0" w:space="0" w:color="auto"/>
        <w:left w:val="none" w:sz="0" w:space="0" w:color="auto"/>
        <w:bottom w:val="none" w:sz="0" w:space="0" w:color="auto"/>
        <w:right w:val="none" w:sz="0" w:space="0" w:color="auto"/>
      </w:divBdr>
    </w:div>
    <w:div w:id="1477843265">
      <w:bodyDiv w:val="1"/>
      <w:marLeft w:val="0"/>
      <w:marRight w:val="0"/>
      <w:marTop w:val="0"/>
      <w:marBottom w:val="0"/>
      <w:divBdr>
        <w:top w:val="none" w:sz="0" w:space="0" w:color="auto"/>
        <w:left w:val="none" w:sz="0" w:space="0" w:color="auto"/>
        <w:bottom w:val="none" w:sz="0" w:space="0" w:color="auto"/>
        <w:right w:val="none" w:sz="0" w:space="0" w:color="auto"/>
      </w:divBdr>
    </w:div>
    <w:div w:id="1478183376">
      <w:bodyDiv w:val="1"/>
      <w:marLeft w:val="0"/>
      <w:marRight w:val="0"/>
      <w:marTop w:val="0"/>
      <w:marBottom w:val="0"/>
      <w:divBdr>
        <w:top w:val="none" w:sz="0" w:space="0" w:color="auto"/>
        <w:left w:val="none" w:sz="0" w:space="0" w:color="auto"/>
        <w:bottom w:val="none" w:sz="0" w:space="0" w:color="auto"/>
        <w:right w:val="none" w:sz="0" w:space="0" w:color="auto"/>
      </w:divBdr>
    </w:div>
    <w:div w:id="1478303453">
      <w:bodyDiv w:val="1"/>
      <w:marLeft w:val="0"/>
      <w:marRight w:val="0"/>
      <w:marTop w:val="0"/>
      <w:marBottom w:val="0"/>
      <w:divBdr>
        <w:top w:val="none" w:sz="0" w:space="0" w:color="auto"/>
        <w:left w:val="none" w:sz="0" w:space="0" w:color="auto"/>
        <w:bottom w:val="none" w:sz="0" w:space="0" w:color="auto"/>
        <w:right w:val="none" w:sz="0" w:space="0" w:color="auto"/>
      </w:divBdr>
    </w:div>
    <w:div w:id="1479615012">
      <w:bodyDiv w:val="1"/>
      <w:marLeft w:val="0"/>
      <w:marRight w:val="0"/>
      <w:marTop w:val="0"/>
      <w:marBottom w:val="0"/>
      <w:divBdr>
        <w:top w:val="none" w:sz="0" w:space="0" w:color="auto"/>
        <w:left w:val="none" w:sz="0" w:space="0" w:color="auto"/>
        <w:bottom w:val="none" w:sz="0" w:space="0" w:color="auto"/>
        <w:right w:val="none" w:sz="0" w:space="0" w:color="auto"/>
      </w:divBdr>
    </w:div>
    <w:div w:id="1481918001">
      <w:bodyDiv w:val="1"/>
      <w:marLeft w:val="0"/>
      <w:marRight w:val="0"/>
      <w:marTop w:val="0"/>
      <w:marBottom w:val="0"/>
      <w:divBdr>
        <w:top w:val="none" w:sz="0" w:space="0" w:color="auto"/>
        <w:left w:val="none" w:sz="0" w:space="0" w:color="auto"/>
        <w:bottom w:val="none" w:sz="0" w:space="0" w:color="auto"/>
        <w:right w:val="none" w:sz="0" w:space="0" w:color="auto"/>
      </w:divBdr>
    </w:div>
    <w:div w:id="1484002625">
      <w:bodyDiv w:val="1"/>
      <w:marLeft w:val="0"/>
      <w:marRight w:val="0"/>
      <w:marTop w:val="0"/>
      <w:marBottom w:val="0"/>
      <w:divBdr>
        <w:top w:val="none" w:sz="0" w:space="0" w:color="auto"/>
        <w:left w:val="none" w:sz="0" w:space="0" w:color="auto"/>
        <w:bottom w:val="none" w:sz="0" w:space="0" w:color="auto"/>
        <w:right w:val="none" w:sz="0" w:space="0" w:color="auto"/>
      </w:divBdr>
    </w:div>
    <w:div w:id="1485312689">
      <w:bodyDiv w:val="1"/>
      <w:marLeft w:val="0"/>
      <w:marRight w:val="0"/>
      <w:marTop w:val="0"/>
      <w:marBottom w:val="0"/>
      <w:divBdr>
        <w:top w:val="none" w:sz="0" w:space="0" w:color="auto"/>
        <w:left w:val="none" w:sz="0" w:space="0" w:color="auto"/>
        <w:bottom w:val="none" w:sz="0" w:space="0" w:color="auto"/>
        <w:right w:val="none" w:sz="0" w:space="0" w:color="auto"/>
      </w:divBdr>
    </w:div>
    <w:div w:id="1487362404">
      <w:bodyDiv w:val="1"/>
      <w:marLeft w:val="0"/>
      <w:marRight w:val="0"/>
      <w:marTop w:val="0"/>
      <w:marBottom w:val="0"/>
      <w:divBdr>
        <w:top w:val="none" w:sz="0" w:space="0" w:color="auto"/>
        <w:left w:val="none" w:sz="0" w:space="0" w:color="auto"/>
        <w:bottom w:val="none" w:sz="0" w:space="0" w:color="auto"/>
        <w:right w:val="none" w:sz="0" w:space="0" w:color="auto"/>
      </w:divBdr>
    </w:div>
    <w:div w:id="1488126229">
      <w:bodyDiv w:val="1"/>
      <w:marLeft w:val="0"/>
      <w:marRight w:val="0"/>
      <w:marTop w:val="0"/>
      <w:marBottom w:val="0"/>
      <w:divBdr>
        <w:top w:val="none" w:sz="0" w:space="0" w:color="auto"/>
        <w:left w:val="none" w:sz="0" w:space="0" w:color="auto"/>
        <w:bottom w:val="none" w:sz="0" w:space="0" w:color="auto"/>
        <w:right w:val="none" w:sz="0" w:space="0" w:color="auto"/>
      </w:divBdr>
    </w:div>
    <w:div w:id="1488859337">
      <w:bodyDiv w:val="1"/>
      <w:marLeft w:val="0"/>
      <w:marRight w:val="0"/>
      <w:marTop w:val="0"/>
      <w:marBottom w:val="0"/>
      <w:divBdr>
        <w:top w:val="none" w:sz="0" w:space="0" w:color="auto"/>
        <w:left w:val="none" w:sz="0" w:space="0" w:color="auto"/>
        <w:bottom w:val="none" w:sz="0" w:space="0" w:color="auto"/>
        <w:right w:val="none" w:sz="0" w:space="0" w:color="auto"/>
      </w:divBdr>
    </w:div>
    <w:div w:id="1489588677">
      <w:bodyDiv w:val="1"/>
      <w:marLeft w:val="0"/>
      <w:marRight w:val="0"/>
      <w:marTop w:val="0"/>
      <w:marBottom w:val="0"/>
      <w:divBdr>
        <w:top w:val="none" w:sz="0" w:space="0" w:color="auto"/>
        <w:left w:val="none" w:sz="0" w:space="0" w:color="auto"/>
        <w:bottom w:val="none" w:sz="0" w:space="0" w:color="auto"/>
        <w:right w:val="none" w:sz="0" w:space="0" w:color="auto"/>
      </w:divBdr>
    </w:div>
    <w:div w:id="1492332055">
      <w:bodyDiv w:val="1"/>
      <w:marLeft w:val="0"/>
      <w:marRight w:val="0"/>
      <w:marTop w:val="0"/>
      <w:marBottom w:val="0"/>
      <w:divBdr>
        <w:top w:val="none" w:sz="0" w:space="0" w:color="auto"/>
        <w:left w:val="none" w:sz="0" w:space="0" w:color="auto"/>
        <w:bottom w:val="none" w:sz="0" w:space="0" w:color="auto"/>
        <w:right w:val="none" w:sz="0" w:space="0" w:color="auto"/>
      </w:divBdr>
    </w:div>
    <w:div w:id="1492409522">
      <w:bodyDiv w:val="1"/>
      <w:marLeft w:val="0"/>
      <w:marRight w:val="0"/>
      <w:marTop w:val="0"/>
      <w:marBottom w:val="0"/>
      <w:divBdr>
        <w:top w:val="none" w:sz="0" w:space="0" w:color="auto"/>
        <w:left w:val="none" w:sz="0" w:space="0" w:color="auto"/>
        <w:bottom w:val="none" w:sz="0" w:space="0" w:color="auto"/>
        <w:right w:val="none" w:sz="0" w:space="0" w:color="auto"/>
      </w:divBdr>
    </w:div>
    <w:div w:id="1494493303">
      <w:bodyDiv w:val="1"/>
      <w:marLeft w:val="0"/>
      <w:marRight w:val="0"/>
      <w:marTop w:val="0"/>
      <w:marBottom w:val="0"/>
      <w:divBdr>
        <w:top w:val="none" w:sz="0" w:space="0" w:color="auto"/>
        <w:left w:val="none" w:sz="0" w:space="0" w:color="auto"/>
        <w:bottom w:val="none" w:sz="0" w:space="0" w:color="auto"/>
        <w:right w:val="none" w:sz="0" w:space="0" w:color="auto"/>
      </w:divBdr>
    </w:div>
    <w:div w:id="1495224399">
      <w:bodyDiv w:val="1"/>
      <w:marLeft w:val="0"/>
      <w:marRight w:val="0"/>
      <w:marTop w:val="0"/>
      <w:marBottom w:val="0"/>
      <w:divBdr>
        <w:top w:val="none" w:sz="0" w:space="0" w:color="auto"/>
        <w:left w:val="none" w:sz="0" w:space="0" w:color="auto"/>
        <w:bottom w:val="none" w:sz="0" w:space="0" w:color="auto"/>
        <w:right w:val="none" w:sz="0" w:space="0" w:color="auto"/>
      </w:divBdr>
    </w:div>
    <w:div w:id="1495879934">
      <w:bodyDiv w:val="1"/>
      <w:marLeft w:val="0"/>
      <w:marRight w:val="0"/>
      <w:marTop w:val="0"/>
      <w:marBottom w:val="0"/>
      <w:divBdr>
        <w:top w:val="none" w:sz="0" w:space="0" w:color="auto"/>
        <w:left w:val="none" w:sz="0" w:space="0" w:color="auto"/>
        <w:bottom w:val="none" w:sz="0" w:space="0" w:color="auto"/>
        <w:right w:val="none" w:sz="0" w:space="0" w:color="auto"/>
      </w:divBdr>
    </w:div>
    <w:div w:id="1496266148">
      <w:bodyDiv w:val="1"/>
      <w:marLeft w:val="0"/>
      <w:marRight w:val="0"/>
      <w:marTop w:val="0"/>
      <w:marBottom w:val="0"/>
      <w:divBdr>
        <w:top w:val="none" w:sz="0" w:space="0" w:color="auto"/>
        <w:left w:val="none" w:sz="0" w:space="0" w:color="auto"/>
        <w:bottom w:val="none" w:sz="0" w:space="0" w:color="auto"/>
        <w:right w:val="none" w:sz="0" w:space="0" w:color="auto"/>
      </w:divBdr>
    </w:div>
    <w:div w:id="1496530191">
      <w:bodyDiv w:val="1"/>
      <w:marLeft w:val="0"/>
      <w:marRight w:val="0"/>
      <w:marTop w:val="0"/>
      <w:marBottom w:val="0"/>
      <w:divBdr>
        <w:top w:val="none" w:sz="0" w:space="0" w:color="auto"/>
        <w:left w:val="none" w:sz="0" w:space="0" w:color="auto"/>
        <w:bottom w:val="none" w:sz="0" w:space="0" w:color="auto"/>
        <w:right w:val="none" w:sz="0" w:space="0" w:color="auto"/>
      </w:divBdr>
    </w:div>
    <w:div w:id="1499267462">
      <w:bodyDiv w:val="1"/>
      <w:marLeft w:val="0"/>
      <w:marRight w:val="0"/>
      <w:marTop w:val="0"/>
      <w:marBottom w:val="0"/>
      <w:divBdr>
        <w:top w:val="none" w:sz="0" w:space="0" w:color="auto"/>
        <w:left w:val="none" w:sz="0" w:space="0" w:color="auto"/>
        <w:bottom w:val="none" w:sz="0" w:space="0" w:color="auto"/>
        <w:right w:val="none" w:sz="0" w:space="0" w:color="auto"/>
      </w:divBdr>
    </w:div>
    <w:div w:id="1499737139">
      <w:bodyDiv w:val="1"/>
      <w:marLeft w:val="0"/>
      <w:marRight w:val="0"/>
      <w:marTop w:val="0"/>
      <w:marBottom w:val="0"/>
      <w:divBdr>
        <w:top w:val="none" w:sz="0" w:space="0" w:color="auto"/>
        <w:left w:val="none" w:sz="0" w:space="0" w:color="auto"/>
        <w:bottom w:val="none" w:sz="0" w:space="0" w:color="auto"/>
        <w:right w:val="none" w:sz="0" w:space="0" w:color="auto"/>
      </w:divBdr>
    </w:div>
    <w:div w:id="1503007753">
      <w:bodyDiv w:val="1"/>
      <w:marLeft w:val="0"/>
      <w:marRight w:val="0"/>
      <w:marTop w:val="0"/>
      <w:marBottom w:val="0"/>
      <w:divBdr>
        <w:top w:val="none" w:sz="0" w:space="0" w:color="auto"/>
        <w:left w:val="none" w:sz="0" w:space="0" w:color="auto"/>
        <w:bottom w:val="none" w:sz="0" w:space="0" w:color="auto"/>
        <w:right w:val="none" w:sz="0" w:space="0" w:color="auto"/>
      </w:divBdr>
    </w:div>
    <w:div w:id="1504932398">
      <w:bodyDiv w:val="1"/>
      <w:marLeft w:val="0"/>
      <w:marRight w:val="0"/>
      <w:marTop w:val="0"/>
      <w:marBottom w:val="0"/>
      <w:divBdr>
        <w:top w:val="none" w:sz="0" w:space="0" w:color="auto"/>
        <w:left w:val="none" w:sz="0" w:space="0" w:color="auto"/>
        <w:bottom w:val="none" w:sz="0" w:space="0" w:color="auto"/>
        <w:right w:val="none" w:sz="0" w:space="0" w:color="auto"/>
      </w:divBdr>
    </w:div>
    <w:div w:id="1509522643">
      <w:bodyDiv w:val="1"/>
      <w:marLeft w:val="0"/>
      <w:marRight w:val="0"/>
      <w:marTop w:val="0"/>
      <w:marBottom w:val="0"/>
      <w:divBdr>
        <w:top w:val="none" w:sz="0" w:space="0" w:color="auto"/>
        <w:left w:val="none" w:sz="0" w:space="0" w:color="auto"/>
        <w:bottom w:val="none" w:sz="0" w:space="0" w:color="auto"/>
        <w:right w:val="none" w:sz="0" w:space="0" w:color="auto"/>
      </w:divBdr>
    </w:div>
    <w:div w:id="1510101641">
      <w:bodyDiv w:val="1"/>
      <w:marLeft w:val="0"/>
      <w:marRight w:val="0"/>
      <w:marTop w:val="0"/>
      <w:marBottom w:val="0"/>
      <w:divBdr>
        <w:top w:val="none" w:sz="0" w:space="0" w:color="auto"/>
        <w:left w:val="none" w:sz="0" w:space="0" w:color="auto"/>
        <w:bottom w:val="none" w:sz="0" w:space="0" w:color="auto"/>
        <w:right w:val="none" w:sz="0" w:space="0" w:color="auto"/>
      </w:divBdr>
    </w:div>
    <w:div w:id="1510371951">
      <w:bodyDiv w:val="1"/>
      <w:marLeft w:val="0"/>
      <w:marRight w:val="0"/>
      <w:marTop w:val="0"/>
      <w:marBottom w:val="0"/>
      <w:divBdr>
        <w:top w:val="none" w:sz="0" w:space="0" w:color="auto"/>
        <w:left w:val="none" w:sz="0" w:space="0" w:color="auto"/>
        <w:bottom w:val="none" w:sz="0" w:space="0" w:color="auto"/>
        <w:right w:val="none" w:sz="0" w:space="0" w:color="auto"/>
      </w:divBdr>
    </w:div>
    <w:div w:id="1511214279">
      <w:bodyDiv w:val="1"/>
      <w:marLeft w:val="0"/>
      <w:marRight w:val="0"/>
      <w:marTop w:val="0"/>
      <w:marBottom w:val="0"/>
      <w:divBdr>
        <w:top w:val="none" w:sz="0" w:space="0" w:color="auto"/>
        <w:left w:val="none" w:sz="0" w:space="0" w:color="auto"/>
        <w:bottom w:val="none" w:sz="0" w:space="0" w:color="auto"/>
        <w:right w:val="none" w:sz="0" w:space="0" w:color="auto"/>
      </w:divBdr>
    </w:div>
    <w:div w:id="1511948255">
      <w:bodyDiv w:val="1"/>
      <w:marLeft w:val="0"/>
      <w:marRight w:val="0"/>
      <w:marTop w:val="0"/>
      <w:marBottom w:val="0"/>
      <w:divBdr>
        <w:top w:val="none" w:sz="0" w:space="0" w:color="auto"/>
        <w:left w:val="none" w:sz="0" w:space="0" w:color="auto"/>
        <w:bottom w:val="none" w:sz="0" w:space="0" w:color="auto"/>
        <w:right w:val="none" w:sz="0" w:space="0" w:color="auto"/>
      </w:divBdr>
    </w:div>
    <w:div w:id="1512374665">
      <w:bodyDiv w:val="1"/>
      <w:marLeft w:val="0"/>
      <w:marRight w:val="0"/>
      <w:marTop w:val="0"/>
      <w:marBottom w:val="0"/>
      <w:divBdr>
        <w:top w:val="none" w:sz="0" w:space="0" w:color="auto"/>
        <w:left w:val="none" w:sz="0" w:space="0" w:color="auto"/>
        <w:bottom w:val="none" w:sz="0" w:space="0" w:color="auto"/>
        <w:right w:val="none" w:sz="0" w:space="0" w:color="auto"/>
      </w:divBdr>
    </w:div>
    <w:div w:id="1513101742">
      <w:bodyDiv w:val="1"/>
      <w:marLeft w:val="0"/>
      <w:marRight w:val="0"/>
      <w:marTop w:val="0"/>
      <w:marBottom w:val="0"/>
      <w:divBdr>
        <w:top w:val="none" w:sz="0" w:space="0" w:color="auto"/>
        <w:left w:val="none" w:sz="0" w:space="0" w:color="auto"/>
        <w:bottom w:val="none" w:sz="0" w:space="0" w:color="auto"/>
        <w:right w:val="none" w:sz="0" w:space="0" w:color="auto"/>
      </w:divBdr>
    </w:div>
    <w:div w:id="1522089815">
      <w:bodyDiv w:val="1"/>
      <w:marLeft w:val="0"/>
      <w:marRight w:val="0"/>
      <w:marTop w:val="0"/>
      <w:marBottom w:val="0"/>
      <w:divBdr>
        <w:top w:val="none" w:sz="0" w:space="0" w:color="auto"/>
        <w:left w:val="none" w:sz="0" w:space="0" w:color="auto"/>
        <w:bottom w:val="none" w:sz="0" w:space="0" w:color="auto"/>
        <w:right w:val="none" w:sz="0" w:space="0" w:color="auto"/>
      </w:divBdr>
    </w:div>
    <w:div w:id="1523324518">
      <w:bodyDiv w:val="1"/>
      <w:marLeft w:val="0"/>
      <w:marRight w:val="0"/>
      <w:marTop w:val="0"/>
      <w:marBottom w:val="0"/>
      <w:divBdr>
        <w:top w:val="none" w:sz="0" w:space="0" w:color="auto"/>
        <w:left w:val="none" w:sz="0" w:space="0" w:color="auto"/>
        <w:bottom w:val="none" w:sz="0" w:space="0" w:color="auto"/>
        <w:right w:val="none" w:sz="0" w:space="0" w:color="auto"/>
      </w:divBdr>
    </w:div>
    <w:div w:id="1523519947">
      <w:bodyDiv w:val="1"/>
      <w:marLeft w:val="0"/>
      <w:marRight w:val="0"/>
      <w:marTop w:val="0"/>
      <w:marBottom w:val="0"/>
      <w:divBdr>
        <w:top w:val="none" w:sz="0" w:space="0" w:color="auto"/>
        <w:left w:val="none" w:sz="0" w:space="0" w:color="auto"/>
        <w:bottom w:val="none" w:sz="0" w:space="0" w:color="auto"/>
        <w:right w:val="none" w:sz="0" w:space="0" w:color="auto"/>
      </w:divBdr>
    </w:div>
    <w:div w:id="1527251531">
      <w:bodyDiv w:val="1"/>
      <w:marLeft w:val="0"/>
      <w:marRight w:val="0"/>
      <w:marTop w:val="0"/>
      <w:marBottom w:val="0"/>
      <w:divBdr>
        <w:top w:val="none" w:sz="0" w:space="0" w:color="auto"/>
        <w:left w:val="none" w:sz="0" w:space="0" w:color="auto"/>
        <w:bottom w:val="none" w:sz="0" w:space="0" w:color="auto"/>
        <w:right w:val="none" w:sz="0" w:space="0" w:color="auto"/>
      </w:divBdr>
    </w:div>
    <w:div w:id="1528181923">
      <w:bodyDiv w:val="1"/>
      <w:marLeft w:val="0"/>
      <w:marRight w:val="0"/>
      <w:marTop w:val="0"/>
      <w:marBottom w:val="0"/>
      <w:divBdr>
        <w:top w:val="none" w:sz="0" w:space="0" w:color="auto"/>
        <w:left w:val="none" w:sz="0" w:space="0" w:color="auto"/>
        <w:bottom w:val="none" w:sz="0" w:space="0" w:color="auto"/>
        <w:right w:val="none" w:sz="0" w:space="0" w:color="auto"/>
      </w:divBdr>
    </w:div>
    <w:div w:id="1531453288">
      <w:bodyDiv w:val="1"/>
      <w:marLeft w:val="0"/>
      <w:marRight w:val="0"/>
      <w:marTop w:val="0"/>
      <w:marBottom w:val="0"/>
      <w:divBdr>
        <w:top w:val="none" w:sz="0" w:space="0" w:color="auto"/>
        <w:left w:val="none" w:sz="0" w:space="0" w:color="auto"/>
        <w:bottom w:val="none" w:sz="0" w:space="0" w:color="auto"/>
        <w:right w:val="none" w:sz="0" w:space="0" w:color="auto"/>
      </w:divBdr>
    </w:div>
    <w:div w:id="1532837192">
      <w:bodyDiv w:val="1"/>
      <w:marLeft w:val="0"/>
      <w:marRight w:val="0"/>
      <w:marTop w:val="0"/>
      <w:marBottom w:val="0"/>
      <w:divBdr>
        <w:top w:val="none" w:sz="0" w:space="0" w:color="auto"/>
        <w:left w:val="none" w:sz="0" w:space="0" w:color="auto"/>
        <w:bottom w:val="none" w:sz="0" w:space="0" w:color="auto"/>
        <w:right w:val="none" w:sz="0" w:space="0" w:color="auto"/>
      </w:divBdr>
    </w:div>
    <w:div w:id="1534072231">
      <w:bodyDiv w:val="1"/>
      <w:marLeft w:val="0"/>
      <w:marRight w:val="0"/>
      <w:marTop w:val="0"/>
      <w:marBottom w:val="0"/>
      <w:divBdr>
        <w:top w:val="none" w:sz="0" w:space="0" w:color="auto"/>
        <w:left w:val="none" w:sz="0" w:space="0" w:color="auto"/>
        <w:bottom w:val="none" w:sz="0" w:space="0" w:color="auto"/>
        <w:right w:val="none" w:sz="0" w:space="0" w:color="auto"/>
      </w:divBdr>
    </w:div>
    <w:div w:id="1535456541">
      <w:bodyDiv w:val="1"/>
      <w:marLeft w:val="0"/>
      <w:marRight w:val="0"/>
      <w:marTop w:val="0"/>
      <w:marBottom w:val="0"/>
      <w:divBdr>
        <w:top w:val="none" w:sz="0" w:space="0" w:color="auto"/>
        <w:left w:val="none" w:sz="0" w:space="0" w:color="auto"/>
        <w:bottom w:val="none" w:sz="0" w:space="0" w:color="auto"/>
        <w:right w:val="none" w:sz="0" w:space="0" w:color="auto"/>
      </w:divBdr>
    </w:div>
    <w:div w:id="1536649650">
      <w:bodyDiv w:val="1"/>
      <w:marLeft w:val="0"/>
      <w:marRight w:val="0"/>
      <w:marTop w:val="0"/>
      <w:marBottom w:val="0"/>
      <w:divBdr>
        <w:top w:val="none" w:sz="0" w:space="0" w:color="auto"/>
        <w:left w:val="none" w:sz="0" w:space="0" w:color="auto"/>
        <w:bottom w:val="none" w:sz="0" w:space="0" w:color="auto"/>
        <w:right w:val="none" w:sz="0" w:space="0" w:color="auto"/>
      </w:divBdr>
    </w:div>
    <w:div w:id="1537112597">
      <w:bodyDiv w:val="1"/>
      <w:marLeft w:val="0"/>
      <w:marRight w:val="0"/>
      <w:marTop w:val="0"/>
      <w:marBottom w:val="0"/>
      <w:divBdr>
        <w:top w:val="none" w:sz="0" w:space="0" w:color="auto"/>
        <w:left w:val="none" w:sz="0" w:space="0" w:color="auto"/>
        <w:bottom w:val="none" w:sz="0" w:space="0" w:color="auto"/>
        <w:right w:val="none" w:sz="0" w:space="0" w:color="auto"/>
      </w:divBdr>
    </w:div>
    <w:div w:id="1537818142">
      <w:bodyDiv w:val="1"/>
      <w:marLeft w:val="0"/>
      <w:marRight w:val="0"/>
      <w:marTop w:val="0"/>
      <w:marBottom w:val="0"/>
      <w:divBdr>
        <w:top w:val="none" w:sz="0" w:space="0" w:color="auto"/>
        <w:left w:val="none" w:sz="0" w:space="0" w:color="auto"/>
        <w:bottom w:val="none" w:sz="0" w:space="0" w:color="auto"/>
        <w:right w:val="none" w:sz="0" w:space="0" w:color="auto"/>
      </w:divBdr>
    </w:div>
    <w:div w:id="1540894525">
      <w:bodyDiv w:val="1"/>
      <w:marLeft w:val="0"/>
      <w:marRight w:val="0"/>
      <w:marTop w:val="0"/>
      <w:marBottom w:val="0"/>
      <w:divBdr>
        <w:top w:val="none" w:sz="0" w:space="0" w:color="auto"/>
        <w:left w:val="none" w:sz="0" w:space="0" w:color="auto"/>
        <w:bottom w:val="none" w:sz="0" w:space="0" w:color="auto"/>
        <w:right w:val="none" w:sz="0" w:space="0" w:color="auto"/>
      </w:divBdr>
    </w:div>
    <w:div w:id="1542785206">
      <w:bodyDiv w:val="1"/>
      <w:marLeft w:val="0"/>
      <w:marRight w:val="0"/>
      <w:marTop w:val="0"/>
      <w:marBottom w:val="0"/>
      <w:divBdr>
        <w:top w:val="none" w:sz="0" w:space="0" w:color="auto"/>
        <w:left w:val="none" w:sz="0" w:space="0" w:color="auto"/>
        <w:bottom w:val="none" w:sz="0" w:space="0" w:color="auto"/>
        <w:right w:val="none" w:sz="0" w:space="0" w:color="auto"/>
      </w:divBdr>
    </w:div>
    <w:div w:id="1543906497">
      <w:bodyDiv w:val="1"/>
      <w:marLeft w:val="0"/>
      <w:marRight w:val="0"/>
      <w:marTop w:val="0"/>
      <w:marBottom w:val="0"/>
      <w:divBdr>
        <w:top w:val="none" w:sz="0" w:space="0" w:color="auto"/>
        <w:left w:val="none" w:sz="0" w:space="0" w:color="auto"/>
        <w:bottom w:val="none" w:sz="0" w:space="0" w:color="auto"/>
        <w:right w:val="none" w:sz="0" w:space="0" w:color="auto"/>
      </w:divBdr>
    </w:div>
    <w:div w:id="1545022949">
      <w:bodyDiv w:val="1"/>
      <w:marLeft w:val="0"/>
      <w:marRight w:val="0"/>
      <w:marTop w:val="0"/>
      <w:marBottom w:val="0"/>
      <w:divBdr>
        <w:top w:val="none" w:sz="0" w:space="0" w:color="auto"/>
        <w:left w:val="none" w:sz="0" w:space="0" w:color="auto"/>
        <w:bottom w:val="none" w:sz="0" w:space="0" w:color="auto"/>
        <w:right w:val="none" w:sz="0" w:space="0" w:color="auto"/>
      </w:divBdr>
    </w:div>
    <w:div w:id="1545867797">
      <w:bodyDiv w:val="1"/>
      <w:marLeft w:val="0"/>
      <w:marRight w:val="0"/>
      <w:marTop w:val="0"/>
      <w:marBottom w:val="0"/>
      <w:divBdr>
        <w:top w:val="none" w:sz="0" w:space="0" w:color="auto"/>
        <w:left w:val="none" w:sz="0" w:space="0" w:color="auto"/>
        <w:bottom w:val="none" w:sz="0" w:space="0" w:color="auto"/>
        <w:right w:val="none" w:sz="0" w:space="0" w:color="auto"/>
      </w:divBdr>
    </w:div>
    <w:div w:id="1548377979">
      <w:bodyDiv w:val="1"/>
      <w:marLeft w:val="0"/>
      <w:marRight w:val="0"/>
      <w:marTop w:val="0"/>
      <w:marBottom w:val="0"/>
      <w:divBdr>
        <w:top w:val="none" w:sz="0" w:space="0" w:color="auto"/>
        <w:left w:val="none" w:sz="0" w:space="0" w:color="auto"/>
        <w:bottom w:val="none" w:sz="0" w:space="0" w:color="auto"/>
        <w:right w:val="none" w:sz="0" w:space="0" w:color="auto"/>
      </w:divBdr>
    </w:div>
    <w:div w:id="1548644115">
      <w:bodyDiv w:val="1"/>
      <w:marLeft w:val="0"/>
      <w:marRight w:val="0"/>
      <w:marTop w:val="0"/>
      <w:marBottom w:val="0"/>
      <w:divBdr>
        <w:top w:val="none" w:sz="0" w:space="0" w:color="auto"/>
        <w:left w:val="none" w:sz="0" w:space="0" w:color="auto"/>
        <w:bottom w:val="none" w:sz="0" w:space="0" w:color="auto"/>
        <w:right w:val="none" w:sz="0" w:space="0" w:color="auto"/>
      </w:divBdr>
    </w:div>
    <w:div w:id="1549341601">
      <w:bodyDiv w:val="1"/>
      <w:marLeft w:val="0"/>
      <w:marRight w:val="0"/>
      <w:marTop w:val="0"/>
      <w:marBottom w:val="0"/>
      <w:divBdr>
        <w:top w:val="none" w:sz="0" w:space="0" w:color="auto"/>
        <w:left w:val="none" w:sz="0" w:space="0" w:color="auto"/>
        <w:bottom w:val="none" w:sz="0" w:space="0" w:color="auto"/>
        <w:right w:val="none" w:sz="0" w:space="0" w:color="auto"/>
      </w:divBdr>
    </w:div>
    <w:div w:id="1551065921">
      <w:bodyDiv w:val="1"/>
      <w:marLeft w:val="0"/>
      <w:marRight w:val="0"/>
      <w:marTop w:val="0"/>
      <w:marBottom w:val="0"/>
      <w:divBdr>
        <w:top w:val="none" w:sz="0" w:space="0" w:color="auto"/>
        <w:left w:val="none" w:sz="0" w:space="0" w:color="auto"/>
        <w:bottom w:val="none" w:sz="0" w:space="0" w:color="auto"/>
        <w:right w:val="none" w:sz="0" w:space="0" w:color="auto"/>
      </w:divBdr>
    </w:div>
    <w:div w:id="1551458534">
      <w:bodyDiv w:val="1"/>
      <w:marLeft w:val="0"/>
      <w:marRight w:val="0"/>
      <w:marTop w:val="0"/>
      <w:marBottom w:val="0"/>
      <w:divBdr>
        <w:top w:val="none" w:sz="0" w:space="0" w:color="auto"/>
        <w:left w:val="none" w:sz="0" w:space="0" w:color="auto"/>
        <w:bottom w:val="none" w:sz="0" w:space="0" w:color="auto"/>
        <w:right w:val="none" w:sz="0" w:space="0" w:color="auto"/>
      </w:divBdr>
    </w:div>
    <w:div w:id="1553426119">
      <w:bodyDiv w:val="1"/>
      <w:marLeft w:val="0"/>
      <w:marRight w:val="0"/>
      <w:marTop w:val="0"/>
      <w:marBottom w:val="0"/>
      <w:divBdr>
        <w:top w:val="none" w:sz="0" w:space="0" w:color="auto"/>
        <w:left w:val="none" w:sz="0" w:space="0" w:color="auto"/>
        <w:bottom w:val="none" w:sz="0" w:space="0" w:color="auto"/>
        <w:right w:val="none" w:sz="0" w:space="0" w:color="auto"/>
      </w:divBdr>
    </w:div>
    <w:div w:id="1553925522">
      <w:bodyDiv w:val="1"/>
      <w:marLeft w:val="0"/>
      <w:marRight w:val="0"/>
      <w:marTop w:val="0"/>
      <w:marBottom w:val="0"/>
      <w:divBdr>
        <w:top w:val="none" w:sz="0" w:space="0" w:color="auto"/>
        <w:left w:val="none" w:sz="0" w:space="0" w:color="auto"/>
        <w:bottom w:val="none" w:sz="0" w:space="0" w:color="auto"/>
        <w:right w:val="none" w:sz="0" w:space="0" w:color="auto"/>
      </w:divBdr>
    </w:div>
    <w:div w:id="1558397518">
      <w:bodyDiv w:val="1"/>
      <w:marLeft w:val="0"/>
      <w:marRight w:val="0"/>
      <w:marTop w:val="0"/>
      <w:marBottom w:val="0"/>
      <w:divBdr>
        <w:top w:val="none" w:sz="0" w:space="0" w:color="auto"/>
        <w:left w:val="none" w:sz="0" w:space="0" w:color="auto"/>
        <w:bottom w:val="none" w:sz="0" w:space="0" w:color="auto"/>
        <w:right w:val="none" w:sz="0" w:space="0" w:color="auto"/>
      </w:divBdr>
    </w:div>
    <w:div w:id="1567565949">
      <w:bodyDiv w:val="1"/>
      <w:marLeft w:val="0"/>
      <w:marRight w:val="0"/>
      <w:marTop w:val="0"/>
      <w:marBottom w:val="0"/>
      <w:divBdr>
        <w:top w:val="none" w:sz="0" w:space="0" w:color="auto"/>
        <w:left w:val="none" w:sz="0" w:space="0" w:color="auto"/>
        <w:bottom w:val="none" w:sz="0" w:space="0" w:color="auto"/>
        <w:right w:val="none" w:sz="0" w:space="0" w:color="auto"/>
      </w:divBdr>
    </w:div>
    <w:div w:id="1567954220">
      <w:bodyDiv w:val="1"/>
      <w:marLeft w:val="0"/>
      <w:marRight w:val="0"/>
      <w:marTop w:val="0"/>
      <w:marBottom w:val="0"/>
      <w:divBdr>
        <w:top w:val="none" w:sz="0" w:space="0" w:color="auto"/>
        <w:left w:val="none" w:sz="0" w:space="0" w:color="auto"/>
        <w:bottom w:val="none" w:sz="0" w:space="0" w:color="auto"/>
        <w:right w:val="none" w:sz="0" w:space="0" w:color="auto"/>
      </w:divBdr>
    </w:div>
    <w:div w:id="1571649380">
      <w:bodyDiv w:val="1"/>
      <w:marLeft w:val="0"/>
      <w:marRight w:val="0"/>
      <w:marTop w:val="0"/>
      <w:marBottom w:val="0"/>
      <w:divBdr>
        <w:top w:val="none" w:sz="0" w:space="0" w:color="auto"/>
        <w:left w:val="none" w:sz="0" w:space="0" w:color="auto"/>
        <w:bottom w:val="none" w:sz="0" w:space="0" w:color="auto"/>
        <w:right w:val="none" w:sz="0" w:space="0" w:color="auto"/>
      </w:divBdr>
    </w:div>
    <w:div w:id="1577134427">
      <w:bodyDiv w:val="1"/>
      <w:marLeft w:val="0"/>
      <w:marRight w:val="0"/>
      <w:marTop w:val="0"/>
      <w:marBottom w:val="0"/>
      <w:divBdr>
        <w:top w:val="none" w:sz="0" w:space="0" w:color="auto"/>
        <w:left w:val="none" w:sz="0" w:space="0" w:color="auto"/>
        <w:bottom w:val="none" w:sz="0" w:space="0" w:color="auto"/>
        <w:right w:val="none" w:sz="0" w:space="0" w:color="auto"/>
      </w:divBdr>
    </w:div>
    <w:div w:id="1579559110">
      <w:bodyDiv w:val="1"/>
      <w:marLeft w:val="0"/>
      <w:marRight w:val="0"/>
      <w:marTop w:val="0"/>
      <w:marBottom w:val="0"/>
      <w:divBdr>
        <w:top w:val="none" w:sz="0" w:space="0" w:color="auto"/>
        <w:left w:val="none" w:sz="0" w:space="0" w:color="auto"/>
        <w:bottom w:val="none" w:sz="0" w:space="0" w:color="auto"/>
        <w:right w:val="none" w:sz="0" w:space="0" w:color="auto"/>
      </w:divBdr>
    </w:div>
    <w:div w:id="1583758541">
      <w:bodyDiv w:val="1"/>
      <w:marLeft w:val="0"/>
      <w:marRight w:val="0"/>
      <w:marTop w:val="0"/>
      <w:marBottom w:val="0"/>
      <w:divBdr>
        <w:top w:val="none" w:sz="0" w:space="0" w:color="auto"/>
        <w:left w:val="none" w:sz="0" w:space="0" w:color="auto"/>
        <w:bottom w:val="none" w:sz="0" w:space="0" w:color="auto"/>
        <w:right w:val="none" w:sz="0" w:space="0" w:color="auto"/>
      </w:divBdr>
    </w:div>
    <w:div w:id="1584602184">
      <w:bodyDiv w:val="1"/>
      <w:marLeft w:val="0"/>
      <w:marRight w:val="0"/>
      <w:marTop w:val="0"/>
      <w:marBottom w:val="0"/>
      <w:divBdr>
        <w:top w:val="none" w:sz="0" w:space="0" w:color="auto"/>
        <w:left w:val="none" w:sz="0" w:space="0" w:color="auto"/>
        <w:bottom w:val="none" w:sz="0" w:space="0" w:color="auto"/>
        <w:right w:val="none" w:sz="0" w:space="0" w:color="auto"/>
      </w:divBdr>
    </w:div>
    <w:div w:id="1584995979">
      <w:bodyDiv w:val="1"/>
      <w:marLeft w:val="0"/>
      <w:marRight w:val="0"/>
      <w:marTop w:val="0"/>
      <w:marBottom w:val="0"/>
      <w:divBdr>
        <w:top w:val="none" w:sz="0" w:space="0" w:color="auto"/>
        <w:left w:val="none" w:sz="0" w:space="0" w:color="auto"/>
        <w:bottom w:val="none" w:sz="0" w:space="0" w:color="auto"/>
        <w:right w:val="none" w:sz="0" w:space="0" w:color="auto"/>
      </w:divBdr>
    </w:div>
    <w:div w:id="1585723545">
      <w:bodyDiv w:val="1"/>
      <w:marLeft w:val="0"/>
      <w:marRight w:val="0"/>
      <w:marTop w:val="0"/>
      <w:marBottom w:val="0"/>
      <w:divBdr>
        <w:top w:val="none" w:sz="0" w:space="0" w:color="auto"/>
        <w:left w:val="none" w:sz="0" w:space="0" w:color="auto"/>
        <w:bottom w:val="none" w:sz="0" w:space="0" w:color="auto"/>
        <w:right w:val="none" w:sz="0" w:space="0" w:color="auto"/>
      </w:divBdr>
    </w:div>
    <w:div w:id="1585921032">
      <w:bodyDiv w:val="1"/>
      <w:marLeft w:val="0"/>
      <w:marRight w:val="0"/>
      <w:marTop w:val="0"/>
      <w:marBottom w:val="0"/>
      <w:divBdr>
        <w:top w:val="none" w:sz="0" w:space="0" w:color="auto"/>
        <w:left w:val="none" w:sz="0" w:space="0" w:color="auto"/>
        <w:bottom w:val="none" w:sz="0" w:space="0" w:color="auto"/>
        <w:right w:val="none" w:sz="0" w:space="0" w:color="auto"/>
      </w:divBdr>
    </w:div>
    <w:div w:id="1586651406">
      <w:bodyDiv w:val="1"/>
      <w:marLeft w:val="0"/>
      <w:marRight w:val="0"/>
      <w:marTop w:val="0"/>
      <w:marBottom w:val="0"/>
      <w:divBdr>
        <w:top w:val="none" w:sz="0" w:space="0" w:color="auto"/>
        <w:left w:val="none" w:sz="0" w:space="0" w:color="auto"/>
        <w:bottom w:val="none" w:sz="0" w:space="0" w:color="auto"/>
        <w:right w:val="none" w:sz="0" w:space="0" w:color="auto"/>
      </w:divBdr>
    </w:div>
    <w:div w:id="1586959418">
      <w:bodyDiv w:val="1"/>
      <w:marLeft w:val="0"/>
      <w:marRight w:val="0"/>
      <w:marTop w:val="0"/>
      <w:marBottom w:val="0"/>
      <w:divBdr>
        <w:top w:val="none" w:sz="0" w:space="0" w:color="auto"/>
        <w:left w:val="none" w:sz="0" w:space="0" w:color="auto"/>
        <w:bottom w:val="none" w:sz="0" w:space="0" w:color="auto"/>
        <w:right w:val="none" w:sz="0" w:space="0" w:color="auto"/>
      </w:divBdr>
    </w:div>
    <w:div w:id="1588077889">
      <w:bodyDiv w:val="1"/>
      <w:marLeft w:val="0"/>
      <w:marRight w:val="0"/>
      <w:marTop w:val="0"/>
      <w:marBottom w:val="0"/>
      <w:divBdr>
        <w:top w:val="none" w:sz="0" w:space="0" w:color="auto"/>
        <w:left w:val="none" w:sz="0" w:space="0" w:color="auto"/>
        <w:bottom w:val="none" w:sz="0" w:space="0" w:color="auto"/>
        <w:right w:val="none" w:sz="0" w:space="0" w:color="auto"/>
      </w:divBdr>
    </w:div>
    <w:div w:id="1589080029">
      <w:bodyDiv w:val="1"/>
      <w:marLeft w:val="0"/>
      <w:marRight w:val="0"/>
      <w:marTop w:val="0"/>
      <w:marBottom w:val="0"/>
      <w:divBdr>
        <w:top w:val="none" w:sz="0" w:space="0" w:color="auto"/>
        <w:left w:val="none" w:sz="0" w:space="0" w:color="auto"/>
        <w:bottom w:val="none" w:sz="0" w:space="0" w:color="auto"/>
        <w:right w:val="none" w:sz="0" w:space="0" w:color="auto"/>
      </w:divBdr>
    </w:div>
    <w:div w:id="1590117853">
      <w:bodyDiv w:val="1"/>
      <w:marLeft w:val="0"/>
      <w:marRight w:val="0"/>
      <w:marTop w:val="0"/>
      <w:marBottom w:val="0"/>
      <w:divBdr>
        <w:top w:val="none" w:sz="0" w:space="0" w:color="auto"/>
        <w:left w:val="none" w:sz="0" w:space="0" w:color="auto"/>
        <w:bottom w:val="none" w:sz="0" w:space="0" w:color="auto"/>
        <w:right w:val="none" w:sz="0" w:space="0" w:color="auto"/>
      </w:divBdr>
    </w:div>
    <w:div w:id="1590457521">
      <w:bodyDiv w:val="1"/>
      <w:marLeft w:val="0"/>
      <w:marRight w:val="0"/>
      <w:marTop w:val="0"/>
      <w:marBottom w:val="0"/>
      <w:divBdr>
        <w:top w:val="none" w:sz="0" w:space="0" w:color="auto"/>
        <w:left w:val="none" w:sz="0" w:space="0" w:color="auto"/>
        <w:bottom w:val="none" w:sz="0" w:space="0" w:color="auto"/>
        <w:right w:val="none" w:sz="0" w:space="0" w:color="auto"/>
      </w:divBdr>
    </w:div>
    <w:div w:id="1590699353">
      <w:bodyDiv w:val="1"/>
      <w:marLeft w:val="0"/>
      <w:marRight w:val="0"/>
      <w:marTop w:val="0"/>
      <w:marBottom w:val="0"/>
      <w:divBdr>
        <w:top w:val="none" w:sz="0" w:space="0" w:color="auto"/>
        <w:left w:val="none" w:sz="0" w:space="0" w:color="auto"/>
        <w:bottom w:val="none" w:sz="0" w:space="0" w:color="auto"/>
        <w:right w:val="none" w:sz="0" w:space="0" w:color="auto"/>
      </w:divBdr>
    </w:div>
    <w:div w:id="1595237551">
      <w:bodyDiv w:val="1"/>
      <w:marLeft w:val="0"/>
      <w:marRight w:val="0"/>
      <w:marTop w:val="0"/>
      <w:marBottom w:val="0"/>
      <w:divBdr>
        <w:top w:val="none" w:sz="0" w:space="0" w:color="auto"/>
        <w:left w:val="none" w:sz="0" w:space="0" w:color="auto"/>
        <w:bottom w:val="none" w:sz="0" w:space="0" w:color="auto"/>
        <w:right w:val="none" w:sz="0" w:space="0" w:color="auto"/>
      </w:divBdr>
    </w:div>
    <w:div w:id="1598368341">
      <w:bodyDiv w:val="1"/>
      <w:marLeft w:val="0"/>
      <w:marRight w:val="0"/>
      <w:marTop w:val="0"/>
      <w:marBottom w:val="0"/>
      <w:divBdr>
        <w:top w:val="none" w:sz="0" w:space="0" w:color="auto"/>
        <w:left w:val="none" w:sz="0" w:space="0" w:color="auto"/>
        <w:bottom w:val="none" w:sz="0" w:space="0" w:color="auto"/>
        <w:right w:val="none" w:sz="0" w:space="0" w:color="auto"/>
      </w:divBdr>
    </w:div>
    <w:div w:id="1598442862">
      <w:bodyDiv w:val="1"/>
      <w:marLeft w:val="0"/>
      <w:marRight w:val="0"/>
      <w:marTop w:val="0"/>
      <w:marBottom w:val="0"/>
      <w:divBdr>
        <w:top w:val="none" w:sz="0" w:space="0" w:color="auto"/>
        <w:left w:val="none" w:sz="0" w:space="0" w:color="auto"/>
        <w:bottom w:val="none" w:sz="0" w:space="0" w:color="auto"/>
        <w:right w:val="none" w:sz="0" w:space="0" w:color="auto"/>
      </w:divBdr>
    </w:div>
    <w:div w:id="1598516920">
      <w:bodyDiv w:val="1"/>
      <w:marLeft w:val="0"/>
      <w:marRight w:val="0"/>
      <w:marTop w:val="0"/>
      <w:marBottom w:val="0"/>
      <w:divBdr>
        <w:top w:val="none" w:sz="0" w:space="0" w:color="auto"/>
        <w:left w:val="none" w:sz="0" w:space="0" w:color="auto"/>
        <w:bottom w:val="none" w:sz="0" w:space="0" w:color="auto"/>
        <w:right w:val="none" w:sz="0" w:space="0" w:color="auto"/>
      </w:divBdr>
    </w:div>
    <w:div w:id="1599295324">
      <w:bodyDiv w:val="1"/>
      <w:marLeft w:val="0"/>
      <w:marRight w:val="0"/>
      <w:marTop w:val="0"/>
      <w:marBottom w:val="0"/>
      <w:divBdr>
        <w:top w:val="none" w:sz="0" w:space="0" w:color="auto"/>
        <w:left w:val="none" w:sz="0" w:space="0" w:color="auto"/>
        <w:bottom w:val="none" w:sz="0" w:space="0" w:color="auto"/>
        <w:right w:val="none" w:sz="0" w:space="0" w:color="auto"/>
      </w:divBdr>
    </w:div>
    <w:div w:id="1602058607">
      <w:bodyDiv w:val="1"/>
      <w:marLeft w:val="0"/>
      <w:marRight w:val="0"/>
      <w:marTop w:val="0"/>
      <w:marBottom w:val="0"/>
      <w:divBdr>
        <w:top w:val="none" w:sz="0" w:space="0" w:color="auto"/>
        <w:left w:val="none" w:sz="0" w:space="0" w:color="auto"/>
        <w:bottom w:val="none" w:sz="0" w:space="0" w:color="auto"/>
        <w:right w:val="none" w:sz="0" w:space="0" w:color="auto"/>
      </w:divBdr>
    </w:div>
    <w:div w:id="1606188160">
      <w:bodyDiv w:val="1"/>
      <w:marLeft w:val="0"/>
      <w:marRight w:val="0"/>
      <w:marTop w:val="0"/>
      <w:marBottom w:val="0"/>
      <w:divBdr>
        <w:top w:val="none" w:sz="0" w:space="0" w:color="auto"/>
        <w:left w:val="none" w:sz="0" w:space="0" w:color="auto"/>
        <w:bottom w:val="none" w:sz="0" w:space="0" w:color="auto"/>
        <w:right w:val="none" w:sz="0" w:space="0" w:color="auto"/>
      </w:divBdr>
    </w:div>
    <w:div w:id="1610234080">
      <w:bodyDiv w:val="1"/>
      <w:marLeft w:val="0"/>
      <w:marRight w:val="0"/>
      <w:marTop w:val="0"/>
      <w:marBottom w:val="0"/>
      <w:divBdr>
        <w:top w:val="none" w:sz="0" w:space="0" w:color="auto"/>
        <w:left w:val="none" w:sz="0" w:space="0" w:color="auto"/>
        <w:bottom w:val="none" w:sz="0" w:space="0" w:color="auto"/>
        <w:right w:val="none" w:sz="0" w:space="0" w:color="auto"/>
      </w:divBdr>
    </w:div>
    <w:div w:id="1611818676">
      <w:bodyDiv w:val="1"/>
      <w:marLeft w:val="0"/>
      <w:marRight w:val="0"/>
      <w:marTop w:val="0"/>
      <w:marBottom w:val="0"/>
      <w:divBdr>
        <w:top w:val="none" w:sz="0" w:space="0" w:color="auto"/>
        <w:left w:val="none" w:sz="0" w:space="0" w:color="auto"/>
        <w:bottom w:val="none" w:sz="0" w:space="0" w:color="auto"/>
        <w:right w:val="none" w:sz="0" w:space="0" w:color="auto"/>
      </w:divBdr>
    </w:div>
    <w:div w:id="1613899885">
      <w:bodyDiv w:val="1"/>
      <w:marLeft w:val="0"/>
      <w:marRight w:val="0"/>
      <w:marTop w:val="0"/>
      <w:marBottom w:val="0"/>
      <w:divBdr>
        <w:top w:val="none" w:sz="0" w:space="0" w:color="auto"/>
        <w:left w:val="none" w:sz="0" w:space="0" w:color="auto"/>
        <w:bottom w:val="none" w:sz="0" w:space="0" w:color="auto"/>
        <w:right w:val="none" w:sz="0" w:space="0" w:color="auto"/>
      </w:divBdr>
    </w:div>
    <w:div w:id="1614894745">
      <w:bodyDiv w:val="1"/>
      <w:marLeft w:val="0"/>
      <w:marRight w:val="0"/>
      <w:marTop w:val="0"/>
      <w:marBottom w:val="0"/>
      <w:divBdr>
        <w:top w:val="none" w:sz="0" w:space="0" w:color="auto"/>
        <w:left w:val="none" w:sz="0" w:space="0" w:color="auto"/>
        <w:bottom w:val="none" w:sz="0" w:space="0" w:color="auto"/>
        <w:right w:val="none" w:sz="0" w:space="0" w:color="auto"/>
      </w:divBdr>
    </w:div>
    <w:div w:id="1615286329">
      <w:bodyDiv w:val="1"/>
      <w:marLeft w:val="0"/>
      <w:marRight w:val="0"/>
      <w:marTop w:val="0"/>
      <w:marBottom w:val="0"/>
      <w:divBdr>
        <w:top w:val="none" w:sz="0" w:space="0" w:color="auto"/>
        <w:left w:val="none" w:sz="0" w:space="0" w:color="auto"/>
        <w:bottom w:val="none" w:sz="0" w:space="0" w:color="auto"/>
        <w:right w:val="none" w:sz="0" w:space="0" w:color="auto"/>
      </w:divBdr>
    </w:div>
    <w:div w:id="1618564044">
      <w:bodyDiv w:val="1"/>
      <w:marLeft w:val="0"/>
      <w:marRight w:val="0"/>
      <w:marTop w:val="0"/>
      <w:marBottom w:val="0"/>
      <w:divBdr>
        <w:top w:val="none" w:sz="0" w:space="0" w:color="auto"/>
        <w:left w:val="none" w:sz="0" w:space="0" w:color="auto"/>
        <w:bottom w:val="none" w:sz="0" w:space="0" w:color="auto"/>
        <w:right w:val="none" w:sz="0" w:space="0" w:color="auto"/>
      </w:divBdr>
    </w:div>
    <w:div w:id="1619220894">
      <w:bodyDiv w:val="1"/>
      <w:marLeft w:val="0"/>
      <w:marRight w:val="0"/>
      <w:marTop w:val="0"/>
      <w:marBottom w:val="0"/>
      <w:divBdr>
        <w:top w:val="none" w:sz="0" w:space="0" w:color="auto"/>
        <w:left w:val="none" w:sz="0" w:space="0" w:color="auto"/>
        <w:bottom w:val="none" w:sz="0" w:space="0" w:color="auto"/>
        <w:right w:val="none" w:sz="0" w:space="0" w:color="auto"/>
      </w:divBdr>
    </w:div>
    <w:div w:id="1621376818">
      <w:bodyDiv w:val="1"/>
      <w:marLeft w:val="0"/>
      <w:marRight w:val="0"/>
      <w:marTop w:val="0"/>
      <w:marBottom w:val="0"/>
      <w:divBdr>
        <w:top w:val="none" w:sz="0" w:space="0" w:color="auto"/>
        <w:left w:val="none" w:sz="0" w:space="0" w:color="auto"/>
        <w:bottom w:val="none" w:sz="0" w:space="0" w:color="auto"/>
        <w:right w:val="none" w:sz="0" w:space="0" w:color="auto"/>
      </w:divBdr>
    </w:div>
    <w:div w:id="1626349664">
      <w:bodyDiv w:val="1"/>
      <w:marLeft w:val="0"/>
      <w:marRight w:val="0"/>
      <w:marTop w:val="0"/>
      <w:marBottom w:val="0"/>
      <w:divBdr>
        <w:top w:val="none" w:sz="0" w:space="0" w:color="auto"/>
        <w:left w:val="none" w:sz="0" w:space="0" w:color="auto"/>
        <w:bottom w:val="none" w:sz="0" w:space="0" w:color="auto"/>
        <w:right w:val="none" w:sz="0" w:space="0" w:color="auto"/>
      </w:divBdr>
    </w:div>
    <w:div w:id="1627466397">
      <w:bodyDiv w:val="1"/>
      <w:marLeft w:val="0"/>
      <w:marRight w:val="0"/>
      <w:marTop w:val="0"/>
      <w:marBottom w:val="0"/>
      <w:divBdr>
        <w:top w:val="none" w:sz="0" w:space="0" w:color="auto"/>
        <w:left w:val="none" w:sz="0" w:space="0" w:color="auto"/>
        <w:bottom w:val="none" w:sz="0" w:space="0" w:color="auto"/>
        <w:right w:val="none" w:sz="0" w:space="0" w:color="auto"/>
      </w:divBdr>
    </w:div>
    <w:div w:id="1627808291">
      <w:bodyDiv w:val="1"/>
      <w:marLeft w:val="0"/>
      <w:marRight w:val="0"/>
      <w:marTop w:val="0"/>
      <w:marBottom w:val="0"/>
      <w:divBdr>
        <w:top w:val="none" w:sz="0" w:space="0" w:color="auto"/>
        <w:left w:val="none" w:sz="0" w:space="0" w:color="auto"/>
        <w:bottom w:val="none" w:sz="0" w:space="0" w:color="auto"/>
        <w:right w:val="none" w:sz="0" w:space="0" w:color="auto"/>
      </w:divBdr>
    </w:div>
    <w:div w:id="1629314976">
      <w:bodyDiv w:val="1"/>
      <w:marLeft w:val="0"/>
      <w:marRight w:val="0"/>
      <w:marTop w:val="0"/>
      <w:marBottom w:val="0"/>
      <w:divBdr>
        <w:top w:val="none" w:sz="0" w:space="0" w:color="auto"/>
        <w:left w:val="none" w:sz="0" w:space="0" w:color="auto"/>
        <w:bottom w:val="none" w:sz="0" w:space="0" w:color="auto"/>
        <w:right w:val="none" w:sz="0" w:space="0" w:color="auto"/>
      </w:divBdr>
    </w:div>
    <w:div w:id="1629823641">
      <w:bodyDiv w:val="1"/>
      <w:marLeft w:val="0"/>
      <w:marRight w:val="0"/>
      <w:marTop w:val="0"/>
      <w:marBottom w:val="0"/>
      <w:divBdr>
        <w:top w:val="none" w:sz="0" w:space="0" w:color="auto"/>
        <w:left w:val="none" w:sz="0" w:space="0" w:color="auto"/>
        <w:bottom w:val="none" w:sz="0" w:space="0" w:color="auto"/>
        <w:right w:val="none" w:sz="0" w:space="0" w:color="auto"/>
      </w:divBdr>
    </w:div>
    <w:div w:id="1630698569">
      <w:bodyDiv w:val="1"/>
      <w:marLeft w:val="0"/>
      <w:marRight w:val="0"/>
      <w:marTop w:val="0"/>
      <w:marBottom w:val="0"/>
      <w:divBdr>
        <w:top w:val="none" w:sz="0" w:space="0" w:color="auto"/>
        <w:left w:val="none" w:sz="0" w:space="0" w:color="auto"/>
        <w:bottom w:val="none" w:sz="0" w:space="0" w:color="auto"/>
        <w:right w:val="none" w:sz="0" w:space="0" w:color="auto"/>
      </w:divBdr>
    </w:div>
    <w:div w:id="1631934553">
      <w:bodyDiv w:val="1"/>
      <w:marLeft w:val="0"/>
      <w:marRight w:val="0"/>
      <w:marTop w:val="0"/>
      <w:marBottom w:val="0"/>
      <w:divBdr>
        <w:top w:val="none" w:sz="0" w:space="0" w:color="auto"/>
        <w:left w:val="none" w:sz="0" w:space="0" w:color="auto"/>
        <w:bottom w:val="none" w:sz="0" w:space="0" w:color="auto"/>
        <w:right w:val="none" w:sz="0" w:space="0" w:color="auto"/>
      </w:divBdr>
    </w:div>
    <w:div w:id="1632781822">
      <w:bodyDiv w:val="1"/>
      <w:marLeft w:val="0"/>
      <w:marRight w:val="0"/>
      <w:marTop w:val="0"/>
      <w:marBottom w:val="0"/>
      <w:divBdr>
        <w:top w:val="none" w:sz="0" w:space="0" w:color="auto"/>
        <w:left w:val="none" w:sz="0" w:space="0" w:color="auto"/>
        <w:bottom w:val="none" w:sz="0" w:space="0" w:color="auto"/>
        <w:right w:val="none" w:sz="0" w:space="0" w:color="auto"/>
      </w:divBdr>
    </w:div>
    <w:div w:id="1636370030">
      <w:bodyDiv w:val="1"/>
      <w:marLeft w:val="0"/>
      <w:marRight w:val="0"/>
      <w:marTop w:val="0"/>
      <w:marBottom w:val="0"/>
      <w:divBdr>
        <w:top w:val="none" w:sz="0" w:space="0" w:color="auto"/>
        <w:left w:val="none" w:sz="0" w:space="0" w:color="auto"/>
        <w:bottom w:val="none" w:sz="0" w:space="0" w:color="auto"/>
        <w:right w:val="none" w:sz="0" w:space="0" w:color="auto"/>
      </w:divBdr>
    </w:div>
    <w:div w:id="1637642300">
      <w:bodyDiv w:val="1"/>
      <w:marLeft w:val="0"/>
      <w:marRight w:val="0"/>
      <w:marTop w:val="0"/>
      <w:marBottom w:val="0"/>
      <w:divBdr>
        <w:top w:val="none" w:sz="0" w:space="0" w:color="auto"/>
        <w:left w:val="none" w:sz="0" w:space="0" w:color="auto"/>
        <w:bottom w:val="none" w:sz="0" w:space="0" w:color="auto"/>
        <w:right w:val="none" w:sz="0" w:space="0" w:color="auto"/>
      </w:divBdr>
    </w:div>
    <w:div w:id="1640067845">
      <w:bodyDiv w:val="1"/>
      <w:marLeft w:val="0"/>
      <w:marRight w:val="0"/>
      <w:marTop w:val="0"/>
      <w:marBottom w:val="0"/>
      <w:divBdr>
        <w:top w:val="none" w:sz="0" w:space="0" w:color="auto"/>
        <w:left w:val="none" w:sz="0" w:space="0" w:color="auto"/>
        <w:bottom w:val="none" w:sz="0" w:space="0" w:color="auto"/>
        <w:right w:val="none" w:sz="0" w:space="0" w:color="auto"/>
      </w:divBdr>
    </w:div>
    <w:div w:id="1642419760">
      <w:bodyDiv w:val="1"/>
      <w:marLeft w:val="0"/>
      <w:marRight w:val="0"/>
      <w:marTop w:val="0"/>
      <w:marBottom w:val="0"/>
      <w:divBdr>
        <w:top w:val="none" w:sz="0" w:space="0" w:color="auto"/>
        <w:left w:val="none" w:sz="0" w:space="0" w:color="auto"/>
        <w:bottom w:val="none" w:sz="0" w:space="0" w:color="auto"/>
        <w:right w:val="none" w:sz="0" w:space="0" w:color="auto"/>
      </w:divBdr>
    </w:div>
    <w:div w:id="1648507757">
      <w:bodyDiv w:val="1"/>
      <w:marLeft w:val="0"/>
      <w:marRight w:val="0"/>
      <w:marTop w:val="0"/>
      <w:marBottom w:val="0"/>
      <w:divBdr>
        <w:top w:val="none" w:sz="0" w:space="0" w:color="auto"/>
        <w:left w:val="none" w:sz="0" w:space="0" w:color="auto"/>
        <w:bottom w:val="none" w:sz="0" w:space="0" w:color="auto"/>
        <w:right w:val="none" w:sz="0" w:space="0" w:color="auto"/>
      </w:divBdr>
    </w:div>
    <w:div w:id="1649479226">
      <w:bodyDiv w:val="1"/>
      <w:marLeft w:val="0"/>
      <w:marRight w:val="0"/>
      <w:marTop w:val="0"/>
      <w:marBottom w:val="0"/>
      <w:divBdr>
        <w:top w:val="none" w:sz="0" w:space="0" w:color="auto"/>
        <w:left w:val="none" w:sz="0" w:space="0" w:color="auto"/>
        <w:bottom w:val="none" w:sz="0" w:space="0" w:color="auto"/>
        <w:right w:val="none" w:sz="0" w:space="0" w:color="auto"/>
      </w:divBdr>
    </w:div>
    <w:div w:id="1650131977">
      <w:bodyDiv w:val="1"/>
      <w:marLeft w:val="0"/>
      <w:marRight w:val="0"/>
      <w:marTop w:val="0"/>
      <w:marBottom w:val="0"/>
      <w:divBdr>
        <w:top w:val="none" w:sz="0" w:space="0" w:color="auto"/>
        <w:left w:val="none" w:sz="0" w:space="0" w:color="auto"/>
        <w:bottom w:val="none" w:sz="0" w:space="0" w:color="auto"/>
        <w:right w:val="none" w:sz="0" w:space="0" w:color="auto"/>
      </w:divBdr>
    </w:div>
    <w:div w:id="1650934550">
      <w:bodyDiv w:val="1"/>
      <w:marLeft w:val="0"/>
      <w:marRight w:val="0"/>
      <w:marTop w:val="0"/>
      <w:marBottom w:val="0"/>
      <w:divBdr>
        <w:top w:val="none" w:sz="0" w:space="0" w:color="auto"/>
        <w:left w:val="none" w:sz="0" w:space="0" w:color="auto"/>
        <w:bottom w:val="none" w:sz="0" w:space="0" w:color="auto"/>
        <w:right w:val="none" w:sz="0" w:space="0" w:color="auto"/>
      </w:divBdr>
    </w:div>
    <w:div w:id="1656690029">
      <w:bodyDiv w:val="1"/>
      <w:marLeft w:val="0"/>
      <w:marRight w:val="0"/>
      <w:marTop w:val="0"/>
      <w:marBottom w:val="0"/>
      <w:divBdr>
        <w:top w:val="none" w:sz="0" w:space="0" w:color="auto"/>
        <w:left w:val="none" w:sz="0" w:space="0" w:color="auto"/>
        <w:bottom w:val="none" w:sz="0" w:space="0" w:color="auto"/>
        <w:right w:val="none" w:sz="0" w:space="0" w:color="auto"/>
      </w:divBdr>
    </w:div>
    <w:div w:id="1658655830">
      <w:bodyDiv w:val="1"/>
      <w:marLeft w:val="0"/>
      <w:marRight w:val="0"/>
      <w:marTop w:val="0"/>
      <w:marBottom w:val="0"/>
      <w:divBdr>
        <w:top w:val="none" w:sz="0" w:space="0" w:color="auto"/>
        <w:left w:val="none" w:sz="0" w:space="0" w:color="auto"/>
        <w:bottom w:val="none" w:sz="0" w:space="0" w:color="auto"/>
        <w:right w:val="none" w:sz="0" w:space="0" w:color="auto"/>
      </w:divBdr>
    </w:div>
    <w:div w:id="1659579013">
      <w:bodyDiv w:val="1"/>
      <w:marLeft w:val="0"/>
      <w:marRight w:val="0"/>
      <w:marTop w:val="0"/>
      <w:marBottom w:val="0"/>
      <w:divBdr>
        <w:top w:val="none" w:sz="0" w:space="0" w:color="auto"/>
        <w:left w:val="none" w:sz="0" w:space="0" w:color="auto"/>
        <w:bottom w:val="none" w:sz="0" w:space="0" w:color="auto"/>
        <w:right w:val="none" w:sz="0" w:space="0" w:color="auto"/>
      </w:divBdr>
    </w:div>
    <w:div w:id="1662855759">
      <w:bodyDiv w:val="1"/>
      <w:marLeft w:val="0"/>
      <w:marRight w:val="0"/>
      <w:marTop w:val="0"/>
      <w:marBottom w:val="0"/>
      <w:divBdr>
        <w:top w:val="none" w:sz="0" w:space="0" w:color="auto"/>
        <w:left w:val="none" w:sz="0" w:space="0" w:color="auto"/>
        <w:bottom w:val="none" w:sz="0" w:space="0" w:color="auto"/>
        <w:right w:val="none" w:sz="0" w:space="0" w:color="auto"/>
      </w:divBdr>
    </w:div>
    <w:div w:id="1667319825">
      <w:bodyDiv w:val="1"/>
      <w:marLeft w:val="0"/>
      <w:marRight w:val="0"/>
      <w:marTop w:val="0"/>
      <w:marBottom w:val="0"/>
      <w:divBdr>
        <w:top w:val="none" w:sz="0" w:space="0" w:color="auto"/>
        <w:left w:val="none" w:sz="0" w:space="0" w:color="auto"/>
        <w:bottom w:val="none" w:sz="0" w:space="0" w:color="auto"/>
        <w:right w:val="none" w:sz="0" w:space="0" w:color="auto"/>
      </w:divBdr>
      <w:divsChild>
        <w:div w:id="84038787">
          <w:marLeft w:val="0"/>
          <w:marRight w:val="0"/>
          <w:marTop w:val="0"/>
          <w:marBottom w:val="0"/>
          <w:divBdr>
            <w:top w:val="none" w:sz="0" w:space="0" w:color="auto"/>
            <w:left w:val="none" w:sz="0" w:space="0" w:color="auto"/>
            <w:bottom w:val="none" w:sz="0" w:space="0" w:color="auto"/>
            <w:right w:val="none" w:sz="0" w:space="0" w:color="auto"/>
          </w:divBdr>
          <w:divsChild>
            <w:div w:id="1272470865">
              <w:marLeft w:val="0"/>
              <w:marRight w:val="0"/>
              <w:marTop w:val="0"/>
              <w:marBottom w:val="0"/>
              <w:divBdr>
                <w:top w:val="none" w:sz="0" w:space="0" w:color="auto"/>
                <w:left w:val="none" w:sz="0" w:space="0" w:color="auto"/>
                <w:bottom w:val="none" w:sz="0" w:space="0" w:color="auto"/>
                <w:right w:val="none" w:sz="0" w:space="0" w:color="auto"/>
              </w:divBdr>
              <w:divsChild>
                <w:div w:id="1350257848">
                  <w:marLeft w:val="0"/>
                  <w:marRight w:val="0"/>
                  <w:marTop w:val="0"/>
                  <w:marBottom w:val="0"/>
                  <w:divBdr>
                    <w:top w:val="none" w:sz="0" w:space="0" w:color="auto"/>
                    <w:left w:val="none" w:sz="0" w:space="0" w:color="auto"/>
                    <w:bottom w:val="none" w:sz="0" w:space="0" w:color="auto"/>
                    <w:right w:val="none" w:sz="0" w:space="0" w:color="auto"/>
                  </w:divBdr>
                  <w:divsChild>
                    <w:div w:id="1987122206">
                      <w:marLeft w:val="0"/>
                      <w:marRight w:val="0"/>
                      <w:marTop w:val="0"/>
                      <w:marBottom w:val="240"/>
                      <w:divBdr>
                        <w:top w:val="single" w:sz="6" w:space="12" w:color="DFE1E5"/>
                        <w:left w:val="single" w:sz="6" w:space="12" w:color="DFE1E5"/>
                        <w:bottom w:val="single" w:sz="6" w:space="12" w:color="DFE1E5"/>
                        <w:right w:val="single" w:sz="6" w:space="12" w:color="DFE1E5"/>
                      </w:divBdr>
                      <w:divsChild>
                        <w:div w:id="1299267241">
                          <w:marLeft w:val="0"/>
                          <w:marRight w:val="0"/>
                          <w:marTop w:val="0"/>
                          <w:marBottom w:val="0"/>
                          <w:divBdr>
                            <w:top w:val="none" w:sz="0" w:space="0" w:color="auto"/>
                            <w:left w:val="none" w:sz="0" w:space="0" w:color="auto"/>
                            <w:bottom w:val="none" w:sz="0" w:space="0" w:color="auto"/>
                            <w:right w:val="none" w:sz="0" w:space="0" w:color="auto"/>
                          </w:divBdr>
                          <w:divsChild>
                            <w:div w:id="1337150631">
                              <w:marLeft w:val="0"/>
                              <w:marRight w:val="0"/>
                              <w:marTop w:val="0"/>
                              <w:marBottom w:val="0"/>
                              <w:divBdr>
                                <w:top w:val="none" w:sz="0" w:space="0" w:color="auto"/>
                                <w:left w:val="none" w:sz="0" w:space="0" w:color="auto"/>
                                <w:bottom w:val="none" w:sz="0" w:space="0" w:color="auto"/>
                                <w:right w:val="none" w:sz="0" w:space="0" w:color="auto"/>
                              </w:divBdr>
                              <w:divsChild>
                                <w:div w:id="1887985396">
                                  <w:marLeft w:val="0"/>
                                  <w:marRight w:val="0"/>
                                  <w:marTop w:val="0"/>
                                  <w:marBottom w:val="0"/>
                                  <w:divBdr>
                                    <w:top w:val="none" w:sz="0" w:space="0" w:color="auto"/>
                                    <w:left w:val="none" w:sz="0" w:space="0" w:color="auto"/>
                                    <w:bottom w:val="none" w:sz="0" w:space="0" w:color="auto"/>
                                    <w:right w:val="none" w:sz="0" w:space="0" w:color="auto"/>
                                  </w:divBdr>
                                  <w:divsChild>
                                    <w:div w:id="1722173758">
                                      <w:marLeft w:val="0"/>
                                      <w:marRight w:val="0"/>
                                      <w:marTop w:val="0"/>
                                      <w:marBottom w:val="0"/>
                                      <w:divBdr>
                                        <w:top w:val="none" w:sz="0" w:space="0" w:color="auto"/>
                                        <w:left w:val="none" w:sz="0" w:space="0" w:color="auto"/>
                                        <w:bottom w:val="none" w:sz="0" w:space="0" w:color="auto"/>
                                        <w:right w:val="none" w:sz="0" w:space="0" w:color="auto"/>
                                      </w:divBdr>
                                      <w:divsChild>
                                        <w:div w:id="1862164676">
                                          <w:marLeft w:val="0"/>
                                          <w:marRight w:val="0"/>
                                          <w:marTop w:val="0"/>
                                          <w:marBottom w:val="0"/>
                                          <w:divBdr>
                                            <w:top w:val="single" w:sz="6" w:space="2" w:color="DFE1E5"/>
                                            <w:left w:val="single" w:sz="6" w:space="2" w:color="DFE1E5"/>
                                            <w:bottom w:val="single" w:sz="6" w:space="2" w:color="DFE1E5"/>
                                            <w:right w:val="single" w:sz="6" w:space="2" w:color="DFE1E5"/>
                                          </w:divBdr>
                                          <w:divsChild>
                                            <w:div w:id="838691423">
                                              <w:marLeft w:val="6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496098">
          <w:marLeft w:val="0"/>
          <w:marRight w:val="0"/>
          <w:marTop w:val="0"/>
          <w:marBottom w:val="0"/>
          <w:divBdr>
            <w:top w:val="none" w:sz="0" w:space="0" w:color="auto"/>
            <w:left w:val="none" w:sz="0" w:space="0" w:color="auto"/>
            <w:bottom w:val="none" w:sz="0" w:space="0" w:color="auto"/>
            <w:right w:val="none" w:sz="0" w:space="0" w:color="auto"/>
          </w:divBdr>
          <w:divsChild>
            <w:div w:id="5907798">
              <w:marLeft w:val="0"/>
              <w:marRight w:val="0"/>
              <w:marTop w:val="0"/>
              <w:marBottom w:val="0"/>
              <w:divBdr>
                <w:top w:val="none" w:sz="0" w:space="0" w:color="auto"/>
                <w:left w:val="none" w:sz="0" w:space="0" w:color="auto"/>
                <w:bottom w:val="none" w:sz="0" w:space="0" w:color="auto"/>
                <w:right w:val="none" w:sz="0" w:space="0" w:color="auto"/>
              </w:divBdr>
              <w:divsChild>
                <w:div w:id="1743016048">
                  <w:marLeft w:val="0"/>
                  <w:marRight w:val="0"/>
                  <w:marTop w:val="0"/>
                  <w:marBottom w:val="0"/>
                  <w:divBdr>
                    <w:top w:val="none" w:sz="0" w:space="0" w:color="auto"/>
                    <w:left w:val="none" w:sz="0" w:space="0" w:color="auto"/>
                    <w:bottom w:val="none" w:sz="0" w:space="0" w:color="auto"/>
                    <w:right w:val="none" w:sz="0" w:space="0" w:color="auto"/>
                  </w:divBdr>
                  <w:divsChild>
                    <w:div w:id="17128630">
                      <w:marLeft w:val="0"/>
                      <w:marRight w:val="0"/>
                      <w:marTop w:val="90"/>
                      <w:marBottom w:val="0"/>
                      <w:divBdr>
                        <w:top w:val="none" w:sz="0" w:space="0" w:color="auto"/>
                        <w:left w:val="none" w:sz="0" w:space="0" w:color="auto"/>
                        <w:bottom w:val="none" w:sz="0" w:space="0" w:color="auto"/>
                        <w:right w:val="none" w:sz="0" w:space="0" w:color="auto"/>
                      </w:divBdr>
                      <w:divsChild>
                        <w:div w:id="1621260133">
                          <w:marLeft w:val="0"/>
                          <w:marRight w:val="0"/>
                          <w:marTop w:val="0"/>
                          <w:marBottom w:val="420"/>
                          <w:divBdr>
                            <w:top w:val="none" w:sz="0" w:space="0" w:color="auto"/>
                            <w:left w:val="none" w:sz="0" w:space="0" w:color="auto"/>
                            <w:bottom w:val="none" w:sz="0" w:space="0" w:color="auto"/>
                            <w:right w:val="none" w:sz="0" w:space="0" w:color="auto"/>
                          </w:divBdr>
                          <w:divsChild>
                            <w:div w:id="539172765">
                              <w:marLeft w:val="0"/>
                              <w:marRight w:val="0"/>
                              <w:marTop w:val="0"/>
                              <w:marBottom w:val="0"/>
                              <w:divBdr>
                                <w:top w:val="none" w:sz="0" w:space="0" w:color="auto"/>
                                <w:left w:val="none" w:sz="0" w:space="0" w:color="auto"/>
                                <w:bottom w:val="none" w:sz="0" w:space="0" w:color="auto"/>
                                <w:right w:val="none" w:sz="0" w:space="0" w:color="auto"/>
                              </w:divBdr>
                              <w:divsChild>
                                <w:div w:id="16542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70035">
      <w:bodyDiv w:val="1"/>
      <w:marLeft w:val="0"/>
      <w:marRight w:val="0"/>
      <w:marTop w:val="0"/>
      <w:marBottom w:val="0"/>
      <w:divBdr>
        <w:top w:val="none" w:sz="0" w:space="0" w:color="auto"/>
        <w:left w:val="none" w:sz="0" w:space="0" w:color="auto"/>
        <w:bottom w:val="none" w:sz="0" w:space="0" w:color="auto"/>
        <w:right w:val="none" w:sz="0" w:space="0" w:color="auto"/>
      </w:divBdr>
    </w:div>
    <w:div w:id="1669943551">
      <w:bodyDiv w:val="1"/>
      <w:marLeft w:val="0"/>
      <w:marRight w:val="0"/>
      <w:marTop w:val="0"/>
      <w:marBottom w:val="0"/>
      <w:divBdr>
        <w:top w:val="none" w:sz="0" w:space="0" w:color="auto"/>
        <w:left w:val="none" w:sz="0" w:space="0" w:color="auto"/>
        <w:bottom w:val="none" w:sz="0" w:space="0" w:color="auto"/>
        <w:right w:val="none" w:sz="0" w:space="0" w:color="auto"/>
      </w:divBdr>
    </w:div>
    <w:div w:id="1670208538">
      <w:bodyDiv w:val="1"/>
      <w:marLeft w:val="0"/>
      <w:marRight w:val="0"/>
      <w:marTop w:val="0"/>
      <w:marBottom w:val="0"/>
      <w:divBdr>
        <w:top w:val="none" w:sz="0" w:space="0" w:color="auto"/>
        <w:left w:val="none" w:sz="0" w:space="0" w:color="auto"/>
        <w:bottom w:val="none" w:sz="0" w:space="0" w:color="auto"/>
        <w:right w:val="none" w:sz="0" w:space="0" w:color="auto"/>
      </w:divBdr>
    </w:div>
    <w:div w:id="1670215499">
      <w:bodyDiv w:val="1"/>
      <w:marLeft w:val="0"/>
      <w:marRight w:val="0"/>
      <w:marTop w:val="0"/>
      <w:marBottom w:val="0"/>
      <w:divBdr>
        <w:top w:val="none" w:sz="0" w:space="0" w:color="auto"/>
        <w:left w:val="none" w:sz="0" w:space="0" w:color="auto"/>
        <w:bottom w:val="none" w:sz="0" w:space="0" w:color="auto"/>
        <w:right w:val="none" w:sz="0" w:space="0" w:color="auto"/>
      </w:divBdr>
    </w:div>
    <w:div w:id="1673557975">
      <w:bodyDiv w:val="1"/>
      <w:marLeft w:val="0"/>
      <w:marRight w:val="0"/>
      <w:marTop w:val="0"/>
      <w:marBottom w:val="0"/>
      <w:divBdr>
        <w:top w:val="none" w:sz="0" w:space="0" w:color="auto"/>
        <w:left w:val="none" w:sz="0" w:space="0" w:color="auto"/>
        <w:bottom w:val="none" w:sz="0" w:space="0" w:color="auto"/>
        <w:right w:val="none" w:sz="0" w:space="0" w:color="auto"/>
      </w:divBdr>
    </w:div>
    <w:div w:id="1680621573">
      <w:bodyDiv w:val="1"/>
      <w:marLeft w:val="0"/>
      <w:marRight w:val="0"/>
      <w:marTop w:val="0"/>
      <w:marBottom w:val="0"/>
      <w:divBdr>
        <w:top w:val="none" w:sz="0" w:space="0" w:color="auto"/>
        <w:left w:val="none" w:sz="0" w:space="0" w:color="auto"/>
        <w:bottom w:val="none" w:sz="0" w:space="0" w:color="auto"/>
        <w:right w:val="none" w:sz="0" w:space="0" w:color="auto"/>
      </w:divBdr>
    </w:div>
    <w:div w:id="1681882939">
      <w:bodyDiv w:val="1"/>
      <w:marLeft w:val="0"/>
      <w:marRight w:val="0"/>
      <w:marTop w:val="0"/>
      <w:marBottom w:val="0"/>
      <w:divBdr>
        <w:top w:val="none" w:sz="0" w:space="0" w:color="auto"/>
        <w:left w:val="none" w:sz="0" w:space="0" w:color="auto"/>
        <w:bottom w:val="none" w:sz="0" w:space="0" w:color="auto"/>
        <w:right w:val="none" w:sz="0" w:space="0" w:color="auto"/>
      </w:divBdr>
    </w:div>
    <w:div w:id="1682732718">
      <w:bodyDiv w:val="1"/>
      <w:marLeft w:val="0"/>
      <w:marRight w:val="0"/>
      <w:marTop w:val="0"/>
      <w:marBottom w:val="0"/>
      <w:divBdr>
        <w:top w:val="none" w:sz="0" w:space="0" w:color="auto"/>
        <w:left w:val="none" w:sz="0" w:space="0" w:color="auto"/>
        <w:bottom w:val="none" w:sz="0" w:space="0" w:color="auto"/>
        <w:right w:val="none" w:sz="0" w:space="0" w:color="auto"/>
      </w:divBdr>
    </w:div>
    <w:div w:id="1684936508">
      <w:bodyDiv w:val="1"/>
      <w:marLeft w:val="0"/>
      <w:marRight w:val="0"/>
      <w:marTop w:val="0"/>
      <w:marBottom w:val="0"/>
      <w:divBdr>
        <w:top w:val="none" w:sz="0" w:space="0" w:color="auto"/>
        <w:left w:val="none" w:sz="0" w:space="0" w:color="auto"/>
        <w:bottom w:val="none" w:sz="0" w:space="0" w:color="auto"/>
        <w:right w:val="none" w:sz="0" w:space="0" w:color="auto"/>
      </w:divBdr>
    </w:div>
    <w:div w:id="1689870744">
      <w:bodyDiv w:val="1"/>
      <w:marLeft w:val="0"/>
      <w:marRight w:val="0"/>
      <w:marTop w:val="0"/>
      <w:marBottom w:val="0"/>
      <w:divBdr>
        <w:top w:val="none" w:sz="0" w:space="0" w:color="auto"/>
        <w:left w:val="none" w:sz="0" w:space="0" w:color="auto"/>
        <w:bottom w:val="none" w:sz="0" w:space="0" w:color="auto"/>
        <w:right w:val="none" w:sz="0" w:space="0" w:color="auto"/>
      </w:divBdr>
    </w:div>
    <w:div w:id="1689987583">
      <w:bodyDiv w:val="1"/>
      <w:marLeft w:val="0"/>
      <w:marRight w:val="0"/>
      <w:marTop w:val="0"/>
      <w:marBottom w:val="0"/>
      <w:divBdr>
        <w:top w:val="none" w:sz="0" w:space="0" w:color="auto"/>
        <w:left w:val="none" w:sz="0" w:space="0" w:color="auto"/>
        <w:bottom w:val="none" w:sz="0" w:space="0" w:color="auto"/>
        <w:right w:val="none" w:sz="0" w:space="0" w:color="auto"/>
      </w:divBdr>
    </w:div>
    <w:div w:id="1690906627">
      <w:bodyDiv w:val="1"/>
      <w:marLeft w:val="0"/>
      <w:marRight w:val="0"/>
      <w:marTop w:val="0"/>
      <w:marBottom w:val="0"/>
      <w:divBdr>
        <w:top w:val="none" w:sz="0" w:space="0" w:color="auto"/>
        <w:left w:val="none" w:sz="0" w:space="0" w:color="auto"/>
        <w:bottom w:val="none" w:sz="0" w:space="0" w:color="auto"/>
        <w:right w:val="none" w:sz="0" w:space="0" w:color="auto"/>
      </w:divBdr>
    </w:div>
    <w:div w:id="1693873265">
      <w:bodyDiv w:val="1"/>
      <w:marLeft w:val="0"/>
      <w:marRight w:val="0"/>
      <w:marTop w:val="0"/>
      <w:marBottom w:val="0"/>
      <w:divBdr>
        <w:top w:val="none" w:sz="0" w:space="0" w:color="auto"/>
        <w:left w:val="none" w:sz="0" w:space="0" w:color="auto"/>
        <w:bottom w:val="none" w:sz="0" w:space="0" w:color="auto"/>
        <w:right w:val="none" w:sz="0" w:space="0" w:color="auto"/>
      </w:divBdr>
    </w:div>
    <w:div w:id="1694068487">
      <w:bodyDiv w:val="1"/>
      <w:marLeft w:val="0"/>
      <w:marRight w:val="0"/>
      <w:marTop w:val="0"/>
      <w:marBottom w:val="0"/>
      <w:divBdr>
        <w:top w:val="none" w:sz="0" w:space="0" w:color="auto"/>
        <w:left w:val="none" w:sz="0" w:space="0" w:color="auto"/>
        <w:bottom w:val="none" w:sz="0" w:space="0" w:color="auto"/>
        <w:right w:val="none" w:sz="0" w:space="0" w:color="auto"/>
      </w:divBdr>
    </w:div>
    <w:div w:id="1695493695">
      <w:bodyDiv w:val="1"/>
      <w:marLeft w:val="0"/>
      <w:marRight w:val="0"/>
      <w:marTop w:val="0"/>
      <w:marBottom w:val="0"/>
      <w:divBdr>
        <w:top w:val="none" w:sz="0" w:space="0" w:color="auto"/>
        <w:left w:val="none" w:sz="0" w:space="0" w:color="auto"/>
        <w:bottom w:val="none" w:sz="0" w:space="0" w:color="auto"/>
        <w:right w:val="none" w:sz="0" w:space="0" w:color="auto"/>
      </w:divBdr>
    </w:div>
    <w:div w:id="1696030277">
      <w:bodyDiv w:val="1"/>
      <w:marLeft w:val="0"/>
      <w:marRight w:val="0"/>
      <w:marTop w:val="0"/>
      <w:marBottom w:val="0"/>
      <w:divBdr>
        <w:top w:val="none" w:sz="0" w:space="0" w:color="auto"/>
        <w:left w:val="none" w:sz="0" w:space="0" w:color="auto"/>
        <w:bottom w:val="none" w:sz="0" w:space="0" w:color="auto"/>
        <w:right w:val="none" w:sz="0" w:space="0" w:color="auto"/>
      </w:divBdr>
    </w:div>
    <w:div w:id="1696422545">
      <w:bodyDiv w:val="1"/>
      <w:marLeft w:val="0"/>
      <w:marRight w:val="0"/>
      <w:marTop w:val="0"/>
      <w:marBottom w:val="0"/>
      <w:divBdr>
        <w:top w:val="none" w:sz="0" w:space="0" w:color="auto"/>
        <w:left w:val="none" w:sz="0" w:space="0" w:color="auto"/>
        <w:bottom w:val="none" w:sz="0" w:space="0" w:color="auto"/>
        <w:right w:val="none" w:sz="0" w:space="0" w:color="auto"/>
      </w:divBdr>
    </w:div>
    <w:div w:id="1698895418">
      <w:bodyDiv w:val="1"/>
      <w:marLeft w:val="0"/>
      <w:marRight w:val="0"/>
      <w:marTop w:val="0"/>
      <w:marBottom w:val="0"/>
      <w:divBdr>
        <w:top w:val="none" w:sz="0" w:space="0" w:color="auto"/>
        <w:left w:val="none" w:sz="0" w:space="0" w:color="auto"/>
        <w:bottom w:val="none" w:sz="0" w:space="0" w:color="auto"/>
        <w:right w:val="none" w:sz="0" w:space="0" w:color="auto"/>
      </w:divBdr>
    </w:div>
    <w:div w:id="1701391521">
      <w:bodyDiv w:val="1"/>
      <w:marLeft w:val="0"/>
      <w:marRight w:val="0"/>
      <w:marTop w:val="0"/>
      <w:marBottom w:val="0"/>
      <w:divBdr>
        <w:top w:val="none" w:sz="0" w:space="0" w:color="auto"/>
        <w:left w:val="none" w:sz="0" w:space="0" w:color="auto"/>
        <w:bottom w:val="none" w:sz="0" w:space="0" w:color="auto"/>
        <w:right w:val="none" w:sz="0" w:space="0" w:color="auto"/>
      </w:divBdr>
    </w:div>
    <w:div w:id="1702240260">
      <w:bodyDiv w:val="1"/>
      <w:marLeft w:val="0"/>
      <w:marRight w:val="0"/>
      <w:marTop w:val="0"/>
      <w:marBottom w:val="0"/>
      <w:divBdr>
        <w:top w:val="none" w:sz="0" w:space="0" w:color="auto"/>
        <w:left w:val="none" w:sz="0" w:space="0" w:color="auto"/>
        <w:bottom w:val="none" w:sz="0" w:space="0" w:color="auto"/>
        <w:right w:val="none" w:sz="0" w:space="0" w:color="auto"/>
      </w:divBdr>
    </w:div>
    <w:div w:id="1702245228">
      <w:bodyDiv w:val="1"/>
      <w:marLeft w:val="0"/>
      <w:marRight w:val="0"/>
      <w:marTop w:val="0"/>
      <w:marBottom w:val="0"/>
      <w:divBdr>
        <w:top w:val="none" w:sz="0" w:space="0" w:color="auto"/>
        <w:left w:val="none" w:sz="0" w:space="0" w:color="auto"/>
        <w:bottom w:val="none" w:sz="0" w:space="0" w:color="auto"/>
        <w:right w:val="none" w:sz="0" w:space="0" w:color="auto"/>
      </w:divBdr>
    </w:div>
    <w:div w:id="1704210206">
      <w:bodyDiv w:val="1"/>
      <w:marLeft w:val="0"/>
      <w:marRight w:val="0"/>
      <w:marTop w:val="0"/>
      <w:marBottom w:val="0"/>
      <w:divBdr>
        <w:top w:val="none" w:sz="0" w:space="0" w:color="auto"/>
        <w:left w:val="none" w:sz="0" w:space="0" w:color="auto"/>
        <w:bottom w:val="none" w:sz="0" w:space="0" w:color="auto"/>
        <w:right w:val="none" w:sz="0" w:space="0" w:color="auto"/>
      </w:divBdr>
    </w:div>
    <w:div w:id="1709521924">
      <w:bodyDiv w:val="1"/>
      <w:marLeft w:val="0"/>
      <w:marRight w:val="0"/>
      <w:marTop w:val="0"/>
      <w:marBottom w:val="0"/>
      <w:divBdr>
        <w:top w:val="none" w:sz="0" w:space="0" w:color="auto"/>
        <w:left w:val="none" w:sz="0" w:space="0" w:color="auto"/>
        <w:bottom w:val="none" w:sz="0" w:space="0" w:color="auto"/>
        <w:right w:val="none" w:sz="0" w:space="0" w:color="auto"/>
      </w:divBdr>
    </w:div>
    <w:div w:id="1712874025">
      <w:bodyDiv w:val="1"/>
      <w:marLeft w:val="0"/>
      <w:marRight w:val="0"/>
      <w:marTop w:val="0"/>
      <w:marBottom w:val="0"/>
      <w:divBdr>
        <w:top w:val="none" w:sz="0" w:space="0" w:color="auto"/>
        <w:left w:val="none" w:sz="0" w:space="0" w:color="auto"/>
        <w:bottom w:val="none" w:sz="0" w:space="0" w:color="auto"/>
        <w:right w:val="none" w:sz="0" w:space="0" w:color="auto"/>
      </w:divBdr>
    </w:div>
    <w:div w:id="1713263920">
      <w:bodyDiv w:val="1"/>
      <w:marLeft w:val="0"/>
      <w:marRight w:val="0"/>
      <w:marTop w:val="0"/>
      <w:marBottom w:val="0"/>
      <w:divBdr>
        <w:top w:val="none" w:sz="0" w:space="0" w:color="auto"/>
        <w:left w:val="none" w:sz="0" w:space="0" w:color="auto"/>
        <w:bottom w:val="none" w:sz="0" w:space="0" w:color="auto"/>
        <w:right w:val="none" w:sz="0" w:space="0" w:color="auto"/>
      </w:divBdr>
    </w:div>
    <w:div w:id="1713531667">
      <w:bodyDiv w:val="1"/>
      <w:marLeft w:val="0"/>
      <w:marRight w:val="0"/>
      <w:marTop w:val="0"/>
      <w:marBottom w:val="0"/>
      <w:divBdr>
        <w:top w:val="none" w:sz="0" w:space="0" w:color="auto"/>
        <w:left w:val="none" w:sz="0" w:space="0" w:color="auto"/>
        <w:bottom w:val="none" w:sz="0" w:space="0" w:color="auto"/>
        <w:right w:val="none" w:sz="0" w:space="0" w:color="auto"/>
      </w:divBdr>
    </w:div>
    <w:div w:id="1716926880">
      <w:bodyDiv w:val="1"/>
      <w:marLeft w:val="0"/>
      <w:marRight w:val="0"/>
      <w:marTop w:val="0"/>
      <w:marBottom w:val="0"/>
      <w:divBdr>
        <w:top w:val="none" w:sz="0" w:space="0" w:color="auto"/>
        <w:left w:val="none" w:sz="0" w:space="0" w:color="auto"/>
        <w:bottom w:val="none" w:sz="0" w:space="0" w:color="auto"/>
        <w:right w:val="none" w:sz="0" w:space="0" w:color="auto"/>
      </w:divBdr>
    </w:div>
    <w:div w:id="1724939439">
      <w:bodyDiv w:val="1"/>
      <w:marLeft w:val="0"/>
      <w:marRight w:val="0"/>
      <w:marTop w:val="0"/>
      <w:marBottom w:val="0"/>
      <w:divBdr>
        <w:top w:val="none" w:sz="0" w:space="0" w:color="auto"/>
        <w:left w:val="none" w:sz="0" w:space="0" w:color="auto"/>
        <w:bottom w:val="none" w:sz="0" w:space="0" w:color="auto"/>
        <w:right w:val="none" w:sz="0" w:space="0" w:color="auto"/>
      </w:divBdr>
    </w:div>
    <w:div w:id="1726097011">
      <w:bodyDiv w:val="1"/>
      <w:marLeft w:val="0"/>
      <w:marRight w:val="0"/>
      <w:marTop w:val="0"/>
      <w:marBottom w:val="0"/>
      <w:divBdr>
        <w:top w:val="none" w:sz="0" w:space="0" w:color="auto"/>
        <w:left w:val="none" w:sz="0" w:space="0" w:color="auto"/>
        <w:bottom w:val="none" w:sz="0" w:space="0" w:color="auto"/>
        <w:right w:val="none" w:sz="0" w:space="0" w:color="auto"/>
      </w:divBdr>
    </w:div>
    <w:div w:id="1727873942">
      <w:bodyDiv w:val="1"/>
      <w:marLeft w:val="0"/>
      <w:marRight w:val="0"/>
      <w:marTop w:val="0"/>
      <w:marBottom w:val="0"/>
      <w:divBdr>
        <w:top w:val="none" w:sz="0" w:space="0" w:color="auto"/>
        <w:left w:val="none" w:sz="0" w:space="0" w:color="auto"/>
        <w:bottom w:val="none" w:sz="0" w:space="0" w:color="auto"/>
        <w:right w:val="none" w:sz="0" w:space="0" w:color="auto"/>
      </w:divBdr>
    </w:div>
    <w:div w:id="1729450309">
      <w:bodyDiv w:val="1"/>
      <w:marLeft w:val="0"/>
      <w:marRight w:val="0"/>
      <w:marTop w:val="0"/>
      <w:marBottom w:val="0"/>
      <w:divBdr>
        <w:top w:val="none" w:sz="0" w:space="0" w:color="auto"/>
        <w:left w:val="none" w:sz="0" w:space="0" w:color="auto"/>
        <w:bottom w:val="none" w:sz="0" w:space="0" w:color="auto"/>
        <w:right w:val="none" w:sz="0" w:space="0" w:color="auto"/>
      </w:divBdr>
    </w:div>
    <w:div w:id="1730492323">
      <w:bodyDiv w:val="1"/>
      <w:marLeft w:val="0"/>
      <w:marRight w:val="0"/>
      <w:marTop w:val="0"/>
      <w:marBottom w:val="0"/>
      <w:divBdr>
        <w:top w:val="none" w:sz="0" w:space="0" w:color="auto"/>
        <w:left w:val="none" w:sz="0" w:space="0" w:color="auto"/>
        <w:bottom w:val="none" w:sz="0" w:space="0" w:color="auto"/>
        <w:right w:val="none" w:sz="0" w:space="0" w:color="auto"/>
      </w:divBdr>
    </w:div>
    <w:div w:id="1731035004">
      <w:bodyDiv w:val="1"/>
      <w:marLeft w:val="0"/>
      <w:marRight w:val="0"/>
      <w:marTop w:val="0"/>
      <w:marBottom w:val="0"/>
      <w:divBdr>
        <w:top w:val="none" w:sz="0" w:space="0" w:color="auto"/>
        <w:left w:val="none" w:sz="0" w:space="0" w:color="auto"/>
        <w:bottom w:val="none" w:sz="0" w:space="0" w:color="auto"/>
        <w:right w:val="none" w:sz="0" w:space="0" w:color="auto"/>
      </w:divBdr>
    </w:div>
    <w:div w:id="1731347816">
      <w:bodyDiv w:val="1"/>
      <w:marLeft w:val="0"/>
      <w:marRight w:val="0"/>
      <w:marTop w:val="0"/>
      <w:marBottom w:val="0"/>
      <w:divBdr>
        <w:top w:val="none" w:sz="0" w:space="0" w:color="auto"/>
        <w:left w:val="none" w:sz="0" w:space="0" w:color="auto"/>
        <w:bottom w:val="none" w:sz="0" w:space="0" w:color="auto"/>
        <w:right w:val="none" w:sz="0" w:space="0" w:color="auto"/>
      </w:divBdr>
    </w:div>
    <w:div w:id="1731493045">
      <w:bodyDiv w:val="1"/>
      <w:marLeft w:val="0"/>
      <w:marRight w:val="0"/>
      <w:marTop w:val="0"/>
      <w:marBottom w:val="0"/>
      <w:divBdr>
        <w:top w:val="none" w:sz="0" w:space="0" w:color="auto"/>
        <w:left w:val="none" w:sz="0" w:space="0" w:color="auto"/>
        <w:bottom w:val="none" w:sz="0" w:space="0" w:color="auto"/>
        <w:right w:val="none" w:sz="0" w:space="0" w:color="auto"/>
      </w:divBdr>
    </w:div>
    <w:div w:id="1734740588">
      <w:bodyDiv w:val="1"/>
      <w:marLeft w:val="0"/>
      <w:marRight w:val="0"/>
      <w:marTop w:val="0"/>
      <w:marBottom w:val="0"/>
      <w:divBdr>
        <w:top w:val="none" w:sz="0" w:space="0" w:color="auto"/>
        <w:left w:val="none" w:sz="0" w:space="0" w:color="auto"/>
        <w:bottom w:val="none" w:sz="0" w:space="0" w:color="auto"/>
        <w:right w:val="none" w:sz="0" w:space="0" w:color="auto"/>
      </w:divBdr>
    </w:div>
    <w:div w:id="1737821730">
      <w:bodyDiv w:val="1"/>
      <w:marLeft w:val="0"/>
      <w:marRight w:val="0"/>
      <w:marTop w:val="0"/>
      <w:marBottom w:val="0"/>
      <w:divBdr>
        <w:top w:val="none" w:sz="0" w:space="0" w:color="auto"/>
        <w:left w:val="none" w:sz="0" w:space="0" w:color="auto"/>
        <w:bottom w:val="none" w:sz="0" w:space="0" w:color="auto"/>
        <w:right w:val="none" w:sz="0" w:space="0" w:color="auto"/>
      </w:divBdr>
    </w:div>
    <w:div w:id="1740251255">
      <w:bodyDiv w:val="1"/>
      <w:marLeft w:val="0"/>
      <w:marRight w:val="0"/>
      <w:marTop w:val="0"/>
      <w:marBottom w:val="0"/>
      <w:divBdr>
        <w:top w:val="none" w:sz="0" w:space="0" w:color="auto"/>
        <w:left w:val="none" w:sz="0" w:space="0" w:color="auto"/>
        <w:bottom w:val="none" w:sz="0" w:space="0" w:color="auto"/>
        <w:right w:val="none" w:sz="0" w:space="0" w:color="auto"/>
      </w:divBdr>
    </w:div>
    <w:div w:id="1741097553">
      <w:bodyDiv w:val="1"/>
      <w:marLeft w:val="0"/>
      <w:marRight w:val="0"/>
      <w:marTop w:val="0"/>
      <w:marBottom w:val="0"/>
      <w:divBdr>
        <w:top w:val="none" w:sz="0" w:space="0" w:color="auto"/>
        <w:left w:val="none" w:sz="0" w:space="0" w:color="auto"/>
        <w:bottom w:val="none" w:sz="0" w:space="0" w:color="auto"/>
        <w:right w:val="none" w:sz="0" w:space="0" w:color="auto"/>
      </w:divBdr>
    </w:div>
    <w:div w:id="1742408611">
      <w:bodyDiv w:val="1"/>
      <w:marLeft w:val="0"/>
      <w:marRight w:val="0"/>
      <w:marTop w:val="0"/>
      <w:marBottom w:val="0"/>
      <w:divBdr>
        <w:top w:val="none" w:sz="0" w:space="0" w:color="auto"/>
        <w:left w:val="none" w:sz="0" w:space="0" w:color="auto"/>
        <w:bottom w:val="none" w:sz="0" w:space="0" w:color="auto"/>
        <w:right w:val="none" w:sz="0" w:space="0" w:color="auto"/>
      </w:divBdr>
    </w:div>
    <w:div w:id="1744450202">
      <w:bodyDiv w:val="1"/>
      <w:marLeft w:val="0"/>
      <w:marRight w:val="0"/>
      <w:marTop w:val="0"/>
      <w:marBottom w:val="0"/>
      <w:divBdr>
        <w:top w:val="none" w:sz="0" w:space="0" w:color="auto"/>
        <w:left w:val="none" w:sz="0" w:space="0" w:color="auto"/>
        <w:bottom w:val="none" w:sz="0" w:space="0" w:color="auto"/>
        <w:right w:val="none" w:sz="0" w:space="0" w:color="auto"/>
      </w:divBdr>
    </w:div>
    <w:div w:id="1748839746">
      <w:bodyDiv w:val="1"/>
      <w:marLeft w:val="0"/>
      <w:marRight w:val="0"/>
      <w:marTop w:val="0"/>
      <w:marBottom w:val="0"/>
      <w:divBdr>
        <w:top w:val="none" w:sz="0" w:space="0" w:color="auto"/>
        <w:left w:val="none" w:sz="0" w:space="0" w:color="auto"/>
        <w:bottom w:val="none" w:sz="0" w:space="0" w:color="auto"/>
        <w:right w:val="none" w:sz="0" w:space="0" w:color="auto"/>
      </w:divBdr>
    </w:div>
    <w:div w:id="1750543797">
      <w:bodyDiv w:val="1"/>
      <w:marLeft w:val="0"/>
      <w:marRight w:val="0"/>
      <w:marTop w:val="0"/>
      <w:marBottom w:val="0"/>
      <w:divBdr>
        <w:top w:val="none" w:sz="0" w:space="0" w:color="auto"/>
        <w:left w:val="none" w:sz="0" w:space="0" w:color="auto"/>
        <w:bottom w:val="none" w:sz="0" w:space="0" w:color="auto"/>
        <w:right w:val="none" w:sz="0" w:space="0" w:color="auto"/>
      </w:divBdr>
    </w:div>
    <w:div w:id="1751078439">
      <w:bodyDiv w:val="1"/>
      <w:marLeft w:val="0"/>
      <w:marRight w:val="0"/>
      <w:marTop w:val="0"/>
      <w:marBottom w:val="0"/>
      <w:divBdr>
        <w:top w:val="none" w:sz="0" w:space="0" w:color="auto"/>
        <w:left w:val="none" w:sz="0" w:space="0" w:color="auto"/>
        <w:bottom w:val="none" w:sz="0" w:space="0" w:color="auto"/>
        <w:right w:val="none" w:sz="0" w:space="0" w:color="auto"/>
      </w:divBdr>
    </w:div>
    <w:div w:id="1752505208">
      <w:bodyDiv w:val="1"/>
      <w:marLeft w:val="0"/>
      <w:marRight w:val="0"/>
      <w:marTop w:val="0"/>
      <w:marBottom w:val="0"/>
      <w:divBdr>
        <w:top w:val="none" w:sz="0" w:space="0" w:color="auto"/>
        <w:left w:val="none" w:sz="0" w:space="0" w:color="auto"/>
        <w:bottom w:val="none" w:sz="0" w:space="0" w:color="auto"/>
        <w:right w:val="none" w:sz="0" w:space="0" w:color="auto"/>
      </w:divBdr>
    </w:div>
    <w:div w:id="1753968965">
      <w:bodyDiv w:val="1"/>
      <w:marLeft w:val="0"/>
      <w:marRight w:val="0"/>
      <w:marTop w:val="0"/>
      <w:marBottom w:val="0"/>
      <w:divBdr>
        <w:top w:val="none" w:sz="0" w:space="0" w:color="auto"/>
        <w:left w:val="none" w:sz="0" w:space="0" w:color="auto"/>
        <w:bottom w:val="none" w:sz="0" w:space="0" w:color="auto"/>
        <w:right w:val="none" w:sz="0" w:space="0" w:color="auto"/>
      </w:divBdr>
    </w:div>
    <w:div w:id="1756854590">
      <w:bodyDiv w:val="1"/>
      <w:marLeft w:val="0"/>
      <w:marRight w:val="0"/>
      <w:marTop w:val="0"/>
      <w:marBottom w:val="0"/>
      <w:divBdr>
        <w:top w:val="none" w:sz="0" w:space="0" w:color="auto"/>
        <w:left w:val="none" w:sz="0" w:space="0" w:color="auto"/>
        <w:bottom w:val="none" w:sz="0" w:space="0" w:color="auto"/>
        <w:right w:val="none" w:sz="0" w:space="0" w:color="auto"/>
      </w:divBdr>
    </w:div>
    <w:div w:id="1757434587">
      <w:bodyDiv w:val="1"/>
      <w:marLeft w:val="0"/>
      <w:marRight w:val="0"/>
      <w:marTop w:val="0"/>
      <w:marBottom w:val="0"/>
      <w:divBdr>
        <w:top w:val="none" w:sz="0" w:space="0" w:color="auto"/>
        <w:left w:val="none" w:sz="0" w:space="0" w:color="auto"/>
        <w:bottom w:val="none" w:sz="0" w:space="0" w:color="auto"/>
        <w:right w:val="none" w:sz="0" w:space="0" w:color="auto"/>
      </w:divBdr>
    </w:div>
    <w:div w:id="1758860395">
      <w:bodyDiv w:val="1"/>
      <w:marLeft w:val="0"/>
      <w:marRight w:val="0"/>
      <w:marTop w:val="0"/>
      <w:marBottom w:val="0"/>
      <w:divBdr>
        <w:top w:val="none" w:sz="0" w:space="0" w:color="auto"/>
        <w:left w:val="none" w:sz="0" w:space="0" w:color="auto"/>
        <w:bottom w:val="none" w:sz="0" w:space="0" w:color="auto"/>
        <w:right w:val="none" w:sz="0" w:space="0" w:color="auto"/>
      </w:divBdr>
    </w:div>
    <w:div w:id="1759865364">
      <w:bodyDiv w:val="1"/>
      <w:marLeft w:val="0"/>
      <w:marRight w:val="0"/>
      <w:marTop w:val="0"/>
      <w:marBottom w:val="0"/>
      <w:divBdr>
        <w:top w:val="none" w:sz="0" w:space="0" w:color="auto"/>
        <w:left w:val="none" w:sz="0" w:space="0" w:color="auto"/>
        <w:bottom w:val="none" w:sz="0" w:space="0" w:color="auto"/>
        <w:right w:val="none" w:sz="0" w:space="0" w:color="auto"/>
      </w:divBdr>
    </w:div>
    <w:div w:id="1765109575">
      <w:bodyDiv w:val="1"/>
      <w:marLeft w:val="0"/>
      <w:marRight w:val="0"/>
      <w:marTop w:val="0"/>
      <w:marBottom w:val="0"/>
      <w:divBdr>
        <w:top w:val="none" w:sz="0" w:space="0" w:color="auto"/>
        <w:left w:val="none" w:sz="0" w:space="0" w:color="auto"/>
        <w:bottom w:val="none" w:sz="0" w:space="0" w:color="auto"/>
        <w:right w:val="none" w:sz="0" w:space="0" w:color="auto"/>
      </w:divBdr>
    </w:div>
    <w:div w:id="1765152104">
      <w:bodyDiv w:val="1"/>
      <w:marLeft w:val="0"/>
      <w:marRight w:val="0"/>
      <w:marTop w:val="0"/>
      <w:marBottom w:val="0"/>
      <w:divBdr>
        <w:top w:val="none" w:sz="0" w:space="0" w:color="auto"/>
        <w:left w:val="none" w:sz="0" w:space="0" w:color="auto"/>
        <w:bottom w:val="none" w:sz="0" w:space="0" w:color="auto"/>
        <w:right w:val="none" w:sz="0" w:space="0" w:color="auto"/>
      </w:divBdr>
    </w:div>
    <w:div w:id="1766806295">
      <w:bodyDiv w:val="1"/>
      <w:marLeft w:val="0"/>
      <w:marRight w:val="0"/>
      <w:marTop w:val="0"/>
      <w:marBottom w:val="0"/>
      <w:divBdr>
        <w:top w:val="none" w:sz="0" w:space="0" w:color="auto"/>
        <w:left w:val="none" w:sz="0" w:space="0" w:color="auto"/>
        <w:bottom w:val="none" w:sz="0" w:space="0" w:color="auto"/>
        <w:right w:val="none" w:sz="0" w:space="0" w:color="auto"/>
      </w:divBdr>
    </w:div>
    <w:div w:id="1768961118">
      <w:bodyDiv w:val="1"/>
      <w:marLeft w:val="0"/>
      <w:marRight w:val="0"/>
      <w:marTop w:val="0"/>
      <w:marBottom w:val="0"/>
      <w:divBdr>
        <w:top w:val="none" w:sz="0" w:space="0" w:color="auto"/>
        <w:left w:val="none" w:sz="0" w:space="0" w:color="auto"/>
        <w:bottom w:val="none" w:sz="0" w:space="0" w:color="auto"/>
        <w:right w:val="none" w:sz="0" w:space="0" w:color="auto"/>
      </w:divBdr>
    </w:div>
    <w:div w:id="1770274668">
      <w:bodyDiv w:val="1"/>
      <w:marLeft w:val="0"/>
      <w:marRight w:val="0"/>
      <w:marTop w:val="0"/>
      <w:marBottom w:val="0"/>
      <w:divBdr>
        <w:top w:val="none" w:sz="0" w:space="0" w:color="auto"/>
        <w:left w:val="none" w:sz="0" w:space="0" w:color="auto"/>
        <w:bottom w:val="none" w:sz="0" w:space="0" w:color="auto"/>
        <w:right w:val="none" w:sz="0" w:space="0" w:color="auto"/>
      </w:divBdr>
    </w:div>
    <w:div w:id="1770349374">
      <w:bodyDiv w:val="1"/>
      <w:marLeft w:val="0"/>
      <w:marRight w:val="0"/>
      <w:marTop w:val="0"/>
      <w:marBottom w:val="0"/>
      <w:divBdr>
        <w:top w:val="none" w:sz="0" w:space="0" w:color="auto"/>
        <w:left w:val="none" w:sz="0" w:space="0" w:color="auto"/>
        <w:bottom w:val="none" w:sz="0" w:space="0" w:color="auto"/>
        <w:right w:val="none" w:sz="0" w:space="0" w:color="auto"/>
      </w:divBdr>
    </w:div>
    <w:div w:id="1771198135">
      <w:bodyDiv w:val="1"/>
      <w:marLeft w:val="0"/>
      <w:marRight w:val="0"/>
      <w:marTop w:val="0"/>
      <w:marBottom w:val="0"/>
      <w:divBdr>
        <w:top w:val="none" w:sz="0" w:space="0" w:color="auto"/>
        <w:left w:val="none" w:sz="0" w:space="0" w:color="auto"/>
        <w:bottom w:val="none" w:sz="0" w:space="0" w:color="auto"/>
        <w:right w:val="none" w:sz="0" w:space="0" w:color="auto"/>
      </w:divBdr>
    </w:div>
    <w:div w:id="1771582782">
      <w:bodyDiv w:val="1"/>
      <w:marLeft w:val="0"/>
      <w:marRight w:val="0"/>
      <w:marTop w:val="0"/>
      <w:marBottom w:val="0"/>
      <w:divBdr>
        <w:top w:val="none" w:sz="0" w:space="0" w:color="auto"/>
        <w:left w:val="none" w:sz="0" w:space="0" w:color="auto"/>
        <w:bottom w:val="none" w:sz="0" w:space="0" w:color="auto"/>
        <w:right w:val="none" w:sz="0" w:space="0" w:color="auto"/>
      </w:divBdr>
    </w:div>
    <w:div w:id="1773161391">
      <w:bodyDiv w:val="1"/>
      <w:marLeft w:val="0"/>
      <w:marRight w:val="0"/>
      <w:marTop w:val="0"/>
      <w:marBottom w:val="0"/>
      <w:divBdr>
        <w:top w:val="none" w:sz="0" w:space="0" w:color="auto"/>
        <w:left w:val="none" w:sz="0" w:space="0" w:color="auto"/>
        <w:bottom w:val="none" w:sz="0" w:space="0" w:color="auto"/>
        <w:right w:val="none" w:sz="0" w:space="0" w:color="auto"/>
      </w:divBdr>
    </w:div>
    <w:div w:id="1775401179">
      <w:bodyDiv w:val="1"/>
      <w:marLeft w:val="0"/>
      <w:marRight w:val="0"/>
      <w:marTop w:val="0"/>
      <w:marBottom w:val="0"/>
      <w:divBdr>
        <w:top w:val="none" w:sz="0" w:space="0" w:color="auto"/>
        <w:left w:val="none" w:sz="0" w:space="0" w:color="auto"/>
        <w:bottom w:val="none" w:sz="0" w:space="0" w:color="auto"/>
        <w:right w:val="none" w:sz="0" w:space="0" w:color="auto"/>
      </w:divBdr>
    </w:div>
    <w:div w:id="1775902775">
      <w:bodyDiv w:val="1"/>
      <w:marLeft w:val="0"/>
      <w:marRight w:val="0"/>
      <w:marTop w:val="0"/>
      <w:marBottom w:val="0"/>
      <w:divBdr>
        <w:top w:val="none" w:sz="0" w:space="0" w:color="auto"/>
        <w:left w:val="none" w:sz="0" w:space="0" w:color="auto"/>
        <w:bottom w:val="none" w:sz="0" w:space="0" w:color="auto"/>
        <w:right w:val="none" w:sz="0" w:space="0" w:color="auto"/>
      </w:divBdr>
    </w:div>
    <w:div w:id="1776365808">
      <w:bodyDiv w:val="1"/>
      <w:marLeft w:val="0"/>
      <w:marRight w:val="0"/>
      <w:marTop w:val="0"/>
      <w:marBottom w:val="0"/>
      <w:divBdr>
        <w:top w:val="none" w:sz="0" w:space="0" w:color="auto"/>
        <w:left w:val="none" w:sz="0" w:space="0" w:color="auto"/>
        <w:bottom w:val="none" w:sz="0" w:space="0" w:color="auto"/>
        <w:right w:val="none" w:sz="0" w:space="0" w:color="auto"/>
      </w:divBdr>
    </w:div>
    <w:div w:id="1778744766">
      <w:bodyDiv w:val="1"/>
      <w:marLeft w:val="0"/>
      <w:marRight w:val="0"/>
      <w:marTop w:val="0"/>
      <w:marBottom w:val="0"/>
      <w:divBdr>
        <w:top w:val="none" w:sz="0" w:space="0" w:color="auto"/>
        <w:left w:val="none" w:sz="0" w:space="0" w:color="auto"/>
        <w:bottom w:val="none" w:sz="0" w:space="0" w:color="auto"/>
        <w:right w:val="none" w:sz="0" w:space="0" w:color="auto"/>
      </w:divBdr>
    </w:div>
    <w:div w:id="1779637008">
      <w:bodyDiv w:val="1"/>
      <w:marLeft w:val="0"/>
      <w:marRight w:val="0"/>
      <w:marTop w:val="0"/>
      <w:marBottom w:val="0"/>
      <w:divBdr>
        <w:top w:val="none" w:sz="0" w:space="0" w:color="auto"/>
        <w:left w:val="none" w:sz="0" w:space="0" w:color="auto"/>
        <w:bottom w:val="none" w:sz="0" w:space="0" w:color="auto"/>
        <w:right w:val="none" w:sz="0" w:space="0" w:color="auto"/>
      </w:divBdr>
    </w:div>
    <w:div w:id="1779717720">
      <w:bodyDiv w:val="1"/>
      <w:marLeft w:val="0"/>
      <w:marRight w:val="0"/>
      <w:marTop w:val="0"/>
      <w:marBottom w:val="0"/>
      <w:divBdr>
        <w:top w:val="none" w:sz="0" w:space="0" w:color="auto"/>
        <w:left w:val="none" w:sz="0" w:space="0" w:color="auto"/>
        <w:bottom w:val="none" w:sz="0" w:space="0" w:color="auto"/>
        <w:right w:val="none" w:sz="0" w:space="0" w:color="auto"/>
      </w:divBdr>
    </w:div>
    <w:div w:id="1780026097">
      <w:bodyDiv w:val="1"/>
      <w:marLeft w:val="0"/>
      <w:marRight w:val="0"/>
      <w:marTop w:val="0"/>
      <w:marBottom w:val="0"/>
      <w:divBdr>
        <w:top w:val="none" w:sz="0" w:space="0" w:color="auto"/>
        <w:left w:val="none" w:sz="0" w:space="0" w:color="auto"/>
        <w:bottom w:val="none" w:sz="0" w:space="0" w:color="auto"/>
        <w:right w:val="none" w:sz="0" w:space="0" w:color="auto"/>
      </w:divBdr>
    </w:div>
    <w:div w:id="1782147768">
      <w:bodyDiv w:val="1"/>
      <w:marLeft w:val="0"/>
      <w:marRight w:val="0"/>
      <w:marTop w:val="0"/>
      <w:marBottom w:val="0"/>
      <w:divBdr>
        <w:top w:val="none" w:sz="0" w:space="0" w:color="auto"/>
        <w:left w:val="none" w:sz="0" w:space="0" w:color="auto"/>
        <w:bottom w:val="none" w:sz="0" w:space="0" w:color="auto"/>
        <w:right w:val="none" w:sz="0" w:space="0" w:color="auto"/>
      </w:divBdr>
    </w:div>
    <w:div w:id="1782650917">
      <w:bodyDiv w:val="1"/>
      <w:marLeft w:val="0"/>
      <w:marRight w:val="0"/>
      <w:marTop w:val="0"/>
      <w:marBottom w:val="0"/>
      <w:divBdr>
        <w:top w:val="none" w:sz="0" w:space="0" w:color="auto"/>
        <w:left w:val="none" w:sz="0" w:space="0" w:color="auto"/>
        <w:bottom w:val="none" w:sz="0" w:space="0" w:color="auto"/>
        <w:right w:val="none" w:sz="0" w:space="0" w:color="auto"/>
      </w:divBdr>
    </w:div>
    <w:div w:id="1782917655">
      <w:bodyDiv w:val="1"/>
      <w:marLeft w:val="0"/>
      <w:marRight w:val="0"/>
      <w:marTop w:val="0"/>
      <w:marBottom w:val="0"/>
      <w:divBdr>
        <w:top w:val="none" w:sz="0" w:space="0" w:color="auto"/>
        <w:left w:val="none" w:sz="0" w:space="0" w:color="auto"/>
        <w:bottom w:val="none" w:sz="0" w:space="0" w:color="auto"/>
        <w:right w:val="none" w:sz="0" w:space="0" w:color="auto"/>
      </w:divBdr>
    </w:div>
    <w:div w:id="1782996875">
      <w:bodyDiv w:val="1"/>
      <w:marLeft w:val="0"/>
      <w:marRight w:val="0"/>
      <w:marTop w:val="0"/>
      <w:marBottom w:val="0"/>
      <w:divBdr>
        <w:top w:val="none" w:sz="0" w:space="0" w:color="auto"/>
        <w:left w:val="none" w:sz="0" w:space="0" w:color="auto"/>
        <w:bottom w:val="none" w:sz="0" w:space="0" w:color="auto"/>
        <w:right w:val="none" w:sz="0" w:space="0" w:color="auto"/>
      </w:divBdr>
    </w:div>
    <w:div w:id="1784298133">
      <w:bodyDiv w:val="1"/>
      <w:marLeft w:val="0"/>
      <w:marRight w:val="0"/>
      <w:marTop w:val="0"/>
      <w:marBottom w:val="0"/>
      <w:divBdr>
        <w:top w:val="none" w:sz="0" w:space="0" w:color="auto"/>
        <w:left w:val="none" w:sz="0" w:space="0" w:color="auto"/>
        <w:bottom w:val="none" w:sz="0" w:space="0" w:color="auto"/>
        <w:right w:val="none" w:sz="0" w:space="0" w:color="auto"/>
      </w:divBdr>
    </w:div>
    <w:div w:id="1785419050">
      <w:bodyDiv w:val="1"/>
      <w:marLeft w:val="0"/>
      <w:marRight w:val="0"/>
      <w:marTop w:val="0"/>
      <w:marBottom w:val="0"/>
      <w:divBdr>
        <w:top w:val="none" w:sz="0" w:space="0" w:color="auto"/>
        <w:left w:val="none" w:sz="0" w:space="0" w:color="auto"/>
        <w:bottom w:val="none" w:sz="0" w:space="0" w:color="auto"/>
        <w:right w:val="none" w:sz="0" w:space="0" w:color="auto"/>
      </w:divBdr>
    </w:div>
    <w:div w:id="1785879357">
      <w:bodyDiv w:val="1"/>
      <w:marLeft w:val="0"/>
      <w:marRight w:val="0"/>
      <w:marTop w:val="0"/>
      <w:marBottom w:val="0"/>
      <w:divBdr>
        <w:top w:val="none" w:sz="0" w:space="0" w:color="auto"/>
        <w:left w:val="none" w:sz="0" w:space="0" w:color="auto"/>
        <w:bottom w:val="none" w:sz="0" w:space="0" w:color="auto"/>
        <w:right w:val="none" w:sz="0" w:space="0" w:color="auto"/>
      </w:divBdr>
    </w:div>
    <w:div w:id="1785884793">
      <w:bodyDiv w:val="1"/>
      <w:marLeft w:val="0"/>
      <w:marRight w:val="0"/>
      <w:marTop w:val="0"/>
      <w:marBottom w:val="0"/>
      <w:divBdr>
        <w:top w:val="none" w:sz="0" w:space="0" w:color="auto"/>
        <w:left w:val="none" w:sz="0" w:space="0" w:color="auto"/>
        <w:bottom w:val="none" w:sz="0" w:space="0" w:color="auto"/>
        <w:right w:val="none" w:sz="0" w:space="0" w:color="auto"/>
      </w:divBdr>
    </w:div>
    <w:div w:id="1788158623">
      <w:bodyDiv w:val="1"/>
      <w:marLeft w:val="0"/>
      <w:marRight w:val="0"/>
      <w:marTop w:val="0"/>
      <w:marBottom w:val="0"/>
      <w:divBdr>
        <w:top w:val="none" w:sz="0" w:space="0" w:color="auto"/>
        <w:left w:val="none" w:sz="0" w:space="0" w:color="auto"/>
        <w:bottom w:val="none" w:sz="0" w:space="0" w:color="auto"/>
        <w:right w:val="none" w:sz="0" w:space="0" w:color="auto"/>
      </w:divBdr>
    </w:div>
    <w:div w:id="1789809019">
      <w:bodyDiv w:val="1"/>
      <w:marLeft w:val="0"/>
      <w:marRight w:val="0"/>
      <w:marTop w:val="0"/>
      <w:marBottom w:val="0"/>
      <w:divBdr>
        <w:top w:val="none" w:sz="0" w:space="0" w:color="auto"/>
        <w:left w:val="none" w:sz="0" w:space="0" w:color="auto"/>
        <w:bottom w:val="none" w:sz="0" w:space="0" w:color="auto"/>
        <w:right w:val="none" w:sz="0" w:space="0" w:color="auto"/>
      </w:divBdr>
    </w:div>
    <w:div w:id="1789934705">
      <w:bodyDiv w:val="1"/>
      <w:marLeft w:val="0"/>
      <w:marRight w:val="0"/>
      <w:marTop w:val="0"/>
      <w:marBottom w:val="0"/>
      <w:divBdr>
        <w:top w:val="none" w:sz="0" w:space="0" w:color="auto"/>
        <w:left w:val="none" w:sz="0" w:space="0" w:color="auto"/>
        <w:bottom w:val="none" w:sz="0" w:space="0" w:color="auto"/>
        <w:right w:val="none" w:sz="0" w:space="0" w:color="auto"/>
      </w:divBdr>
    </w:div>
    <w:div w:id="1793398171">
      <w:bodyDiv w:val="1"/>
      <w:marLeft w:val="0"/>
      <w:marRight w:val="0"/>
      <w:marTop w:val="0"/>
      <w:marBottom w:val="0"/>
      <w:divBdr>
        <w:top w:val="none" w:sz="0" w:space="0" w:color="auto"/>
        <w:left w:val="none" w:sz="0" w:space="0" w:color="auto"/>
        <w:bottom w:val="none" w:sz="0" w:space="0" w:color="auto"/>
        <w:right w:val="none" w:sz="0" w:space="0" w:color="auto"/>
      </w:divBdr>
    </w:div>
    <w:div w:id="1793938078">
      <w:bodyDiv w:val="1"/>
      <w:marLeft w:val="0"/>
      <w:marRight w:val="0"/>
      <w:marTop w:val="0"/>
      <w:marBottom w:val="0"/>
      <w:divBdr>
        <w:top w:val="none" w:sz="0" w:space="0" w:color="auto"/>
        <w:left w:val="none" w:sz="0" w:space="0" w:color="auto"/>
        <w:bottom w:val="none" w:sz="0" w:space="0" w:color="auto"/>
        <w:right w:val="none" w:sz="0" w:space="0" w:color="auto"/>
      </w:divBdr>
    </w:div>
    <w:div w:id="1794057110">
      <w:bodyDiv w:val="1"/>
      <w:marLeft w:val="0"/>
      <w:marRight w:val="0"/>
      <w:marTop w:val="0"/>
      <w:marBottom w:val="0"/>
      <w:divBdr>
        <w:top w:val="none" w:sz="0" w:space="0" w:color="auto"/>
        <w:left w:val="none" w:sz="0" w:space="0" w:color="auto"/>
        <w:bottom w:val="none" w:sz="0" w:space="0" w:color="auto"/>
        <w:right w:val="none" w:sz="0" w:space="0" w:color="auto"/>
      </w:divBdr>
    </w:div>
    <w:div w:id="1794396651">
      <w:bodyDiv w:val="1"/>
      <w:marLeft w:val="0"/>
      <w:marRight w:val="0"/>
      <w:marTop w:val="0"/>
      <w:marBottom w:val="0"/>
      <w:divBdr>
        <w:top w:val="none" w:sz="0" w:space="0" w:color="auto"/>
        <w:left w:val="none" w:sz="0" w:space="0" w:color="auto"/>
        <w:bottom w:val="none" w:sz="0" w:space="0" w:color="auto"/>
        <w:right w:val="none" w:sz="0" w:space="0" w:color="auto"/>
      </w:divBdr>
    </w:div>
    <w:div w:id="1795755259">
      <w:bodyDiv w:val="1"/>
      <w:marLeft w:val="0"/>
      <w:marRight w:val="0"/>
      <w:marTop w:val="0"/>
      <w:marBottom w:val="0"/>
      <w:divBdr>
        <w:top w:val="none" w:sz="0" w:space="0" w:color="auto"/>
        <w:left w:val="none" w:sz="0" w:space="0" w:color="auto"/>
        <w:bottom w:val="none" w:sz="0" w:space="0" w:color="auto"/>
        <w:right w:val="none" w:sz="0" w:space="0" w:color="auto"/>
      </w:divBdr>
    </w:div>
    <w:div w:id="1796748785">
      <w:bodyDiv w:val="1"/>
      <w:marLeft w:val="0"/>
      <w:marRight w:val="0"/>
      <w:marTop w:val="0"/>
      <w:marBottom w:val="0"/>
      <w:divBdr>
        <w:top w:val="none" w:sz="0" w:space="0" w:color="auto"/>
        <w:left w:val="none" w:sz="0" w:space="0" w:color="auto"/>
        <w:bottom w:val="none" w:sz="0" w:space="0" w:color="auto"/>
        <w:right w:val="none" w:sz="0" w:space="0" w:color="auto"/>
      </w:divBdr>
    </w:div>
    <w:div w:id="1798450002">
      <w:bodyDiv w:val="1"/>
      <w:marLeft w:val="0"/>
      <w:marRight w:val="0"/>
      <w:marTop w:val="0"/>
      <w:marBottom w:val="0"/>
      <w:divBdr>
        <w:top w:val="none" w:sz="0" w:space="0" w:color="auto"/>
        <w:left w:val="none" w:sz="0" w:space="0" w:color="auto"/>
        <w:bottom w:val="none" w:sz="0" w:space="0" w:color="auto"/>
        <w:right w:val="none" w:sz="0" w:space="0" w:color="auto"/>
      </w:divBdr>
    </w:div>
    <w:div w:id="1799950271">
      <w:bodyDiv w:val="1"/>
      <w:marLeft w:val="0"/>
      <w:marRight w:val="0"/>
      <w:marTop w:val="0"/>
      <w:marBottom w:val="0"/>
      <w:divBdr>
        <w:top w:val="none" w:sz="0" w:space="0" w:color="auto"/>
        <w:left w:val="none" w:sz="0" w:space="0" w:color="auto"/>
        <w:bottom w:val="none" w:sz="0" w:space="0" w:color="auto"/>
        <w:right w:val="none" w:sz="0" w:space="0" w:color="auto"/>
      </w:divBdr>
    </w:div>
    <w:div w:id="1800029627">
      <w:bodyDiv w:val="1"/>
      <w:marLeft w:val="0"/>
      <w:marRight w:val="0"/>
      <w:marTop w:val="0"/>
      <w:marBottom w:val="0"/>
      <w:divBdr>
        <w:top w:val="none" w:sz="0" w:space="0" w:color="auto"/>
        <w:left w:val="none" w:sz="0" w:space="0" w:color="auto"/>
        <w:bottom w:val="none" w:sz="0" w:space="0" w:color="auto"/>
        <w:right w:val="none" w:sz="0" w:space="0" w:color="auto"/>
      </w:divBdr>
    </w:div>
    <w:div w:id="1802647198">
      <w:bodyDiv w:val="1"/>
      <w:marLeft w:val="0"/>
      <w:marRight w:val="0"/>
      <w:marTop w:val="0"/>
      <w:marBottom w:val="0"/>
      <w:divBdr>
        <w:top w:val="none" w:sz="0" w:space="0" w:color="auto"/>
        <w:left w:val="none" w:sz="0" w:space="0" w:color="auto"/>
        <w:bottom w:val="none" w:sz="0" w:space="0" w:color="auto"/>
        <w:right w:val="none" w:sz="0" w:space="0" w:color="auto"/>
      </w:divBdr>
    </w:div>
    <w:div w:id="1802723688">
      <w:bodyDiv w:val="1"/>
      <w:marLeft w:val="0"/>
      <w:marRight w:val="0"/>
      <w:marTop w:val="0"/>
      <w:marBottom w:val="0"/>
      <w:divBdr>
        <w:top w:val="none" w:sz="0" w:space="0" w:color="auto"/>
        <w:left w:val="none" w:sz="0" w:space="0" w:color="auto"/>
        <w:bottom w:val="none" w:sz="0" w:space="0" w:color="auto"/>
        <w:right w:val="none" w:sz="0" w:space="0" w:color="auto"/>
      </w:divBdr>
    </w:div>
    <w:div w:id="1803190179">
      <w:bodyDiv w:val="1"/>
      <w:marLeft w:val="0"/>
      <w:marRight w:val="0"/>
      <w:marTop w:val="0"/>
      <w:marBottom w:val="0"/>
      <w:divBdr>
        <w:top w:val="none" w:sz="0" w:space="0" w:color="auto"/>
        <w:left w:val="none" w:sz="0" w:space="0" w:color="auto"/>
        <w:bottom w:val="none" w:sz="0" w:space="0" w:color="auto"/>
        <w:right w:val="none" w:sz="0" w:space="0" w:color="auto"/>
      </w:divBdr>
    </w:div>
    <w:div w:id="1804083629">
      <w:bodyDiv w:val="1"/>
      <w:marLeft w:val="0"/>
      <w:marRight w:val="0"/>
      <w:marTop w:val="0"/>
      <w:marBottom w:val="0"/>
      <w:divBdr>
        <w:top w:val="none" w:sz="0" w:space="0" w:color="auto"/>
        <w:left w:val="none" w:sz="0" w:space="0" w:color="auto"/>
        <w:bottom w:val="none" w:sz="0" w:space="0" w:color="auto"/>
        <w:right w:val="none" w:sz="0" w:space="0" w:color="auto"/>
      </w:divBdr>
    </w:div>
    <w:div w:id="1804613941">
      <w:bodyDiv w:val="1"/>
      <w:marLeft w:val="0"/>
      <w:marRight w:val="0"/>
      <w:marTop w:val="0"/>
      <w:marBottom w:val="0"/>
      <w:divBdr>
        <w:top w:val="none" w:sz="0" w:space="0" w:color="auto"/>
        <w:left w:val="none" w:sz="0" w:space="0" w:color="auto"/>
        <w:bottom w:val="none" w:sz="0" w:space="0" w:color="auto"/>
        <w:right w:val="none" w:sz="0" w:space="0" w:color="auto"/>
      </w:divBdr>
    </w:div>
    <w:div w:id="1807890236">
      <w:bodyDiv w:val="1"/>
      <w:marLeft w:val="0"/>
      <w:marRight w:val="0"/>
      <w:marTop w:val="0"/>
      <w:marBottom w:val="0"/>
      <w:divBdr>
        <w:top w:val="none" w:sz="0" w:space="0" w:color="auto"/>
        <w:left w:val="none" w:sz="0" w:space="0" w:color="auto"/>
        <w:bottom w:val="none" w:sz="0" w:space="0" w:color="auto"/>
        <w:right w:val="none" w:sz="0" w:space="0" w:color="auto"/>
      </w:divBdr>
    </w:div>
    <w:div w:id="1809085838">
      <w:bodyDiv w:val="1"/>
      <w:marLeft w:val="0"/>
      <w:marRight w:val="0"/>
      <w:marTop w:val="0"/>
      <w:marBottom w:val="0"/>
      <w:divBdr>
        <w:top w:val="none" w:sz="0" w:space="0" w:color="auto"/>
        <w:left w:val="none" w:sz="0" w:space="0" w:color="auto"/>
        <w:bottom w:val="none" w:sz="0" w:space="0" w:color="auto"/>
        <w:right w:val="none" w:sz="0" w:space="0" w:color="auto"/>
      </w:divBdr>
    </w:div>
    <w:div w:id="1809399024">
      <w:bodyDiv w:val="1"/>
      <w:marLeft w:val="0"/>
      <w:marRight w:val="0"/>
      <w:marTop w:val="0"/>
      <w:marBottom w:val="0"/>
      <w:divBdr>
        <w:top w:val="none" w:sz="0" w:space="0" w:color="auto"/>
        <w:left w:val="none" w:sz="0" w:space="0" w:color="auto"/>
        <w:bottom w:val="none" w:sz="0" w:space="0" w:color="auto"/>
        <w:right w:val="none" w:sz="0" w:space="0" w:color="auto"/>
      </w:divBdr>
    </w:div>
    <w:div w:id="1813133508">
      <w:bodyDiv w:val="1"/>
      <w:marLeft w:val="0"/>
      <w:marRight w:val="0"/>
      <w:marTop w:val="0"/>
      <w:marBottom w:val="0"/>
      <w:divBdr>
        <w:top w:val="none" w:sz="0" w:space="0" w:color="auto"/>
        <w:left w:val="none" w:sz="0" w:space="0" w:color="auto"/>
        <w:bottom w:val="none" w:sz="0" w:space="0" w:color="auto"/>
        <w:right w:val="none" w:sz="0" w:space="0" w:color="auto"/>
      </w:divBdr>
    </w:div>
    <w:div w:id="1813282077">
      <w:bodyDiv w:val="1"/>
      <w:marLeft w:val="0"/>
      <w:marRight w:val="0"/>
      <w:marTop w:val="0"/>
      <w:marBottom w:val="0"/>
      <w:divBdr>
        <w:top w:val="none" w:sz="0" w:space="0" w:color="auto"/>
        <w:left w:val="none" w:sz="0" w:space="0" w:color="auto"/>
        <w:bottom w:val="none" w:sz="0" w:space="0" w:color="auto"/>
        <w:right w:val="none" w:sz="0" w:space="0" w:color="auto"/>
      </w:divBdr>
    </w:div>
    <w:div w:id="1815219421">
      <w:bodyDiv w:val="1"/>
      <w:marLeft w:val="0"/>
      <w:marRight w:val="0"/>
      <w:marTop w:val="0"/>
      <w:marBottom w:val="0"/>
      <w:divBdr>
        <w:top w:val="none" w:sz="0" w:space="0" w:color="auto"/>
        <w:left w:val="none" w:sz="0" w:space="0" w:color="auto"/>
        <w:bottom w:val="none" w:sz="0" w:space="0" w:color="auto"/>
        <w:right w:val="none" w:sz="0" w:space="0" w:color="auto"/>
      </w:divBdr>
    </w:div>
    <w:div w:id="1816020002">
      <w:bodyDiv w:val="1"/>
      <w:marLeft w:val="0"/>
      <w:marRight w:val="0"/>
      <w:marTop w:val="0"/>
      <w:marBottom w:val="0"/>
      <w:divBdr>
        <w:top w:val="none" w:sz="0" w:space="0" w:color="auto"/>
        <w:left w:val="none" w:sz="0" w:space="0" w:color="auto"/>
        <w:bottom w:val="none" w:sz="0" w:space="0" w:color="auto"/>
        <w:right w:val="none" w:sz="0" w:space="0" w:color="auto"/>
      </w:divBdr>
    </w:div>
    <w:div w:id="1819765077">
      <w:bodyDiv w:val="1"/>
      <w:marLeft w:val="0"/>
      <w:marRight w:val="0"/>
      <w:marTop w:val="0"/>
      <w:marBottom w:val="0"/>
      <w:divBdr>
        <w:top w:val="none" w:sz="0" w:space="0" w:color="auto"/>
        <w:left w:val="none" w:sz="0" w:space="0" w:color="auto"/>
        <w:bottom w:val="none" w:sz="0" w:space="0" w:color="auto"/>
        <w:right w:val="none" w:sz="0" w:space="0" w:color="auto"/>
      </w:divBdr>
    </w:div>
    <w:div w:id="1819957825">
      <w:bodyDiv w:val="1"/>
      <w:marLeft w:val="0"/>
      <w:marRight w:val="0"/>
      <w:marTop w:val="0"/>
      <w:marBottom w:val="0"/>
      <w:divBdr>
        <w:top w:val="none" w:sz="0" w:space="0" w:color="auto"/>
        <w:left w:val="none" w:sz="0" w:space="0" w:color="auto"/>
        <w:bottom w:val="none" w:sz="0" w:space="0" w:color="auto"/>
        <w:right w:val="none" w:sz="0" w:space="0" w:color="auto"/>
      </w:divBdr>
    </w:div>
    <w:div w:id="1824202751">
      <w:bodyDiv w:val="1"/>
      <w:marLeft w:val="0"/>
      <w:marRight w:val="0"/>
      <w:marTop w:val="0"/>
      <w:marBottom w:val="0"/>
      <w:divBdr>
        <w:top w:val="none" w:sz="0" w:space="0" w:color="auto"/>
        <w:left w:val="none" w:sz="0" w:space="0" w:color="auto"/>
        <w:bottom w:val="none" w:sz="0" w:space="0" w:color="auto"/>
        <w:right w:val="none" w:sz="0" w:space="0" w:color="auto"/>
      </w:divBdr>
    </w:div>
    <w:div w:id="1825202986">
      <w:bodyDiv w:val="1"/>
      <w:marLeft w:val="0"/>
      <w:marRight w:val="0"/>
      <w:marTop w:val="0"/>
      <w:marBottom w:val="0"/>
      <w:divBdr>
        <w:top w:val="none" w:sz="0" w:space="0" w:color="auto"/>
        <w:left w:val="none" w:sz="0" w:space="0" w:color="auto"/>
        <w:bottom w:val="none" w:sz="0" w:space="0" w:color="auto"/>
        <w:right w:val="none" w:sz="0" w:space="0" w:color="auto"/>
      </w:divBdr>
    </w:div>
    <w:div w:id="1825315030">
      <w:bodyDiv w:val="1"/>
      <w:marLeft w:val="0"/>
      <w:marRight w:val="0"/>
      <w:marTop w:val="0"/>
      <w:marBottom w:val="0"/>
      <w:divBdr>
        <w:top w:val="none" w:sz="0" w:space="0" w:color="auto"/>
        <w:left w:val="none" w:sz="0" w:space="0" w:color="auto"/>
        <w:bottom w:val="none" w:sz="0" w:space="0" w:color="auto"/>
        <w:right w:val="none" w:sz="0" w:space="0" w:color="auto"/>
      </w:divBdr>
    </w:div>
    <w:div w:id="1825850096">
      <w:bodyDiv w:val="1"/>
      <w:marLeft w:val="0"/>
      <w:marRight w:val="0"/>
      <w:marTop w:val="0"/>
      <w:marBottom w:val="0"/>
      <w:divBdr>
        <w:top w:val="none" w:sz="0" w:space="0" w:color="auto"/>
        <w:left w:val="none" w:sz="0" w:space="0" w:color="auto"/>
        <w:bottom w:val="none" w:sz="0" w:space="0" w:color="auto"/>
        <w:right w:val="none" w:sz="0" w:space="0" w:color="auto"/>
      </w:divBdr>
    </w:div>
    <w:div w:id="1827240729">
      <w:bodyDiv w:val="1"/>
      <w:marLeft w:val="0"/>
      <w:marRight w:val="0"/>
      <w:marTop w:val="0"/>
      <w:marBottom w:val="0"/>
      <w:divBdr>
        <w:top w:val="none" w:sz="0" w:space="0" w:color="auto"/>
        <w:left w:val="none" w:sz="0" w:space="0" w:color="auto"/>
        <w:bottom w:val="none" w:sz="0" w:space="0" w:color="auto"/>
        <w:right w:val="none" w:sz="0" w:space="0" w:color="auto"/>
      </w:divBdr>
    </w:div>
    <w:div w:id="1827430200">
      <w:bodyDiv w:val="1"/>
      <w:marLeft w:val="0"/>
      <w:marRight w:val="0"/>
      <w:marTop w:val="0"/>
      <w:marBottom w:val="0"/>
      <w:divBdr>
        <w:top w:val="none" w:sz="0" w:space="0" w:color="auto"/>
        <w:left w:val="none" w:sz="0" w:space="0" w:color="auto"/>
        <w:bottom w:val="none" w:sz="0" w:space="0" w:color="auto"/>
        <w:right w:val="none" w:sz="0" w:space="0" w:color="auto"/>
      </w:divBdr>
    </w:div>
    <w:div w:id="1828595816">
      <w:bodyDiv w:val="1"/>
      <w:marLeft w:val="0"/>
      <w:marRight w:val="0"/>
      <w:marTop w:val="0"/>
      <w:marBottom w:val="0"/>
      <w:divBdr>
        <w:top w:val="none" w:sz="0" w:space="0" w:color="auto"/>
        <w:left w:val="none" w:sz="0" w:space="0" w:color="auto"/>
        <w:bottom w:val="none" w:sz="0" w:space="0" w:color="auto"/>
        <w:right w:val="none" w:sz="0" w:space="0" w:color="auto"/>
      </w:divBdr>
    </w:div>
    <w:div w:id="1829394725">
      <w:bodyDiv w:val="1"/>
      <w:marLeft w:val="0"/>
      <w:marRight w:val="0"/>
      <w:marTop w:val="0"/>
      <w:marBottom w:val="0"/>
      <w:divBdr>
        <w:top w:val="none" w:sz="0" w:space="0" w:color="auto"/>
        <w:left w:val="none" w:sz="0" w:space="0" w:color="auto"/>
        <w:bottom w:val="none" w:sz="0" w:space="0" w:color="auto"/>
        <w:right w:val="none" w:sz="0" w:space="0" w:color="auto"/>
      </w:divBdr>
    </w:div>
    <w:div w:id="1830752656">
      <w:bodyDiv w:val="1"/>
      <w:marLeft w:val="0"/>
      <w:marRight w:val="0"/>
      <w:marTop w:val="0"/>
      <w:marBottom w:val="0"/>
      <w:divBdr>
        <w:top w:val="none" w:sz="0" w:space="0" w:color="auto"/>
        <w:left w:val="none" w:sz="0" w:space="0" w:color="auto"/>
        <w:bottom w:val="none" w:sz="0" w:space="0" w:color="auto"/>
        <w:right w:val="none" w:sz="0" w:space="0" w:color="auto"/>
      </w:divBdr>
    </w:div>
    <w:div w:id="1834252673">
      <w:bodyDiv w:val="1"/>
      <w:marLeft w:val="0"/>
      <w:marRight w:val="0"/>
      <w:marTop w:val="0"/>
      <w:marBottom w:val="0"/>
      <w:divBdr>
        <w:top w:val="none" w:sz="0" w:space="0" w:color="auto"/>
        <w:left w:val="none" w:sz="0" w:space="0" w:color="auto"/>
        <w:bottom w:val="none" w:sz="0" w:space="0" w:color="auto"/>
        <w:right w:val="none" w:sz="0" w:space="0" w:color="auto"/>
      </w:divBdr>
    </w:div>
    <w:div w:id="1837576919">
      <w:bodyDiv w:val="1"/>
      <w:marLeft w:val="0"/>
      <w:marRight w:val="0"/>
      <w:marTop w:val="0"/>
      <w:marBottom w:val="0"/>
      <w:divBdr>
        <w:top w:val="none" w:sz="0" w:space="0" w:color="auto"/>
        <w:left w:val="none" w:sz="0" w:space="0" w:color="auto"/>
        <w:bottom w:val="none" w:sz="0" w:space="0" w:color="auto"/>
        <w:right w:val="none" w:sz="0" w:space="0" w:color="auto"/>
      </w:divBdr>
    </w:div>
    <w:div w:id="1838575173">
      <w:bodyDiv w:val="1"/>
      <w:marLeft w:val="0"/>
      <w:marRight w:val="0"/>
      <w:marTop w:val="0"/>
      <w:marBottom w:val="0"/>
      <w:divBdr>
        <w:top w:val="none" w:sz="0" w:space="0" w:color="auto"/>
        <w:left w:val="none" w:sz="0" w:space="0" w:color="auto"/>
        <w:bottom w:val="none" w:sz="0" w:space="0" w:color="auto"/>
        <w:right w:val="none" w:sz="0" w:space="0" w:color="auto"/>
      </w:divBdr>
    </w:div>
    <w:div w:id="1838692265">
      <w:bodyDiv w:val="1"/>
      <w:marLeft w:val="0"/>
      <w:marRight w:val="0"/>
      <w:marTop w:val="0"/>
      <w:marBottom w:val="0"/>
      <w:divBdr>
        <w:top w:val="none" w:sz="0" w:space="0" w:color="auto"/>
        <w:left w:val="none" w:sz="0" w:space="0" w:color="auto"/>
        <w:bottom w:val="none" w:sz="0" w:space="0" w:color="auto"/>
        <w:right w:val="none" w:sz="0" w:space="0" w:color="auto"/>
      </w:divBdr>
    </w:div>
    <w:div w:id="1838958092">
      <w:bodyDiv w:val="1"/>
      <w:marLeft w:val="0"/>
      <w:marRight w:val="0"/>
      <w:marTop w:val="0"/>
      <w:marBottom w:val="0"/>
      <w:divBdr>
        <w:top w:val="none" w:sz="0" w:space="0" w:color="auto"/>
        <w:left w:val="none" w:sz="0" w:space="0" w:color="auto"/>
        <w:bottom w:val="none" w:sz="0" w:space="0" w:color="auto"/>
        <w:right w:val="none" w:sz="0" w:space="0" w:color="auto"/>
      </w:divBdr>
    </w:div>
    <w:div w:id="1842118617">
      <w:bodyDiv w:val="1"/>
      <w:marLeft w:val="0"/>
      <w:marRight w:val="0"/>
      <w:marTop w:val="0"/>
      <w:marBottom w:val="0"/>
      <w:divBdr>
        <w:top w:val="none" w:sz="0" w:space="0" w:color="auto"/>
        <w:left w:val="none" w:sz="0" w:space="0" w:color="auto"/>
        <w:bottom w:val="none" w:sz="0" w:space="0" w:color="auto"/>
        <w:right w:val="none" w:sz="0" w:space="0" w:color="auto"/>
      </w:divBdr>
    </w:div>
    <w:div w:id="1845128728">
      <w:bodyDiv w:val="1"/>
      <w:marLeft w:val="0"/>
      <w:marRight w:val="0"/>
      <w:marTop w:val="0"/>
      <w:marBottom w:val="0"/>
      <w:divBdr>
        <w:top w:val="none" w:sz="0" w:space="0" w:color="auto"/>
        <w:left w:val="none" w:sz="0" w:space="0" w:color="auto"/>
        <w:bottom w:val="none" w:sz="0" w:space="0" w:color="auto"/>
        <w:right w:val="none" w:sz="0" w:space="0" w:color="auto"/>
      </w:divBdr>
    </w:div>
    <w:div w:id="1845509067">
      <w:bodyDiv w:val="1"/>
      <w:marLeft w:val="0"/>
      <w:marRight w:val="0"/>
      <w:marTop w:val="0"/>
      <w:marBottom w:val="0"/>
      <w:divBdr>
        <w:top w:val="none" w:sz="0" w:space="0" w:color="auto"/>
        <w:left w:val="none" w:sz="0" w:space="0" w:color="auto"/>
        <w:bottom w:val="none" w:sz="0" w:space="0" w:color="auto"/>
        <w:right w:val="none" w:sz="0" w:space="0" w:color="auto"/>
      </w:divBdr>
    </w:div>
    <w:div w:id="1846364774">
      <w:bodyDiv w:val="1"/>
      <w:marLeft w:val="0"/>
      <w:marRight w:val="0"/>
      <w:marTop w:val="0"/>
      <w:marBottom w:val="0"/>
      <w:divBdr>
        <w:top w:val="none" w:sz="0" w:space="0" w:color="auto"/>
        <w:left w:val="none" w:sz="0" w:space="0" w:color="auto"/>
        <w:bottom w:val="none" w:sz="0" w:space="0" w:color="auto"/>
        <w:right w:val="none" w:sz="0" w:space="0" w:color="auto"/>
      </w:divBdr>
    </w:div>
    <w:div w:id="1853377451">
      <w:bodyDiv w:val="1"/>
      <w:marLeft w:val="0"/>
      <w:marRight w:val="0"/>
      <w:marTop w:val="0"/>
      <w:marBottom w:val="0"/>
      <w:divBdr>
        <w:top w:val="none" w:sz="0" w:space="0" w:color="auto"/>
        <w:left w:val="none" w:sz="0" w:space="0" w:color="auto"/>
        <w:bottom w:val="none" w:sz="0" w:space="0" w:color="auto"/>
        <w:right w:val="none" w:sz="0" w:space="0" w:color="auto"/>
      </w:divBdr>
    </w:div>
    <w:div w:id="1854831784">
      <w:bodyDiv w:val="1"/>
      <w:marLeft w:val="0"/>
      <w:marRight w:val="0"/>
      <w:marTop w:val="0"/>
      <w:marBottom w:val="0"/>
      <w:divBdr>
        <w:top w:val="none" w:sz="0" w:space="0" w:color="auto"/>
        <w:left w:val="none" w:sz="0" w:space="0" w:color="auto"/>
        <w:bottom w:val="none" w:sz="0" w:space="0" w:color="auto"/>
        <w:right w:val="none" w:sz="0" w:space="0" w:color="auto"/>
      </w:divBdr>
    </w:div>
    <w:div w:id="1854954853">
      <w:bodyDiv w:val="1"/>
      <w:marLeft w:val="0"/>
      <w:marRight w:val="0"/>
      <w:marTop w:val="0"/>
      <w:marBottom w:val="0"/>
      <w:divBdr>
        <w:top w:val="none" w:sz="0" w:space="0" w:color="auto"/>
        <w:left w:val="none" w:sz="0" w:space="0" w:color="auto"/>
        <w:bottom w:val="none" w:sz="0" w:space="0" w:color="auto"/>
        <w:right w:val="none" w:sz="0" w:space="0" w:color="auto"/>
      </w:divBdr>
    </w:div>
    <w:div w:id="1859806188">
      <w:bodyDiv w:val="1"/>
      <w:marLeft w:val="0"/>
      <w:marRight w:val="0"/>
      <w:marTop w:val="0"/>
      <w:marBottom w:val="0"/>
      <w:divBdr>
        <w:top w:val="none" w:sz="0" w:space="0" w:color="auto"/>
        <w:left w:val="none" w:sz="0" w:space="0" w:color="auto"/>
        <w:bottom w:val="none" w:sz="0" w:space="0" w:color="auto"/>
        <w:right w:val="none" w:sz="0" w:space="0" w:color="auto"/>
      </w:divBdr>
    </w:div>
    <w:div w:id="1866164301">
      <w:bodyDiv w:val="1"/>
      <w:marLeft w:val="0"/>
      <w:marRight w:val="0"/>
      <w:marTop w:val="0"/>
      <w:marBottom w:val="0"/>
      <w:divBdr>
        <w:top w:val="none" w:sz="0" w:space="0" w:color="auto"/>
        <w:left w:val="none" w:sz="0" w:space="0" w:color="auto"/>
        <w:bottom w:val="none" w:sz="0" w:space="0" w:color="auto"/>
        <w:right w:val="none" w:sz="0" w:space="0" w:color="auto"/>
      </w:divBdr>
    </w:div>
    <w:div w:id="1870676385">
      <w:bodyDiv w:val="1"/>
      <w:marLeft w:val="0"/>
      <w:marRight w:val="0"/>
      <w:marTop w:val="0"/>
      <w:marBottom w:val="0"/>
      <w:divBdr>
        <w:top w:val="none" w:sz="0" w:space="0" w:color="auto"/>
        <w:left w:val="none" w:sz="0" w:space="0" w:color="auto"/>
        <w:bottom w:val="none" w:sz="0" w:space="0" w:color="auto"/>
        <w:right w:val="none" w:sz="0" w:space="0" w:color="auto"/>
      </w:divBdr>
    </w:div>
    <w:div w:id="1872179722">
      <w:bodyDiv w:val="1"/>
      <w:marLeft w:val="0"/>
      <w:marRight w:val="0"/>
      <w:marTop w:val="0"/>
      <w:marBottom w:val="0"/>
      <w:divBdr>
        <w:top w:val="none" w:sz="0" w:space="0" w:color="auto"/>
        <w:left w:val="none" w:sz="0" w:space="0" w:color="auto"/>
        <w:bottom w:val="none" w:sz="0" w:space="0" w:color="auto"/>
        <w:right w:val="none" w:sz="0" w:space="0" w:color="auto"/>
      </w:divBdr>
    </w:div>
    <w:div w:id="1873568358">
      <w:bodyDiv w:val="1"/>
      <w:marLeft w:val="0"/>
      <w:marRight w:val="0"/>
      <w:marTop w:val="0"/>
      <w:marBottom w:val="0"/>
      <w:divBdr>
        <w:top w:val="none" w:sz="0" w:space="0" w:color="auto"/>
        <w:left w:val="none" w:sz="0" w:space="0" w:color="auto"/>
        <w:bottom w:val="none" w:sz="0" w:space="0" w:color="auto"/>
        <w:right w:val="none" w:sz="0" w:space="0" w:color="auto"/>
      </w:divBdr>
    </w:div>
    <w:div w:id="1880046109">
      <w:bodyDiv w:val="1"/>
      <w:marLeft w:val="0"/>
      <w:marRight w:val="0"/>
      <w:marTop w:val="0"/>
      <w:marBottom w:val="0"/>
      <w:divBdr>
        <w:top w:val="none" w:sz="0" w:space="0" w:color="auto"/>
        <w:left w:val="none" w:sz="0" w:space="0" w:color="auto"/>
        <w:bottom w:val="none" w:sz="0" w:space="0" w:color="auto"/>
        <w:right w:val="none" w:sz="0" w:space="0" w:color="auto"/>
      </w:divBdr>
    </w:div>
    <w:div w:id="1882403328">
      <w:bodyDiv w:val="1"/>
      <w:marLeft w:val="0"/>
      <w:marRight w:val="0"/>
      <w:marTop w:val="0"/>
      <w:marBottom w:val="0"/>
      <w:divBdr>
        <w:top w:val="none" w:sz="0" w:space="0" w:color="auto"/>
        <w:left w:val="none" w:sz="0" w:space="0" w:color="auto"/>
        <w:bottom w:val="none" w:sz="0" w:space="0" w:color="auto"/>
        <w:right w:val="none" w:sz="0" w:space="0" w:color="auto"/>
      </w:divBdr>
    </w:div>
    <w:div w:id="1883177722">
      <w:bodyDiv w:val="1"/>
      <w:marLeft w:val="0"/>
      <w:marRight w:val="0"/>
      <w:marTop w:val="0"/>
      <w:marBottom w:val="0"/>
      <w:divBdr>
        <w:top w:val="none" w:sz="0" w:space="0" w:color="auto"/>
        <w:left w:val="none" w:sz="0" w:space="0" w:color="auto"/>
        <w:bottom w:val="none" w:sz="0" w:space="0" w:color="auto"/>
        <w:right w:val="none" w:sz="0" w:space="0" w:color="auto"/>
      </w:divBdr>
    </w:div>
    <w:div w:id="1883974581">
      <w:bodyDiv w:val="1"/>
      <w:marLeft w:val="0"/>
      <w:marRight w:val="0"/>
      <w:marTop w:val="0"/>
      <w:marBottom w:val="0"/>
      <w:divBdr>
        <w:top w:val="none" w:sz="0" w:space="0" w:color="auto"/>
        <w:left w:val="none" w:sz="0" w:space="0" w:color="auto"/>
        <w:bottom w:val="none" w:sz="0" w:space="0" w:color="auto"/>
        <w:right w:val="none" w:sz="0" w:space="0" w:color="auto"/>
      </w:divBdr>
    </w:div>
    <w:div w:id="1885478893">
      <w:bodyDiv w:val="1"/>
      <w:marLeft w:val="0"/>
      <w:marRight w:val="0"/>
      <w:marTop w:val="0"/>
      <w:marBottom w:val="0"/>
      <w:divBdr>
        <w:top w:val="none" w:sz="0" w:space="0" w:color="auto"/>
        <w:left w:val="none" w:sz="0" w:space="0" w:color="auto"/>
        <w:bottom w:val="none" w:sz="0" w:space="0" w:color="auto"/>
        <w:right w:val="none" w:sz="0" w:space="0" w:color="auto"/>
      </w:divBdr>
    </w:div>
    <w:div w:id="1887257837">
      <w:bodyDiv w:val="1"/>
      <w:marLeft w:val="0"/>
      <w:marRight w:val="0"/>
      <w:marTop w:val="0"/>
      <w:marBottom w:val="0"/>
      <w:divBdr>
        <w:top w:val="none" w:sz="0" w:space="0" w:color="auto"/>
        <w:left w:val="none" w:sz="0" w:space="0" w:color="auto"/>
        <w:bottom w:val="none" w:sz="0" w:space="0" w:color="auto"/>
        <w:right w:val="none" w:sz="0" w:space="0" w:color="auto"/>
      </w:divBdr>
    </w:div>
    <w:div w:id="1887910436">
      <w:bodyDiv w:val="1"/>
      <w:marLeft w:val="0"/>
      <w:marRight w:val="0"/>
      <w:marTop w:val="0"/>
      <w:marBottom w:val="0"/>
      <w:divBdr>
        <w:top w:val="none" w:sz="0" w:space="0" w:color="auto"/>
        <w:left w:val="none" w:sz="0" w:space="0" w:color="auto"/>
        <w:bottom w:val="none" w:sz="0" w:space="0" w:color="auto"/>
        <w:right w:val="none" w:sz="0" w:space="0" w:color="auto"/>
      </w:divBdr>
    </w:div>
    <w:div w:id="1890607177">
      <w:bodyDiv w:val="1"/>
      <w:marLeft w:val="0"/>
      <w:marRight w:val="0"/>
      <w:marTop w:val="0"/>
      <w:marBottom w:val="0"/>
      <w:divBdr>
        <w:top w:val="none" w:sz="0" w:space="0" w:color="auto"/>
        <w:left w:val="none" w:sz="0" w:space="0" w:color="auto"/>
        <w:bottom w:val="none" w:sz="0" w:space="0" w:color="auto"/>
        <w:right w:val="none" w:sz="0" w:space="0" w:color="auto"/>
      </w:divBdr>
    </w:div>
    <w:div w:id="1895194114">
      <w:bodyDiv w:val="1"/>
      <w:marLeft w:val="0"/>
      <w:marRight w:val="0"/>
      <w:marTop w:val="0"/>
      <w:marBottom w:val="0"/>
      <w:divBdr>
        <w:top w:val="none" w:sz="0" w:space="0" w:color="auto"/>
        <w:left w:val="none" w:sz="0" w:space="0" w:color="auto"/>
        <w:bottom w:val="none" w:sz="0" w:space="0" w:color="auto"/>
        <w:right w:val="none" w:sz="0" w:space="0" w:color="auto"/>
      </w:divBdr>
    </w:div>
    <w:div w:id="1898122007">
      <w:bodyDiv w:val="1"/>
      <w:marLeft w:val="0"/>
      <w:marRight w:val="0"/>
      <w:marTop w:val="0"/>
      <w:marBottom w:val="0"/>
      <w:divBdr>
        <w:top w:val="none" w:sz="0" w:space="0" w:color="auto"/>
        <w:left w:val="none" w:sz="0" w:space="0" w:color="auto"/>
        <w:bottom w:val="none" w:sz="0" w:space="0" w:color="auto"/>
        <w:right w:val="none" w:sz="0" w:space="0" w:color="auto"/>
      </w:divBdr>
    </w:div>
    <w:div w:id="1898663947">
      <w:bodyDiv w:val="1"/>
      <w:marLeft w:val="0"/>
      <w:marRight w:val="0"/>
      <w:marTop w:val="0"/>
      <w:marBottom w:val="0"/>
      <w:divBdr>
        <w:top w:val="none" w:sz="0" w:space="0" w:color="auto"/>
        <w:left w:val="none" w:sz="0" w:space="0" w:color="auto"/>
        <w:bottom w:val="none" w:sz="0" w:space="0" w:color="auto"/>
        <w:right w:val="none" w:sz="0" w:space="0" w:color="auto"/>
      </w:divBdr>
    </w:div>
    <w:div w:id="1898973346">
      <w:bodyDiv w:val="1"/>
      <w:marLeft w:val="0"/>
      <w:marRight w:val="0"/>
      <w:marTop w:val="0"/>
      <w:marBottom w:val="0"/>
      <w:divBdr>
        <w:top w:val="none" w:sz="0" w:space="0" w:color="auto"/>
        <w:left w:val="none" w:sz="0" w:space="0" w:color="auto"/>
        <w:bottom w:val="none" w:sz="0" w:space="0" w:color="auto"/>
        <w:right w:val="none" w:sz="0" w:space="0" w:color="auto"/>
      </w:divBdr>
    </w:div>
    <w:div w:id="1899971338">
      <w:bodyDiv w:val="1"/>
      <w:marLeft w:val="0"/>
      <w:marRight w:val="0"/>
      <w:marTop w:val="0"/>
      <w:marBottom w:val="0"/>
      <w:divBdr>
        <w:top w:val="none" w:sz="0" w:space="0" w:color="auto"/>
        <w:left w:val="none" w:sz="0" w:space="0" w:color="auto"/>
        <w:bottom w:val="none" w:sz="0" w:space="0" w:color="auto"/>
        <w:right w:val="none" w:sz="0" w:space="0" w:color="auto"/>
      </w:divBdr>
    </w:div>
    <w:div w:id="1901597053">
      <w:bodyDiv w:val="1"/>
      <w:marLeft w:val="0"/>
      <w:marRight w:val="0"/>
      <w:marTop w:val="0"/>
      <w:marBottom w:val="0"/>
      <w:divBdr>
        <w:top w:val="none" w:sz="0" w:space="0" w:color="auto"/>
        <w:left w:val="none" w:sz="0" w:space="0" w:color="auto"/>
        <w:bottom w:val="none" w:sz="0" w:space="0" w:color="auto"/>
        <w:right w:val="none" w:sz="0" w:space="0" w:color="auto"/>
      </w:divBdr>
    </w:div>
    <w:div w:id="1902402527">
      <w:bodyDiv w:val="1"/>
      <w:marLeft w:val="0"/>
      <w:marRight w:val="0"/>
      <w:marTop w:val="0"/>
      <w:marBottom w:val="0"/>
      <w:divBdr>
        <w:top w:val="none" w:sz="0" w:space="0" w:color="auto"/>
        <w:left w:val="none" w:sz="0" w:space="0" w:color="auto"/>
        <w:bottom w:val="none" w:sz="0" w:space="0" w:color="auto"/>
        <w:right w:val="none" w:sz="0" w:space="0" w:color="auto"/>
      </w:divBdr>
    </w:div>
    <w:div w:id="1906068354">
      <w:bodyDiv w:val="1"/>
      <w:marLeft w:val="0"/>
      <w:marRight w:val="0"/>
      <w:marTop w:val="0"/>
      <w:marBottom w:val="0"/>
      <w:divBdr>
        <w:top w:val="none" w:sz="0" w:space="0" w:color="auto"/>
        <w:left w:val="none" w:sz="0" w:space="0" w:color="auto"/>
        <w:bottom w:val="none" w:sz="0" w:space="0" w:color="auto"/>
        <w:right w:val="none" w:sz="0" w:space="0" w:color="auto"/>
      </w:divBdr>
    </w:div>
    <w:div w:id="1906181431">
      <w:bodyDiv w:val="1"/>
      <w:marLeft w:val="0"/>
      <w:marRight w:val="0"/>
      <w:marTop w:val="0"/>
      <w:marBottom w:val="0"/>
      <w:divBdr>
        <w:top w:val="none" w:sz="0" w:space="0" w:color="auto"/>
        <w:left w:val="none" w:sz="0" w:space="0" w:color="auto"/>
        <w:bottom w:val="none" w:sz="0" w:space="0" w:color="auto"/>
        <w:right w:val="none" w:sz="0" w:space="0" w:color="auto"/>
      </w:divBdr>
    </w:div>
    <w:div w:id="1907449491">
      <w:bodyDiv w:val="1"/>
      <w:marLeft w:val="0"/>
      <w:marRight w:val="0"/>
      <w:marTop w:val="0"/>
      <w:marBottom w:val="0"/>
      <w:divBdr>
        <w:top w:val="none" w:sz="0" w:space="0" w:color="auto"/>
        <w:left w:val="none" w:sz="0" w:space="0" w:color="auto"/>
        <w:bottom w:val="none" w:sz="0" w:space="0" w:color="auto"/>
        <w:right w:val="none" w:sz="0" w:space="0" w:color="auto"/>
      </w:divBdr>
    </w:div>
    <w:div w:id="1914119650">
      <w:bodyDiv w:val="1"/>
      <w:marLeft w:val="0"/>
      <w:marRight w:val="0"/>
      <w:marTop w:val="0"/>
      <w:marBottom w:val="0"/>
      <w:divBdr>
        <w:top w:val="none" w:sz="0" w:space="0" w:color="auto"/>
        <w:left w:val="none" w:sz="0" w:space="0" w:color="auto"/>
        <w:bottom w:val="none" w:sz="0" w:space="0" w:color="auto"/>
        <w:right w:val="none" w:sz="0" w:space="0" w:color="auto"/>
      </w:divBdr>
    </w:div>
    <w:div w:id="1919166826">
      <w:bodyDiv w:val="1"/>
      <w:marLeft w:val="0"/>
      <w:marRight w:val="0"/>
      <w:marTop w:val="0"/>
      <w:marBottom w:val="0"/>
      <w:divBdr>
        <w:top w:val="none" w:sz="0" w:space="0" w:color="auto"/>
        <w:left w:val="none" w:sz="0" w:space="0" w:color="auto"/>
        <w:bottom w:val="none" w:sz="0" w:space="0" w:color="auto"/>
        <w:right w:val="none" w:sz="0" w:space="0" w:color="auto"/>
      </w:divBdr>
    </w:div>
    <w:div w:id="1920672901">
      <w:bodyDiv w:val="1"/>
      <w:marLeft w:val="0"/>
      <w:marRight w:val="0"/>
      <w:marTop w:val="0"/>
      <w:marBottom w:val="0"/>
      <w:divBdr>
        <w:top w:val="none" w:sz="0" w:space="0" w:color="auto"/>
        <w:left w:val="none" w:sz="0" w:space="0" w:color="auto"/>
        <w:bottom w:val="none" w:sz="0" w:space="0" w:color="auto"/>
        <w:right w:val="none" w:sz="0" w:space="0" w:color="auto"/>
      </w:divBdr>
    </w:div>
    <w:div w:id="1921333740">
      <w:bodyDiv w:val="1"/>
      <w:marLeft w:val="0"/>
      <w:marRight w:val="0"/>
      <w:marTop w:val="0"/>
      <w:marBottom w:val="0"/>
      <w:divBdr>
        <w:top w:val="none" w:sz="0" w:space="0" w:color="auto"/>
        <w:left w:val="none" w:sz="0" w:space="0" w:color="auto"/>
        <w:bottom w:val="none" w:sz="0" w:space="0" w:color="auto"/>
        <w:right w:val="none" w:sz="0" w:space="0" w:color="auto"/>
      </w:divBdr>
    </w:div>
    <w:div w:id="1923100395">
      <w:bodyDiv w:val="1"/>
      <w:marLeft w:val="0"/>
      <w:marRight w:val="0"/>
      <w:marTop w:val="0"/>
      <w:marBottom w:val="0"/>
      <w:divBdr>
        <w:top w:val="none" w:sz="0" w:space="0" w:color="auto"/>
        <w:left w:val="none" w:sz="0" w:space="0" w:color="auto"/>
        <w:bottom w:val="none" w:sz="0" w:space="0" w:color="auto"/>
        <w:right w:val="none" w:sz="0" w:space="0" w:color="auto"/>
      </w:divBdr>
    </w:div>
    <w:div w:id="1924947652">
      <w:bodyDiv w:val="1"/>
      <w:marLeft w:val="0"/>
      <w:marRight w:val="0"/>
      <w:marTop w:val="0"/>
      <w:marBottom w:val="0"/>
      <w:divBdr>
        <w:top w:val="none" w:sz="0" w:space="0" w:color="auto"/>
        <w:left w:val="none" w:sz="0" w:space="0" w:color="auto"/>
        <w:bottom w:val="none" w:sz="0" w:space="0" w:color="auto"/>
        <w:right w:val="none" w:sz="0" w:space="0" w:color="auto"/>
      </w:divBdr>
    </w:div>
    <w:div w:id="1928807701">
      <w:bodyDiv w:val="1"/>
      <w:marLeft w:val="0"/>
      <w:marRight w:val="0"/>
      <w:marTop w:val="0"/>
      <w:marBottom w:val="0"/>
      <w:divBdr>
        <w:top w:val="none" w:sz="0" w:space="0" w:color="auto"/>
        <w:left w:val="none" w:sz="0" w:space="0" w:color="auto"/>
        <w:bottom w:val="none" w:sz="0" w:space="0" w:color="auto"/>
        <w:right w:val="none" w:sz="0" w:space="0" w:color="auto"/>
      </w:divBdr>
    </w:div>
    <w:div w:id="1930506088">
      <w:bodyDiv w:val="1"/>
      <w:marLeft w:val="0"/>
      <w:marRight w:val="0"/>
      <w:marTop w:val="0"/>
      <w:marBottom w:val="0"/>
      <w:divBdr>
        <w:top w:val="none" w:sz="0" w:space="0" w:color="auto"/>
        <w:left w:val="none" w:sz="0" w:space="0" w:color="auto"/>
        <w:bottom w:val="none" w:sz="0" w:space="0" w:color="auto"/>
        <w:right w:val="none" w:sz="0" w:space="0" w:color="auto"/>
      </w:divBdr>
    </w:div>
    <w:div w:id="1930960647">
      <w:bodyDiv w:val="1"/>
      <w:marLeft w:val="0"/>
      <w:marRight w:val="0"/>
      <w:marTop w:val="0"/>
      <w:marBottom w:val="0"/>
      <w:divBdr>
        <w:top w:val="none" w:sz="0" w:space="0" w:color="auto"/>
        <w:left w:val="none" w:sz="0" w:space="0" w:color="auto"/>
        <w:bottom w:val="none" w:sz="0" w:space="0" w:color="auto"/>
        <w:right w:val="none" w:sz="0" w:space="0" w:color="auto"/>
      </w:divBdr>
    </w:div>
    <w:div w:id="1936284465">
      <w:bodyDiv w:val="1"/>
      <w:marLeft w:val="0"/>
      <w:marRight w:val="0"/>
      <w:marTop w:val="0"/>
      <w:marBottom w:val="0"/>
      <w:divBdr>
        <w:top w:val="none" w:sz="0" w:space="0" w:color="auto"/>
        <w:left w:val="none" w:sz="0" w:space="0" w:color="auto"/>
        <w:bottom w:val="none" w:sz="0" w:space="0" w:color="auto"/>
        <w:right w:val="none" w:sz="0" w:space="0" w:color="auto"/>
      </w:divBdr>
    </w:div>
    <w:div w:id="1936479755">
      <w:bodyDiv w:val="1"/>
      <w:marLeft w:val="0"/>
      <w:marRight w:val="0"/>
      <w:marTop w:val="0"/>
      <w:marBottom w:val="0"/>
      <w:divBdr>
        <w:top w:val="none" w:sz="0" w:space="0" w:color="auto"/>
        <w:left w:val="none" w:sz="0" w:space="0" w:color="auto"/>
        <w:bottom w:val="none" w:sz="0" w:space="0" w:color="auto"/>
        <w:right w:val="none" w:sz="0" w:space="0" w:color="auto"/>
      </w:divBdr>
    </w:div>
    <w:div w:id="1939748411">
      <w:bodyDiv w:val="1"/>
      <w:marLeft w:val="0"/>
      <w:marRight w:val="0"/>
      <w:marTop w:val="0"/>
      <w:marBottom w:val="0"/>
      <w:divBdr>
        <w:top w:val="none" w:sz="0" w:space="0" w:color="auto"/>
        <w:left w:val="none" w:sz="0" w:space="0" w:color="auto"/>
        <w:bottom w:val="none" w:sz="0" w:space="0" w:color="auto"/>
        <w:right w:val="none" w:sz="0" w:space="0" w:color="auto"/>
      </w:divBdr>
    </w:div>
    <w:div w:id="1942643161">
      <w:bodyDiv w:val="1"/>
      <w:marLeft w:val="0"/>
      <w:marRight w:val="0"/>
      <w:marTop w:val="0"/>
      <w:marBottom w:val="0"/>
      <w:divBdr>
        <w:top w:val="none" w:sz="0" w:space="0" w:color="auto"/>
        <w:left w:val="none" w:sz="0" w:space="0" w:color="auto"/>
        <w:bottom w:val="none" w:sz="0" w:space="0" w:color="auto"/>
        <w:right w:val="none" w:sz="0" w:space="0" w:color="auto"/>
      </w:divBdr>
    </w:div>
    <w:div w:id="1943144047">
      <w:bodyDiv w:val="1"/>
      <w:marLeft w:val="0"/>
      <w:marRight w:val="0"/>
      <w:marTop w:val="0"/>
      <w:marBottom w:val="0"/>
      <w:divBdr>
        <w:top w:val="none" w:sz="0" w:space="0" w:color="auto"/>
        <w:left w:val="none" w:sz="0" w:space="0" w:color="auto"/>
        <w:bottom w:val="none" w:sz="0" w:space="0" w:color="auto"/>
        <w:right w:val="none" w:sz="0" w:space="0" w:color="auto"/>
      </w:divBdr>
    </w:div>
    <w:div w:id="1948081150">
      <w:bodyDiv w:val="1"/>
      <w:marLeft w:val="0"/>
      <w:marRight w:val="0"/>
      <w:marTop w:val="0"/>
      <w:marBottom w:val="0"/>
      <w:divBdr>
        <w:top w:val="none" w:sz="0" w:space="0" w:color="auto"/>
        <w:left w:val="none" w:sz="0" w:space="0" w:color="auto"/>
        <w:bottom w:val="none" w:sz="0" w:space="0" w:color="auto"/>
        <w:right w:val="none" w:sz="0" w:space="0" w:color="auto"/>
      </w:divBdr>
    </w:div>
    <w:div w:id="1950164662">
      <w:bodyDiv w:val="1"/>
      <w:marLeft w:val="0"/>
      <w:marRight w:val="0"/>
      <w:marTop w:val="0"/>
      <w:marBottom w:val="0"/>
      <w:divBdr>
        <w:top w:val="none" w:sz="0" w:space="0" w:color="auto"/>
        <w:left w:val="none" w:sz="0" w:space="0" w:color="auto"/>
        <w:bottom w:val="none" w:sz="0" w:space="0" w:color="auto"/>
        <w:right w:val="none" w:sz="0" w:space="0" w:color="auto"/>
      </w:divBdr>
    </w:div>
    <w:div w:id="1951815408">
      <w:bodyDiv w:val="1"/>
      <w:marLeft w:val="0"/>
      <w:marRight w:val="0"/>
      <w:marTop w:val="0"/>
      <w:marBottom w:val="0"/>
      <w:divBdr>
        <w:top w:val="none" w:sz="0" w:space="0" w:color="auto"/>
        <w:left w:val="none" w:sz="0" w:space="0" w:color="auto"/>
        <w:bottom w:val="none" w:sz="0" w:space="0" w:color="auto"/>
        <w:right w:val="none" w:sz="0" w:space="0" w:color="auto"/>
      </w:divBdr>
    </w:div>
    <w:div w:id="1951862975">
      <w:bodyDiv w:val="1"/>
      <w:marLeft w:val="0"/>
      <w:marRight w:val="0"/>
      <w:marTop w:val="0"/>
      <w:marBottom w:val="0"/>
      <w:divBdr>
        <w:top w:val="none" w:sz="0" w:space="0" w:color="auto"/>
        <w:left w:val="none" w:sz="0" w:space="0" w:color="auto"/>
        <w:bottom w:val="none" w:sz="0" w:space="0" w:color="auto"/>
        <w:right w:val="none" w:sz="0" w:space="0" w:color="auto"/>
      </w:divBdr>
    </w:div>
    <w:div w:id="1953588646">
      <w:bodyDiv w:val="1"/>
      <w:marLeft w:val="0"/>
      <w:marRight w:val="0"/>
      <w:marTop w:val="0"/>
      <w:marBottom w:val="0"/>
      <w:divBdr>
        <w:top w:val="none" w:sz="0" w:space="0" w:color="auto"/>
        <w:left w:val="none" w:sz="0" w:space="0" w:color="auto"/>
        <w:bottom w:val="none" w:sz="0" w:space="0" w:color="auto"/>
        <w:right w:val="none" w:sz="0" w:space="0" w:color="auto"/>
      </w:divBdr>
    </w:div>
    <w:div w:id="1956981007">
      <w:bodyDiv w:val="1"/>
      <w:marLeft w:val="0"/>
      <w:marRight w:val="0"/>
      <w:marTop w:val="0"/>
      <w:marBottom w:val="0"/>
      <w:divBdr>
        <w:top w:val="none" w:sz="0" w:space="0" w:color="auto"/>
        <w:left w:val="none" w:sz="0" w:space="0" w:color="auto"/>
        <w:bottom w:val="none" w:sz="0" w:space="0" w:color="auto"/>
        <w:right w:val="none" w:sz="0" w:space="0" w:color="auto"/>
      </w:divBdr>
    </w:div>
    <w:div w:id="1959947238">
      <w:bodyDiv w:val="1"/>
      <w:marLeft w:val="0"/>
      <w:marRight w:val="0"/>
      <w:marTop w:val="0"/>
      <w:marBottom w:val="0"/>
      <w:divBdr>
        <w:top w:val="none" w:sz="0" w:space="0" w:color="auto"/>
        <w:left w:val="none" w:sz="0" w:space="0" w:color="auto"/>
        <w:bottom w:val="none" w:sz="0" w:space="0" w:color="auto"/>
        <w:right w:val="none" w:sz="0" w:space="0" w:color="auto"/>
      </w:divBdr>
    </w:div>
    <w:div w:id="1959949529">
      <w:bodyDiv w:val="1"/>
      <w:marLeft w:val="0"/>
      <w:marRight w:val="0"/>
      <w:marTop w:val="0"/>
      <w:marBottom w:val="0"/>
      <w:divBdr>
        <w:top w:val="none" w:sz="0" w:space="0" w:color="auto"/>
        <w:left w:val="none" w:sz="0" w:space="0" w:color="auto"/>
        <w:bottom w:val="none" w:sz="0" w:space="0" w:color="auto"/>
        <w:right w:val="none" w:sz="0" w:space="0" w:color="auto"/>
      </w:divBdr>
    </w:div>
    <w:div w:id="1960839404">
      <w:bodyDiv w:val="1"/>
      <w:marLeft w:val="0"/>
      <w:marRight w:val="0"/>
      <w:marTop w:val="0"/>
      <w:marBottom w:val="0"/>
      <w:divBdr>
        <w:top w:val="none" w:sz="0" w:space="0" w:color="auto"/>
        <w:left w:val="none" w:sz="0" w:space="0" w:color="auto"/>
        <w:bottom w:val="none" w:sz="0" w:space="0" w:color="auto"/>
        <w:right w:val="none" w:sz="0" w:space="0" w:color="auto"/>
      </w:divBdr>
    </w:div>
    <w:div w:id="1960868958">
      <w:bodyDiv w:val="1"/>
      <w:marLeft w:val="0"/>
      <w:marRight w:val="0"/>
      <w:marTop w:val="0"/>
      <w:marBottom w:val="0"/>
      <w:divBdr>
        <w:top w:val="none" w:sz="0" w:space="0" w:color="auto"/>
        <w:left w:val="none" w:sz="0" w:space="0" w:color="auto"/>
        <w:bottom w:val="none" w:sz="0" w:space="0" w:color="auto"/>
        <w:right w:val="none" w:sz="0" w:space="0" w:color="auto"/>
      </w:divBdr>
    </w:div>
    <w:div w:id="1963655505">
      <w:bodyDiv w:val="1"/>
      <w:marLeft w:val="0"/>
      <w:marRight w:val="0"/>
      <w:marTop w:val="0"/>
      <w:marBottom w:val="0"/>
      <w:divBdr>
        <w:top w:val="none" w:sz="0" w:space="0" w:color="auto"/>
        <w:left w:val="none" w:sz="0" w:space="0" w:color="auto"/>
        <w:bottom w:val="none" w:sz="0" w:space="0" w:color="auto"/>
        <w:right w:val="none" w:sz="0" w:space="0" w:color="auto"/>
      </w:divBdr>
    </w:div>
    <w:div w:id="1964342707">
      <w:bodyDiv w:val="1"/>
      <w:marLeft w:val="0"/>
      <w:marRight w:val="0"/>
      <w:marTop w:val="0"/>
      <w:marBottom w:val="0"/>
      <w:divBdr>
        <w:top w:val="none" w:sz="0" w:space="0" w:color="auto"/>
        <w:left w:val="none" w:sz="0" w:space="0" w:color="auto"/>
        <w:bottom w:val="none" w:sz="0" w:space="0" w:color="auto"/>
        <w:right w:val="none" w:sz="0" w:space="0" w:color="auto"/>
      </w:divBdr>
    </w:div>
    <w:div w:id="1965456802">
      <w:bodyDiv w:val="1"/>
      <w:marLeft w:val="0"/>
      <w:marRight w:val="0"/>
      <w:marTop w:val="0"/>
      <w:marBottom w:val="0"/>
      <w:divBdr>
        <w:top w:val="none" w:sz="0" w:space="0" w:color="auto"/>
        <w:left w:val="none" w:sz="0" w:space="0" w:color="auto"/>
        <w:bottom w:val="none" w:sz="0" w:space="0" w:color="auto"/>
        <w:right w:val="none" w:sz="0" w:space="0" w:color="auto"/>
      </w:divBdr>
    </w:div>
    <w:div w:id="1969624710">
      <w:bodyDiv w:val="1"/>
      <w:marLeft w:val="0"/>
      <w:marRight w:val="0"/>
      <w:marTop w:val="0"/>
      <w:marBottom w:val="0"/>
      <w:divBdr>
        <w:top w:val="none" w:sz="0" w:space="0" w:color="auto"/>
        <w:left w:val="none" w:sz="0" w:space="0" w:color="auto"/>
        <w:bottom w:val="none" w:sz="0" w:space="0" w:color="auto"/>
        <w:right w:val="none" w:sz="0" w:space="0" w:color="auto"/>
      </w:divBdr>
    </w:div>
    <w:div w:id="1969775100">
      <w:bodyDiv w:val="1"/>
      <w:marLeft w:val="0"/>
      <w:marRight w:val="0"/>
      <w:marTop w:val="0"/>
      <w:marBottom w:val="0"/>
      <w:divBdr>
        <w:top w:val="none" w:sz="0" w:space="0" w:color="auto"/>
        <w:left w:val="none" w:sz="0" w:space="0" w:color="auto"/>
        <w:bottom w:val="none" w:sz="0" w:space="0" w:color="auto"/>
        <w:right w:val="none" w:sz="0" w:space="0" w:color="auto"/>
      </w:divBdr>
    </w:div>
    <w:div w:id="1971859576">
      <w:bodyDiv w:val="1"/>
      <w:marLeft w:val="0"/>
      <w:marRight w:val="0"/>
      <w:marTop w:val="0"/>
      <w:marBottom w:val="0"/>
      <w:divBdr>
        <w:top w:val="none" w:sz="0" w:space="0" w:color="auto"/>
        <w:left w:val="none" w:sz="0" w:space="0" w:color="auto"/>
        <w:bottom w:val="none" w:sz="0" w:space="0" w:color="auto"/>
        <w:right w:val="none" w:sz="0" w:space="0" w:color="auto"/>
      </w:divBdr>
    </w:div>
    <w:div w:id="1972781466">
      <w:bodyDiv w:val="1"/>
      <w:marLeft w:val="0"/>
      <w:marRight w:val="0"/>
      <w:marTop w:val="0"/>
      <w:marBottom w:val="0"/>
      <w:divBdr>
        <w:top w:val="none" w:sz="0" w:space="0" w:color="auto"/>
        <w:left w:val="none" w:sz="0" w:space="0" w:color="auto"/>
        <w:bottom w:val="none" w:sz="0" w:space="0" w:color="auto"/>
        <w:right w:val="none" w:sz="0" w:space="0" w:color="auto"/>
      </w:divBdr>
    </w:div>
    <w:div w:id="1972897822">
      <w:bodyDiv w:val="1"/>
      <w:marLeft w:val="0"/>
      <w:marRight w:val="0"/>
      <w:marTop w:val="0"/>
      <w:marBottom w:val="0"/>
      <w:divBdr>
        <w:top w:val="none" w:sz="0" w:space="0" w:color="auto"/>
        <w:left w:val="none" w:sz="0" w:space="0" w:color="auto"/>
        <w:bottom w:val="none" w:sz="0" w:space="0" w:color="auto"/>
        <w:right w:val="none" w:sz="0" w:space="0" w:color="auto"/>
      </w:divBdr>
    </w:div>
    <w:div w:id="1974210526">
      <w:bodyDiv w:val="1"/>
      <w:marLeft w:val="0"/>
      <w:marRight w:val="0"/>
      <w:marTop w:val="0"/>
      <w:marBottom w:val="0"/>
      <w:divBdr>
        <w:top w:val="none" w:sz="0" w:space="0" w:color="auto"/>
        <w:left w:val="none" w:sz="0" w:space="0" w:color="auto"/>
        <w:bottom w:val="none" w:sz="0" w:space="0" w:color="auto"/>
        <w:right w:val="none" w:sz="0" w:space="0" w:color="auto"/>
      </w:divBdr>
    </w:div>
    <w:div w:id="1975332321">
      <w:bodyDiv w:val="1"/>
      <w:marLeft w:val="0"/>
      <w:marRight w:val="0"/>
      <w:marTop w:val="0"/>
      <w:marBottom w:val="0"/>
      <w:divBdr>
        <w:top w:val="none" w:sz="0" w:space="0" w:color="auto"/>
        <w:left w:val="none" w:sz="0" w:space="0" w:color="auto"/>
        <w:bottom w:val="none" w:sz="0" w:space="0" w:color="auto"/>
        <w:right w:val="none" w:sz="0" w:space="0" w:color="auto"/>
      </w:divBdr>
    </w:div>
    <w:div w:id="1978992357">
      <w:bodyDiv w:val="1"/>
      <w:marLeft w:val="0"/>
      <w:marRight w:val="0"/>
      <w:marTop w:val="0"/>
      <w:marBottom w:val="0"/>
      <w:divBdr>
        <w:top w:val="none" w:sz="0" w:space="0" w:color="auto"/>
        <w:left w:val="none" w:sz="0" w:space="0" w:color="auto"/>
        <w:bottom w:val="none" w:sz="0" w:space="0" w:color="auto"/>
        <w:right w:val="none" w:sz="0" w:space="0" w:color="auto"/>
      </w:divBdr>
    </w:div>
    <w:div w:id="1981113866">
      <w:bodyDiv w:val="1"/>
      <w:marLeft w:val="0"/>
      <w:marRight w:val="0"/>
      <w:marTop w:val="0"/>
      <w:marBottom w:val="0"/>
      <w:divBdr>
        <w:top w:val="none" w:sz="0" w:space="0" w:color="auto"/>
        <w:left w:val="none" w:sz="0" w:space="0" w:color="auto"/>
        <w:bottom w:val="none" w:sz="0" w:space="0" w:color="auto"/>
        <w:right w:val="none" w:sz="0" w:space="0" w:color="auto"/>
      </w:divBdr>
    </w:div>
    <w:div w:id="1983925718">
      <w:bodyDiv w:val="1"/>
      <w:marLeft w:val="0"/>
      <w:marRight w:val="0"/>
      <w:marTop w:val="0"/>
      <w:marBottom w:val="0"/>
      <w:divBdr>
        <w:top w:val="none" w:sz="0" w:space="0" w:color="auto"/>
        <w:left w:val="none" w:sz="0" w:space="0" w:color="auto"/>
        <w:bottom w:val="none" w:sz="0" w:space="0" w:color="auto"/>
        <w:right w:val="none" w:sz="0" w:space="0" w:color="auto"/>
      </w:divBdr>
    </w:div>
    <w:div w:id="1984045490">
      <w:bodyDiv w:val="1"/>
      <w:marLeft w:val="0"/>
      <w:marRight w:val="0"/>
      <w:marTop w:val="0"/>
      <w:marBottom w:val="0"/>
      <w:divBdr>
        <w:top w:val="none" w:sz="0" w:space="0" w:color="auto"/>
        <w:left w:val="none" w:sz="0" w:space="0" w:color="auto"/>
        <w:bottom w:val="none" w:sz="0" w:space="0" w:color="auto"/>
        <w:right w:val="none" w:sz="0" w:space="0" w:color="auto"/>
      </w:divBdr>
    </w:div>
    <w:div w:id="1986811127">
      <w:bodyDiv w:val="1"/>
      <w:marLeft w:val="0"/>
      <w:marRight w:val="0"/>
      <w:marTop w:val="0"/>
      <w:marBottom w:val="0"/>
      <w:divBdr>
        <w:top w:val="none" w:sz="0" w:space="0" w:color="auto"/>
        <w:left w:val="none" w:sz="0" w:space="0" w:color="auto"/>
        <w:bottom w:val="none" w:sz="0" w:space="0" w:color="auto"/>
        <w:right w:val="none" w:sz="0" w:space="0" w:color="auto"/>
      </w:divBdr>
    </w:div>
    <w:div w:id="1991060643">
      <w:bodyDiv w:val="1"/>
      <w:marLeft w:val="0"/>
      <w:marRight w:val="0"/>
      <w:marTop w:val="0"/>
      <w:marBottom w:val="0"/>
      <w:divBdr>
        <w:top w:val="none" w:sz="0" w:space="0" w:color="auto"/>
        <w:left w:val="none" w:sz="0" w:space="0" w:color="auto"/>
        <w:bottom w:val="none" w:sz="0" w:space="0" w:color="auto"/>
        <w:right w:val="none" w:sz="0" w:space="0" w:color="auto"/>
      </w:divBdr>
    </w:div>
    <w:div w:id="1992514076">
      <w:bodyDiv w:val="1"/>
      <w:marLeft w:val="0"/>
      <w:marRight w:val="0"/>
      <w:marTop w:val="0"/>
      <w:marBottom w:val="0"/>
      <w:divBdr>
        <w:top w:val="none" w:sz="0" w:space="0" w:color="auto"/>
        <w:left w:val="none" w:sz="0" w:space="0" w:color="auto"/>
        <w:bottom w:val="none" w:sz="0" w:space="0" w:color="auto"/>
        <w:right w:val="none" w:sz="0" w:space="0" w:color="auto"/>
      </w:divBdr>
    </w:div>
    <w:div w:id="1995254921">
      <w:bodyDiv w:val="1"/>
      <w:marLeft w:val="0"/>
      <w:marRight w:val="0"/>
      <w:marTop w:val="0"/>
      <w:marBottom w:val="0"/>
      <w:divBdr>
        <w:top w:val="none" w:sz="0" w:space="0" w:color="auto"/>
        <w:left w:val="none" w:sz="0" w:space="0" w:color="auto"/>
        <w:bottom w:val="none" w:sz="0" w:space="0" w:color="auto"/>
        <w:right w:val="none" w:sz="0" w:space="0" w:color="auto"/>
      </w:divBdr>
    </w:div>
    <w:div w:id="1995645308">
      <w:bodyDiv w:val="1"/>
      <w:marLeft w:val="0"/>
      <w:marRight w:val="0"/>
      <w:marTop w:val="0"/>
      <w:marBottom w:val="0"/>
      <w:divBdr>
        <w:top w:val="none" w:sz="0" w:space="0" w:color="auto"/>
        <w:left w:val="none" w:sz="0" w:space="0" w:color="auto"/>
        <w:bottom w:val="none" w:sz="0" w:space="0" w:color="auto"/>
        <w:right w:val="none" w:sz="0" w:space="0" w:color="auto"/>
      </w:divBdr>
    </w:div>
    <w:div w:id="1996687168">
      <w:bodyDiv w:val="1"/>
      <w:marLeft w:val="0"/>
      <w:marRight w:val="0"/>
      <w:marTop w:val="0"/>
      <w:marBottom w:val="0"/>
      <w:divBdr>
        <w:top w:val="none" w:sz="0" w:space="0" w:color="auto"/>
        <w:left w:val="none" w:sz="0" w:space="0" w:color="auto"/>
        <w:bottom w:val="none" w:sz="0" w:space="0" w:color="auto"/>
        <w:right w:val="none" w:sz="0" w:space="0" w:color="auto"/>
      </w:divBdr>
    </w:div>
    <w:div w:id="1997224706">
      <w:bodyDiv w:val="1"/>
      <w:marLeft w:val="0"/>
      <w:marRight w:val="0"/>
      <w:marTop w:val="0"/>
      <w:marBottom w:val="0"/>
      <w:divBdr>
        <w:top w:val="none" w:sz="0" w:space="0" w:color="auto"/>
        <w:left w:val="none" w:sz="0" w:space="0" w:color="auto"/>
        <w:bottom w:val="none" w:sz="0" w:space="0" w:color="auto"/>
        <w:right w:val="none" w:sz="0" w:space="0" w:color="auto"/>
      </w:divBdr>
    </w:div>
    <w:div w:id="1997801055">
      <w:bodyDiv w:val="1"/>
      <w:marLeft w:val="0"/>
      <w:marRight w:val="0"/>
      <w:marTop w:val="0"/>
      <w:marBottom w:val="0"/>
      <w:divBdr>
        <w:top w:val="none" w:sz="0" w:space="0" w:color="auto"/>
        <w:left w:val="none" w:sz="0" w:space="0" w:color="auto"/>
        <w:bottom w:val="none" w:sz="0" w:space="0" w:color="auto"/>
        <w:right w:val="none" w:sz="0" w:space="0" w:color="auto"/>
      </w:divBdr>
    </w:div>
    <w:div w:id="1997950428">
      <w:bodyDiv w:val="1"/>
      <w:marLeft w:val="0"/>
      <w:marRight w:val="0"/>
      <w:marTop w:val="0"/>
      <w:marBottom w:val="0"/>
      <w:divBdr>
        <w:top w:val="none" w:sz="0" w:space="0" w:color="auto"/>
        <w:left w:val="none" w:sz="0" w:space="0" w:color="auto"/>
        <w:bottom w:val="none" w:sz="0" w:space="0" w:color="auto"/>
        <w:right w:val="none" w:sz="0" w:space="0" w:color="auto"/>
      </w:divBdr>
    </w:div>
    <w:div w:id="2001230573">
      <w:bodyDiv w:val="1"/>
      <w:marLeft w:val="0"/>
      <w:marRight w:val="0"/>
      <w:marTop w:val="0"/>
      <w:marBottom w:val="0"/>
      <w:divBdr>
        <w:top w:val="none" w:sz="0" w:space="0" w:color="auto"/>
        <w:left w:val="none" w:sz="0" w:space="0" w:color="auto"/>
        <w:bottom w:val="none" w:sz="0" w:space="0" w:color="auto"/>
        <w:right w:val="none" w:sz="0" w:space="0" w:color="auto"/>
      </w:divBdr>
    </w:div>
    <w:div w:id="2004237806">
      <w:bodyDiv w:val="1"/>
      <w:marLeft w:val="0"/>
      <w:marRight w:val="0"/>
      <w:marTop w:val="0"/>
      <w:marBottom w:val="0"/>
      <w:divBdr>
        <w:top w:val="none" w:sz="0" w:space="0" w:color="auto"/>
        <w:left w:val="none" w:sz="0" w:space="0" w:color="auto"/>
        <w:bottom w:val="none" w:sz="0" w:space="0" w:color="auto"/>
        <w:right w:val="none" w:sz="0" w:space="0" w:color="auto"/>
      </w:divBdr>
    </w:div>
    <w:div w:id="2005235090">
      <w:bodyDiv w:val="1"/>
      <w:marLeft w:val="0"/>
      <w:marRight w:val="0"/>
      <w:marTop w:val="0"/>
      <w:marBottom w:val="0"/>
      <w:divBdr>
        <w:top w:val="none" w:sz="0" w:space="0" w:color="auto"/>
        <w:left w:val="none" w:sz="0" w:space="0" w:color="auto"/>
        <w:bottom w:val="none" w:sz="0" w:space="0" w:color="auto"/>
        <w:right w:val="none" w:sz="0" w:space="0" w:color="auto"/>
      </w:divBdr>
    </w:div>
    <w:div w:id="2006199444">
      <w:bodyDiv w:val="1"/>
      <w:marLeft w:val="0"/>
      <w:marRight w:val="0"/>
      <w:marTop w:val="0"/>
      <w:marBottom w:val="0"/>
      <w:divBdr>
        <w:top w:val="none" w:sz="0" w:space="0" w:color="auto"/>
        <w:left w:val="none" w:sz="0" w:space="0" w:color="auto"/>
        <w:bottom w:val="none" w:sz="0" w:space="0" w:color="auto"/>
        <w:right w:val="none" w:sz="0" w:space="0" w:color="auto"/>
      </w:divBdr>
    </w:div>
    <w:div w:id="2006200686">
      <w:bodyDiv w:val="1"/>
      <w:marLeft w:val="0"/>
      <w:marRight w:val="0"/>
      <w:marTop w:val="0"/>
      <w:marBottom w:val="0"/>
      <w:divBdr>
        <w:top w:val="none" w:sz="0" w:space="0" w:color="auto"/>
        <w:left w:val="none" w:sz="0" w:space="0" w:color="auto"/>
        <w:bottom w:val="none" w:sz="0" w:space="0" w:color="auto"/>
        <w:right w:val="none" w:sz="0" w:space="0" w:color="auto"/>
      </w:divBdr>
    </w:div>
    <w:div w:id="2008050723">
      <w:bodyDiv w:val="1"/>
      <w:marLeft w:val="0"/>
      <w:marRight w:val="0"/>
      <w:marTop w:val="0"/>
      <w:marBottom w:val="0"/>
      <w:divBdr>
        <w:top w:val="none" w:sz="0" w:space="0" w:color="auto"/>
        <w:left w:val="none" w:sz="0" w:space="0" w:color="auto"/>
        <w:bottom w:val="none" w:sz="0" w:space="0" w:color="auto"/>
        <w:right w:val="none" w:sz="0" w:space="0" w:color="auto"/>
      </w:divBdr>
    </w:div>
    <w:div w:id="2009364062">
      <w:bodyDiv w:val="1"/>
      <w:marLeft w:val="0"/>
      <w:marRight w:val="0"/>
      <w:marTop w:val="0"/>
      <w:marBottom w:val="0"/>
      <w:divBdr>
        <w:top w:val="none" w:sz="0" w:space="0" w:color="auto"/>
        <w:left w:val="none" w:sz="0" w:space="0" w:color="auto"/>
        <w:bottom w:val="none" w:sz="0" w:space="0" w:color="auto"/>
        <w:right w:val="none" w:sz="0" w:space="0" w:color="auto"/>
      </w:divBdr>
    </w:div>
    <w:div w:id="2012178910">
      <w:bodyDiv w:val="1"/>
      <w:marLeft w:val="0"/>
      <w:marRight w:val="0"/>
      <w:marTop w:val="0"/>
      <w:marBottom w:val="0"/>
      <w:divBdr>
        <w:top w:val="none" w:sz="0" w:space="0" w:color="auto"/>
        <w:left w:val="none" w:sz="0" w:space="0" w:color="auto"/>
        <w:bottom w:val="none" w:sz="0" w:space="0" w:color="auto"/>
        <w:right w:val="none" w:sz="0" w:space="0" w:color="auto"/>
      </w:divBdr>
    </w:div>
    <w:div w:id="2015379242">
      <w:bodyDiv w:val="1"/>
      <w:marLeft w:val="0"/>
      <w:marRight w:val="0"/>
      <w:marTop w:val="0"/>
      <w:marBottom w:val="0"/>
      <w:divBdr>
        <w:top w:val="none" w:sz="0" w:space="0" w:color="auto"/>
        <w:left w:val="none" w:sz="0" w:space="0" w:color="auto"/>
        <w:bottom w:val="none" w:sz="0" w:space="0" w:color="auto"/>
        <w:right w:val="none" w:sz="0" w:space="0" w:color="auto"/>
      </w:divBdr>
    </w:div>
    <w:div w:id="2018723733">
      <w:bodyDiv w:val="1"/>
      <w:marLeft w:val="0"/>
      <w:marRight w:val="0"/>
      <w:marTop w:val="0"/>
      <w:marBottom w:val="0"/>
      <w:divBdr>
        <w:top w:val="none" w:sz="0" w:space="0" w:color="auto"/>
        <w:left w:val="none" w:sz="0" w:space="0" w:color="auto"/>
        <w:bottom w:val="none" w:sz="0" w:space="0" w:color="auto"/>
        <w:right w:val="none" w:sz="0" w:space="0" w:color="auto"/>
      </w:divBdr>
    </w:div>
    <w:div w:id="2020545897">
      <w:bodyDiv w:val="1"/>
      <w:marLeft w:val="0"/>
      <w:marRight w:val="0"/>
      <w:marTop w:val="0"/>
      <w:marBottom w:val="0"/>
      <w:divBdr>
        <w:top w:val="none" w:sz="0" w:space="0" w:color="auto"/>
        <w:left w:val="none" w:sz="0" w:space="0" w:color="auto"/>
        <w:bottom w:val="none" w:sz="0" w:space="0" w:color="auto"/>
        <w:right w:val="none" w:sz="0" w:space="0" w:color="auto"/>
      </w:divBdr>
    </w:div>
    <w:div w:id="2020886121">
      <w:bodyDiv w:val="1"/>
      <w:marLeft w:val="0"/>
      <w:marRight w:val="0"/>
      <w:marTop w:val="0"/>
      <w:marBottom w:val="0"/>
      <w:divBdr>
        <w:top w:val="none" w:sz="0" w:space="0" w:color="auto"/>
        <w:left w:val="none" w:sz="0" w:space="0" w:color="auto"/>
        <w:bottom w:val="none" w:sz="0" w:space="0" w:color="auto"/>
        <w:right w:val="none" w:sz="0" w:space="0" w:color="auto"/>
      </w:divBdr>
    </w:div>
    <w:div w:id="2025666803">
      <w:bodyDiv w:val="1"/>
      <w:marLeft w:val="0"/>
      <w:marRight w:val="0"/>
      <w:marTop w:val="0"/>
      <w:marBottom w:val="0"/>
      <w:divBdr>
        <w:top w:val="none" w:sz="0" w:space="0" w:color="auto"/>
        <w:left w:val="none" w:sz="0" w:space="0" w:color="auto"/>
        <w:bottom w:val="none" w:sz="0" w:space="0" w:color="auto"/>
        <w:right w:val="none" w:sz="0" w:space="0" w:color="auto"/>
      </w:divBdr>
    </w:div>
    <w:div w:id="2025744191">
      <w:bodyDiv w:val="1"/>
      <w:marLeft w:val="0"/>
      <w:marRight w:val="0"/>
      <w:marTop w:val="0"/>
      <w:marBottom w:val="0"/>
      <w:divBdr>
        <w:top w:val="none" w:sz="0" w:space="0" w:color="auto"/>
        <w:left w:val="none" w:sz="0" w:space="0" w:color="auto"/>
        <w:bottom w:val="none" w:sz="0" w:space="0" w:color="auto"/>
        <w:right w:val="none" w:sz="0" w:space="0" w:color="auto"/>
      </w:divBdr>
    </w:div>
    <w:div w:id="2027243301">
      <w:bodyDiv w:val="1"/>
      <w:marLeft w:val="0"/>
      <w:marRight w:val="0"/>
      <w:marTop w:val="0"/>
      <w:marBottom w:val="0"/>
      <w:divBdr>
        <w:top w:val="none" w:sz="0" w:space="0" w:color="auto"/>
        <w:left w:val="none" w:sz="0" w:space="0" w:color="auto"/>
        <w:bottom w:val="none" w:sz="0" w:space="0" w:color="auto"/>
        <w:right w:val="none" w:sz="0" w:space="0" w:color="auto"/>
      </w:divBdr>
    </w:div>
    <w:div w:id="2030180549">
      <w:bodyDiv w:val="1"/>
      <w:marLeft w:val="0"/>
      <w:marRight w:val="0"/>
      <w:marTop w:val="0"/>
      <w:marBottom w:val="0"/>
      <w:divBdr>
        <w:top w:val="none" w:sz="0" w:space="0" w:color="auto"/>
        <w:left w:val="none" w:sz="0" w:space="0" w:color="auto"/>
        <w:bottom w:val="none" w:sz="0" w:space="0" w:color="auto"/>
        <w:right w:val="none" w:sz="0" w:space="0" w:color="auto"/>
      </w:divBdr>
    </w:div>
    <w:div w:id="2030252937">
      <w:bodyDiv w:val="1"/>
      <w:marLeft w:val="0"/>
      <w:marRight w:val="0"/>
      <w:marTop w:val="0"/>
      <w:marBottom w:val="0"/>
      <w:divBdr>
        <w:top w:val="none" w:sz="0" w:space="0" w:color="auto"/>
        <w:left w:val="none" w:sz="0" w:space="0" w:color="auto"/>
        <w:bottom w:val="none" w:sz="0" w:space="0" w:color="auto"/>
        <w:right w:val="none" w:sz="0" w:space="0" w:color="auto"/>
      </w:divBdr>
    </w:div>
    <w:div w:id="2032757352">
      <w:bodyDiv w:val="1"/>
      <w:marLeft w:val="0"/>
      <w:marRight w:val="0"/>
      <w:marTop w:val="0"/>
      <w:marBottom w:val="0"/>
      <w:divBdr>
        <w:top w:val="none" w:sz="0" w:space="0" w:color="auto"/>
        <w:left w:val="none" w:sz="0" w:space="0" w:color="auto"/>
        <w:bottom w:val="none" w:sz="0" w:space="0" w:color="auto"/>
        <w:right w:val="none" w:sz="0" w:space="0" w:color="auto"/>
      </w:divBdr>
    </w:div>
    <w:div w:id="2034114755">
      <w:bodyDiv w:val="1"/>
      <w:marLeft w:val="0"/>
      <w:marRight w:val="0"/>
      <w:marTop w:val="0"/>
      <w:marBottom w:val="0"/>
      <w:divBdr>
        <w:top w:val="none" w:sz="0" w:space="0" w:color="auto"/>
        <w:left w:val="none" w:sz="0" w:space="0" w:color="auto"/>
        <w:bottom w:val="none" w:sz="0" w:space="0" w:color="auto"/>
        <w:right w:val="none" w:sz="0" w:space="0" w:color="auto"/>
      </w:divBdr>
    </w:div>
    <w:div w:id="2034334335">
      <w:bodyDiv w:val="1"/>
      <w:marLeft w:val="0"/>
      <w:marRight w:val="0"/>
      <w:marTop w:val="0"/>
      <w:marBottom w:val="0"/>
      <w:divBdr>
        <w:top w:val="none" w:sz="0" w:space="0" w:color="auto"/>
        <w:left w:val="none" w:sz="0" w:space="0" w:color="auto"/>
        <w:bottom w:val="none" w:sz="0" w:space="0" w:color="auto"/>
        <w:right w:val="none" w:sz="0" w:space="0" w:color="auto"/>
      </w:divBdr>
    </w:div>
    <w:div w:id="2034457974">
      <w:bodyDiv w:val="1"/>
      <w:marLeft w:val="0"/>
      <w:marRight w:val="0"/>
      <w:marTop w:val="0"/>
      <w:marBottom w:val="0"/>
      <w:divBdr>
        <w:top w:val="none" w:sz="0" w:space="0" w:color="auto"/>
        <w:left w:val="none" w:sz="0" w:space="0" w:color="auto"/>
        <w:bottom w:val="none" w:sz="0" w:space="0" w:color="auto"/>
        <w:right w:val="none" w:sz="0" w:space="0" w:color="auto"/>
      </w:divBdr>
    </w:div>
    <w:div w:id="2037387530">
      <w:bodyDiv w:val="1"/>
      <w:marLeft w:val="0"/>
      <w:marRight w:val="0"/>
      <w:marTop w:val="0"/>
      <w:marBottom w:val="0"/>
      <w:divBdr>
        <w:top w:val="none" w:sz="0" w:space="0" w:color="auto"/>
        <w:left w:val="none" w:sz="0" w:space="0" w:color="auto"/>
        <w:bottom w:val="none" w:sz="0" w:space="0" w:color="auto"/>
        <w:right w:val="none" w:sz="0" w:space="0" w:color="auto"/>
      </w:divBdr>
    </w:div>
    <w:div w:id="2038038812">
      <w:bodyDiv w:val="1"/>
      <w:marLeft w:val="0"/>
      <w:marRight w:val="0"/>
      <w:marTop w:val="0"/>
      <w:marBottom w:val="0"/>
      <w:divBdr>
        <w:top w:val="none" w:sz="0" w:space="0" w:color="auto"/>
        <w:left w:val="none" w:sz="0" w:space="0" w:color="auto"/>
        <w:bottom w:val="none" w:sz="0" w:space="0" w:color="auto"/>
        <w:right w:val="none" w:sz="0" w:space="0" w:color="auto"/>
      </w:divBdr>
    </w:div>
    <w:div w:id="2039894859">
      <w:bodyDiv w:val="1"/>
      <w:marLeft w:val="0"/>
      <w:marRight w:val="0"/>
      <w:marTop w:val="0"/>
      <w:marBottom w:val="0"/>
      <w:divBdr>
        <w:top w:val="none" w:sz="0" w:space="0" w:color="auto"/>
        <w:left w:val="none" w:sz="0" w:space="0" w:color="auto"/>
        <w:bottom w:val="none" w:sz="0" w:space="0" w:color="auto"/>
        <w:right w:val="none" w:sz="0" w:space="0" w:color="auto"/>
      </w:divBdr>
    </w:div>
    <w:div w:id="2042631566">
      <w:bodyDiv w:val="1"/>
      <w:marLeft w:val="0"/>
      <w:marRight w:val="0"/>
      <w:marTop w:val="0"/>
      <w:marBottom w:val="0"/>
      <w:divBdr>
        <w:top w:val="none" w:sz="0" w:space="0" w:color="auto"/>
        <w:left w:val="none" w:sz="0" w:space="0" w:color="auto"/>
        <w:bottom w:val="none" w:sz="0" w:space="0" w:color="auto"/>
        <w:right w:val="none" w:sz="0" w:space="0" w:color="auto"/>
      </w:divBdr>
    </w:div>
    <w:div w:id="2042779675">
      <w:bodyDiv w:val="1"/>
      <w:marLeft w:val="0"/>
      <w:marRight w:val="0"/>
      <w:marTop w:val="0"/>
      <w:marBottom w:val="0"/>
      <w:divBdr>
        <w:top w:val="none" w:sz="0" w:space="0" w:color="auto"/>
        <w:left w:val="none" w:sz="0" w:space="0" w:color="auto"/>
        <w:bottom w:val="none" w:sz="0" w:space="0" w:color="auto"/>
        <w:right w:val="none" w:sz="0" w:space="0" w:color="auto"/>
      </w:divBdr>
    </w:div>
    <w:div w:id="2049136761">
      <w:bodyDiv w:val="1"/>
      <w:marLeft w:val="0"/>
      <w:marRight w:val="0"/>
      <w:marTop w:val="0"/>
      <w:marBottom w:val="0"/>
      <w:divBdr>
        <w:top w:val="none" w:sz="0" w:space="0" w:color="auto"/>
        <w:left w:val="none" w:sz="0" w:space="0" w:color="auto"/>
        <w:bottom w:val="none" w:sz="0" w:space="0" w:color="auto"/>
        <w:right w:val="none" w:sz="0" w:space="0" w:color="auto"/>
      </w:divBdr>
    </w:div>
    <w:div w:id="2051104674">
      <w:bodyDiv w:val="1"/>
      <w:marLeft w:val="0"/>
      <w:marRight w:val="0"/>
      <w:marTop w:val="0"/>
      <w:marBottom w:val="0"/>
      <w:divBdr>
        <w:top w:val="none" w:sz="0" w:space="0" w:color="auto"/>
        <w:left w:val="none" w:sz="0" w:space="0" w:color="auto"/>
        <w:bottom w:val="none" w:sz="0" w:space="0" w:color="auto"/>
        <w:right w:val="none" w:sz="0" w:space="0" w:color="auto"/>
      </w:divBdr>
    </w:div>
    <w:div w:id="2051958519">
      <w:bodyDiv w:val="1"/>
      <w:marLeft w:val="0"/>
      <w:marRight w:val="0"/>
      <w:marTop w:val="0"/>
      <w:marBottom w:val="0"/>
      <w:divBdr>
        <w:top w:val="none" w:sz="0" w:space="0" w:color="auto"/>
        <w:left w:val="none" w:sz="0" w:space="0" w:color="auto"/>
        <w:bottom w:val="none" w:sz="0" w:space="0" w:color="auto"/>
        <w:right w:val="none" w:sz="0" w:space="0" w:color="auto"/>
      </w:divBdr>
    </w:div>
    <w:div w:id="2053112752">
      <w:bodyDiv w:val="1"/>
      <w:marLeft w:val="0"/>
      <w:marRight w:val="0"/>
      <w:marTop w:val="0"/>
      <w:marBottom w:val="0"/>
      <w:divBdr>
        <w:top w:val="none" w:sz="0" w:space="0" w:color="auto"/>
        <w:left w:val="none" w:sz="0" w:space="0" w:color="auto"/>
        <w:bottom w:val="none" w:sz="0" w:space="0" w:color="auto"/>
        <w:right w:val="none" w:sz="0" w:space="0" w:color="auto"/>
      </w:divBdr>
    </w:div>
    <w:div w:id="2054964960">
      <w:bodyDiv w:val="1"/>
      <w:marLeft w:val="0"/>
      <w:marRight w:val="0"/>
      <w:marTop w:val="0"/>
      <w:marBottom w:val="0"/>
      <w:divBdr>
        <w:top w:val="none" w:sz="0" w:space="0" w:color="auto"/>
        <w:left w:val="none" w:sz="0" w:space="0" w:color="auto"/>
        <w:bottom w:val="none" w:sz="0" w:space="0" w:color="auto"/>
        <w:right w:val="none" w:sz="0" w:space="0" w:color="auto"/>
      </w:divBdr>
    </w:div>
    <w:div w:id="2054965590">
      <w:bodyDiv w:val="1"/>
      <w:marLeft w:val="0"/>
      <w:marRight w:val="0"/>
      <w:marTop w:val="0"/>
      <w:marBottom w:val="0"/>
      <w:divBdr>
        <w:top w:val="none" w:sz="0" w:space="0" w:color="auto"/>
        <w:left w:val="none" w:sz="0" w:space="0" w:color="auto"/>
        <w:bottom w:val="none" w:sz="0" w:space="0" w:color="auto"/>
        <w:right w:val="none" w:sz="0" w:space="0" w:color="auto"/>
      </w:divBdr>
    </w:div>
    <w:div w:id="2055040423">
      <w:bodyDiv w:val="1"/>
      <w:marLeft w:val="0"/>
      <w:marRight w:val="0"/>
      <w:marTop w:val="0"/>
      <w:marBottom w:val="0"/>
      <w:divBdr>
        <w:top w:val="none" w:sz="0" w:space="0" w:color="auto"/>
        <w:left w:val="none" w:sz="0" w:space="0" w:color="auto"/>
        <w:bottom w:val="none" w:sz="0" w:space="0" w:color="auto"/>
        <w:right w:val="none" w:sz="0" w:space="0" w:color="auto"/>
      </w:divBdr>
    </w:div>
    <w:div w:id="2056393764">
      <w:bodyDiv w:val="1"/>
      <w:marLeft w:val="0"/>
      <w:marRight w:val="0"/>
      <w:marTop w:val="0"/>
      <w:marBottom w:val="0"/>
      <w:divBdr>
        <w:top w:val="none" w:sz="0" w:space="0" w:color="auto"/>
        <w:left w:val="none" w:sz="0" w:space="0" w:color="auto"/>
        <w:bottom w:val="none" w:sz="0" w:space="0" w:color="auto"/>
        <w:right w:val="none" w:sz="0" w:space="0" w:color="auto"/>
      </w:divBdr>
    </w:div>
    <w:div w:id="2057312598">
      <w:bodyDiv w:val="1"/>
      <w:marLeft w:val="0"/>
      <w:marRight w:val="0"/>
      <w:marTop w:val="0"/>
      <w:marBottom w:val="0"/>
      <w:divBdr>
        <w:top w:val="none" w:sz="0" w:space="0" w:color="auto"/>
        <w:left w:val="none" w:sz="0" w:space="0" w:color="auto"/>
        <w:bottom w:val="none" w:sz="0" w:space="0" w:color="auto"/>
        <w:right w:val="none" w:sz="0" w:space="0" w:color="auto"/>
      </w:divBdr>
    </w:div>
    <w:div w:id="2062047174">
      <w:bodyDiv w:val="1"/>
      <w:marLeft w:val="0"/>
      <w:marRight w:val="0"/>
      <w:marTop w:val="0"/>
      <w:marBottom w:val="0"/>
      <w:divBdr>
        <w:top w:val="none" w:sz="0" w:space="0" w:color="auto"/>
        <w:left w:val="none" w:sz="0" w:space="0" w:color="auto"/>
        <w:bottom w:val="none" w:sz="0" w:space="0" w:color="auto"/>
        <w:right w:val="none" w:sz="0" w:space="0" w:color="auto"/>
      </w:divBdr>
    </w:div>
    <w:div w:id="2062291880">
      <w:bodyDiv w:val="1"/>
      <w:marLeft w:val="0"/>
      <w:marRight w:val="0"/>
      <w:marTop w:val="0"/>
      <w:marBottom w:val="0"/>
      <w:divBdr>
        <w:top w:val="none" w:sz="0" w:space="0" w:color="auto"/>
        <w:left w:val="none" w:sz="0" w:space="0" w:color="auto"/>
        <w:bottom w:val="none" w:sz="0" w:space="0" w:color="auto"/>
        <w:right w:val="none" w:sz="0" w:space="0" w:color="auto"/>
      </w:divBdr>
    </w:div>
    <w:div w:id="2062821665">
      <w:bodyDiv w:val="1"/>
      <w:marLeft w:val="0"/>
      <w:marRight w:val="0"/>
      <w:marTop w:val="0"/>
      <w:marBottom w:val="0"/>
      <w:divBdr>
        <w:top w:val="none" w:sz="0" w:space="0" w:color="auto"/>
        <w:left w:val="none" w:sz="0" w:space="0" w:color="auto"/>
        <w:bottom w:val="none" w:sz="0" w:space="0" w:color="auto"/>
        <w:right w:val="none" w:sz="0" w:space="0" w:color="auto"/>
      </w:divBdr>
    </w:div>
    <w:div w:id="2063207808">
      <w:bodyDiv w:val="1"/>
      <w:marLeft w:val="0"/>
      <w:marRight w:val="0"/>
      <w:marTop w:val="0"/>
      <w:marBottom w:val="0"/>
      <w:divBdr>
        <w:top w:val="none" w:sz="0" w:space="0" w:color="auto"/>
        <w:left w:val="none" w:sz="0" w:space="0" w:color="auto"/>
        <w:bottom w:val="none" w:sz="0" w:space="0" w:color="auto"/>
        <w:right w:val="none" w:sz="0" w:space="0" w:color="auto"/>
      </w:divBdr>
    </w:div>
    <w:div w:id="2063360689">
      <w:bodyDiv w:val="1"/>
      <w:marLeft w:val="0"/>
      <w:marRight w:val="0"/>
      <w:marTop w:val="0"/>
      <w:marBottom w:val="0"/>
      <w:divBdr>
        <w:top w:val="none" w:sz="0" w:space="0" w:color="auto"/>
        <w:left w:val="none" w:sz="0" w:space="0" w:color="auto"/>
        <w:bottom w:val="none" w:sz="0" w:space="0" w:color="auto"/>
        <w:right w:val="none" w:sz="0" w:space="0" w:color="auto"/>
      </w:divBdr>
    </w:div>
    <w:div w:id="2063554010">
      <w:bodyDiv w:val="1"/>
      <w:marLeft w:val="0"/>
      <w:marRight w:val="0"/>
      <w:marTop w:val="0"/>
      <w:marBottom w:val="0"/>
      <w:divBdr>
        <w:top w:val="none" w:sz="0" w:space="0" w:color="auto"/>
        <w:left w:val="none" w:sz="0" w:space="0" w:color="auto"/>
        <w:bottom w:val="none" w:sz="0" w:space="0" w:color="auto"/>
        <w:right w:val="none" w:sz="0" w:space="0" w:color="auto"/>
      </w:divBdr>
    </w:div>
    <w:div w:id="2066564484">
      <w:bodyDiv w:val="1"/>
      <w:marLeft w:val="0"/>
      <w:marRight w:val="0"/>
      <w:marTop w:val="0"/>
      <w:marBottom w:val="0"/>
      <w:divBdr>
        <w:top w:val="none" w:sz="0" w:space="0" w:color="auto"/>
        <w:left w:val="none" w:sz="0" w:space="0" w:color="auto"/>
        <w:bottom w:val="none" w:sz="0" w:space="0" w:color="auto"/>
        <w:right w:val="none" w:sz="0" w:space="0" w:color="auto"/>
      </w:divBdr>
    </w:div>
    <w:div w:id="2068606203">
      <w:bodyDiv w:val="1"/>
      <w:marLeft w:val="0"/>
      <w:marRight w:val="0"/>
      <w:marTop w:val="0"/>
      <w:marBottom w:val="0"/>
      <w:divBdr>
        <w:top w:val="none" w:sz="0" w:space="0" w:color="auto"/>
        <w:left w:val="none" w:sz="0" w:space="0" w:color="auto"/>
        <w:bottom w:val="none" w:sz="0" w:space="0" w:color="auto"/>
        <w:right w:val="none" w:sz="0" w:space="0" w:color="auto"/>
      </w:divBdr>
    </w:div>
    <w:div w:id="2069842248">
      <w:bodyDiv w:val="1"/>
      <w:marLeft w:val="0"/>
      <w:marRight w:val="0"/>
      <w:marTop w:val="0"/>
      <w:marBottom w:val="0"/>
      <w:divBdr>
        <w:top w:val="none" w:sz="0" w:space="0" w:color="auto"/>
        <w:left w:val="none" w:sz="0" w:space="0" w:color="auto"/>
        <w:bottom w:val="none" w:sz="0" w:space="0" w:color="auto"/>
        <w:right w:val="none" w:sz="0" w:space="0" w:color="auto"/>
      </w:divBdr>
    </w:div>
    <w:div w:id="2076123607">
      <w:bodyDiv w:val="1"/>
      <w:marLeft w:val="0"/>
      <w:marRight w:val="0"/>
      <w:marTop w:val="0"/>
      <w:marBottom w:val="0"/>
      <w:divBdr>
        <w:top w:val="none" w:sz="0" w:space="0" w:color="auto"/>
        <w:left w:val="none" w:sz="0" w:space="0" w:color="auto"/>
        <w:bottom w:val="none" w:sz="0" w:space="0" w:color="auto"/>
        <w:right w:val="none" w:sz="0" w:space="0" w:color="auto"/>
      </w:divBdr>
    </w:div>
    <w:div w:id="2076778998">
      <w:bodyDiv w:val="1"/>
      <w:marLeft w:val="0"/>
      <w:marRight w:val="0"/>
      <w:marTop w:val="0"/>
      <w:marBottom w:val="0"/>
      <w:divBdr>
        <w:top w:val="none" w:sz="0" w:space="0" w:color="auto"/>
        <w:left w:val="none" w:sz="0" w:space="0" w:color="auto"/>
        <w:bottom w:val="none" w:sz="0" w:space="0" w:color="auto"/>
        <w:right w:val="none" w:sz="0" w:space="0" w:color="auto"/>
      </w:divBdr>
    </w:div>
    <w:div w:id="2078090862">
      <w:bodyDiv w:val="1"/>
      <w:marLeft w:val="0"/>
      <w:marRight w:val="0"/>
      <w:marTop w:val="0"/>
      <w:marBottom w:val="0"/>
      <w:divBdr>
        <w:top w:val="none" w:sz="0" w:space="0" w:color="auto"/>
        <w:left w:val="none" w:sz="0" w:space="0" w:color="auto"/>
        <w:bottom w:val="none" w:sz="0" w:space="0" w:color="auto"/>
        <w:right w:val="none" w:sz="0" w:space="0" w:color="auto"/>
      </w:divBdr>
    </w:div>
    <w:div w:id="2079084809">
      <w:bodyDiv w:val="1"/>
      <w:marLeft w:val="0"/>
      <w:marRight w:val="0"/>
      <w:marTop w:val="0"/>
      <w:marBottom w:val="0"/>
      <w:divBdr>
        <w:top w:val="none" w:sz="0" w:space="0" w:color="auto"/>
        <w:left w:val="none" w:sz="0" w:space="0" w:color="auto"/>
        <w:bottom w:val="none" w:sz="0" w:space="0" w:color="auto"/>
        <w:right w:val="none" w:sz="0" w:space="0" w:color="auto"/>
      </w:divBdr>
    </w:div>
    <w:div w:id="2080013070">
      <w:bodyDiv w:val="1"/>
      <w:marLeft w:val="0"/>
      <w:marRight w:val="0"/>
      <w:marTop w:val="0"/>
      <w:marBottom w:val="0"/>
      <w:divBdr>
        <w:top w:val="none" w:sz="0" w:space="0" w:color="auto"/>
        <w:left w:val="none" w:sz="0" w:space="0" w:color="auto"/>
        <w:bottom w:val="none" w:sz="0" w:space="0" w:color="auto"/>
        <w:right w:val="none" w:sz="0" w:space="0" w:color="auto"/>
      </w:divBdr>
    </w:div>
    <w:div w:id="2080203218">
      <w:bodyDiv w:val="1"/>
      <w:marLeft w:val="0"/>
      <w:marRight w:val="0"/>
      <w:marTop w:val="0"/>
      <w:marBottom w:val="0"/>
      <w:divBdr>
        <w:top w:val="none" w:sz="0" w:space="0" w:color="auto"/>
        <w:left w:val="none" w:sz="0" w:space="0" w:color="auto"/>
        <w:bottom w:val="none" w:sz="0" w:space="0" w:color="auto"/>
        <w:right w:val="none" w:sz="0" w:space="0" w:color="auto"/>
      </w:divBdr>
    </w:div>
    <w:div w:id="2081949994">
      <w:bodyDiv w:val="1"/>
      <w:marLeft w:val="0"/>
      <w:marRight w:val="0"/>
      <w:marTop w:val="0"/>
      <w:marBottom w:val="0"/>
      <w:divBdr>
        <w:top w:val="none" w:sz="0" w:space="0" w:color="auto"/>
        <w:left w:val="none" w:sz="0" w:space="0" w:color="auto"/>
        <w:bottom w:val="none" w:sz="0" w:space="0" w:color="auto"/>
        <w:right w:val="none" w:sz="0" w:space="0" w:color="auto"/>
      </w:divBdr>
    </w:div>
    <w:div w:id="2085490644">
      <w:bodyDiv w:val="1"/>
      <w:marLeft w:val="0"/>
      <w:marRight w:val="0"/>
      <w:marTop w:val="0"/>
      <w:marBottom w:val="0"/>
      <w:divBdr>
        <w:top w:val="none" w:sz="0" w:space="0" w:color="auto"/>
        <w:left w:val="none" w:sz="0" w:space="0" w:color="auto"/>
        <w:bottom w:val="none" w:sz="0" w:space="0" w:color="auto"/>
        <w:right w:val="none" w:sz="0" w:space="0" w:color="auto"/>
      </w:divBdr>
    </w:div>
    <w:div w:id="2088140471">
      <w:bodyDiv w:val="1"/>
      <w:marLeft w:val="0"/>
      <w:marRight w:val="0"/>
      <w:marTop w:val="0"/>
      <w:marBottom w:val="0"/>
      <w:divBdr>
        <w:top w:val="none" w:sz="0" w:space="0" w:color="auto"/>
        <w:left w:val="none" w:sz="0" w:space="0" w:color="auto"/>
        <w:bottom w:val="none" w:sz="0" w:space="0" w:color="auto"/>
        <w:right w:val="none" w:sz="0" w:space="0" w:color="auto"/>
      </w:divBdr>
    </w:div>
    <w:div w:id="2088258822">
      <w:bodyDiv w:val="1"/>
      <w:marLeft w:val="0"/>
      <w:marRight w:val="0"/>
      <w:marTop w:val="0"/>
      <w:marBottom w:val="0"/>
      <w:divBdr>
        <w:top w:val="none" w:sz="0" w:space="0" w:color="auto"/>
        <w:left w:val="none" w:sz="0" w:space="0" w:color="auto"/>
        <w:bottom w:val="none" w:sz="0" w:space="0" w:color="auto"/>
        <w:right w:val="none" w:sz="0" w:space="0" w:color="auto"/>
      </w:divBdr>
    </w:div>
    <w:div w:id="2089384018">
      <w:bodyDiv w:val="1"/>
      <w:marLeft w:val="0"/>
      <w:marRight w:val="0"/>
      <w:marTop w:val="0"/>
      <w:marBottom w:val="0"/>
      <w:divBdr>
        <w:top w:val="none" w:sz="0" w:space="0" w:color="auto"/>
        <w:left w:val="none" w:sz="0" w:space="0" w:color="auto"/>
        <w:bottom w:val="none" w:sz="0" w:space="0" w:color="auto"/>
        <w:right w:val="none" w:sz="0" w:space="0" w:color="auto"/>
      </w:divBdr>
    </w:div>
    <w:div w:id="2089643828">
      <w:bodyDiv w:val="1"/>
      <w:marLeft w:val="0"/>
      <w:marRight w:val="0"/>
      <w:marTop w:val="0"/>
      <w:marBottom w:val="0"/>
      <w:divBdr>
        <w:top w:val="none" w:sz="0" w:space="0" w:color="auto"/>
        <w:left w:val="none" w:sz="0" w:space="0" w:color="auto"/>
        <w:bottom w:val="none" w:sz="0" w:space="0" w:color="auto"/>
        <w:right w:val="none" w:sz="0" w:space="0" w:color="auto"/>
      </w:divBdr>
    </w:div>
    <w:div w:id="2093967575">
      <w:bodyDiv w:val="1"/>
      <w:marLeft w:val="0"/>
      <w:marRight w:val="0"/>
      <w:marTop w:val="0"/>
      <w:marBottom w:val="0"/>
      <w:divBdr>
        <w:top w:val="none" w:sz="0" w:space="0" w:color="auto"/>
        <w:left w:val="none" w:sz="0" w:space="0" w:color="auto"/>
        <w:bottom w:val="none" w:sz="0" w:space="0" w:color="auto"/>
        <w:right w:val="none" w:sz="0" w:space="0" w:color="auto"/>
      </w:divBdr>
    </w:div>
    <w:div w:id="2095079956">
      <w:bodyDiv w:val="1"/>
      <w:marLeft w:val="0"/>
      <w:marRight w:val="0"/>
      <w:marTop w:val="0"/>
      <w:marBottom w:val="0"/>
      <w:divBdr>
        <w:top w:val="none" w:sz="0" w:space="0" w:color="auto"/>
        <w:left w:val="none" w:sz="0" w:space="0" w:color="auto"/>
        <w:bottom w:val="none" w:sz="0" w:space="0" w:color="auto"/>
        <w:right w:val="none" w:sz="0" w:space="0" w:color="auto"/>
      </w:divBdr>
    </w:div>
    <w:div w:id="2095542697">
      <w:bodyDiv w:val="1"/>
      <w:marLeft w:val="0"/>
      <w:marRight w:val="0"/>
      <w:marTop w:val="0"/>
      <w:marBottom w:val="0"/>
      <w:divBdr>
        <w:top w:val="none" w:sz="0" w:space="0" w:color="auto"/>
        <w:left w:val="none" w:sz="0" w:space="0" w:color="auto"/>
        <w:bottom w:val="none" w:sz="0" w:space="0" w:color="auto"/>
        <w:right w:val="none" w:sz="0" w:space="0" w:color="auto"/>
      </w:divBdr>
    </w:div>
    <w:div w:id="2100249993">
      <w:bodyDiv w:val="1"/>
      <w:marLeft w:val="0"/>
      <w:marRight w:val="0"/>
      <w:marTop w:val="0"/>
      <w:marBottom w:val="0"/>
      <w:divBdr>
        <w:top w:val="none" w:sz="0" w:space="0" w:color="auto"/>
        <w:left w:val="none" w:sz="0" w:space="0" w:color="auto"/>
        <w:bottom w:val="none" w:sz="0" w:space="0" w:color="auto"/>
        <w:right w:val="none" w:sz="0" w:space="0" w:color="auto"/>
      </w:divBdr>
    </w:div>
    <w:div w:id="2102288660">
      <w:bodyDiv w:val="1"/>
      <w:marLeft w:val="0"/>
      <w:marRight w:val="0"/>
      <w:marTop w:val="0"/>
      <w:marBottom w:val="0"/>
      <w:divBdr>
        <w:top w:val="none" w:sz="0" w:space="0" w:color="auto"/>
        <w:left w:val="none" w:sz="0" w:space="0" w:color="auto"/>
        <w:bottom w:val="none" w:sz="0" w:space="0" w:color="auto"/>
        <w:right w:val="none" w:sz="0" w:space="0" w:color="auto"/>
      </w:divBdr>
    </w:div>
    <w:div w:id="2104916605">
      <w:bodyDiv w:val="1"/>
      <w:marLeft w:val="0"/>
      <w:marRight w:val="0"/>
      <w:marTop w:val="0"/>
      <w:marBottom w:val="0"/>
      <w:divBdr>
        <w:top w:val="none" w:sz="0" w:space="0" w:color="auto"/>
        <w:left w:val="none" w:sz="0" w:space="0" w:color="auto"/>
        <w:bottom w:val="none" w:sz="0" w:space="0" w:color="auto"/>
        <w:right w:val="none" w:sz="0" w:space="0" w:color="auto"/>
      </w:divBdr>
    </w:div>
    <w:div w:id="2106805354">
      <w:bodyDiv w:val="1"/>
      <w:marLeft w:val="0"/>
      <w:marRight w:val="0"/>
      <w:marTop w:val="0"/>
      <w:marBottom w:val="0"/>
      <w:divBdr>
        <w:top w:val="none" w:sz="0" w:space="0" w:color="auto"/>
        <w:left w:val="none" w:sz="0" w:space="0" w:color="auto"/>
        <w:bottom w:val="none" w:sz="0" w:space="0" w:color="auto"/>
        <w:right w:val="none" w:sz="0" w:space="0" w:color="auto"/>
      </w:divBdr>
    </w:div>
    <w:div w:id="2107846755">
      <w:bodyDiv w:val="1"/>
      <w:marLeft w:val="0"/>
      <w:marRight w:val="0"/>
      <w:marTop w:val="0"/>
      <w:marBottom w:val="0"/>
      <w:divBdr>
        <w:top w:val="none" w:sz="0" w:space="0" w:color="auto"/>
        <w:left w:val="none" w:sz="0" w:space="0" w:color="auto"/>
        <w:bottom w:val="none" w:sz="0" w:space="0" w:color="auto"/>
        <w:right w:val="none" w:sz="0" w:space="0" w:color="auto"/>
      </w:divBdr>
    </w:div>
    <w:div w:id="2110587299">
      <w:bodyDiv w:val="1"/>
      <w:marLeft w:val="0"/>
      <w:marRight w:val="0"/>
      <w:marTop w:val="0"/>
      <w:marBottom w:val="0"/>
      <w:divBdr>
        <w:top w:val="none" w:sz="0" w:space="0" w:color="auto"/>
        <w:left w:val="none" w:sz="0" w:space="0" w:color="auto"/>
        <w:bottom w:val="none" w:sz="0" w:space="0" w:color="auto"/>
        <w:right w:val="none" w:sz="0" w:space="0" w:color="auto"/>
      </w:divBdr>
    </w:div>
    <w:div w:id="2113478715">
      <w:bodyDiv w:val="1"/>
      <w:marLeft w:val="0"/>
      <w:marRight w:val="0"/>
      <w:marTop w:val="0"/>
      <w:marBottom w:val="0"/>
      <w:divBdr>
        <w:top w:val="none" w:sz="0" w:space="0" w:color="auto"/>
        <w:left w:val="none" w:sz="0" w:space="0" w:color="auto"/>
        <w:bottom w:val="none" w:sz="0" w:space="0" w:color="auto"/>
        <w:right w:val="none" w:sz="0" w:space="0" w:color="auto"/>
      </w:divBdr>
    </w:div>
    <w:div w:id="2113552454">
      <w:bodyDiv w:val="1"/>
      <w:marLeft w:val="0"/>
      <w:marRight w:val="0"/>
      <w:marTop w:val="0"/>
      <w:marBottom w:val="0"/>
      <w:divBdr>
        <w:top w:val="none" w:sz="0" w:space="0" w:color="auto"/>
        <w:left w:val="none" w:sz="0" w:space="0" w:color="auto"/>
        <w:bottom w:val="none" w:sz="0" w:space="0" w:color="auto"/>
        <w:right w:val="none" w:sz="0" w:space="0" w:color="auto"/>
      </w:divBdr>
    </w:div>
    <w:div w:id="2118402852">
      <w:bodyDiv w:val="1"/>
      <w:marLeft w:val="0"/>
      <w:marRight w:val="0"/>
      <w:marTop w:val="0"/>
      <w:marBottom w:val="0"/>
      <w:divBdr>
        <w:top w:val="none" w:sz="0" w:space="0" w:color="auto"/>
        <w:left w:val="none" w:sz="0" w:space="0" w:color="auto"/>
        <w:bottom w:val="none" w:sz="0" w:space="0" w:color="auto"/>
        <w:right w:val="none" w:sz="0" w:space="0" w:color="auto"/>
      </w:divBdr>
    </w:div>
    <w:div w:id="2118673875">
      <w:bodyDiv w:val="1"/>
      <w:marLeft w:val="0"/>
      <w:marRight w:val="0"/>
      <w:marTop w:val="0"/>
      <w:marBottom w:val="0"/>
      <w:divBdr>
        <w:top w:val="none" w:sz="0" w:space="0" w:color="auto"/>
        <w:left w:val="none" w:sz="0" w:space="0" w:color="auto"/>
        <w:bottom w:val="none" w:sz="0" w:space="0" w:color="auto"/>
        <w:right w:val="none" w:sz="0" w:space="0" w:color="auto"/>
      </w:divBdr>
    </w:div>
    <w:div w:id="2118792175">
      <w:bodyDiv w:val="1"/>
      <w:marLeft w:val="0"/>
      <w:marRight w:val="0"/>
      <w:marTop w:val="0"/>
      <w:marBottom w:val="0"/>
      <w:divBdr>
        <w:top w:val="none" w:sz="0" w:space="0" w:color="auto"/>
        <w:left w:val="none" w:sz="0" w:space="0" w:color="auto"/>
        <w:bottom w:val="none" w:sz="0" w:space="0" w:color="auto"/>
        <w:right w:val="none" w:sz="0" w:space="0" w:color="auto"/>
      </w:divBdr>
    </w:div>
    <w:div w:id="2121102899">
      <w:bodyDiv w:val="1"/>
      <w:marLeft w:val="0"/>
      <w:marRight w:val="0"/>
      <w:marTop w:val="0"/>
      <w:marBottom w:val="0"/>
      <w:divBdr>
        <w:top w:val="none" w:sz="0" w:space="0" w:color="auto"/>
        <w:left w:val="none" w:sz="0" w:space="0" w:color="auto"/>
        <w:bottom w:val="none" w:sz="0" w:space="0" w:color="auto"/>
        <w:right w:val="none" w:sz="0" w:space="0" w:color="auto"/>
      </w:divBdr>
    </w:div>
    <w:div w:id="2122986851">
      <w:bodyDiv w:val="1"/>
      <w:marLeft w:val="0"/>
      <w:marRight w:val="0"/>
      <w:marTop w:val="0"/>
      <w:marBottom w:val="0"/>
      <w:divBdr>
        <w:top w:val="none" w:sz="0" w:space="0" w:color="auto"/>
        <w:left w:val="none" w:sz="0" w:space="0" w:color="auto"/>
        <w:bottom w:val="none" w:sz="0" w:space="0" w:color="auto"/>
        <w:right w:val="none" w:sz="0" w:space="0" w:color="auto"/>
      </w:divBdr>
    </w:div>
    <w:div w:id="2124687534">
      <w:bodyDiv w:val="1"/>
      <w:marLeft w:val="0"/>
      <w:marRight w:val="0"/>
      <w:marTop w:val="0"/>
      <w:marBottom w:val="0"/>
      <w:divBdr>
        <w:top w:val="none" w:sz="0" w:space="0" w:color="auto"/>
        <w:left w:val="none" w:sz="0" w:space="0" w:color="auto"/>
        <w:bottom w:val="none" w:sz="0" w:space="0" w:color="auto"/>
        <w:right w:val="none" w:sz="0" w:space="0" w:color="auto"/>
      </w:divBdr>
    </w:div>
    <w:div w:id="2126121742">
      <w:bodyDiv w:val="1"/>
      <w:marLeft w:val="0"/>
      <w:marRight w:val="0"/>
      <w:marTop w:val="0"/>
      <w:marBottom w:val="0"/>
      <w:divBdr>
        <w:top w:val="none" w:sz="0" w:space="0" w:color="auto"/>
        <w:left w:val="none" w:sz="0" w:space="0" w:color="auto"/>
        <w:bottom w:val="none" w:sz="0" w:space="0" w:color="auto"/>
        <w:right w:val="none" w:sz="0" w:space="0" w:color="auto"/>
      </w:divBdr>
    </w:div>
    <w:div w:id="2126538562">
      <w:bodyDiv w:val="1"/>
      <w:marLeft w:val="0"/>
      <w:marRight w:val="0"/>
      <w:marTop w:val="0"/>
      <w:marBottom w:val="0"/>
      <w:divBdr>
        <w:top w:val="none" w:sz="0" w:space="0" w:color="auto"/>
        <w:left w:val="none" w:sz="0" w:space="0" w:color="auto"/>
        <w:bottom w:val="none" w:sz="0" w:space="0" w:color="auto"/>
        <w:right w:val="none" w:sz="0" w:space="0" w:color="auto"/>
      </w:divBdr>
    </w:div>
    <w:div w:id="2128741071">
      <w:bodyDiv w:val="1"/>
      <w:marLeft w:val="0"/>
      <w:marRight w:val="0"/>
      <w:marTop w:val="0"/>
      <w:marBottom w:val="0"/>
      <w:divBdr>
        <w:top w:val="none" w:sz="0" w:space="0" w:color="auto"/>
        <w:left w:val="none" w:sz="0" w:space="0" w:color="auto"/>
        <w:bottom w:val="none" w:sz="0" w:space="0" w:color="auto"/>
        <w:right w:val="none" w:sz="0" w:space="0" w:color="auto"/>
      </w:divBdr>
    </w:div>
    <w:div w:id="2128816730">
      <w:bodyDiv w:val="1"/>
      <w:marLeft w:val="0"/>
      <w:marRight w:val="0"/>
      <w:marTop w:val="0"/>
      <w:marBottom w:val="0"/>
      <w:divBdr>
        <w:top w:val="none" w:sz="0" w:space="0" w:color="auto"/>
        <w:left w:val="none" w:sz="0" w:space="0" w:color="auto"/>
        <w:bottom w:val="none" w:sz="0" w:space="0" w:color="auto"/>
        <w:right w:val="none" w:sz="0" w:space="0" w:color="auto"/>
      </w:divBdr>
    </w:div>
    <w:div w:id="2130123094">
      <w:bodyDiv w:val="1"/>
      <w:marLeft w:val="0"/>
      <w:marRight w:val="0"/>
      <w:marTop w:val="0"/>
      <w:marBottom w:val="0"/>
      <w:divBdr>
        <w:top w:val="none" w:sz="0" w:space="0" w:color="auto"/>
        <w:left w:val="none" w:sz="0" w:space="0" w:color="auto"/>
        <w:bottom w:val="none" w:sz="0" w:space="0" w:color="auto"/>
        <w:right w:val="none" w:sz="0" w:space="0" w:color="auto"/>
      </w:divBdr>
    </w:div>
    <w:div w:id="2131703157">
      <w:bodyDiv w:val="1"/>
      <w:marLeft w:val="0"/>
      <w:marRight w:val="0"/>
      <w:marTop w:val="0"/>
      <w:marBottom w:val="0"/>
      <w:divBdr>
        <w:top w:val="none" w:sz="0" w:space="0" w:color="auto"/>
        <w:left w:val="none" w:sz="0" w:space="0" w:color="auto"/>
        <w:bottom w:val="none" w:sz="0" w:space="0" w:color="auto"/>
        <w:right w:val="none" w:sz="0" w:space="0" w:color="auto"/>
      </w:divBdr>
    </w:div>
    <w:div w:id="2132936799">
      <w:bodyDiv w:val="1"/>
      <w:marLeft w:val="0"/>
      <w:marRight w:val="0"/>
      <w:marTop w:val="0"/>
      <w:marBottom w:val="0"/>
      <w:divBdr>
        <w:top w:val="none" w:sz="0" w:space="0" w:color="auto"/>
        <w:left w:val="none" w:sz="0" w:space="0" w:color="auto"/>
        <w:bottom w:val="none" w:sz="0" w:space="0" w:color="auto"/>
        <w:right w:val="none" w:sz="0" w:space="0" w:color="auto"/>
      </w:divBdr>
    </w:div>
    <w:div w:id="2137327417">
      <w:bodyDiv w:val="1"/>
      <w:marLeft w:val="0"/>
      <w:marRight w:val="0"/>
      <w:marTop w:val="0"/>
      <w:marBottom w:val="0"/>
      <w:divBdr>
        <w:top w:val="none" w:sz="0" w:space="0" w:color="auto"/>
        <w:left w:val="none" w:sz="0" w:space="0" w:color="auto"/>
        <w:bottom w:val="none" w:sz="0" w:space="0" w:color="auto"/>
        <w:right w:val="none" w:sz="0" w:space="0" w:color="auto"/>
      </w:divBdr>
    </w:div>
    <w:div w:id="2138326988">
      <w:bodyDiv w:val="1"/>
      <w:marLeft w:val="0"/>
      <w:marRight w:val="0"/>
      <w:marTop w:val="0"/>
      <w:marBottom w:val="0"/>
      <w:divBdr>
        <w:top w:val="none" w:sz="0" w:space="0" w:color="auto"/>
        <w:left w:val="none" w:sz="0" w:space="0" w:color="auto"/>
        <w:bottom w:val="none" w:sz="0" w:space="0" w:color="auto"/>
        <w:right w:val="none" w:sz="0" w:space="0" w:color="auto"/>
      </w:divBdr>
    </w:div>
    <w:div w:id="2140106320">
      <w:bodyDiv w:val="1"/>
      <w:marLeft w:val="0"/>
      <w:marRight w:val="0"/>
      <w:marTop w:val="0"/>
      <w:marBottom w:val="0"/>
      <w:divBdr>
        <w:top w:val="none" w:sz="0" w:space="0" w:color="auto"/>
        <w:left w:val="none" w:sz="0" w:space="0" w:color="auto"/>
        <w:bottom w:val="none" w:sz="0" w:space="0" w:color="auto"/>
        <w:right w:val="none" w:sz="0" w:space="0" w:color="auto"/>
      </w:divBdr>
    </w:div>
    <w:div w:id="2140371599">
      <w:bodyDiv w:val="1"/>
      <w:marLeft w:val="0"/>
      <w:marRight w:val="0"/>
      <w:marTop w:val="0"/>
      <w:marBottom w:val="0"/>
      <w:divBdr>
        <w:top w:val="none" w:sz="0" w:space="0" w:color="auto"/>
        <w:left w:val="none" w:sz="0" w:space="0" w:color="auto"/>
        <w:bottom w:val="none" w:sz="0" w:space="0" w:color="auto"/>
        <w:right w:val="none" w:sz="0" w:space="0" w:color="auto"/>
      </w:divBdr>
    </w:div>
    <w:div w:id="2141146427">
      <w:bodyDiv w:val="1"/>
      <w:marLeft w:val="0"/>
      <w:marRight w:val="0"/>
      <w:marTop w:val="0"/>
      <w:marBottom w:val="0"/>
      <w:divBdr>
        <w:top w:val="none" w:sz="0" w:space="0" w:color="auto"/>
        <w:left w:val="none" w:sz="0" w:space="0" w:color="auto"/>
        <w:bottom w:val="none" w:sz="0" w:space="0" w:color="auto"/>
        <w:right w:val="none" w:sz="0" w:space="0" w:color="auto"/>
      </w:divBdr>
    </w:div>
    <w:div w:id="214153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aihw.gov.au/reports/radiotherapy/radiotherapy-in-australia-2018-19/contents/introduction" TargetMode="External"/><Relationship Id="rId26"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s://www.aihw.gov.au/reports/cancer/cancer-data-in-australia/contents/cancer-summary-data-visualisation" TargetMode="External"/><Relationship Id="rId17" Type="http://schemas.openxmlformats.org/officeDocument/2006/relationships/header" Target="header2.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aihw.gov.au/reports/radiotherapy/radiotherapy-in-australia-2018-19/contents/introduction" TargetMode="External"/><Relationship Id="rId28"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news-room/fact-sheets/detail/human-papillomavirus-(hpv)-and-cervical-canc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vi.l\Desktop\Templates\2019%20Report%20Landscape.dotx" TargetMode="External"/></Relationships>
</file>

<file path=word/theme/theme1.xml><?xml version="1.0" encoding="utf-8"?>
<a:theme xmlns:a="http://schemas.openxmlformats.org/drawingml/2006/main" name="Office Theme">
  <a:themeElements>
    <a:clrScheme name="HMA">
      <a:dk1>
        <a:sysClr val="windowText" lastClr="000000"/>
      </a:dk1>
      <a:lt1>
        <a:sysClr val="window" lastClr="FFFFFF"/>
      </a:lt1>
      <a:dk2>
        <a:srgbClr val="787878"/>
      </a:dk2>
      <a:lt2>
        <a:srgbClr val="FFF200"/>
      </a:lt2>
      <a:accent1>
        <a:srgbClr val="FFF200"/>
      </a:accent1>
      <a:accent2>
        <a:srgbClr val="4B4B4B"/>
      </a:accent2>
      <a:accent3>
        <a:srgbClr val="787878"/>
      </a:accent3>
      <a:accent4>
        <a:srgbClr val="A0A0A0"/>
      </a:accent4>
      <a:accent5>
        <a:srgbClr val="BEBEBE"/>
      </a:accent5>
      <a:accent6>
        <a:srgbClr val="DCDCDC"/>
      </a:accent6>
      <a:hlink>
        <a:srgbClr val="787878"/>
      </a:hlink>
      <a:folHlink>
        <a:srgbClr val="BEBEBE"/>
      </a:folHlink>
    </a:clrScheme>
    <a:fontScheme name="HMA">
      <a:majorFont>
        <a:latin typeface="Franklin Gothic Book"/>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Aus18</b:Tag>
    <b:SourceType>Report</b:SourceType>
    <b:Guid>{03D75D24-E876-483D-B298-E6B93E7F65A4}</b:Guid>
    <b:Title>Health expenditure Australia</b:Title>
    <b:Year>2017-18</b:Year>
    <b:Author>
      <b:Author>
        <b:Corporate>Australian Institute of Health and Welfare</b:Corporate>
      </b:Author>
    </b:Author>
    <b:Publisher>Commonwealth Government</b:Publisher>
    <b:City>Canberra</b:City>
    <b:RefOrder>28</b:RefOrder>
  </b:Source>
  <b:Source>
    <b:Tag>MPC16</b:Tag>
    <b:SourceType>Report</b:SourceType>
    <b:Guid>{B8AE4F6A-D33B-45C5-8321-01A0BEE4E7C9}</b:Guid>
    <b:Title>Review Oncology Health Program Grants Scheme</b:Title>
    <b:Year>2016</b:Year>
    <b:Author>
      <b:Author>
        <b:Corporate>MP Consulting</b:Corporate>
      </b:Author>
    </b:Author>
    <b:Publisher>Commonwealth Department of Health</b:Publisher>
    <b:City>Canberra</b:City>
    <b:RefOrder>1</b:RefOrder>
  </b:Source>
  <b:Source>
    <b:Tag>Roy17</b:Tag>
    <b:SourceType>InternetSite</b:SourceType>
    <b:Guid>{C7A2316A-24FC-4DBF-BD9F-A28E4E96A7E5}</b:Guid>
    <b:Author>
      <b:Author>
        <b:Corporate>Royal Australian and New Zealand College of Radiologists</b:Corporate>
      </b:Author>
    </b:Author>
    <b:Title>External Beam Radiation Therapy</b:Title>
    <b:Year>2017</b:Year>
    <b:YearAccessed>2020</b:YearAccessed>
    <b:URL>https://www.targetingcancer.com.au/radiation-therapy/ebrt/</b:URL>
    <b:RefOrder>3</b:RefOrder>
  </b:Source>
  <b:Source>
    <b:Tag>Nat19</b:Tag>
    <b:SourceType>InternetSite</b:SourceType>
    <b:Guid>{85F3F2A8-D8E2-4466-BED5-EEF7BDF53CA1}</b:Guid>
    <b:Title>Radiation Therapy </b:Title>
    <b:Year>2019</b:Year>
    <b:Author>
      <b:Author>
        <b:Corporate>National Cancer Institute</b:Corporate>
      </b:Author>
    </b:Author>
    <b:ProductionCompany>US Department of Health and Human Services</b:ProductionCompany>
    <b:Month>January</b:Month>
    <b:Day>8</b:Day>
    <b:YearAccessed>2020</b:YearAccessed>
    <b:MonthAccessed>July</b:MonthAccessed>
    <b:DayAccessed>13</b:DayAccessed>
    <b:URL>https://www.cancer.gov/about-cancer/treatment/types/radiation-therapy#:~:text=Radiation%20therapy%20(also%20called%20radiotherapy,your%20teeth%20or%20broken%20bones.</b:URL>
    <b:RefOrder>2</b:RefOrder>
  </b:Source>
  <b:Source>
    <b:Tag>Pet20</b:Tag>
    <b:SourceType>InternetSite</b:SourceType>
    <b:Guid>{7E93504C-E542-4037-B1EB-8EC76BB94B66}</b:Guid>
    <b:Author>
      <b:Author>
        <b:Corporate>Peter MacCallum Cancer Centre</b:Corporate>
      </b:Author>
    </b:Author>
    <b:Title>Radiation Therapy</b:Title>
    <b:Year>2020</b:Year>
    <b:YearAccessed>2020</b:YearAccessed>
    <b:URL>https://www.petermac.org/services/treatment/radiation-therapy/types-radiation-therapy/stereotactic-radiosurgery-srs</b:URL>
    <b:RefOrder>4</b:RefOrder>
  </b:Source>
  <b:Source>
    <b:Tag>JEp13</b:Tag>
    <b:SourceType>JournalArticle</b:SourceType>
    <b:Guid>{D0E5F8D4-A33E-493E-BA7F-4DE3C7F21FD1}</b:Guid>
    <b:Author>
      <b:Author>
        <b:NameList>
          <b:Person>
            <b:Last>Jeppsen</b:Last>
            <b:First>S</b:First>
            <b:Middle>S</b:Middle>
          </b:Person>
          <b:Person>
            <b:Last>Schyette</b:Last>
            <b:First>T</b:First>
          </b:Person>
          <b:Person>
            <b:Last>Jensen</b:Last>
            <b:First>H</b:First>
            <b:Middle>R: Brink, C</b:Middle>
          </b:Person>
          <b:Person>
            <b:Last>Hansen</b:Last>
            <b:First>O</b:First>
          </b:Person>
        </b:NameList>
      </b:Author>
    </b:Author>
    <b:Title>Stereotactic body radiation therapy versus conventional radiation therapy in patients with early stage non-small cell lung cancer: An updated retrospective study on local failure and survival rates</b:Title>
    <b:JournalName>Acta Oncologica</b:JournalName>
    <b:Year>2013</b:Year>
    <b:Volume>52</b:Volume>
    <b:Issue>7</b:Issue>
    <b:RefOrder>5</b:RefOrder>
  </b:Source>
  <b:Source>
    <b:Tag>Col13</b:Tag>
    <b:SourceType>Report</b:SourceType>
    <b:Guid>{EE7AD5CB-391E-4FFA-B086-24E7E4B07B07}</b:Guid>
    <b:Author>
      <b:Author>
        <b:Corporate>Collaboration for Cancer Outcomes Research and Evaluation &amp; Ingham Institute of Applied Medical Research</b:Corporate>
      </b:Author>
    </b:Author>
    <b:Title>Review of Optimal Radiotherapy Utilisation Rates</b:Title>
    <b:Year>2013</b:Year>
    <b:Publisher>Australian Government Department of Health and Ageing </b:Publisher>
    <b:City>Canberra</b:City>
    <b:RefOrder>6</b:RefOrder>
  </b:Source>
  <b:Source>
    <b:Tag>Cor18</b:Tag>
    <b:SourceType>JournalArticle</b:SourceType>
    <b:Guid>{D0DB9247-4B91-4C4D-A5F1-0B422EE97E65}</b:Guid>
    <b:Title>Radiotherapy bunker design as a function of treatment technique. Economic impact evaluation. </b:Title>
    <b:Year>2018</b:Year>
    <b:Author>
      <b:Author>
        <b:NameList>
          <b:Person>
            <b:Last>Corregidor</b:Last>
            <b:First>V</b:First>
          </b:Person>
        </b:NameList>
      </b:Author>
    </b:Author>
    <b:JournalName>Instituto Superior Technico</b:JournalName>
    <b:RefOrder>7</b:RefOrder>
  </b:Source>
  <b:Source>
    <b:Tag>Fre11</b:Tag>
    <b:SourceType>JournalArticle</b:SourceType>
    <b:Guid>{49BA4DD0-CE3A-4B85-96DD-AF579EC887A3}</b:Guid>
    <b:Author>
      <b:Author>
        <b:NameList>
          <b:Person>
            <b:Last>Freeman</b:Last>
            <b:First>D</b:First>
            <b:Middle>E</b:Middle>
          </b:Person>
          <b:Person>
            <b:Last>King</b:Last>
            <b:First>C</b:First>
            <b:Middle>R</b:Middle>
          </b:Person>
        </b:NameList>
      </b:Author>
    </b:Author>
    <b:Title>Stereotactic body radiotherapy for low-risk prostate cancer: five-year outcomes</b:Title>
    <b:JournalName>Radiation Oncology</b:JournalName>
    <b:Year>2011</b:Year>
    <b:Pages>1-5</b:Pages>
    <b:Volume>6</b:Volume>
    <b:Issue>1</b:Issue>
    <b:RefOrder>23</b:RefOrder>
  </b:Source>
  <b:Source>
    <b:Tag>Bas12</b:Tag>
    <b:SourceType>JournalArticle</b:SourceType>
    <b:Guid>{5F26EC55-DB32-494E-A45D-1F28812F0699}</b:Guid>
    <b:Author>
      <b:Author>
        <b:NameList>
          <b:Person>
            <b:Last>Baskar</b:Last>
            <b:First>R</b:First>
          </b:Person>
          <b:Person>
            <b:Last>Lee</b:Last>
            <b:First>K</b:First>
            <b:Middle>A</b:Middle>
          </b:Person>
          <b:Person>
            <b:Last>Yeo</b:Last>
            <b:First>R</b:First>
          </b:Person>
          <b:Person>
            <b:Last>Yeoh</b:Last>
            <b:First>K-W</b:First>
          </b:Person>
        </b:NameList>
      </b:Author>
    </b:Author>
    <b:Title>Cancer and Radiation Therapy: Current Advances and Future Directions</b:Title>
    <b:JournalName>International Journal of Medical Sciences</b:JournalName>
    <b:Year>2012</b:Year>
    <b:Pages>193-199</b:Pages>
    <b:Volume>9</b:Volume>
    <b:Issue>3</b:Issue>
    <b:RefOrder>24</b:RefOrder>
  </b:Source>
  <b:Source>
    <b:Tag>Fon12</b:Tag>
    <b:SourceType>JournalArticle</b:SourceType>
    <b:Guid>{00BC7549-DFF1-4CD2-8056-556D61430FAB}</b:Guid>
    <b:Author>
      <b:Author>
        <b:NameList>
          <b:Person>
            <b:Last>Fong</b:Last>
            <b:First>A</b:First>
          </b:Person>
          <b:Person>
            <b:Last>Shafiq</b:Last>
            <b:First>Saunders,</b:First>
            <b:Middle>C</b:Middle>
          </b:Person>
          <b:Person>
            <b:Last>Thompson</b:Last>
            <b:First>A</b:First>
            <b:Middle>M</b:Middle>
          </b:Person>
          <b:Person>
            <b:Last>Tyldesley</b:Last>
            <b:First>S</b:First>
          </b:Person>
          <b:Person>
            <b:Last>Olivotto</b:Last>
            <b:First>I</b:First>
            <b:Middle>A</b:Middle>
          </b:Person>
          <b:Person>
            <b:Last>Barton</b:Last>
            <b:First>M</b:First>
            <b:Middle>B</b:Middle>
          </b:Person>
          <b:Person>
            <b:Last>Dewar</b:Last>
            <b:First>J</b:First>
            <b:Middle>A</b:Middle>
          </b:Person>
          <b:Person>
            <b:Last>Jacob</b:Last>
            <b:First>S</b:First>
          </b:Person>
          <b:Person>
            <b:Last>Ng</b:Last>
            <b:First>W</b:First>
          </b:Person>
          <b:Person>
            <b:Last>Speers</b:Last>
            <b:First>Delaney,</b:First>
            <b:Middle>G P</b:Middle>
          </b:Person>
        </b:NameList>
      </b:Author>
    </b:Author>
    <b:Title>A comparison of surgical and radiotherapy breast cancer therapy utilization in Canada (British Columbia), Scotland (Dundee), and Australia (Western Australia) with models of “optimal” therapy</b:Title>
    <b:JournalName>The Breast</b:JournalName>
    <b:Year>2012</b:Year>
    <b:Pages>570-577</b:Pages>
    <b:Volume>21</b:Volume>
    <b:RefOrder>9</b:RefOrder>
  </b:Source>
  <b:Source>
    <b:Tag>Spe18</b:Tag>
    <b:SourceType>JournalArticle</b:SourceType>
    <b:Guid>{27278BF3-A993-4127-9D77-41212E861DB7}</b:Guid>
    <b:Author>
      <b:Author>
        <b:NameList>
          <b:Person>
            <b:Last>Spencer</b:Last>
            <b:First>K</b:First>
          </b:Person>
          <b:Person>
            <b:Last>Parrish</b:Last>
            <b:First>R</b:First>
          </b:Person>
          <b:Person>
            <b:Last>Barton</b:Last>
            <b:First>R</b:First>
          </b:Person>
          <b:Person>
            <b:Last>Henry</b:Last>
            <b:First>A</b:First>
          </b:Person>
        </b:NameList>
      </b:Author>
    </b:Author>
    <b:Title>Palliative radiotherapy</b:Title>
    <b:JournalName>British Medical Journal</b:JournalName>
    <b:Year>2018</b:Year>
    <b:RefOrder>25</b:RefOrder>
  </b:Source>
  <b:Source>
    <b:Tag>Fea17</b:Tag>
    <b:SourceType>JournalArticle</b:SourceType>
    <b:Guid>{D0C36B25-DA23-4DA6-85F0-0EF28E6C670C}</b:Guid>
    <b:Author>
      <b:Author>
        <b:NameList>
          <b:Person>
            <b:Last>Feain</b:Last>
            <b:First>I</b:First>
            <b:Middle>J</b:Middle>
          </b:Person>
          <b:Person>
            <b:Last>Court</b:Last>
            <b:First>L</b:First>
          </b:Person>
          <b:Person>
            <b:Last>Palta</b:Last>
            <b:First>J</b:First>
            <b:Middle>R</b:Middle>
          </b:Person>
          <b:Person>
            <b:Last>Beddar</b:Last>
            <b:First>S</b:First>
          </b:Person>
          <b:Person>
            <b:Last>Keall</b:Last>
            <b:First>P</b:First>
          </b:Person>
        </b:NameList>
      </b:Author>
    </b:Author>
    <b:Title>Innovations in Radiotherapy Technology</b:Title>
    <b:JournalName>Clinical Oncology</b:JournalName>
    <b:Year>2017</b:Year>
    <b:Pages>120-128</b:Pages>
    <b:Volume>29</b:Volume>
    <b:RefOrder>8</b:RefOrder>
  </b:Source>
  <b:Source>
    <b:Tag>Bar14</b:Tag>
    <b:SourceType>JournalArticle</b:SourceType>
    <b:Guid>{506D06C8-076F-4D4D-BCA2-336A5AED8721}</b:Guid>
    <b:Author>
      <b:Author>
        <b:NameList>
          <b:Person>
            <b:Last>Barton</b:Last>
            <b:First>M</b:First>
            <b:Middle>V</b:Middle>
          </b:Person>
          <b:Person>
            <b:Last>Jacob</b:Last>
            <b:First>S</b:First>
          </b:Person>
          <b:Person>
            <b:Last>Shafiq</b:Last>
            <b:First>J</b:First>
          </b:Person>
          <b:Person>
            <b:Last>Wong</b:Last>
            <b:First>K</b:First>
          </b:Person>
          <b:Person>
            <b:Last>Thompson</b:Last>
            <b:First>S</b:First>
            <b:Middle>R</b:Middle>
          </b:Person>
          <b:Person>
            <b:Last>Hannah</b:Last>
            <b:First>T</b:First>
            <b:Middle>P</b:Middle>
          </b:Person>
          <b:Person>
            <b:Last>Delaney</b:Last>
            <b:First>G</b:First>
            <b:Middle>P</b:Middle>
          </b:Person>
        </b:NameList>
      </b:Author>
    </b:Author>
    <b:Title>Estimating the demand for radiotherapy from the evidence: A review of changes from 2003 to 2012</b:Title>
    <b:JournalName>Radiotherapy and Oncology</b:JournalName>
    <b:Year>2014</b:Year>
    <b:Pages>140-144</b:Pages>
    <b:Volume>122</b:Volume>
    <b:RefOrder>10</b:RefOrder>
  </b:Source>
  <b:Source>
    <b:Tag>Won16</b:Tag>
    <b:SourceType>JournalArticle</b:SourceType>
    <b:Guid>{C2FA0A0D-CA1E-40C3-9FB2-57F9A3A7C751}</b:Guid>
    <b:Author>
      <b:Author>
        <b:NameList>
          <b:Person>
            <b:Last>Wong</b:Last>
            <b:First>K</b:First>
          </b:Person>
          <b:Person>
            <b:Last>Delaney</b:Last>
            <b:First>G</b:First>
            <b:Middle>P</b:Middle>
          </b:Person>
          <b:Person>
            <b:Last>Barton</b:Last>
            <b:First>M</b:First>
            <b:Middle>B</b:Middle>
          </b:Person>
        </b:NameList>
      </b:Author>
    </b:Author>
    <b:Title>Evidence-based optimal number of radiotherapy fractions for cancer: A useful tool to estimate radiotherapy demand</b:Title>
    <b:JournalName>Radiotherapy and Oncology</b:JournalName>
    <b:Year>2016</b:Year>
    <b:Pages>145-149</b:Pages>
    <b:Volume>119</b:Volume>
    <b:RefOrder>11</b:RefOrder>
  </b:Source>
  <b:Source>
    <b:Tag>Del15</b:Tag>
    <b:SourceType>JournalArticle</b:SourceType>
    <b:Guid>{BF28F78E-8A0D-4696-82BF-0C68458D46DD}</b:Guid>
    <b:Author>
      <b:Author>
        <b:NameList>
          <b:Person>
            <b:Last>Delaney</b:Last>
            <b:First>G</b:First>
            <b:Middle>P</b:Middle>
          </b:Person>
          <b:Person>
            <b:Last>Barton</b:Last>
            <b:First>M</b:First>
            <b:Middle>B</b:Middle>
          </b:Person>
        </b:NameList>
      </b:Author>
    </b:Author>
    <b:Title>Evidence-based estimates of the demand for radiotherapy</b:Title>
    <b:JournalName>Clinical Oncology</b:JournalName>
    <b:Year>2015</b:Year>
    <b:Pages>70-76</b:Pages>
    <b:Volume>27</b:Volume>
    <b:RefOrder>12</b:RefOrder>
  </b:Source>
  <b:Source>
    <b:Tag>But17</b:Tag>
    <b:SourceType>JournalArticle</b:SourceType>
    <b:Guid>{0AA97C12-C196-4CBB-B300-935162BED7CB}</b:Guid>
    <b:Author>
      <b:Author>
        <b:NameList>
          <b:Person>
            <b:Last>Butler</b:Last>
            <b:First>S</b:First>
            <b:Middle>M</b:Middle>
          </b:Person>
        </b:NameList>
      </b:Author>
    </b:Author>
    <b:Title>Changes to radiotherapy utilisation in Western NSW after the opening of a local service</b:Title>
    <b:JournalName>Journal of Medical Radiation Sciences</b:JournalName>
    <b:Year>2017</b:Year>
    <b:Pages>251-257</b:Pages>
    <b:Volume>64</b:Volume>
    <b:Issue>4</b:Issue>
    <b:RefOrder>14</b:RefOrder>
  </b:Source>
  <b:Source>
    <b:Tag>Bat18</b:Tag>
    <b:SourceType>JournalArticle</b:SourceType>
    <b:Guid>{4FB69115-AB7B-4508-9DF7-C832BCD0719A}</b:Guid>
    <b:Author>
      <b:Author>
        <b:NameList>
          <b:Person>
            <b:Last>Batumalai</b:Last>
            <b:First>V</b:First>
          </b:Person>
          <b:Person>
            <b:Last>Shafiq</b:Last>
            <b:First>J</b:First>
          </b:Person>
          <b:Person>
            <b:Last>Gabriel</b:Last>
            <b:First>G</b:First>
          </b:Person>
          <b:Person>
            <b:Last>Hannah</b:Last>
            <b:First>T</b:First>
            <b:Middle>P</b:Middle>
          </b:Person>
          <b:Person>
            <b:Last>Delaney</b:Last>
            <b:First>G</b:First>
            <b:Middle>P</b:Middle>
          </b:Person>
          <b:Person>
            <b:Last>Barton</b:Last>
            <b:First>M</b:First>
          </b:Person>
        </b:NameList>
      </b:Author>
    </b:Author>
    <b:Title>Impact of radiotherapy underutilisation measured by survival shortfall, years of potential life lost and disability-adjusted life years lost in New South Wales, Australia</b:Title>
    <b:JournalName>Radiotherapy and Oncology</b:JournalName>
    <b:Year>2018</b:Year>
    <b:RefOrder>15</b:RefOrder>
  </b:Source>
  <b:Source>
    <b:Tag>Hen14</b:Tag>
    <b:SourceType>JournalArticle</b:SourceType>
    <b:Guid>{B874D82D-8910-4B17-8B24-23DF3380B9EA}</b:Guid>
    <b:Title>Radiotherapy in the Barwon South Western Region: A rural perspective</b:Title>
    <b:Year>2014</b:Year>
    <b:Author>
      <b:Author>
        <b:NameList>
          <b:Person>
            <b:Last>Henry</b:Last>
            <b:First>M</b:First>
          </b:Person>
          <b:Person>
            <b:Last>Jones</b:Last>
            <b:First>P</b:First>
          </b:Person>
          <b:Person>
            <b:Last>Morrissy</b:Last>
            <b:First>K</b:First>
          </b:Person>
          <b:Person>
            <b:Last>Matheson</b:Last>
            <b:First>L</b:First>
            <b:Middle>M</b:Middle>
          </b:Person>
          <b:Person>
            <b:Last>Pitson</b:Last>
            <b:First>G</b:First>
          </b:Person>
          <b:Person>
            <b:Last>Healy</b:Last>
            <b:First>P</b:First>
          </b:Person>
          <b:Person>
            <b:Last>Coory</b:Last>
            <b:First>M</b:First>
          </b:Person>
          <b:Person>
            <b:Last>Lynch</b:Last>
            <b:First>R</b:First>
          </b:Person>
          <b:Person>
            <b:Last>Chapman</b:Last>
            <b:First>A</b:First>
          </b:Person>
          <b:Person>
            <b:Last>Ashley</b:Last>
            <b:First>D</b:First>
          </b:Person>
        </b:NameList>
      </b:Author>
    </b:Author>
    <b:JournalName>Journal of Medical Imaging and Raditional Oncology </b:JournalName>
    <b:Pages>612-617</b:Pages>
    <b:Volume>58</b:Volume>
    <b:RefOrder>16</b:RefOrder>
  </b:Source>
  <b:Source>
    <b:Tag>Aus19</b:Tag>
    <b:SourceType>Report</b:SourceType>
    <b:Guid>{B2616BD3-31D1-49D7-B70A-09E4B624739A}</b:Guid>
    <b:Title>Radiotherapy in Australia 2017–18</b:Title>
    <b:Year>2019</b:Year>
    <b:Author>
      <b:Author>
        <b:Corporate>Australian Institute of Health and Welfare</b:Corporate>
      </b:Author>
    </b:Author>
    <b:Publisher>Commonwealth Government</b:Publisher>
    <b:City>Canberra</b:City>
    <b:RefOrder>17</b:RefOrder>
  </b:Source>
  <b:Source>
    <b:Tag>Gab15</b:Tag>
    <b:SourceType>JournalArticle</b:SourceType>
    <b:Guid>{B81AA719-7274-41EC-8329-A5AD039D6D14}</b:Guid>
    <b:Author>
      <b:Author>
        <b:NameList>
          <b:Person>
            <b:Last>Gabriel</b:Last>
            <b:First>G</b:First>
          </b:Person>
          <b:Person>
            <b:Last>Barton</b:Last>
            <b:First>M,</b:First>
            <b:Middle>Delaney, G P</b:Middle>
          </b:Person>
        </b:NameList>
      </b:Author>
    </b:Author>
    <b:Title>The effect of travel distance on radiotherapy utilization in NSW and ACT</b:Title>
    <b:JournalName>Radiotherapy and Oncology</b:JournalName>
    <b:Year>2015</b:Year>
    <b:Pages>386-389</b:Pages>
    <b:Volume>117</b:Volume>
    <b:RefOrder>19</b:RefOrder>
  </b:Source>
  <b:Source>
    <b:Tag>Aus161</b:Tag>
    <b:SourceType>Report</b:SourceType>
    <b:Guid>{FFE38471-EB34-4868-AAAE-1949965937C1}</b:Guid>
    <b:Title>Cancer Data in Australia 2020</b:Title>
    <b:Year>2016</b:Year>
    <b:Author>
      <b:Author>
        <b:Corporate>Australian Institute of Health and Welfare</b:Corporate>
      </b:Author>
    </b:Author>
    <b:Publisher>Australian Government</b:Publisher>
    <b:City>Canberra</b:City>
    <b:RefOrder>13</b:RefOrder>
  </b:Source>
  <b:Source>
    <b:Tag>Baa11</b:Tag>
    <b:SourceType>JournalArticle</b:SourceType>
    <b:Guid>{23E5EE62-AC70-404C-B1FD-BC035074128C}</b:Guid>
    <b:Author>
      <b:Author>
        <b:NameList>
          <b:Person>
            <b:Last>Baade</b:Last>
            <b:First>P</b:First>
            <b:Middle>D</b:Middle>
          </b:Person>
          <b:Person>
            <b:Last>Dasgupta</b:Last>
            <b:First>P</b:First>
          </b:Person>
          <b:Person>
            <b:Last>Aitken</b:Last>
            <b:First>J</b:First>
            <b:Middle>F</b:Middle>
          </b:Person>
          <b:Person>
            <b:Last>Turrell</b:Last>
            <b:First>G</b:First>
          </b:Person>
        </b:NameList>
      </b:Author>
    </b:Author>
    <b:Title>Distance to the closest radiotherapy facility and survival after a diagnosis of rectal cancer in Queensland </b:Title>
    <b:JournalName>Medical Journal of Australia</b:JournalName>
    <b:Year>2011</b:Year>
    <b:Pages>350-354</b:Pages>
    <b:Volume>195</b:Volume>
    <b:Issue>6</b:Issue>
    <b:RefOrder>20</b:RefOrder>
  </b:Source>
  <b:Source>
    <b:Tag>Sun15</b:Tag>
    <b:SourceType>JournalArticle</b:SourceType>
    <b:Guid>{050FC657-69D8-4A4F-8FA8-9B7E588DBA82}</b:Guid>
    <b:Title>Barriers to radiotherapy utilisation in New South Wales Australia: Health professionals' perceptions of impacting factors</b:Title>
    <b:Year>2015</b:Year>
    <b:Author>
      <b:Author>
        <b:NameList>
          <b:Person>
            <b:Last>Sundaresan</b:Last>
            <b:First>P</b:First>
          </b:Person>
          <b:Person>
            <b:Last>King</b:Last>
            <b:First>M</b:First>
            <b:Middle>T</b:Middle>
          </b:Person>
          <b:Person>
            <b:Last>Stockler</b:Last>
            <b:First>M</b:First>
            <b:Middle>R</b:Middle>
          </b:Person>
          <b:Person>
            <b:Last>Costa</b:Last>
            <b:First>D</b:First>
            <b:Middle>S J</b:Middle>
          </b:Person>
          <b:Person>
            <b:Last>Milross</b:Last>
            <b:First>C</b:First>
            <b:Middle>G</b:Middle>
          </b:Person>
        </b:NameList>
      </b:Author>
    </b:Author>
    <b:JournalName>Journal of Medical Imaging and Radition Oncology</b:JournalName>
    <b:Pages>535-541</b:Pages>
    <b:Volume>59</b:Volume>
    <b:RefOrder>21</b:RefOrder>
  </b:Source>
  <b:Source>
    <b:Tag>Lie17</b:Tag>
    <b:SourceType>JournalArticle</b:SourceType>
    <b:Guid>{EC41C245-4576-4F15-925A-163048E1C2F4}</b:Guid>
    <b:Author>
      <b:Author>
        <b:NameList>
          <b:Person>
            <b:Last>Lievens</b:Last>
            <b:First>Y</b:First>
          </b:Person>
          <b:Person>
            <b:Last>De Schutter</b:Last>
            <b:First>H</b:First>
          </b:Person>
          <b:Person>
            <b:Last>Stellamans</b:Last>
            <b:First>K</b:First>
          </b:Person>
          <b:Person>
            <b:Last>Rosskamp</b:Last>
            <b:First>M</b:First>
          </b:Person>
          <b:Person>
            <b:Last>Van Eycken</b:Last>
            <b:First>L</b:First>
          </b:Person>
          <b:Person>
            <b:Last>Oncology</b:Last>
            <b:First>Belgian</b:First>
            <b:Middle>College for Physicians in Raditional</b:Middle>
          </b:Person>
        </b:NameList>
      </b:Author>
    </b:Author>
    <b:Title>Radiotherapy access in Belgium: How far are we from evidence-based utilisation?</b:Title>
    <b:JournalName>European Journal of Cancer</b:JournalName>
    <b:Year>2017</b:Year>
    <b:Pages>102-113</b:Pages>
    <b:Volume>84</b:Volume>
    <b:RefOrder>22</b:RefOrder>
  </b:Source>
  <b:Source>
    <b:Tag>Bro14</b:Tag>
    <b:SourceType>JournalArticle</b:SourceType>
    <b:Guid>{472BCC6A-792D-442D-886B-EF8F1B569ACB}</b:Guid>
    <b:Author>
      <b:Author>
        <b:NameList>
          <b:Person>
            <b:Last>Brown</b:Last>
            <b:First>D</b:First>
            <b:Middle>W</b:Middle>
          </b:Person>
          <b:Person>
            <b:Last>Shulman</b:Last>
            <b:First>A</b:First>
          </b:Person>
          <b:Person>
            <b:Last>Hudson</b:Last>
            <b:First>A</b:First>
          </b:Person>
          <b:Person>
            <b:Last>Smith</b:Last>
            <b:First>W</b:First>
          </b:Person>
          <b:Person>
            <b:Last>Fisher</b:Last>
            <b:First>B</b:First>
          </b:Person>
          <b:Person>
            <b:Last>Hollon</b:Last>
            <b:First>J</b:First>
          </b:Person>
          <b:Person>
            <b:Last>Pipman</b:Last>
            <b:First>Y</b:First>
          </b:Person>
          <b:Person>
            <b:Last>Van Dyk</b:Last>
            <b:First>J</b:First>
          </b:Person>
          <b:Person>
            <b:Last>Einck</b:Last>
            <b:First>J</b:First>
          </b:Person>
        </b:NameList>
      </b:Author>
    </b:Author>
    <b:Title>A framework for the implementation of new radiation therapy technologies and treatment techniques in low-income countries</b:Title>
    <b:JournalName>Physica Medica</b:JournalName>
    <b:Year>2014</b:Year>
    <b:Pages>791-798</b:Pages>
    <b:Volume>30</b:Volume>
    <b:RefOrder>29</b:RefOrder>
  </b:Source>
  <b:Source>
    <b:Tag>Rad18</b:Tag>
    <b:SourceType>Report</b:SourceType>
    <b:Guid>{5FC3FDC4-659D-4246-BC33-11339F3D022F}</b:Guid>
    <b:Title>Radiation Oncology Practice Standards. Part A: Fundamentals</b:Title>
    <b:Year>2018</b:Year>
    <b:Author>
      <b:Author>
        <b:Corporate>Radiation Oncology Tripartite Committee </b:Corporate>
      </b:Author>
    </b:Author>
    <b:City>Canberra</b:City>
    <b:RefOrder>26</b:RefOrder>
  </b:Source>
  <b:Source>
    <b:Tag>Rad02</b:Tag>
    <b:SourceType>Report</b:SourceType>
    <b:Guid>{D80F617C-6CC6-47A2-9782-B661DE75099B}</b:Guid>
    <b:Author>
      <b:Author>
        <b:Corporate>Radiation Oncology Inquiry Committee</b:Corporate>
      </b:Author>
    </b:Author>
    <b:Title>A vision for Radiotherapy (the Baume Inquiry) </b:Title>
    <b:Year>2002</b:Year>
    <b:City>Canberra</b:City>
    <b:RefOrder>27</b:RefOrder>
  </b:Source>
  <b:Source>
    <b:Tag>Aus2012</b:Tag>
    <b:SourceType>InternetSite</b:SourceType>
    <b:Guid>{4AE70FE9-9823-40B1-B034-CC9952E583A0}</b:Guid>
    <b:Title>Media release: Application process open for $45 million for regional cancer centres</b:Title>
    <b:Year>2020</b:Year>
    <b:Author>
      <b:Author>
        <b:Corporate>Australian Government, Ministers Department of Health </b:Corporate>
      </b:Author>
    </b:Author>
    <b:Month>August </b:Month>
    <b:Day>13</b:Day>
    <b:YearAccessed>2020</b:YearAccessed>
    <b:URL>https://www.health.gov.au/ministers/the-hon-greg-hunt-mp/media/application-process-open-for-45-million-for-regional-cancer-centres</b:URL>
    <b:RefOrder>30</b:RefOrder>
  </b:Source>
  <b:Source>
    <b:Tag>AIH20</b:Tag>
    <b:SourceType>InternetSite</b:SourceType>
    <b:Guid>{496874C1-7C64-47E1-BF78-D92D179585DB}</b:Guid>
    <b:Title>Cancer Data in Australia</b:Title>
    <b:Year>2020</b:Year>
    <b:Author>
      <b:Author>
        <b:Corporate>AIHW</b:Corporate>
      </b:Author>
    </b:Author>
    <b:Month>11</b:Month>
    <b:Day>3</b:Day>
    <b:YearAccessed>2020</b:YearAccessed>
    <b:URL>https://www.aihw.gov.au/reports/cancer/cancer-data-in-australia/contents/cancer-summary-data-visualisation</b:URL>
    <b:RefOrder>18</b:RefOrder>
  </b:Source>
  <b:Source>
    <b:Tag>Aus2013</b:Tag>
    <b:SourceType>InternetSite</b:SourceType>
    <b:Guid>{2C017B4C-06A2-4FF8-B7BC-887EBE7BFEB0}</b:Guid>
    <b:Author>
      <b:Author>
        <b:Corporate>Australian Government Department of Health</b:Corporate>
      </b:Author>
    </b:Author>
    <b:Title>Assessment of Priority Areas within Australia for 2020-21</b:Title>
    <b:Year>2020</b:Year>
    <b:Month>2</b:Month>
    <b:Day>27</b:Day>
    <b:YearAccessed>2020</b:YearAccessed>
    <b:URL>https://www1.health.gov.au/internet/main/publishing.nsf/Content/health-roi-hpg-priority-2018</b:URL>
    <b:RefOrder>31</b:RefOrder>
  </b:Source>
  <b:Source>
    <b:Tag>Can09</b:Tag>
    <b:SourceType>Report</b:SourceType>
    <b:Guid>{1292AEA2-C6A9-4C3C-8E34-62EDAA338279}</b:Guid>
    <b:Title>Achieving a world-class radiotherapy service across the UK</b:Title>
    <b:Year>2009</b:Year>
    <b:Author>
      <b:Author>
        <b:Corporate>Cancer Research UK</b:Corporate>
      </b:Author>
    </b:Author>
    <b:RefOrder>33</b:RefOrder>
  </b:Source>
  <b:Source>
    <b:Tag>Min14</b:Tag>
    <b:SourceType>Report</b:SourceType>
    <b:Guid>{D89E1183-9796-4F9D-AF8C-D08A0F746624}</b:Guid>
    <b:Author>
      <b:Author>
        <b:Corporate>Ministry of Health by Health Partners Consulting Group</b:Corporate>
      </b:Author>
    </b:Author>
    <b:Title>Radiation Oncology National Linear Accelerator and Workforce Plan</b:Title>
    <b:Year>2014</b:Year>
    <b:RefOrder>34</b:RefOrder>
  </b:Source>
  <b:Source>
    <b:Tag>Dun14</b:Tag>
    <b:SourceType>JournalArticle</b:SourceType>
    <b:Guid>{0AABAF9C-DCF8-49EF-8136-A7DDD7F9C761}</b:Guid>
    <b:Title>Guidelines for equipment and staffing of radiotherapy facilities in the European countries: Final results of the ESTRO-HERO survey</b:Title>
    <b:Year>20214</b:Year>
    <b:Author>
      <b:Author>
        <b:NameList>
          <b:Person>
            <b:Last>Dunscombe</b:Last>
            <b:First>P</b:First>
          </b:Person>
          <b:Person>
            <b:Last>Grau</b:Last>
            <b:First>C</b:First>
          </b:Person>
          <b:Person>
            <b:Last>Defourny</b:Last>
            <b:First>N</b:First>
          </b:Person>
          <b:Person>
            <b:Last>Malicki</b:Last>
            <b:First>J</b:First>
          </b:Person>
          <b:Person>
            <b:Last>Borras</b:Last>
            <b:First>J</b:First>
          </b:Person>
          <b:Person>
            <b:Last>M</b:Last>
            <b:First>Coffeym</b:First>
          </b:Person>
          <b:Person>
            <b:Last>Bogusz</b:Last>
            <b:First>M</b:First>
          </b:Person>
          <b:Person>
            <b:Last>Gasparotto</b:Last>
            <b:First>C</b:First>
          </b:Person>
          <b:Person>
            <b:Last>Slotman</b:Last>
            <b:First>B</b:First>
          </b:Person>
          <b:Person>
            <b:Last>Lievens</b:Last>
            <b:First>Y</b:First>
          </b:Person>
        </b:NameList>
      </b:Author>
    </b:Author>
    <b:JournalName>Radiotherapy and Oncology</b:JournalName>
    <b:Pages>165-177</b:Pages>
    <b:Volume>112</b:Volume>
    <b:RefOrder>32</b:RefOrder>
  </b:Source>
  <b:Source>
    <b:Tag>Kan11</b:Tag>
    <b:SourceType>Report</b:SourceType>
    <b:Guid>{50747AA7-4FF6-4ACA-9851-44257A0EEBC1}</b:Guid>
    <b:Title>Collective Impact: Stanford Social Innovation Review</b:Title>
    <b:Year>2011</b:Year>
    <b:Author>
      <b:Author>
        <b:NameList>
          <b:Person>
            <b:Last>Kania</b:Last>
            <b:First>John</b:First>
          </b:Person>
          <b:Person>
            <b:Last>Kramer</b:Last>
            <b:First>Mark</b:First>
          </b:Person>
        </b:NameList>
      </b:Author>
    </b:Author>
    <b:RefOrder>39</b:RefOrder>
  </b:Source>
  <b:Source>
    <b:Tag>Rob16</b:Tag>
    <b:SourceType>JournalArticle</b:SourceType>
    <b:Guid>{03E34408-EB25-47ED-A466-DE399F8DCE3E}</b:Guid>
    <b:Author>
      <b:Author>
        <b:NameList>
          <b:Person>
            <b:Last>Robin</b:Last>
            <b:First>T</b:First>
          </b:Person>
          <b:Person>
            <b:Last>Amini</b:Last>
            <b:First>A</b:First>
          </b:Person>
          <b:Person>
            <b:Last>Schefter</b:Last>
            <b:First>T</b:First>
          </b:Person>
          <b:Person>
            <b:Last>Behbakht</b:Last>
            <b:First>K</b:First>
          </b:Person>
          <b:Person>
            <b:Last>Fisher</b:Last>
            <b:First>C</b:First>
          </b:Person>
        </b:NameList>
      </b:Author>
    </b:Author>
    <b:Title>Disparities in standard of care treatment and associated survival decrement in patients with locally advanced cervical cancer</b:Title>
    <b:JournalName>Gynecologic Oncology</b:JournalName>
    <b:Year>2016</b:Year>
    <b:Pages>doi.org/10.1016/j.ygyno.2016.09.009</b:Pages>
    <b:RefOrder>36</b:RefOrder>
  </b:Source>
  <b:Source>
    <b:Tag>Hol18</b:Tag>
    <b:SourceType>JournalArticle</b:SourceType>
    <b:Guid>{033C1351-EF5F-43AB-B70E-2F4BBEF82AB0}</b:Guid>
    <b:Author>
      <b:Author>
        <b:NameList>
          <b:Person>
            <b:Last>Holschneider</b:Last>
            <b:First>C</b:First>
          </b:Person>
          <b:Person>
            <b:Last>Petereit</b:Last>
            <b:First>D</b:First>
          </b:Person>
          <b:Person>
            <b:Last>Chu</b:Last>
            <b:First>C</b:First>
          </b:Person>
          <b:Person>
            <b:Last>Hsu</b:Last>
            <b:First>I-C</b:First>
          </b:Person>
          <b:Person>
            <b:Last>Ioffe</b:Last>
            <b:First>Y</b:First>
          </b:Person>
          <b:Person>
            <b:Last>Klopp</b:Last>
            <b:First>A</b:First>
          </b:Person>
          <b:Person>
            <b:Last>Pothuri</b:Last>
            <b:First>B</b:First>
          </b:Person>
          <b:Person>
            <b:Last>Chen</b:Last>
            <b:First>L</b:First>
          </b:Person>
          <b:Person>
            <b:Last>Yashar</b:Last>
            <b:First>C</b:First>
          </b:Person>
        </b:NameList>
      </b:Author>
    </b:Author>
    <b:Title>Brachytherapy: A critical component of primary radiation therapy for cervical cancer: For the Society of Gynecologic Oncology (SGO) and the American Brachytherapy Society (ABS)</b:Title>
    <b:JournalName>Brachytherapy </b:JournalName>
    <b:Year>2018</b:Year>
    <b:Pages>https://doi.org/10.1016/j.brachy.2018.11.009</b:Pages>
    <b:RefOrder>37</b:RefOrder>
  </b:Source>
  <b:Source>
    <b:Tag>Chi201</b:Tag>
    <b:SourceType>JournalArticle</b:SourceType>
    <b:Guid>{30B85BCE-A9C6-40AD-8775-6A38662EC434}</b:Guid>
    <b:Author>
      <b:Author>
        <b:NameList>
          <b:Person>
            <b:Last>Chino</b:Last>
            <b:First>J</b:First>
          </b:Person>
          <b:Person>
            <b:Last>Annunziata</b:Last>
            <b:First>C</b:First>
          </b:Person>
          <b:Person>
            <b:Last>Beriwal</b:Last>
            <b:First>S</b:First>
          </b:Person>
          <b:Person>
            <b:Last>Bradfield</b:Last>
            <b:First>L</b:First>
          </b:Person>
          <b:Person>
            <b:Last>Erickson</b:Last>
            <b:First>B</b:First>
          </b:Person>
          <b:Person>
            <b:Last>Fields</b:Last>
            <b:First>E</b:First>
          </b:Person>
          <b:Person>
            <b:Last>Fitch</b:Last>
            <b:First>K</b:First>
          </b:Person>
          <b:Person>
            <b:Last>Harkenrider</b:Last>
            <b:First>M</b:First>
          </b:Person>
          <b:Person>
            <b:Last>Holschneider</b:Last>
            <b:First>C</b:First>
          </b:Person>
          <b:Person>
            <b:Last>Kamrava</b:Last>
            <b:First>M</b:First>
          </b:Person>
          <b:Person>
            <b:Last>Leung</b:Last>
            <b:First>E</b:First>
          </b:Person>
          <b:Person>
            <b:Last>Lin</b:Last>
            <b:First>L</b:First>
          </b:Person>
          <b:Person>
            <b:Last>Mayadev</b:Last>
            <b:First>J</b:First>
          </b:Person>
          <b:Person>
            <b:Last>Morcos</b:Last>
            <b:First>M</b:First>
          </b:Person>
          <b:Person>
            <b:Last>Nwachukwu</b:Last>
            <b:First>C</b:First>
          </b:Person>
          <b:Person>
            <b:Last>Petereit</b:Last>
            <b:First>D</b:First>
          </b:Person>
          <b:Person>
            <b:Last>Viswanathan</b:Last>
            <b:First>A</b:First>
          </b:Person>
        </b:NameList>
      </b:Author>
    </b:Author>
    <b:Title>Radiation Therapy for Cervical Cancer: Executive Summary of an ASTRO Clinical Practice Guideline</b:Title>
    <b:JournalName>Practical Radiation Oncology</b:JournalName>
    <b:Year>2020</b:Year>
    <b:Pages>220-234</b:Pages>
    <b:Volume>10</b:Volume>
    <b:RefOrder>38</b:RefOrder>
  </b:Source>
  <b:Source>
    <b:Tag>Aus2014</b:Tag>
    <b:SourceType>Report</b:SourceType>
    <b:Guid>{C2755317-37E3-49B6-B8D8-A3A514E8BA90}</b:Guid>
    <b:Author>
      <b:Author>
        <b:Corporate>Australian Government Department of Health</b:Corporate>
      </b:Author>
    </b:Author>
    <b:Title>ROHPG Administrative Guidelines: Effective January 2020</b:Title>
    <b:Year>2020</b:Year>
    <b:RefOrder>35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4B9D9A-C5C0-4350-9E60-76474588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Report Landscape</Template>
  <TotalTime>0</TotalTime>
  <Pages>81</Pages>
  <Words>34351</Words>
  <Characters>195807</Characters>
  <Application>Microsoft Office Word</Application>
  <DocSecurity>0</DocSecurity>
  <Lines>1631</Lines>
  <Paragraphs>459</Paragraphs>
  <ScaleCrop>false</ScaleCrop>
  <HeadingPairs>
    <vt:vector size="2" baseType="variant">
      <vt:variant>
        <vt:lpstr>Title</vt:lpstr>
      </vt:variant>
      <vt:variant>
        <vt:i4>1</vt:i4>
      </vt:variant>
    </vt:vector>
  </HeadingPairs>
  <TitlesOfParts>
    <vt:vector size="1" baseType="lpstr">
      <vt:lpstr>Review of the Radiation Oncology Health Program Grant Scheme</vt:lpstr>
    </vt:vector>
  </TitlesOfParts>
  <Company>Australian Government Department of Health</Company>
  <LinksUpToDate>false</LinksUpToDate>
  <CharactersWithSpaces>229699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Radiation Oncology Health Program Grant Scheme</dc:title>
  <dc:subject>Cancer</dc:subject>
  <dc:creator>Australian Goverment Department of Health</dc:creator>
  <cp:keywords/>
  <dc:description>Cancer; Grants; Review of the Radiation Oncology</dc:description>
  <cp:lastModifiedBy>MASCHKE, Elvia</cp:lastModifiedBy>
  <cp:revision>2</cp:revision>
  <cp:lastPrinted>2021-01-21T05:23:00Z</cp:lastPrinted>
  <dcterms:created xsi:type="dcterms:W3CDTF">2021-06-04T06:15:00Z</dcterms:created>
  <dcterms:modified xsi:type="dcterms:W3CDTF">2021-06-04T06:15:00Z</dcterms:modified>
  <cp:category>Final Report</cp:category>
</cp:coreProperties>
</file>