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721" w:rsidRPr="00DD4E6E" w:rsidRDefault="00A25A91" w:rsidP="009C45DA">
      <w:pPr>
        <w:tabs>
          <w:tab w:val="left" w:pos="5220"/>
        </w:tabs>
        <w:jc w:val="left"/>
        <w:rPr>
          <w:noProof/>
          <w:lang w:val="en-AU" w:eastAsia="en-AU"/>
        </w:rPr>
      </w:pPr>
      <w:bookmarkStart w:id="0" w:name="_GoBack"/>
      <w:bookmarkEnd w:id="0"/>
      <w:r w:rsidRPr="00D912DB">
        <w:rPr>
          <w:noProof/>
          <w:sz w:val="28"/>
          <w:szCs w:val="28"/>
          <w:lang w:val="en-AU" w:eastAsia="en-AU"/>
        </w:rPr>
        <w:drawing>
          <wp:inline distT="0" distB="0" distL="0" distR="0">
            <wp:extent cx="1861200" cy="1234800"/>
            <wp:effectExtent l="0" t="0" r="5715" b="3810"/>
            <wp:docPr id="11" name="Picture 11" descr="This report is compiled for the Australian Government Department of Health and PHN Commissioning" title="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Health Crest"/>
                    <pic:cNvPicPr/>
                  </pic:nvPicPr>
                  <pic:blipFill>
                    <a:blip r:embed="rId9" cstate="print">
                      <a:extLst>
                        <a:ext uri="{28A0092B-C50C-407E-A947-70E740481C1C}">
                          <a14:useLocalDpi xmlns:a14="http://schemas.microsoft.com/office/drawing/2010/main"/>
                        </a:ext>
                      </a:extLst>
                    </a:blip>
                    <a:stretch>
                      <a:fillRect/>
                    </a:stretch>
                  </pic:blipFill>
                  <pic:spPr>
                    <a:xfrm>
                      <a:off x="0" y="0"/>
                      <a:ext cx="1861200" cy="1234800"/>
                    </a:xfrm>
                    <a:prstGeom prst="rect">
                      <a:avLst/>
                    </a:prstGeom>
                  </pic:spPr>
                </pic:pic>
              </a:graphicData>
            </a:graphic>
          </wp:inline>
        </w:drawing>
      </w:r>
      <w:bookmarkStart w:id="1" w:name="imageHolder"/>
      <w:bookmarkEnd w:id="1"/>
      <w:r w:rsidR="009C45DA" w:rsidRPr="009C45DA">
        <w:rPr>
          <w:noProof/>
        </w:rPr>
        <w:t xml:space="preserve"> </w:t>
      </w:r>
      <w:r w:rsidR="009C45DA">
        <w:rPr>
          <w:noProof/>
        </w:rPr>
        <w:tab/>
      </w:r>
      <w:r w:rsidR="009C45DA">
        <w:rPr>
          <w:noProof/>
          <w:lang w:val="en-AU" w:eastAsia="en-AU"/>
        </w:rPr>
        <w:drawing>
          <wp:inline distT="0" distB="0" distL="0" distR="0" wp14:anchorId="7D836BB0" wp14:editId="35C7303B">
            <wp:extent cx="1885950" cy="1169670"/>
            <wp:effectExtent l="0" t="0" r="0" b="0"/>
            <wp:docPr id="10" name="Picture 10" descr="PHN Commissioning, an Australian Government Initiative" title="PHN 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N commissioning Logo (D15-12637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950" cy="1169670"/>
                    </a:xfrm>
                    <a:prstGeom prst="rect">
                      <a:avLst/>
                    </a:prstGeom>
                  </pic:spPr>
                </pic:pic>
              </a:graphicData>
            </a:graphic>
          </wp:inline>
        </w:drawing>
      </w:r>
    </w:p>
    <w:p w:rsidR="00B5055F" w:rsidRPr="00540231" w:rsidRDefault="004139FD" w:rsidP="00B5055F">
      <w:pPr>
        <w:spacing w:before="1440"/>
        <w:jc w:val="center"/>
        <w:rPr>
          <w:rFonts w:ascii="Calibri Light" w:hAnsi="Calibri Light"/>
          <w:b/>
          <w:color w:val="365F91" w:themeColor="accent1" w:themeShade="BF"/>
          <w:sz w:val="56"/>
          <w:szCs w:val="56"/>
          <w:lang w:val="en-AU"/>
        </w:rPr>
      </w:pPr>
      <w:r w:rsidRPr="00540231">
        <w:rPr>
          <w:rFonts w:ascii="Calibri Light" w:hAnsi="Calibri Light"/>
          <w:b/>
          <w:color w:val="365F91" w:themeColor="accent1" w:themeShade="BF"/>
          <w:sz w:val="56"/>
          <w:szCs w:val="56"/>
          <w:lang w:val="en-AU"/>
        </w:rPr>
        <w:t>Planning in a commissioning environment</w:t>
      </w:r>
      <w:r>
        <w:rPr>
          <w:rFonts w:ascii="Calibri Light" w:hAnsi="Calibri Light"/>
          <w:b/>
          <w:color w:val="365F91" w:themeColor="accent1" w:themeShade="BF"/>
          <w:sz w:val="56"/>
          <w:szCs w:val="56"/>
          <w:lang w:val="en-AU"/>
        </w:rPr>
        <w:t xml:space="preserve"> - a Guide</w:t>
      </w:r>
    </w:p>
    <w:p w:rsidR="00893721" w:rsidRDefault="00893721" w:rsidP="00893721">
      <w:pPr>
        <w:jc w:val="center"/>
        <w:rPr>
          <w:rFonts w:ascii="Calibri Light" w:hAnsi="Calibri Light"/>
          <w:sz w:val="36"/>
          <w:szCs w:val="36"/>
          <w:lang w:val="en-AU"/>
        </w:rPr>
      </w:pPr>
    </w:p>
    <w:p w:rsidR="007C4D2D" w:rsidRDefault="007C4D2D" w:rsidP="00893721">
      <w:pPr>
        <w:jc w:val="center"/>
        <w:rPr>
          <w:rFonts w:ascii="Calibri Light" w:hAnsi="Calibri Light"/>
          <w:sz w:val="36"/>
          <w:szCs w:val="36"/>
          <w:lang w:val="en-AU"/>
        </w:rPr>
      </w:pPr>
    </w:p>
    <w:p w:rsidR="00893721" w:rsidRDefault="00CC4270" w:rsidP="00893721">
      <w:pPr>
        <w:jc w:val="center"/>
        <w:rPr>
          <w:rFonts w:ascii="Calibri Light" w:hAnsi="Calibri Light"/>
          <w:sz w:val="36"/>
          <w:szCs w:val="36"/>
          <w:lang w:val="en-AU"/>
        </w:rPr>
      </w:pPr>
      <w:r w:rsidRPr="00CC4270">
        <w:rPr>
          <w:rFonts w:ascii="Calibri Light" w:hAnsi="Calibri Light"/>
          <w:noProof/>
          <w:sz w:val="36"/>
          <w:szCs w:val="36"/>
          <w:lang w:val="en-AU" w:eastAsia="en-AU"/>
        </w:rPr>
        <w:drawing>
          <wp:inline distT="0" distB="0" distL="0" distR="0" wp14:anchorId="621C27AF" wp14:editId="6D2B5B68">
            <wp:extent cx="3858768" cy="2971800"/>
            <wp:effectExtent l="0" t="0" r="8890" b="0"/>
            <wp:docPr id="4" name="Picture 3" descr="This diagram depicts the full PHN commissioning cycle including the three main phases within the commissioning process. The first phase is titled 'Strategic Planning' and involves both Needs Assessment and Annual Planning. The second phase is 'Procuring Services' and involves designing and contracting services and shaping the structure of supply. The third phase in the framework is 'Monitoring and Evaluation'. This involves managing performance and evaluation." title="Cover image, the PHN Commission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 cstate="print">
                      <a:extLst>
                        <a:ext uri="{28A0092B-C50C-407E-A947-70E740481C1C}">
                          <a14:useLocalDpi xmlns:a14="http://schemas.microsoft.com/office/drawing/2010/main"/>
                        </a:ext>
                      </a:extLst>
                    </a:blip>
                    <a:srcRect t="13966"/>
                    <a:stretch/>
                  </pic:blipFill>
                  <pic:spPr bwMode="auto">
                    <a:xfrm>
                      <a:off x="0" y="0"/>
                      <a:ext cx="3858768"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5965EF" w:rsidRDefault="0059524F" w:rsidP="0071147B">
      <w:pPr>
        <w:spacing w:before="1400"/>
        <w:jc w:val="center"/>
        <w:rPr>
          <w:rFonts w:ascii="Calibri Light" w:hAnsi="Calibri Light"/>
          <w:b/>
          <w:color w:val="FF0000"/>
          <w:sz w:val="36"/>
          <w:szCs w:val="36"/>
          <w:lang w:val="en-AU"/>
        </w:rPr>
        <w:sectPr w:rsidR="005965EF" w:rsidSect="00AC151D">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1440" w:right="1800" w:bottom="1440" w:left="1800" w:header="708" w:footer="708" w:gutter="0"/>
          <w:pgNumType w:start="1"/>
          <w:cols w:space="708"/>
          <w:docGrid w:linePitch="360"/>
        </w:sectPr>
      </w:pPr>
      <w:r>
        <w:rPr>
          <w:rFonts w:ascii="Calibri Light" w:hAnsi="Calibri Light"/>
          <w:b/>
          <w:color w:val="FF0000"/>
          <w:sz w:val="36"/>
          <w:szCs w:val="36"/>
          <w:lang w:val="en-AU"/>
        </w:rPr>
        <w:t>Version</w:t>
      </w:r>
      <w:r w:rsidR="002A330F">
        <w:rPr>
          <w:rFonts w:ascii="Calibri Light" w:hAnsi="Calibri Light"/>
          <w:b/>
          <w:color w:val="FF0000"/>
          <w:sz w:val="36"/>
          <w:szCs w:val="36"/>
          <w:lang w:val="en-AU"/>
        </w:rPr>
        <w:t xml:space="preserve"> 1.</w:t>
      </w:r>
      <w:r w:rsidR="00BF2019">
        <w:rPr>
          <w:rFonts w:ascii="Calibri Light" w:hAnsi="Calibri Light"/>
          <w:b/>
          <w:color w:val="FF0000"/>
          <w:sz w:val="36"/>
          <w:szCs w:val="36"/>
          <w:lang w:val="en-AU"/>
        </w:rPr>
        <w:t xml:space="preserve">0 </w:t>
      </w:r>
      <w:r w:rsidR="002A330F">
        <w:rPr>
          <w:rFonts w:ascii="Calibri Light" w:hAnsi="Calibri Light"/>
          <w:b/>
          <w:color w:val="FF0000"/>
          <w:sz w:val="36"/>
          <w:szCs w:val="36"/>
          <w:lang w:val="en-AU"/>
        </w:rPr>
        <w:t>June</w:t>
      </w:r>
      <w:r w:rsidR="00F71517" w:rsidRPr="00F71517">
        <w:rPr>
          <w:rFonts w:ascii="Calibri Light" w:hAnsi="Calibri Light"/>
          <w:b/>
          <w:color w:val="FF0000"/>
          <w:sz w:val="36"/>
          <w:szCs w:val="36"/>
          <w:lang w:val="en-AU"/>
        </w:rPr>
        <w:t xml:space="preserve"> 2016</w:t>
      </w:r>
    </w:p>
    <w:p w:rsidR="008A5B30" w:rsidRDefault="00893721" w:rsidP="00F9792C">
      <w:pPr>
        <w:spacing w:before="1440"/>
        <w:rPr>
          <w:b/>
          <w:color w:val="004274"/>
          <w:sz w:val="24"/>
          <w:lang w:val="en-AU"/>
        </w:rPr>
      </w:pPr>
      <w:r w:rsidRPr="00506519">
        <w:rPr>
          <w:b/>
          <w:color w:val="004274"/>
          <w:sz w:val="24"/>
          <w:lang w:val="en-AU"/>
        </w:rPr>
        <w:lastRenderedPageBreak/>
        <w:t>Acknowledgement</w:t>
      </w:r>
    </w:p>
    <w:p w:rsidR="008A5B30" w:rsidRPr="00DD4E6E" w:rsidRDefault="008A5B30" w:rsidP="000977DA">
      <w:pPr>
        <w:rPr>
          <w:lang w:val="en-AU"/>
        </w:rPr>
      </w:pPr>
    </w:p>
    <w:p w:rsidR="00417833" w:rsidRPr="00DD4E6E" w:rsidRDefault="000977DA" w:rsidP="00A907F2">
      <w:pPr>
        <w:jc w:val="left"/>
        <w:rPr>
          <w:lang w:val="en-AU"/>
        </w:rPr>
      </w:pPr>
      <w:r w:rsidRPr="00DD4E6E">
        <w:rPr>
          <w:lang w:val="en-AU"/>
        </w:rPr>
        <w:t xml:space="preserve">This </w:t>
      </w:r>
      <w:r w:rsidR="00A76E84" w:rsidRPr="00DD4E6E">
        <w:rPr>
          <w:lang w:val="en-AU"/>
        </w:rPr>
        <w:t xml:space="preserve">document </w:t>
      </w:r>
      <w:r w:rsidRPr="00DD4E6E">
        <w:rPr>
          <w:lang w:val="en-AU"/>
        </w:rPr>
        <w:t xml:space="preserve">has been developed by the </w:t>
      </w:r>
      <w:r w:rsidR="00FA2A02" w:rsidRPr="00DD4E6E">
        <w:rPr>
          <w:lang w:val="en-AU"/>
        </w:rPr>
        <w:t xml:space="preserve">Australian </w:t>
      </w:r>
      <w:r w:rsidR="00E40F2B" w:rsidRPr="00DD4E6E">
        <w:rPr>
          <w:lang w:val="en-AU"/>
        </w:rPr>
        <w:t xml:space="preserve">Government </w:t>
      </w:r>
      <w:r w:rsidRPr="00DD4E6E">
        <w:rPr>
          <w:lang w:val="en-AU"/>
        </w:rPr>
        <w:t xml:space="preserve">Department </w:t>
      </w:r>
      <w:r w:rsidR="00FA2A02" w:rsidRPr="00DD4E6E">
        <w:rPr>
          <w:lang w:val="en-AU"/>
        </w:rPr>
        <w:t>of Health and PricewaterhouseCoopers</w:t>
      </w:r>
      <w:r w:rsidR="00005DF4" w:rsidRPr="00DD4E6E">
        <w:rPr>
          <w:lang w:val="en-AU"/>
        </w:rPr>
        <w:t xml:space="preserve"> (PwC)</w:t>
      </w:r>
      <w:r w:rsidR="00323278" w:rsidRPr="00DD4E6E">
        <w:rPr>
          <w:lang w:val="en-AU"/>
        </w:rPr>
        <w:t xml:space="preserve"> as part of a project </w:t>
      </w:r>
      <w:r w:rsidR="004175E8" w:rsidRPr="00DD4E6E">
        <w:rPr>
          <w:lang w:val="en-AU"/>
        </w:rPr>
        <w:t xml:space="preserve">funded by the </w:t>
      </w:r>
      <w:r w:rsidR="00462C84" w:rsidRPr="00DD4E6E">
        <w:rPr>
          <w:lang w:val="en-AU"/>
        </w:rPr>
        <w:t>Department</w:t>
      </w:r>
      <w:r w:rsidR="004175E8" w:rsidRPr="00DD4E6E">
        <w:rPr>
          <w:lang w:val="en-AU"/>
        </w:rPr>
        <w:t xml:space="preserve"> </w:t>
      </w:r>
      <w:r w:rsidR="00323278" w:rsidRPr="00DD4E6E">
        <w:rPr>
          <w:lang w:val="en-AU"/>
        </w:rPr>
        <w:t>to develop guidance and resources for Primary Health Networks on commissioning</w:t>
      </w:r>
      <w:r w:rsidRPr="00DD4E6E">
        <w:rPr>
          <w:lang w:val="en-AU"/>
        </w:rPr>
        <w:t xml:space="preserve">. It has been informed by a </w:t>
      </w:r>
      <w:r w:rsidR="00D64607" w:rsidRPr="00DD4E6E">
        <w:rPr>
          <w:lang w:val="en-AU"/>
        </w:rPr>
        <w:t xml:space="preserve">literature and evidence </w:t>
      </w:r>
      <w:r w:rsidR="00D05BEB" w:rsidRPr="00DD4E6E">
        <w:rPr>
          <w:lang w:val="en-AU"/>
        </w:rPr>
        <w:t>review on</w:t>
      </w:r>
      <w:r w:rsidR="00D64607" w:rsidRPr="00DD4E6E">
        <w:rPr>
          <w:lang w:val="en-AU"/>
        </w:rPr>
        <w:t xml:space="preserve"> </w:t>
      </w:r>
      <w:r w:rsidRPr="00DD4E6E">
        <w:rPr>
          <w:lang w:val="en-AU"/>
        </w:rPr>
        <w:t xml:space="preserve">commissioning by </w:t>
      </w:r>
      <w:r w:rsidR="00D64607" w:rsidRPr="00DD4E6E">
        <w:rPr>
          <w:lang w:val="en-AU"/>
        </w:rPr>
        <w:t>T</w:t>
      </w:r>
      <w:r w:rsidRPr="00DD4E6E">
        <w:rPr>
          <w:lang w:val="en-AU"/>
        </w:rPr>
        <w:t xml:space="preserve">he King’s Fund and </w:t>
      </w:r>
      <w:r w:rsidR="00FA2A02" w:rsidRPr="00DD4E6E">
        <w:rPr>
          <w:lang w:val="en-AU"/>
        </w:rPr>
        <w:t>the University of Melbourne</w:t>
      </w:r>
      <w:r w:rsidR="00A96E38" w:rsidRPr="00DD4E6E">
        <w:rPr>
          <w:lang w:val="en-AU"/>
        </w:rPr>
        <w:t>,</w:t>
      </w:r>
      <w:r w:rsidR="00FA2A02" w:rsidRPr="00DD4E6E">
        <w:rPr>
          <w:lang w:val="en-AU"/>
        </w:rPr>
        <w:t xml:space="preserve"> and </w:t>
      </w:r>
      <w:r w:rsidRPr="00DD4E6E">
        <w:rPr>
          <w:lang w:val="en-AU"/>
        </w:rPr>
        <w:t>by the results of an online survey of all PHNs</w:t>
      </w:r>
      <w:r w:rsidR="00923F20" w:rsidRPr="00DD4E6E">
        <w:rPr>
          <w:lang w:val="en-AU"/>
        </w:rPr>
        <w:t xml:space="preserve"> by PwC</w:t>
      </w:r>
      <w:r w:rsidR="004175E8" w:rsidRPr="00DD4E6E">
        <w:rPr>
          <w:lang w:val="en-AU"/>
        </w:rPr>
        <w:t>, both</w:t>
      </w:r>
      <w:r w:rsidRPr="00DD4E6E">
        <w:rPr>
          <w:lang w:val="en-AU"/>
        </w:rPr>
        <w:t xml:space="preserve"> undertaken </w:t>
      </w:r>
      <w:r w:rsidR="00E40F2B" w:rsidRPr="00DD4E6E">
        <w:rPr>
          <w:lang w:val="en-AU"/>
        </w:rPr>
        <w:t>in 2016</w:t>
      </w:r>
      <w:r w:rsidR="004175E8" w:rsidRPr="00DD4E6E">
        <w:rPr>
          <w:lang w:val="en-AU"/>
        </w:rPr>
        <w:t xml:space="preserve"> as part of this project</w:t>
      </w:r>
      <w:r w:rsidRPr="00DD4E6E">
        <w:rPr>
          <w:lang w:val="en-AU"/>
        </w:rPr>
        <w:t>.</w:t>
      </w:r>
    </w:p>
    <w:p w:rsidR="00417833" w:rsidRDefault="00417833" w:rsidP="00A907F2">
      <w:pPr>
        <w:jc w:val="left"/>
        <w:rPr>
          <w:b/>
          <w:color w:val="003D69"/>
          <w:sz w:val="24"/>
          <w:lang w:val="en-AU"/>
        </w:rPr>
      </w:pPr>
    </w:p>
    <w:p w:rsidR="00417833" w:rsidRPr="00DD4E6E" w:rsidRDefault="004175E8" w:rsidP="00A907F2">
      <w:pPr>
        <w:jc w:val="left"/>
        <w:rPr>
          <w:lang w:val="en-AU"/>
        </w:rPr>
      </w:pPr>
      <w:r w:rsidRPr="00DD4E6E">
        <w:rPr>
          <w:lang w:val="en-AU"/>
        </w:rPr>
        <w:t>T</w:t>
      </w:r>
      <w:r w:rsidR="00B17C3E" w:rsidRPr="00DD4E6E">
        <w:rPr>
          <w:lang w:val="en-AU"/>
        </w:rPr>
        <w:t xml:space="preserve">he input of the </w:t>
      </w:r>
      <w:r w:rsidR="009A1277" w:rsidRPr="00DD4E6E">
        <w:t>Primary Health Network</w:t>
      </w:r>
      <w:r w:rsidR="00CD5436" w:rsidRPr="00DD4E6E">
        <w:t>s</w:t>
      </w:r>
      <w:r w:rsidR="009A1277" w:rsidRPr="00DD4E6E">
        <w:rPr>
          <w:lang w:val="en-AU"/>
        </w:rPr>
        <w:t xml:space="preserve"> </w:t>
      </w:r>
      <w:r w:rsidR="00B17C3E" w:rsidRPr="00DD4E6E">
        <w:rPr>
          <w:lang w:val="en-AU"/>
        </w:rPr>
        <w:t xml:space="preserve">Commissioning Working Group in the development of this </w:t>
      </w:r>
      <w:r w:rsidRPr="00DD4E6E">
        <w:rPr>
          <w:lang w:val="en-AU"/>
        </w:rPr>
        <w:t>g</w:t>
      </w:r>
      <w:r w:rsidR="00B17C3E" w:rsidRPr="00DD4E6E">
        <w:rPr>
          <w:lang w:val="en-AU"/>
        </w:rPr>
        <w:t>uide</w:t>
      </w:r>
      <w:r w:rsidRPr="00DD4E6E">
        <w:rPr>
          <w:lang w:val="en-AU"/>
        </w:rPr>
        <w:t xml:space="preserve"> is appreciated</w:t>
      </w:r>
      <w:r w:rsidR="00D46FC2" w:rsidRPr="00DD4E6E">
        <w:rPr>
          <w:lang w:val="en-AU"/>
        </w:rPr>
        <w:t>.</w:t>
      </w:r>
    </w:p>
    <w:p w:rsidR="00B17C3E" w:rsidRDefault="00B17C3E" w:rsidP="00893721">
      <w:pPr>
        <w:jc w:val="left"/>
        <w:rPr>
          <w:b/>
          <w:color w:val="003D69"/>
          <w:sz w:val="24"/>
          <w:lang w:val="en-AU"/>
        </w:rPr>
      </w:pPr>
    </w:p>
    <w:p w:rsidR="00893721" w:rsidRPr="00506519" w:rsidRDefault="00893721" w:rsidP="00893721">
      <w:pPr>
        <w:jc w:val="left"/>
        <w:rPr>
          <w:b/>
          <w:color w:val="003D69"/>
          <w:sz w:val="24"/>
          <w:lang w:val="en-AU"/>
        </w:rPr>
      </w:pPr>
      <w:r w:rsidRPr="00506519">
        <w:rPr>
          <w:b/>
          <w:color w:val="003D69"/>
          <w:sz w:val="24"/>
          <w:lang w:val="en-AU"/>
        </w:rPr>
        <w:t>Note</w:t>
      </w:r>
    </w:p>
    <w:p w:rsidR="008A5B30" w:rsidRPr="00DD4E6E" w:rsidRDefault="008A5B30" w:rsidP="00593F7F">
      <w:pPr>
        <w:rPr>
          <w:lang w:val="en-AU"/>
        </w:rPr>
      </w:pPr>
    </w:p>
    <w:p w:rsidR="00893721" w:rsidRPr="00DD4E6E" w:rsidRDefault="00893721" w:rsidP="00A907F2">
      <w:pPr>
        <w:jc w:val="left"/>
        <w:rPr>
          <w:lang w:val="en-AU"/>
        </w:rPr>
      </w:pPr>
      <w:r w:rsidRPr="00DD4E6E">
        <w:rPr>
          <w:lang w:val="en-AU"/>
        </w:rPr>
        <w:t xml:space="preserve">This guide does not override the requirements set out in the PHN Funding </w:t>
      </w:r>
      <w:r w:rsidRPr="00DD4E6E">
        <w:t>Agreement</w:t>
      </w:r>
      <w:r w:rsidRPr="00DD4E6E">
        <w:rPr>
          <w:lang w:val="en-AU"/>
        </w:rPr>
        <w:t>.</w:t>
      </w:r>
    </w:p>
    <w:p w:rsidR="000625E0" w:rsidRDefault="000625E0">
      <w:pPr>
        <w:spacing w:line="240" w:lineRule="auto"/>
        <w:jc w:val="left"/>
        <w:rPr>
          <w:rFonts w:ascii="Calibri Light" w:hAnsi="Calibri Light"/>
          <w:color w:val="004274"/>
          <w:sz w:val="48"/>
          <w:szCs w:val="48"/>
          <w:lang w:val="en-AU"/>
        </w:rPr>
      </w:pPr>
      <w:bookmarkStart w:id="2" w:name="_Toc429477459"/>
      <w:r>
        <w:rPr>
          <w:rFonts w:ascii="Calibri Light" w:hAnsi="Calibri Light"/>
          <w:color w:val="004274"/>
          <w:sz w:val="48"/>
          <w:szCs w:val="48"/>
          <w:lang w:val="en-AU"/>
        </w:rPr>
        <w:br w:type="page"/>
      </w:r>
    </w:p>
    <w:p w:rsidR="0032095D" w:rsidRDefault="0032095D" w:rsidP="0032095D">
      <w:pPr>
        <w:rPr>
          <w:rFonts w:ascii="Calibri Light" w:hAnsi="Calibri Light"/>
          <w:color w:val="004274"/>
          <w:sz w:val="48"/>
          <w:szCs w:val="48"/>
          <w:lang w:val="en-AU"/>
        </w:rPr>
      </w:pPr>
      <w:r>
        <w:rPr>
          <w:rFonts w:ascii="Calibri Light" w:hAnsi="Calibri Light"/>
          <w:color w:val="004274"/>
          <w:sz w:val="48"/>
          <w:szCs w:val="48"/>
          <w:lang w:val="en-AU"/>
        </w:rPr>
        <w:lastRenderedPageBreak/>
        <w:t>Contents</w:t>
      </w:r>
    </w:p>
    <w:p w:rsidR="0032095D" w:rsidRPr="00DD4E6E" w:rsidRDefault="0032095D" w:rsidP="00D26145">
      <w:pPr>
        <w:rPr>
          <w:lang w:val="en-AU"/>
        </w:rPr>
      </w:pPr>
    </w:p>
    <w:p w:rsidR="004A170A" w:rsidRPr="00A91D64" w:rsidRDefault="00E646A4">
      <w:pPr>
        <w:pStyle w:val="TOC1"/>
        <w:tabs>
          <w:tab w:val="right" w:leader="dot" w:pos="8296"/>
        </w:tabs>
        <w:rPr>
          <w:rFonts w:asciiTheme="minorHAnsi" w:eastAsiaTheme="minorEastAsia" w:hAnsiTheme="minorHAnsi" w:cstheme="minorBidi"/>
          <w:caps w:val="0"/>
          <w:noProof/>
          <w:color w:val="auto"/>
          <w:sz w:val="22"/>
          <w:szCs w:val="22"/>
          <w:lang w:val="en-AU" w:eastAsia="en-AU"/>
        </w:rPr>
      </w:pPr>
      <w:r w:rsidRPr="00A91D64">
        <w:rPr>
          <w:rFonts w:ascii="Calibri Light" w:hAnsi="Calibri Light"/>
          <w:color w:val="auto"/>
          <w:sz w:val="48"/>
          <w:szCs w:val="48"/>
          <w:lang w:val="en-AU"/>
        </w:rPr>
        <w:fldChar w:fldCharType="begin"/>
      </w:r>
      <w:r w:rsidR="0032095D" w:rsidRPr="00A91D64">
        <w:rPr>
          <w:rFonts w:ascii="Calibri Light" w:hAnsi="Calibri Light"/>
          <w:color w:val="auto"/>
          <w:sz w:val="48"/>
          <w:szCs w:val="48"/>
          <w:lang w:val="en-AU"/>
        </w:rPr>
        <w:instrText xml:space="preserve"> TOC \o "1-3" \h \z \u </w:instrText>
      </w:r>
      <w:r w:rsidRPr="00A91D64">
        <w:rPr>
          <w:rFonts w:ascii="Calibri Light" w:hAnsi="Calibri Light"/>
          <w:color w:val="auto"/>
          <w:sz w:val="48"/>
          <w:szCs w:val="48"/>
          <w:lang w:val="en-AU"/>
        </w:rPr>
        <w:fldChar w:fldCharType="separate"/>
      </w:r>
      <w:hyperlink w:anchor="_Toc458775158" w:history="1">
        <w:r w:rsidR="004A170A" w:rsidRPr="00A91D64">
          <w:rPr>
            <w:rStyle w:val="Hyperlink"/>
            <w:noProof/>
            <w:color w:val="auto"/>
            <w:lang w:val="en-AU"/>
          </w:rPr>
          <w:t>1. Overview</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_Toc458775158 \h </w:instrText>
        </w:r>
        <w:r w:rsidR="004A170A" w:rsidRPr="00A91D64">
          <w:rPr>
            <w:noProof/>
            <w:webHidden/>
            <w:color w:val="auto"/>
          </w:rPr>
        </w:r>
        <w:r w:rsidR="004A170A" w:rsidRPr="00A91D64">
          <w:rPr>
            <w:noProof/>
            <w:webHidden/>
            <w:color w:val="auto"/>
          </w:rPr>
          <w:fldChar w:fldCharType="separate"/>
        </w:r>
        <w:r w:rsidR="00AC2940">
          <w:rPr>
            <w:noProof/>
            <w:webHidden/>
            <w:color w:val="auto"/>
          </w:rPr>
          <w:t>1</w:t>
        </w:r>
        <w:r w:rsidR="004A170A" w:rsidRPr="00A91D64">
          <w:rPr>
            <w:noProof/>
            <w:webHidden/>
            <w:color w:val="auto"/>
          </w:rPr>
          <w:fldChar w:fldCharType="end"/>
        </w:r>
      </w:hyperlink>
    </w:p>
    <w:p w:rsidR="004A170A" w:rsidRPr="00A91D64" w:rsidRDefault="00AC2940">
      <w:pPr>
        <w:pStyle w:val="TOC2"/>
        <w:rPr>
          <w:rFonts w:asciiTheme="minorHAnsi" w:eastAsiaTheme="minorEastAsia" w:hAnsiTheme="minorHAnsi" w:cstheme="minorBidi"/>
          <w:noProof/>
          <w:color w:val="auto"/>
          <w:sz w:val="22"/>
          <w:szCs w:val="22"/>
          <w:lang w:val="en-AU" w:eastAsia="en-AU"/>
        </w:rPr>
      </w:pPr>
      <w:hyperlink w:anchor="_Toc458775159" w:history="1">
        <w:r w:rsidR="004A170A" w:rsidRPr="00A91D64">
          <w:rPr>
            <w:rStyle w:val="Hyperlink"/>
            <w:noProof/>
            <w:color w:val="auto"/>
            <w:lang w:val="en-AU"/>
          </w:rPr>
          <w:t>1.1 Introduction</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_Toc458775159 \h </w:instrText>
        </w:r>
        <w:r w:rsidR="004A170A" w:rsidRPr="00A91D64">
          <w:rPr>
            <w:noProof/>
            <w:webHidden/>
            <w:color w:val="auto"/>
          </w:rPr>
        </w:r>
        <w:r w:rsidR="004A170A" w:rsidRPr="00A91D64">
          <w:rPr>
            <w:noProof/>
            <w:webHidden/>
            <w:color w:val="auto"/>
          </w:rPr>
          <w:fldChar w:fldCharType="separate"/>
        </w:r>
        <w:r>
          <w:rPr>
            <w:noProof/>
            <w:webHidden/>
            <w:color w:val="auto"/>
          </w:rPr>
          <w:t>2</w:t>
        </w:r>
        <w:r w:rsidR="004A170A" w:rsidRPr="00A91D64">
          <w:rPr>
            <w:noProof/>
            <w:webHidden/>
            <w:color w:val="auto"/>
          </w:rPr>
          <w:fldChar w:fldCharType="end"/>
        </w:r>
      </w:hyperlink>
    </w:p>
    <w:p w:rsidR="004A170A" w:rsidRPr="00A91D64" w:rsidRDefault="00AC2940">
      <w:pPr>
        <w:pStyle w:val="TOC2"/>
        <w:rPr>
          <w:rFonts w:asciiTheme="minorHAnsi" w:eastAsiaTheme="minorEastAsia" w:hAnsiTheme="minorHAnsi" w:cstheme="minorBidi"/>
          <w:noProof/>
          <w:color w:val="auto"/>
          <w:sz w:val="22"/>
          <w:szCs w:val="22"/>
          <w:lang w:val="en-AU" w:eastAsia="en-AU"/>
        </w:rPr>
      </w:pPr>
      <w:hyperlink w:anchor="_Toc458775160" w:history="1">
        <w:r w:rsidR="004A170A" w:rsidRPr="00A91D64">
          <w:rPr>
            <w:rStyle w:val="Hyperlink"/>
            <w:noProof/>
            <w:color w:val="auto"/>
            <w:lang w:val="en-AU"/>
          </w:rPr>
          <w:t>1.2 Key messages</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_Toc458775160 \h </w:instrText>
        </w:r>
        <w:r w:rsidR="004A170A" w:rsidRPr="00A91D64">
          <w:rPr>
            <w:noProof/>
            <w:webHidden/>
            <w:color w:val="auto"/>
          </w:rPr>
        </w:r>
        <w:r w:rsidR="004A170A" w:rsidRPr="00A91D64">
          <w:rPr>
            <w:noProof/>
            <w:webHidden/>
            <w:color w:val="auto"/>
          </w:rPr>
          <w:fldChar w:fldCharType="separate"/>
        </w:r>
        <w:r>
          <w:rPr>
            <w:noProof/>
            <w:webHidden/>
            <w:color w:val="auto"/>
          </w:rPr>
          <w:t>3</w:t>
        </w:r>
        <w:r w:rsidR="004A170A" w:rsidRPr="00A91D64">
          <w:rPr>
            <w:noProof/>
            <w:webHidden/>
            <w:color w:val="auto"/>
          </w:rPr>
          <w:fldChar w:fldCharType="end"/>
        </w:r>
      </w:hyperlink>
    </w:p>
    <w:p w:rsidR="004A170A" w:rsidRPr="00A91D64" w:rsidRDefault="00AC2940">
      <w:pPr>
        <w:pStyle w:val="TOC1"/>
        <w:tabs>
          <w:tab w:val="right" w:leader="dot" w:pos="8296"/>
        </w:tabs>
        <w:rPr>
          <w:rFonts w:asciiTheme="minorHAnsi" w:eastAsiaTheme="minorEastAsia" w:hAnsiTheme="minorHAnsi" w:cstheme="minorBidi"/>
          <w:caps w:val="0"/>
          <w:noProof/>
          <w:color w:val="auto"/>
          <w:sz w:val="22"/>
          <w:szCs w:val="22"/>
          <w:lang w:val="en-AU" w:eastAsia="en-AU"/>
        </w:rPr>
      </w:pPr>
      <w:hyperlink w:anchor="_Toc458775161" w:history="1">
        <w:r w:rsidR="004A170A" w:rsidRPr="00A91D64">
          <w:rPr>
            <w:rStyle w:val="Hyperlink"/>
            <w:noProof/>
            <w:color w:val="auto"/>
            <w:lang w:val="en-AU"/>
          </w:rPr>
          <w:t>2. Planning in a commissioning environment</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_Toc458775161 \h </w:instrText>
        </w:r>
        <w:r w:rsidR="004A170A" w:rsidRPr="00A91D64">
          <w:rPr>
            <w:noProof/>
            <w:webHidden/>
            <w:color w:val="auto"/>
          </w:rPr>
        </w:r>
        <w:r w:rsidR="004A170A" w:rsidRPr="00A91D64">
          <w:rPr>
            <w:noProof/>
            <w:webHidden/>
            <w:color w:val="auto"/>
          </w:rPr>
          <w:fldChar w:fldCharType="separate"/>
        </w:r>
        <w:r>
          <w:rPr>
            <w:noProof/>
            <w:webHidden/>
            <w:color w:val="auto"/>
          </w:rPr>
          <w:t>6</w:t>
        </w:r>
        <w:r w:rsidR="004A170A" w:rsidRPr="00A91D64">
          <w:rPr>
            <w:noProof/>
            <w:webHidden/>
            <w:color w:val="auto"/>
          </w:rPr>
          <w:fldChar w:fldCharType="end"/>
        </w:r>
      </w:hyperlink>
    </w:p>
    <w:p w:rsidR="004A170A" w:rsidRPr="00A91D64" w:rsidRDefault="00AC2940">
      <w:pPr>
        <w:pStyle w:val="TOC2"/>
        <w:rPr>
          <w:rFonts w:asciiTheme="minorHAnsi" w:eastAsiaTheme="minorEastAsia" w:hAnsiTheme="minorHAnsi" w:cstheme="minorBidi"/>
          <w:noProof/>
          <w:color w:val="auto"/>
          <w:sz w:val="22"/>
          <w:szCs w:val="22"/>
          <w:lang w:val="en-AU" w:eastAsia="en-AU"/>
        </w:rPr>
      </w:pPr>
      <w:hyperlink w:anchor="_Toc458775162" w:history="1">
        <w:r w:rsidR="004A170A" w:rsidRPr="00A91D64">
          <w:rPr>
            <w:rStyle w:val="Hyperlink"/>
            <w:noProof/>
            <w:color w:val="auto"/>
            <w:lang w:val="en-AU"/>
          </w:rPr>
          <w:t>2.1 The PHN commissioning framework</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_Toc458775162 \h </w:instrText>
        </w:r>
        <w:r w:rsidR="004A170A" w:rsidRPr="00A91D64">
          <w:rPr>
            <w:noProof/>
            <w:webHidden/>
            <w:color w:val="auto"/>
          </w:rPr>
        </w:r>
        <w:r w:rsidR="004A170A" w:rsidRPr="00A91D64">
          <w:rPr>
            <w:noProof/>
            <w:webHidden/>
            <w:color w:val="auto"/>
          </w:rPr>
          <w:fldChar w:fldCharType="separate"/>
        </w:r>
        <w:r>
          <w:rPr>
            <w:noProof/>
            <w:webHidden/>
            <w:color w:val="auto"/>
          </w:rPr>
          <w:t>6</w:t>
        </w:r>
        <w:r w:rsidR="004A170A" w:rsidRPr="00A91D64">
          <w:rPr>
            <w:noProof/>
            <w:webHidden/>
            <w:color w:val="auto"/>
          </w:rPr>
          <w:fldChar w:fldCharType="end"/>
        </w:r>
      </w:hyperlink>
    </w:p>
    <w:p w:rsidR="004A170A" w:rsidRPr="00A91D64" w:rsidRDefault="00AC2940">
      <w:pPr>
        <w:pStyle w:val="TOC3"/>
        <w:tabs>
          <w:tab w:val="right" w:leader="dot" w:pos="8296"/>
        </w:tabs>
        <w:rPr>
          <w:rFonts w:asciiTheme="minorHAnsi" w:eastAsiaTheme="minorEastAsia" w:hAnsiTheme="minorHAnsi" w:cstheme="minorBidi"/>
          <w:noProof/>
          <w:color w:val="auto"/>
          <w:sz w:val="22"/>
          <w:szCs w:val="22"/>
          <w:lang w:val="en-AU" w:eastAsia="en-AU"/>
        </w:rPr>
      </w:pPr>
      <w:hyperlink w:anchor="_Toc458775163" w:history="1">
        <w:r w:rsidR="004A170A" w:rsidRPr="00A91D64">
          <w:rPr>
            <w:rStyle w:val="Hyperlink"/>
            <w:noProof/>
            <w:color w:val="auto"/>
          </w:rPr>
          <w:t>Commissioning</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_Toc458775163 \h </w:instrText>
        </w:r>
        <w:r w:rsidR="004A170A" w:rsidRPr="00A91D64">
          <w:rPr>
            <w:noProof/>
            <w:webHidden/>
            <w:color w:val="auto"/>
          </w:rPr>
        </w:r>
        <w:r w:rsidR="004A170A" w:rsidRPr="00A91D64">
          <w:rPr>
            <w:noProof/>
            <w:webHidden/>
            <w:color w:val="auto"/>
          </w:rPr>
          <w:fldChar w:fldCharType="separate"/>
        </w:r>
        <w:r>
          <w:rPr>
            <w:noProof/>
            <w:webHidden/>
            <w:color w:val="auto"/>
          </w:rPr>
          <w:t>7</w:t>
        </w:r>
        <w:r w:rsidR="004A170A" w:rsidRPr="00A91D64">
          <w:rPr>
            <w:noProof/>
            <w:webHidden/>
            <w:color w:val="auto"/>
          </w:rPr>
          <w:fldChar w:fldCharType="end"/>
        </w:r>
      </w:hyperlink>
    </w:p>
    <w:p w:rsidR="004A170A" w:rsidRPr="00A91D64" w:rsidRDefault="00AC2940">
      <w:pPr>
        <w:pStyle w:val="TOC3"/>
        <w:tabs>
          <w:tab w:val="right" w:leader="dot" w:pos="8296"/>
        </w:tabs>
        <w:rPr>
          <w:rFonts w:asciiTheme="minorHAnsi" w:eastAsiaTheme="minorEastAsia" w:hAnsiTheme="minorHAnsi" w:cstheme="minorBidi"/>
          <w:noProof/>
          <w:color w:val="auto"/>
          <w:sz w:val="22"/>
          <w:szCs w:val="22"/>
          <w:lang w:val="en-AU" w:eastAsia="en-AU"/>
        </w:rPr>
      </w:pPr>
      <w:hyperlink w:anchor="_Toc458775164" w:history="1">
        <w:r w:rsidR="004A170A" w:rsidRPr="00A91D64">
          <w:rPr>
            <w:rStyle w:val="Hyperlink"/>
            <w:noProof/>
            <w:color w:val="auto"/>
          </w:rPr>
          <w:t>Planning</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_Toc458775164 \h </w:instrText>
        </w:r>
        <w:r w:rsidR="004A170A" w:rsidRPr="00A91D64">
          <w:rPr>
            <w:noProof/>
            <w:webHidden/>
            <w:color w:val="auto"/>
          </w:rPr>
        </w:r>
        <w:r w:rsidR="004A170A" w:rsidRPr="00A91D64">
          <w:rPr>
            <w:noProof/>
            <w:webHidden/>
            <w:color w:val="auto"/>
          </w:rPr>
          <w:fldChar w:fldCharType="separate"/>
        </w:r>
        <w:r>
          <w:rPr>
            <w:noProof/>
            <w:webHidden/>
            <w:color w:val="auto"/>
          </w:rPr>
          <w:t>7</w:t>
        </w:r>
        <w:r w:rsidR="004A170A" w:rsidRPr="00A91D64">
          <w:rPr>
            <w:noProof/>
            <w:webHidden/>
            <w:color w:val="auto"/>
          </w:rPr>
          <w:fldChar w:fldCharType="end"/>
        </w:r>
      </w:hyperlink>
    </w:p>
    <w:p w:rsidR="004A170A" w:rsidRPr="00A91D64" w:rsidRDefault="00AC2940">
      <w:pPr>
        <w:pStyle w:val="TOC3"/>
        <w:tabs>
          <w:tab w:val="right" w:leader="dot" w:pos="8296"/>
        </w:tabs>
        <w:rPr>
          <w:rFonts w:asciiTheme="minorHAnsi" w:eastAsiaTheme="minorEastAsia" w:hAnsiTheme="minorHAnsi" w:cstheme="minorBidi"/>
          <w:noProof/>
          <w:color w:val="auto"/>
          <w:sz w:val="22"/>
          <w:szCs w:val="22"/>
          <w:lang w:val="en-AU" w:eastAsia="en-AU"/>
        </w:rPr>
      </w:pPr>
      <w:hyperlink w:anchor="_Toc458775165" w:history="1">
        <w:r w:rsidR="004A170A" w:rsidRPr="00A91D64">
          <w:rPr>
            <w:rStyle w:val="Hyperlink"/>
            <w:noProof/>
            <w:color w:val="auto"/>
          </w:rPr>
          <w:t>Planning for commissioning</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_Toc458775165 \h </w:instrText>
        </w:r>
        <w:r w:rsidR="004A170A" w:rsidRPr="00A91D64">
          <w:rPr>
            <w:noProof/>
            <w:webHidden/>
            <w:color w:val="auto"/>
          </w:rPr>
        </w:r>
        <w:r w:rsidR="004A170A" w:rsidRPr="00A91D64">
          <w:rPr>
            <w:noProof/>
            <w:webHidden/>
            <w:color w:val="auto"/>
          </w:rPr>
          <w:fldChar w:fldCharType="separate"/>
        </w:r>
        <w:r>
          <w:rPr>
            <w:noProof/>
            <w:webHidden/>
            <w:color w:val="auto"/>
          </w:rPr>
          <w:t>8</w:t>
        </w:r>
        <w:r w:rsidR="004A170A" w:rsidRPr="00A91D64">
          <w:rPr>
            <w:noProof/>
            <w:webHidden/>
            <w:color w:val="auto"/>
          </w:rPr>
          <w:fldChar w:fldCharType="end"/>
        </w:r>
      </w:hyperlink>
    </w:p>
    <w:p w:rsidR="004A170A" w:rsidRPr="00A91D64" w:rsidRDefault="00AC2940">
      <w:pPr>
        <w:pStyle w:val="TOC2"/>
        <w:rPr>
          <w:rFonts w:asciiTheme="minorHAnsi" w:eastAsiaTheme="minorEastAsia" w:hAnsiTheme="minorHAnsi" w:cstheme="minorBidi"/>
          <w:noProof/>
          <w:color w:val="auto"/>
          <w:sz w:val="22"/>
          <w:szCs w:val="22"/>
          <w:lang w:val="en-AU" w:eastAsia="en-AU"/>
        </w:rPr>
      </w:pPr>
      <w:hyperlink w:anchor="_Toc458775166" w:history="1">
        <w:r w:rsidR="004A170A" w:rsidRPr="00A91D64">
          <w:rPr>
            <w:rStyle w:val="Hyperlink"/>
            <w:noProof/>
            <w:color w:val="auto"/>
            <w:lang w:val="en-AU"/>
          </w:rPr>
          <w:t>2.2 Considerations for PHNs</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_Toc458775166 \h </w:instrText>
        </w:r>
        <w:r w:rsidR="004A170A" w:rsidRPr="00A91D64">
          <w:rPr>
            <w:noProof/>
            <w:webHidden/>
            <w:color w:val="auto"/>
          </w:rPr>
        </w:r>
        <w:r w:rsidR="004A170A" w:rsidRPr="00A91D64">
          <w:rPr>
            <w:noProof/>
            <w:webHidden/>
            <w:color w:val="auto"/>
          </w:rPr>
          <w:fldChar w:fldCharType="separate"/>
        </w:r>
        <w:r>
          <w:rPr>
            <w:noProof/>
            <w:webHidden/>
            <w:color w:val="auto"/>
          </w:rPr>
          <w:t>9</w:t>
        </w:r>
        <w:r w:rsidR="004A170A" w:rsidRPr="00A91D64">
          <w:rPr>
            <w:noProof/>
            <w:webHidden/>
            <w:color w:val="auto"/>
          </w:rPr>
          <w:fldChar w:fldCharType="end"/>
        </w:r>
      </w:hyperlink>
    </w:p>
    <w:p w:rsidR="004A170A" w:rsidRPr="00A91D64" w:rsidRDefault="00AC2940">
      <w:pPr>
        <w:pStyle w:val="TOC3"/>
        <w:tabs>
          <w:tab w:val="right" w:leader="dot" w:pos="8296"/>
        </w:tabs>
        <w:rPr>
          <w:rFonts w:asciiTheme="minorHAnsi" w:eastAsiaTheme="minorEastAsia" w:hAnsiTheme="minorHAnsi" w:cstheme="minorBidi"/>
          <w:noProof/>
          <w:color w:val="auto"/>
          <w:sz w:val="22"/>
          <w:szCs w:val="22"/>
          <w:lang w:val="en-AU" w:eastAsia="en-AU"/>
        </w:rPr>
      </w:pPr>
      <w:hyperlink w:anchor="_Toc458775167" w:history="1">
        <w:r w:rsidR="004A170A" w:rsidRPr="00A91D64">
          <w:rPr>
            <w:rStyle w:val="Hyperlink"/>
            <w:noProof/>
            <w:color w:val="auto"/>
          </w:rPr>
          <w:t>PHN objectives, needs assessment and national priorities</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_Toc458775167 \h </w:instrText>
        </w:r>
        <w:r w:rsidR="004A170A" w:rsidRPr="00A91D64">
          <w:rPr>
            <w:noProof/>
            <w:webHidden/>
            <w:color w:val="auto"/>
          </w:rPr>
        </w:r>
        <w:r w:rsidR="004A170A" w:rsidRPr="00A91D64">
          <w:rPr>
            <w:noProof/>
            <w:webHidden/>
            <w:color w:val="auto"/>
          </w:rPr>
          <w:fldChar w:fldCharType="separate"/>
        </w:r>
        <w:r>
          <w:rPr>
            <w:noProof/>
            <w:webHidden/>
            <w:color w:val="auto"/>
          </w:rPr>
          <w:t>9</w:t>
        </w:r>
        <w:r w:rsidR="004A170A" w:rsidRPr="00A91D64">
          <w:rPr>
            <w:noProof/>
            <w:webHidden/>
            <w:color w:val="auto"/>
          </w:rPr>
          <w:fldChar w:fldCharType="end"/>
        </w:r>
      </w:hyperlink>
    </w:p>
    <w:p w:rsidR="004A170A" w:rsidRPr="00A91D64" w:rsidRDefault="00AC2940">
      <w:pPr>
        <w:pStyle w:val="TOC3"/>
        <w:tabs>
          <w:tab w:val="right" w:leader="dot" w:pos="8296"/>
        </w:tabs>
        <w:rPr>
          <w:rFonts w:asciiTheme="minorHAnsi" w:eastAsiaTheme="minorEastAsia" w:hAnsiTheme="minorHAnsi" w:cstheme="minorBidi"/>
          <w:noProof/>
          <w:color w:val="auto"/>
          <w:sz w:val="22"/>
          <w:szCs w:val="22"/>
          <w:lang w:val="en-AU" w:eastAsia="en-AU"/>
        </w:rPr>
      </w:pPr>
      <w:hyperlink w:anchor="_Toc458775168" w:history="1">
        <w:r w:rsidR="004A170A" w:rsidRPr="00A91D64">
          <w:rPr>
            <w:rStyle w:val="Hyperlink"/>
            <w:noProof/>
            <w:color w:val="auto"/>
          </w:rPr>
          <w:t>Leadership, governance and organisational capacity</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_Toc458775168 \h </w:instrText>
        </w:r>
        <w:r w:rsidR="004A170A" w:rsidRPr="00A91D64">
          <w:rPr>
            <w:noProof/>
            <w:webHidden/>
            <w:color w:val="auto"/>
          </w:rPr>
        </w:r>
        <w:r w:rsidR="004A170A" w:rsidRPr="00A91D64">
          <w:rPr>
            <w:noProof/>
            <w:webHidden/>
            <w:color w:val="auto"/>
          </w:rPr>
          <w:fldChar w:fldCharType="separate"/>
        </w:r>
        <w:r>
          <w:rPr>
            <w:noProof/>
            <w:webHidden/>
            <w:color w:val="auto"/>
          </w:rPr>
          <w:t>10</w:t>
        </w:r>
        <w:r w:rsidR="004A170A" w:rsidRPr="00A91D64">
          <w:rPr>
            <w:noProof/>
            <w:webHidden/>
            <w:color w:val="auto"/>
          </w:rPr>
          <w:fldChar w:fldCharType="end"/>
        </w:r>
      </w:hyperlink>
    </w:p>
    <w:p w:rsidR="004A170A" w:rsidRPr="00A91D64" w:rsidRDefault="00AC2940">
      <w:pPr>
        <w:pStyle w:val="TOC3"/>
        <w:tabs>
          <w:tab w:val="right" w:leader="dot" w:pos="8296"/>
        </w:tabs>
        <w:rPr>
          <w:rFonts w:asciiTheme="minorHAnsi" w:eastAsiaTheme="minorEastAsia" w:hAnsiTheme="minorHAnsi" w:cstheme="minorBidi"/>
          <w:noProof/>
          <w:color w:val="auto"/>
          <w:sz w:val="22"/>
          <w:szCs w:val="22"/>
          <w:lang w:val="en-AU" w:eastAsia="en-AU"/>
        </w:rPr>
      </w:pPr>
      <w:hyperlink w:anchor="_Toc458775169" w:history="1">
        <w:r w:rsidR="004A170A" w:rsidRPr="00A91D64">
          <w:rPr>
            <w:rStyle w:val="Hyperlink"/>
            <w:noProof/>
            <w:color w:val="auto"/>
          </w:rPr>
          <w:t>Engagement and consultation, autonomy and responsibility</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_Toc458775169 \h </w:instrText>
        </w:r>
        <w:r w:rsidR="004A170A" w:rsidRPr="00A91D64">
          <w:rPr>
            <w:noProof/>
            <w:webHidden/>
            <w:color w:val="auto"/>
          </w:rPr>
        </w:r>
        <w:r w:rsidR="004A170A" w:rsidRPr="00A91D64">
          <w:rPr>
            <w:noProof/>
            <w:webHidden/>
            <w:color w:val="auto"/>
          </w:rPr>
          <w:fldChar w:fldCharType="separate"/>
        </w:r>
        <w:r>
          <w:rPr>
            <w:noProof/>
            <w:webHidden/>
            <w:color w:val="auto"/>
          </w:rPr>
          <w:t>11</w:t>
        </w:r>
        <w:r w:rsidR="004A170A" w:rsidRPr="00A91D64">
          <w:rPr>
            <w:noProof/>
            <w:webHidden/>
            <w:color w:val="auto"/>
          </w:rPr>
          <w:fldChar w:fldCharType="end"/>
        </w:r>
      </w:hyperlink>
    </w:p>
    <w:p w:rsidR="004A170A" w:rsidRPr="00A91D64" w:rsidRDefault="00AC2940">
      <w:pPr>
        <w:pStyle w:val="TOC3"/>
        <w:tabs>
          <w:tab w:val="right" w:leader="dot" w:pos="8296"/>
        </w:tabs>
        <w:rPr>
          <w:rFonts w:asciiTheme="minorHAnsi" w:eastAsiaTheme="minorEastAsia" w:hAnsiTheme="minorHAnsi" w:cstheme="minorBidi"/>
          <w:noProof/>
          <w:color w:val="auto"/>
          <w:sz w:val="22"/>
          <w:szCs w:val="22"/>
          <w:lang w:val="en-AU" w:eastAsia="en-AU"/>
        </w:rPr>
      </w:pPr>
      <w:hyperlink w:anchor="_Toc458775170" w:history="1">
        <w:r w:rsidR="004A170A" w:rsidRPr="00A91D64">
          <w:rPr>
            <w:rStyle w:val="Hyperlink"/>
            <w:noProof/>
            <w:color w:val="auto"/>
          </w:rPr>
          <w:t>Priority setting and decision making</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_Toc458775170 \h </w:instrText>
        </w:r>
        <w:r w:rsidR="004A170A" w:rsidRPr="00A91D64">
          <w:rPr>
            <w:noProof/>
            <w:webHidden/>
            <w:color w:val="auto"/>
          </w:rPr>
        </w:r>
        <w:r w:rsidR="004A170A" w:rsidRPr="00A91D64">
          <w:rPr>
            <w:noProof/>
            <w:webHidden/>
            <w:color w:val="auto"/>
          </w:rPr>
          <w:fldChar w:fldCharType="separate"/>
        </w:r>
        <w:r>
          <w:rPr>
            <w:noProof/>
            <w:webHidden/>
            <w:color w:val="auto"/>
          </w:rPr>
          <w:t>12</w:t>
        </w:r>
        <w:r w:rsidR="004A170A" w:rsidRPr="00A91D64">
          <w:rPr>
            <w:noProof/>
            <w:webHidden/>
            <w:color w:val="auto"/>
          </w:rPr>
          <w:fldChar w:fldCharType="end"/>
        </w:r>
      </w:hyperlink>
    </w:p>
    <w:p w:rsidR="004A170A" w:rsidRPr="00A91D64" w:rsidRDefault="00AC2940">
      <w:pPr>
        <w:pStyle w:val="TOC3"/>
        <w:tabs>
          <w:tab w:val="right" w:leader="dot" w:pos="8296"/>
        </w:tabs>
        <w:rPr>
          <w:rFonts w:asciiTheme="minorHAnsi" w:eastAsiaTheme="minorEastAsia" w:hAnsiTheme="minorHAnsi" w:cstheme="minorBidi"/>
          <w:noProof/>
          <w:color w:val="auto"/>
          <w:sz w:val="22"/>
          <w:szCs w:val="22"/>
          <w:lang w:val="en-AU" w:eastAsia="en-AU"/>
        </w:rPr>
      </w:pPr>
      <w:hyperlink w:anchor="_Toc458775171" w:history="1">
        <w:r w:rsidR="004A170A" w:rsidRPr="00A91D64">
          <w:rPr>
            <w:rStyle w:val="Hyperlink"/>
            <w:noProof/>
            <w:color w:val="auto"/>
          </w:rPr>
          <w:t>Decommissioning and direct service delivery</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_Toc458775171 \h </w:instrText>
        </w:r>
        <w:r w:rsidR="004A170A" w:rsidRPr="00A91D64">
          <w:rPr>
            <w:noProof/>
            <w:webHidden/>
            <w:color w:val="auto"/>
          </w:rPr>
        </w:r>
        <w:r w:rsidR="004A170A" w:rsidRPr="00A91D64">
          <w:rPr>
            <w:noProof/>
            <w:webHidden/>
            <w:color w:val="auto"/>
          </w:rPr>
          <w:fldChar w:fldCharType="separate"/>
        </w:r>
        <w:r>
          <w:rPr>
            <w:noProof/>
            <w:webHidden/>
            <w:color w:val="auto"/>
          </w:rPr>
          <w:t>14</w:t>
        </w:r>
        <w:r w:rsidR="004A170A" w:rsidRPr="00A91D64">
          <w:rPr>
            <w:noProof/>
            <w:webHidden/>
            <w:color w:val="auto"/>
          </w:rPr>
          <w:fldChar w:fldCharType="end"/>
        </w:r>
      </w:hyperlink>
    </w:p>
    <w:p w:rsidR="004A170A" w:rsidRPr="00A91D64" w:rsidRDefault="00AC2940">
      <w:pPr>
        <w:pStyle w:val="TOC3"/>
        <w:tabs>
          <w:tab w:val="right" w:leader="dot" w:pos="8296"/>
        </w:tabs>
        <w:rPr>
          <w:rFonts w:asciiTheme="minorHAnsi" w:eastAsiaTheme="minorEastAsia" w:hAnsiTheme="minorHAnsi" w:cstheme="minorBidi"/>
          <w:noProof/>
          <w:color w:val="auto"/>
          <w:sz w:val="22"/>
          <w:szCs w:val="22"/>
          <w:lang w:val="en-AU" w:eastAsia="en-AU"/>
        </w:rPr>
      </w:pPr>
      <w:hyperlink w:anchor="_Toc458775172" w:history="1">
        <w:r w:rsidR="004A170A" w:rsidRPr="00A91D64">
          <w:rPr>
            <w:rStyle w:val="Hyperlink"/>
            <w:noProof/>
            <w:color w:val="auto"/>
          </w:rPr>
          <w:t>Performance measurement</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_Toc458775172 \h </w:instrText>
        </w:r>
        <w:r w:rsidR="004A170A" w:rsidRPr="00A91D64">
          <w:rPr>
            <w:noProof/>
            <w:webHidden/>
            <w:color w:val="auto"/>
          </w:rPr>
        </w:r>
        <w:r w:rsidR="004A170A" w:rsidRPr="00A91D64">
          <w:rPr>
            <w:noProof/>
            <w:webHidden/>
            <w:color w:val="auto"/>
          </w:rPr>
          <w:fldChar w:fldCharType="separate"/>
        </w:r>
        <w:r>
          <w:rPr>
            <w:noProof/>
            <w:webHidden/>
            <w:color w:val="auto"/>
          </w:rPr>
          <w:t>16</w:t>
        </w:r>
        <w:r w:rsidR="004A170A" w:rsidRPr="00A91D64">
          <w:rPr>
            <w:noProof/>
            <w:webHidden/>
            <w:color w:val="auto"/>
          </w:rPr>
          <w:fldChar w:fldCharType="end"/>
        </w:r>
      </w:hyperlink>
    </w:p>
    <w:p w:rsidR="004A170A" w:rsidRPr="00A91D64" w:rsidRDefault="00AC2940">
      <w:pPr>
        <w:pStyle w:val="TOC1"/>
        <w:tabs>
          <w:tab w:val="right" w:leader="dot" w:pos="8296"/>
        </w:tabs>
        <w:rPr>
          <w:rFonts w:asciiTheme="minorHAnsi" w:eastAsiaTheme="minorEastAsia" w:hAnsiTheme="minorHAnsi" w:cstheme="minorBidi"/>
          <w:caps w:val="0"/>
          <w:noProof/>
          <w:color w:val="auto"/>
          <w:sz w:val="22"/>
          <w:szCs w:val="22"/>
          <w:lang w:val="en-AU" w:eastAsia="en-AU"/>
        </w:rPr>
      </w:pPr>
      <w:hyperlink w:anchor="_Toc458775173" w:history="1">
        <w:r w:rsidR="004A170A" w:rsidRPr="00A91D64">
          <w:rPr>
            <w:rStyle w:val="Hyperlink"/>
            <w:noProof/>
            <w:color w:val="auto"/>
            <w:lang w:val="en-AU"/>
          </w:rPr>
          <w:t>3. PHN Planning for commissioning 2016-18</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_Toc458775173 \h </w:instrText>
        </w:r>
        <w:r w:rsidR="004A170A" w:rsidRPr="00A91D64">
          <w:rPr>
            <w:noProof/>
            <w:webHidden/>
            <w:color w:val="auto"/>
          </w:rPr>
        </w:r>
        <w:r w:rsidR="004A170A" w:rsidRPr="00A91D64">
          <w:rPr>
            <w:noProof/>
            <w:webHidden/>
            <w:color w:val="auto"/>
          </w:rPr>
          <w:fldChar w:fldCharType="separate"/>
        </w:r>
        <w:r>
          <w:rPr>
            <w:noProof/>
            <w:webHidden/>
            <w:color w:val="auto"/>
          </w:rPr>
          <w:t>19</w:t>
        </w:r>
        <w:r w:rsidR="004A170A" w:rsidRPr="00A91D64">
          <w:rPr>
            <w:noProof/>
            <w:webHidden/>
            <w:color w:val="auto"/>
          </w:rPr>
          <w:fldChar w:fldCharType="end"/>
        </w:r>
      </w:hyperlink>
    </w:p>
    <w:p w:rsidR="004A170A" w:rsidRPr="00A91D64" w:rsidRDefault="00AC2940">
      <w:pPr>
        <w:pStyle w:val="TOC2"/>
        <w:rPr>
          <w:rFonts w:asciiTheme="minorHAnsi" w:eastAsiaTheme="minorEastAsia" w:hAnsiTheme="minorHAnsi" w:cstheme="minorBidi"/>
          <w:noProof/>
          <w:color w:val="auto"/>
          <w:sz w:val="22"/>
          <w:szCs w:val="22"/>
          <w:lang w:val="en-AU" w:eastAsia="en-AU"/>
        </w:rPr>
      </w:pPr>
      <w:hyperlink w:anchor="_Toc458775174" w:history="1">
        <w:r w:rsidR="004A170A" w:rsidRPr="00A91D64">
          <w:rPr>
            <w:rStyle w:val="Hyperlink"/>
            <w:noProof/>
            <w:color w:val="auto"/>
            <w:lang w:val="en-AU"/>
          </w:rPr>
          <w:t>3.1 Overview</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_Toc458775174 \h </w:instrText>
        </w:r>
        <w:r w:rsidR="004A170A" w:rsidRPr="00A91D64">
          <w:rPr>
            <w:noProof/>
            <w:webHidden/>
            <w:color w:val="auto"/>
          </w:rPr>
        </w:r>
        <w:r w:rsidR="004A170A" w:rsidRPr="00A91D64">
          <w:rPr>
            <w:noProof/>
            <w:webHidden/>
            <w:color w:val="auto"/>
          </w:rPr>
          <w:fldChar w:fldCharType="separate"/>
        </w:r>
        <w:r>
          <w:rPr>
            <w:noProof/>
            <w:webHidden/>
            <w:color w:val="auto"/>
          </w:rPr>
          <w:t>19</w:t>
        </w:r>
        <w:r w:rsidR="004A170A" w:rsidRPr="00A91D64">
          <w:rPr>
            <w:noProof/>
            <w:webHidden/>
            <w:color w:val="auto"/>
          </w:rPr>
          <w:fldChar w:fldCharType="end"/>
        </w:r>
      </w:hyperlink>
    </w:p>
    <w:p w:rsidR="004A170A" w:rsidRPr="00A91D64" w:rsidRDefault="00AC2940">
      <w:pPr>
        <w:pStyle w:val="TOC2"/>
        <w:rPr>
          <w:rFonts w:asciiTheme="minorHAnsi" w:eastAsiaTheme="minorEastAsia" w:hAnsiTheme="minorHAnsi" w:cstheme="minorBidi"/>
          <w:noProof/>
          <w:color w:val="auto"/>
          <w:sz w:val="22"/>
          <w:szCs w:val="22"/>
          <w:lang w:val="en-AU" w:eastAsia="en-AU"/>
        </w:rPr>
      </w:pPr>
      <w:hyperlink w:anchor="_Toc458775175" w:history="1">
        <w:r w:rsidR="004A170A" w:rsidRPr="00A91D64">
          <w:rPr>
            <w:rStyle w:val="Hyperlink"/>
            <w:noProof/>
            <w:color w:val="auto"/>
          </w:rPr>
          <w:t>3.2 Stage 1: Developing a set of potential activities</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_Toc458775175 \h </w:instrText>
        </w:r>
        <w:r w:rsidR="004A170A" w:rsidRPr="00A91D64">
          <w:rPr>
            <w:noProof/>
            <w:webHidden/>
            <w:color w:val="auto"/>
          </w:rPr>
        </w:r>
        <w:r w:rsidR="004A170A" w:rsidRPr="00A91D64">
          <w:rPr>
            <w:noProof/>
            <w:webHidden/>
            <w:color w:val="auto"/>
          </w:rPr>
          <w:fldChar w:fldCharType="separate"/>
        </w:r>
        <w:r>
          <w:rPr>
            <w:noProof/>
            <w:webHidden/>
            <w:color w:val="auto"/>
          </w:rPr>
          <w:t>20</w:t>
        </w:r>
        <w:r w:rsidR="004A170A" w:rsidRPr="00A91D64">
          <w:rPr>
            <w:noProof/>
            <w:webHidden/>
            <w:color w:val="auto"/>
          </w:rPr>
          <w:fldChar w:fldCharType="end"/>
        </w:r>
      </w:hyperlink>
    </w:p>
    <w:p w:rsidR="004A170A" w:rsidRPr="00A91D64" w:rsidRDefault="00AC2940">
      <w:pPr>
        <w:pStyle w:val="TOC2"/>
        <w:rPr>
          <w:rFonts w:asciiTheme="minorHAnsi" w:eastAsiaTheme="minorEastAsia" w:hAnsiTheme="minorHAnsi" w:cstheme="minorBidi"/>
          <w:noProof/>
          <w:color w:val="auto"/>
          <w:sz w:val="22"/>
          <w:szCs w:val="22"/>
          <w:lang w:val="en-AU" w:eastAsia="en-AU"/>
        </w:rPr>
      </w:pPr>
      <w:hyperlink w:anchor="_Toc458775176" w:history="1">
        <w:r w:rsidR="004A170A" w:rsidRPr="00A91D64">
          <w:rPr>
            <w:rStyle w:val="Hyperlink"/>
            <w:noProof/>
            <w:color w:val="auto"/>
          </w:rPr>
          <w:t>3.3 Stage 2: Priority setting and choosing activities</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_Toc458775176 \h </w:instrText>
        </w:r>
        <w:r w:rsidR="004A170A" w:rsidRPr="00A91D64">
          <w:rPr>
            <w:noProof/>
            <w:webHidden/>
            <w:color w:val="auto"/>
          </w:rPr>
        </w:r>
        <w:r w:rsidR="004A170A" w:rsidRPr="00A91D64">
          <w:rPr>
            <w:noProof/>
            <w:webHidden/>
            <w:color w:val="auto"/>
          </w:rPr>
          <w:fldChar w:fldCharType="separate"/>
        </w:r>
        <w:r>
          <w:rPr>
            <w:noProof/>
            <w:webHidden/>
            <w:color w:val="auto"/>
          </w:rPr>
          <w:t>21</w:t>
        </w:r>
        <w:r w:rsidR="004A170A" w:rsidRPr="00A91D64">
          <w:rPr>
            <w:noProof/>
            <w:webHidden/>
            <w:color w:val="auto"/>
          </w:rPr>
          <w:fldChar w:fldCharType="end"/>
        </w:r>
      </w:hyperlink>
    </w:p>
    <w:p w:rsidR="004A170A" w:rsidRPr="00A91D64" w:rsidRDefault="00AC2940">
      <w:pPr>
        <w:pStyle w:val="TOC2"/>
        <w:rPr>
          <w:rFonts w:asciiTheme="minorHAnsi" w:eastAsiaTheme="minorEastAsia" w:hAnsiTheme="minorHAnsi" w:cstheme="minorBidi"/>
          <w:noProof/>
          <w:color w:val="auto"/>
          <w:sz w:val="22"/>
          <w:szCs w:val="22"/>
          <w:lang w:val="en-AU" w:eastAsia="en-AU"/>
        </w:rPr>
      </w:pPr>
      <w:hyperlink w:anchor="_Toc458775177" w:history="1">
        <w:r w:rsidR="004A170A" w:rsidRPr="00A91D64">
          <w:rPr>
            <w:rStyle w:val="Hyperlink"/>
            <w:noProof/>
            <w:color w:val="auto"/>
          </w:rPr>
          <w:t>3.4 Stage 3: Reviewing and ratifying the plan as a whole</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_Toc458775177 \h </w:instrText>
        </w:r>
        <w:r w:rsidR="004A170A" w:rsidRPr="00A91D64">
          <w:rPr>
            <w:noProof/>
            <w:webHidden/>
            <w:color w:val="auto"/>
          </w:rPr>
        </w:r>
        <w:r w:rsidR="004A170A" w:rsidRPr="00A91D64">
          <w:rPr>
            <w:noProof/>
            <w:webHidden/>
            <w:color w:val="auto"/>
          </w:rPr>
          <w:fldChar w:fldCharType="separate"/>
        </w:r>
        <w:r>
          <w:rPr>
            <w:noProof/>
            <w:webHidden/>
            <w:color w:val="auto"/>
          </w:rPr>
          <w:t>22</w:t>
        </w:r>
        <w:r w:rsidR="004A170A" w:rsidRPr="00A91D64">
          <w:rPr>
            <w:noProof/>
            <w:webHidden/>
            <w:color w:val="auto"/>
          </w:rPr>
          <w:fldChar w:fldCharType="end"/>
        </w:r>
      </w:hyperlink>
    </w:p>
    <w:p w:rsidR="004A170A" w:rsidRPr="00A91D64" w:rsidRDefault="00AC2940">
      <w:pPr>
        <w:pStyle w:val="TOC1"/>
        <w:tabs>
          <w:tab w:val="right" w:leader="dot" w:pos="8296"/>
        </w:tabs>
        <w:rPr>
          <w:rFonts w:asciiTheme="minorHAnsi" w:eastAsiaTheme="minorEastAsia" w:hAnsiTheme="minorHAnsi" w:cstheme="minorBidi"/>
          <w:caps w:val="0"/>
          <w:noProof/>
          <w:color w:val="auto"/>
          <w:sz w:val="22"/>
          <w:szCs w:val="22"/>
          <w:lang w:val="en-AU" w:eastAsia="en-AU"/>
        </w:rPr>
      </w:pPr>
      <w:hyperlink w:anchor="_Toc458775178" w:history="1">
        <w:r w:rsidR="004A170A" w:rsidRPr="00A91D64">
          <w:rPr>
            <w:rStyle w:val="Hyperlink"/>
            <w:noProof/>
            <w:color w:val="auto"/>
            <w:lang w:val="en-AU"/>
          </w:rPr>
          <w:t>APPENDIX I. Activity Workplan CHECKLIST</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_Toc458775178 \h </w:instrText>
        </w:r>
        <w:r w:rsidR="004A170A" w:rsidRPr="00A91D64">
          <w:rPr>
            <w:noProof/>
            <w:webHidden/>
            <w:color w:val="auto"/>
          </w:rPr>
        </w:r>
        <w:r w:rsidR="004A170A" w:rsidRPr="00A91D64">
          <w:rPr>
            <w:noProof/>
            <w:webHidden/>
            <w:color w:val="auto"/>
          </w:rPr>
          <w:fldChar w:fldCharType="separate"/>
        </w:r>
        <w:r>
          <w:rPr>
            <w:noProof/>
            <w:webHidden/>
            <w:color w:val="auto"/>
          </w:rPr>
          <w:t>23</w:t>
        </w:r>
        <w:r w:rsidR="004A170A" w:rsidRPr="00A91D64">
          <w:rPr>
            <w:noProof/>
            <w:webHidden/>
            <w:color w:val="auto"/>
          </w:rPr>
          <w:fldChar w:fldCharType="end"/>
        </w:r>
      </w:hyperlink>
    </w:p>
    <w:p w:rsidR="004A170A" w:rsidRPr="00A91D64" w:rsidRDefault="00AC2940">
      <w:pPr>
        <w:pStyle w:val="TOC1"/>
        <w:tabs>
          <w:tab w:val="right" w:leader="dot" w:pos="8296"/>
        </w:tabs>
        <w:rPr>
          <w:rFonts w:asciiTheme="minorHAnsi" w:eastAsiaTheme="minorEastAsia" w:hAnsiTheme="minorHAnsi" w:cstheme="minorBidi"/>
          <w:caps w:val="0"/>
          <w:noProof/>
          <w:color w:val="auto"/>
          <w:sz w:val="22"/>
          <w:szCs w:val="22"/>
          <w:lang w:val="en-AU" w:eastAsia="en-AU"/>
        </w:rPr>
      </w:pPr>
      <w:hyperlink w:anchor="_Toc458775179" w:history="1">
        <w:r w:rsidR="004A170A" w:rsidRPr="00A91D64">
          <w:rPr>
            <w:rStyle w:val="Hyperlink"/>
            <w:noProof/>
            <w:color w:val="auto"/>
          </w:rPr>
          <w:t>APPENDIX II. Examples of activity headings</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_Toc458775179 \h </w:instrText>
        </w:r>
        <w:r w:rsidR="004A170A" w:rsidRPr="00A91D64">
          <w:rPr>
            <w:noProof/>
            <w:webHidden/>
            <w:color w:val="auto"/>
          </w:rPr>
        </w:r>
        <w:r w:rsidR="004A170A" w:rsidRPr="00A91D64">
          <w:rPr>
            <w:noProof/>
            <w:webHidden/>
            <w:color w:val="auto"/>
          </w:rPr>
          <w:fldChar w:fldCharType="separate"/>
        </w:r>
        <w:r>
          <w:rPr>
            <w:noProof/>
            <w:webHidden/>
            <w:color w:val="auto"/>
          </w:rPr>
          <w:t>24</w:t>
        </w:r>
        <w:r w:rsidR="004A170A" w:rsidRPr="00A91D64">
          <w:rPr>
            <w:noProof/>
            <w:webHidden/>
            <w:color w:val="auto"/>
          </w:rPr>
          <w:fldChar w:fldCharType="end"/>
        </w:r>
      </w:hyperlink>
    </w:p>
    <w:p w:rsidR="004A170A" w:rsidRPr="00A91D64" w:rsidRDefault="00AC2940">
      <w:pPr>
        <w:pStyle w:val="TOC1"/>
        <w:tabs>
          <w:tab w:val="right" w:leader="dot" w:pos="8296"/>
        </w:tabs>
        <w:rPr>
          <w:rFonts w:asciiTheme="minorHAnsi" w:eastAsiaTheme="minorEastAsia" w:hAnsiTheme="minorHAnsi" w:cstheme="minorBidi"/>
          <w:caps w:val="0"/>
          <w:noProof/>
          <w:color w:val="auto"/>
          <w:sz w:val="22"/>
          <w:szCs w:val="22"/>
          <w:lang w:val="en-AU" w:eastAsia="en-AU"/>
        </w:rPr>
      </w:pPr>
      <w:hyperlink w:anchor="_Toc458775180" w:history="1">
        <w:r w:rsidR="004A170A" w:rsidRPr="00A91D64">
          <w:rPr>
            <w:rStyle w:val="Hyperlink"/>
            <w:noProof/>
            <w:color w:val="auto"/>
          </w:rPr>
          <w:t>Endnotes</w:t>
        </w:r>
        <w:r w:rsidR="004A170A" w:rsidRPr="00A91D64">
          <w:rPr>
            <w:noProof/>
            <w:webHidden/>
            <w:color w:val="auto"/>
          </w:rPr>
          <w:tab/>
        </w:r>
        <w:r w:rsidR="004A170A" w:rsidRPr="00A91D64">
          <w:rPr>
            <w:noProof/>
            <w:webHidden/>
            <w:color w:val="auto"/>
          </w:rPr>
          <w:fldChar w:fldCharType="begin"/>
        </w:r>
        <w:r w:rsidR="004A170A" w:rsidRPr="00A91D64">
          <w:rPr>
            <w:noProof/>
            <w:webHidden/>
            <w:color w:val="auto"/>
          </w:rPr>
          <w:instrText xml:space="preserve"> PAGEREF _Toc458775180 \h </w:instrText>
        </w:r>
        <w:r w:rsidR="004A170A" w:rsidRPr="00A91D64">
          <w:rPr>
            <w:noProof/>
            <w:webHidden/>
            <w:color w:val="auto"/>
          </w:rPr>
        </w:r>
        <w:r w:rsidR="004A170A" w:rsidRPr="00A91D64">
          <w:rPr>
            <w:noProof/>
            <w:webHidden/>
            <w:color w:val="auto"/>
          </w:rPr>
          <w:fldChar w:fldCharType="separate"/>
        </w:r>
        <w:r>
          <w:rPr>
            <w:noProof/>
            <w:webHidden/>
            <w:color w:val="auto"/>
          </w:rPr>
          <w:t>26</w:t>
        </w:r>
        <w:r w:rsidR="004A170A" w:rsidRPr="00A91D64">
          <w:rPr>
            <w:noProof/>
            <w:webHidden/>
            <w:color w:val="auto"/>
          </w:rPr>
          <w:fldChar w:fldCharType="end"/>
        </w:r>
      </w:hyperlink>
    </w:p>
    <w:p w:rsidR="0032095D" w:rsidRPr="00DD4E6E" w:rsidRDefault="00E646A4" w:rsidP="0032095D">
      <w:pPr>
        <w:rPr>
          <w:lang w:val="en-AU"/>
        </w:rPr>
      </w:pPr>
      <w:r w:rsidRPr="00A91D64">
        <w:rPr>
          <w:lang w:val="en-AU"/>
        </w:rPr>
        <w:fldChar w:fldCharType="end"/>
      </w:r>
    </w:p>
    <w:p w:rsidR="0032095D" w:rsidRPr="00DD4E6E" w:rsidRDefault="0032095D" w:rsidP="0032095D">
      <w:pPr>
        <w:rPr>
          <w:lang w:val="en-AU"/>
        </w:rPr>
      </w:pPr>
    </w:p>
    <w:p w:rsidR="005965EF" w:rsidRDefault="005965EF" w:rsidP="0032095D">
      <w:pPr>
        <w:rPr>
          <w:lang w:val="en-AU"/>
        </w:rPr>
        <w:sectPr w:rsidR="005965EF" w:rsidSect="005965EF">
          <w:footerReference w:type="default" r:id="rId18"/>
          <w:endnotePr>
            <w:numFmt w:val="decimal"/>
          </w:endnotePr>
          <w:pgSz w:w="11906" w:h="16838"/>
          <w:pgMar w:top="1440" w:right="1800" w:bottom="1440" w:left="1800" w:header="708" w:footer="708" w:gutter="0"/>
          <w:pgNumType w:fmt="lowerRoman" w:start="1"/>
          <w:cols w:space="708"/>
          <w:docGrid w:linePitch="360"/>
        </w:sectPr>
      </w:pPr>
    </w:p>
    <w:p w:rsidR="00562B0F" w:rsidRDefault="00923F20" w:rsidP="00C77694">
      <w:pPr>
        <w:pStyle w:val="Heading1"/>
        <w:spacing w:before="0"/>
        <w:rPr>
          <w:lang w:val="en-AU"/>
        </w:rPr>
      </w:pPr>
      <w:bookmarkStart w:id="3" w:name="_Toc458775158"/>
      <w:bookmarkEnd w:id="2"/>
      <w:r>
        <w:rPr>
          <w:lang w:val="en-AU"/>
        </w:rPr>
        <w:lastRenderedPageBreak/>
        <w:t xml:space="preserve">1. </w:t>
      </w:r>
      <w:r w:rsidR="00465634">
        <w:rPr>
          <w:lang w:val="en-AU"/>
        </w:rPr>
        <w:t>Overview</w:t>
      </w:r>
      <w:bookmarkEnd w:id="3"/>
    </w:p>
    <w:p w:rsidR="00D454A0" w:rsidRPr="00DD4E6E" w:rsidRDefault="00D454A0" w:rsidP="00813C57">
      <w:pPr>
        <w:rPr>
          <w:lang w:val="en-AU"/>
        </w:rPr>
      </w:pPr>
      <w:r w:rsidRPr="00DD4E6E">
        <w:rPr>
          <w:lang w:val="en-AU"/>
        </w:rPr>
        <w:t>T</w:t>
      </w:r>
      <w:r w:rsidR="002B2FB7" w:rsidRPr="00DD4E6E">
        <w:rPr>
          <w:lang w:val="en-AU"/>
        </w:rPr>
        <w:t>his document attempt</w:t>
      </w:r>
      <w:r w:rsidR="00610BEB" w:rsidRPr="00DD4E6E">
        <w:rPr>
          <w:lang w:val="en-AU"/>
        </w:rPr>
        <w:t>s</w:t>
      </w:r>
      <w:r w:rsidR="002B2FB7" w:rsidRPr="00DD4E6E">
        <w:rPr>
          <w:lang w:val="en-AU"/>
        </w:rPr>
        <w:t xml:space="preserve"> to outl</w:t>
      </w:r>
      <w:r w:rsidRPr="00DD4E6E">
        <w:rPr>
          <w:lang w:val="en-AU"/>
        </w:rPr>
        <w:t xml:space="preserve">ine some of </w:t>
      </w:r>
      <w:r w:rsidR="00375DD5" w:rsidRPr="00DD4E6E">
        <w:rPr>
          <w:lang w:val="en-AU"/>
        </w:rPr>
        <w:t xml:space="preserve">the </w:t>
      </w:r>
      <w:r w:rsidRPr="00DD4E6E">
        <w:rPr>
          <w:lang w:val="en-AU"/>
        </w:rPr>
        <w:t xml:space="preserve">characteristics that may be particular to </w:t>
      </w:r>
      <w:r w:rsidR="00D64607" w:rsidRPr="00DD4E6E">
        <w:rPr>
          <w:lang w:val="en-AU"/>
        </w:rPr>
        <w:t xml:space="preserve">planning by </w:t>
      </w:r>
      <w:r w:rsidRPr="00DD4E6E">
        <w:rPr>
          <w:lang w:val="en-AU"/>
        </w:rPr>
        <w:t>Primary Health Network</w:t>
      </w:r>
      <w:r w:rsidR="00D64607" w:rsidRPr="00DD4E6E">
        <w:rPr>
          <w:lang w:val="en-AU"/>
        </w:rPr>
        <w:t>s</w:t>
      </w:r>
      <w:r w:rsidRPr="00DD4E6E">
        <w:rPr>
          <w:lang w:val="en-AU"/>
        </w:rPr>
        <w:t xml:space="preserve"> (PHN</w:t>
      </w:r>
      <w:r w:rsidR="00D64607" w:rsidRPr="00DD4E6E">
        <w:rPr>
          <w:lang w:val="en-AU"/>
        </w:rPr>
        <w:t>s</w:t>
      </w:r>
      <w:r w:rsidRPr="00DD4E6E">
        <w:rPr>
          <w:lang w:val="en-AU"/>
        </w:rPr>
        <w:t>) in a c</w:t>
      </w:r>
      <w:r w:rsidR="002B2FB7" w:rsidRPr="00DD4E6E">
        <w:rPr>
          <w:lang w:val="en-AU"/>
        </w:rPr>
        <w:t>ommissioning</w:t>
      </w:r>
      <w:r w:rsidRPr="00DD4E6E">
        <w:rPr>
          <w:lang w:val="en-AU"/>
        </w:rPr>
        <w:t xml:space="preserve"> environment.</w:t>
      </w:r>
    </w:p>
    <w:p w:rsidR="00D454A0" w:rsidRPr="00DD4E6E" w:rsidRDefault="00D454A0" w:rsidP="00813C57">
      <w:pPr>
        <w:rPr>
          <w:lang w:val="en-AU"/>
        </w:rPr>
      </w:pPr>
    </w:p>
    <w:p w:rsidR="007C482C" w:rsidRPr="00DD4E6E" w:rsidRDefault="00E667D7" w:rsidP="00813C57">
      <w:pPr>
        <w:rPr>
          <w:lang w:val="en-AU"/>
        </w:rPr>
      </w:pPr>
      <w:r w:rsidRPr="00DD4E6E">
        <w:rPr>
          <w:lang w:val="en-AU"/>
        </w:rPr>
        <w:t xml:space="preserve">Through its availability to PHNs as a consultation draft, it </w:t>
      </w:r>
      <w:r w:rsidR="00D454A0" w:rsidRPr="00DD4E6E">
        <w:rPr>
          <w:lang w:val="en-AU"/>
        </w:rPr>
        <w:t>provide</w:t>
      </w:r>
      <w:r w:rsidRPr="00DD4E6E">
        <w:rPr>
          <w:lang w:val="en-AU"/>
        </w:rPr>
        <w:t>d</w:t>
      </w:r>
      <w:r w:rsidR="00D454A0" w:rsidRPr="00DD4E6E">
        <w:rPr>
          <w:lang w:val="en-AU"/>
        </w:rPr>
        <w:t xml:space="preserve"> PHNs with </w:t>
      </w:r>
      <w:r w:rsidR="006449DB" w:rsidRPr="00DD4E6E">
        <w:rPr>
          <w:lang w:val="en-AU"/>
        </w:rPr>
        <w:t xml:space="preserve">guidance, </w:t>
      </w:r>
      <w:r w:rsidR="00A33C9F" w:rsidRPr="00DD4E6E">
        <w:rPr>
          <w:lang w:val="en-AU"/>
        </w:rPr>
        <w:t>ah</w:t>
      </w:r>
      <w:r w:rsidR="002B2FB7" w:rsidRPr="00DD4E6E">
        <w:rPr>
          <w:lang w:val="en-AU"/>
        </w:rPr>
        <w:t xml:space="preserve">ead of </w:t>
      </w:r>
      <w:r w:rsidR="006449DB" w:rsidRPr="00DD4E6E">
        <w:rPr>
          <w:lang w:val="en-AU"/>
        </w:rPr>
        <w:t xml:space="preserve">completion of </w:t>
      </w:r>
      <w:r w:rsidR="002B2FB7" w:rsidRPr="00DD4E6E">
        <w:rPr>
          <w:lang w:val="en-AU"/>
        </w:rPr>
        <w:t xml:space="preserve">the </w:t>
      </w:r>
      <w:r w:rsidR="006449DB" w:rsidRPr="00DD4E6E">
        <w:rPr>
          <w:lang w:val="en-AU"/>
        </w:rPr>
        <w:t xml:space="preserve">first </w:t>
      </w:r>
      <w:r w:rsidR="002B2FB7" w:rsidRPr="00DD4E6E">
        <w:rPr>
          <w:lang w:val="en-AU"/>
        </w:rPr>
        <w:t>2016</w:t>
      </w:r>
      <w:r w:rsidR="007342C4" w:rsidRPr="00DD4E6E">
        <w:rPr>
          <w:lang w:val="en-AU"/>
        </w:rPr>
        <w:noBreakHyphen/>
      </w:r>
      <w:r w:rsidR="002B2FB7" w:rsidRPr="00DD4E6E">
        <w:rPr>
          <w:lang w:val="en-AU"/>
        </w:rPr>
        <w:t>18</w:t>
      </w:r>
      <w:r w:rsidR="007342C4" w:rsidRPr="00DD4E6E">
        <w:rPr>
          <w:lang w:val="en-AU"/>
        </w:rPr>
        <w:t> </w:t>
      </w:r>
      <w:r w:rsidR="002B2FB7" w:rsidRPr="00DD4E6E">
        <w:rPr>
          <w:lang w:val="en-AU"/>
        </w:rPr>
        <w:t>Activity</w:t>
      </w:r>
      <w:r w:rsidR="007342C4" w:rsidRPr="00DD4E6E">
        <w:rPr>
          <w:lang w:val="en-AU"/>
        </w:rPr>
        <w:t> </w:t>
      </w:r>
      <w:r w:rsidR="002B2FB7" w:rsidRPr="00DD4E6E">
        <w:rPr>
          <w:lang w:val="en-AU"/>
        </w:rPr>
        <w:t>Work</w:t>
      </w:r>
      <w:r w:rsidR="007342C4" w:rsidRPr="00DD4E6E">
        <w:rPr>
          <w:lang w:val="en-AU"/>
        </w:rPr>
        <w:t> </w:t>
      </w:r>
      <w:r w:rsidR="002B2FB7" w:rsidRPr="00DD4E6E">
        <w:rPr>
          <w:lang w:val="en-AU"/>
        </w:rPr>
        <w:t xml:space="preserve">Plans. </w:t>
      </w:r>
      <w:r w:rsidR="00D454A0" w:rsidRPr="00DD4E6E">
        <w:rPr>
          <w:lang w:val="en-AU"/>
        </w:rPr>
        <w:t xml:space="preserve"> </w:t>
      </w:r>
      <w:r w:rsidR="006449DB" w:rsidRPr="00DD4E6E">
        <w:rPr>
          <w:lang w:val="en-AU"/>
        </w:rPr>
        <w:t>T</w:t>
      </w:r>
      <w:r w:rsidR="002B2FB7" w:rsidRPr="00DD4E6E">
        <w:rPr>
          <w:lang w:val="en-AU"/>
        </w:rPr>
        <w:t xml:space="preserve">hese </w:t>
      </w:r>
      <w:r w:rsidRPr="00DD4E6E">
        <w:rPr>
          <w:lang w:val="en-AU"/>
        </w:rPr>
        <w:t>are</w:t>
      </w:r>
      <w:r w:rsidR="002B2FB7" w:rsidRPr="00DD4E6E">
        <w:rPr>
          <w:lang w:val="en-AU"/>
        </w:rPr>
        <w:t xml:space="preserve"> the first plans </w:t>
      </w:r>
      <w:r w:rsidR="00E40F2B" w:rsidRPr="00DD4E6E">
        <w:rPr>
          <w:lang w:val="en-AU"/>
        </w:rPr>
        <w:t xml:space="preserve">that </w:t>
      </w:r>
      <w:r w:rsidR="002B2FB7" w:rsidRPr="00DD4E6E">
        <w:rPr>
          <w:lang w:val="en-AU"/>
        </w:rPr>
        <w:t xml:space="preserve">PHNs </w:t>
      </w:r>
      <w:r w:rsidRPr="00DD4E6E">
        <w:rPr>
          <w:lang w:val="en-AU"/>
        </w:rPr>
        <w:t xml:space="preserve">have </w:t>
      </w:r>
      <w:r w:rsidR="002B2FB7" w:rsidRPr="00DD4E6E">
        <w:rPr>
          <w:lang w:val="en-AU"/>
        </w:rPr>
        <w:t>produce</w:t>
      </w:r>
      <w:r w:rsidRPr="00DD4E6E">
        <w:rPr>
          <w:lang w:val="en-AU"/>
        </w:rPr>
        <w:t>d</w:t>
      </w:r>
      <w:r w:rsidR="002B2FB7" w:rsidRPr="00DD4E6E">
        <w:rPr>
          <w:lang w:val="en-AU"/>
        </w:rPr>
        <w:t xml:space="preserve"> </w:t>
      </w:r>
      <w:r w:rsidR="00E40F2B" w:rsidRPr="00DD4E6E">
        <w:rPr>
          <w:lang w:val="en-AU"/>
        </w:rPr>
        <w:t xml:space="preserve">which </w:t>
      </w:r>
      <w:r w:rsidR="002B2FB7" w:rsidRPr="00DD4E6E">
        <w:rPr>
          <w:lang w:val="en-AU"/>
        </w:rPr>
        <w:t>articulate the commissioning role</w:t>
      </w:r>
      <w:r w:rsidR="00A33C9F" w:rsidRPr="00DD4E6E">
        <w:rPr>
          <w:lang w:val="en-AU"/>
        </w:rPr>
        <w:t>,</w:t>
      </w:r>
      <w:r w:rsidR="002B2FB7" w:rsidRPr="00DD4E6E">
        <w:rPr>
          <w:lang w:val="en-AU"/>
        </w:rPr>
        <w:t xml:space="preserve"> and th</w:t>
      </w:r>
      <w:r w:rsidR="007C482C" w:rsidRPr="00DD4E6E">
        <w:rPr>
          <w:lang w:val="en-AU"/>
        </w:rPr>
        <w:t xml:space="preserve">e timeframes involved </w:t>
      </w:r>
      <w:r w:rsidRPr="00DD4E6E">
        <w:rPr>
          <w:lang w:val="en-AU"/>
        </w:rPr>
        <w:t xml:space="preserve">were </w:t>
      </w:r>
      <w:r w:rsidR="00E40F2B" w:rsidRPr="00DD4E6E">
        <w:rPr>
          <w:lang w:val="en-AU"/>
        </w:rPr>
        <w:t>short</w:t>
      </w:r>
      <w:r w:rsidR="007C482C" w:rsidRPr="00DD4E6E">
        <w:rPr>
          <w:lang w:val="en-AU"/>
        </w:rPr>
        <w:t>. I</w:t>
      </w:r>
      <w:r w:rsidR="002B2FB7" w:rsidRPr="00DD4E6E">
        <w:rPr>
          <w:lang w:val="en-AU"/>
        </w:rPr>
        <w:t xml:space="preserve">t </w:t>
      </w:r>
      <w:r w:rsidRPr="00DD4E6E">
        <w:rPr>
          <w:lang w:val="en-AU"/>
        </w:rPr>
        <w:t xml:space="preserve">has </w:t>
      </w:r>
      <w:r w:rsidR="007C482C" w:rsidRPr="00DD4E6E">
        <w:rPr>
          <w:lang w:val="en-AU"/>
        </w:rPr>
        <w:t xml:space="preserve">therefore </w:t>
      </w:r>
      <w:r w:rsidR="002B2FB7" w:rsidRPr="00DD4E6E">
        <w:rPr>
          <w:lang w:val="en-AU"/>
        </w:rPr>
        <w:t xml:space="preserve">only </w:t>
      </w:r>
      <w:r w:rsidRPr="00DD4E6E">
        <w:rPr>
          <w:lang w:val="en-AU"/>
        </w:rPr>
        <w:t xml:space="preserve">been </w:t>
      </w:r>
      <w:r w:rsidR="002B2FB7" w:rsidRPr="00DD4E6E">
        <w:rPr>
          <w:lang w:val="en-AU"/>
        </w:rPr>
        <w:t xml:space="preserve">possible </w:t>
      </w:r>
      <w:r w:rsidR="006A5D44" w:rsidRPr="00DD4E6E">
        <w:rPr>
          <w:lang w:val="en-AU"/>
        </w:rPr>
        <w:t xml:space="preserve">in this guide </w:t>
      </w:r>
      <w:r w:rsidR="002B2FB7" w:rsidRPr="00DD4E6E">
        <w:rPr>
          <w:lang w:val="en-AU"/>
        </w:rPr>
        <w:t>to canvass issues in a g</w:t>
      </w:r>
      <w:r w:rsidR="007C482C" w:rsidRPr="00DD4E6E">
        <w:rPr>
          <w:lang w:val="en-AU"/>
        </w:rPr>
        <w:t>e</w:t>
      </w:r>
      <w:r w:rsidR="002B2FB7" w:rsidRPr="00DD4E6E">
        <w:rPr>
          <w:lang w:val="en-AU"/>
        </w:rPr>
        <w:t>neric sense.</w:t>
      </w:r>
      <w:r w:rsidR="007C482C" w:rsidRPr="00DD4E6E">
        <w:rPr>
          <w:lang w:val="en-AU"/>
        </w:rPr>
        <w:t xml:space="preserve">  </w:t>
      </w:r>
      <w:r w:rsidRPr="00DD4E6E">
        <w:t>U</w:t>
      </w:r>
      <w:r w:rsidR="006449DB" w:rsidRPr="00DD4E6E">
        <w:t xml:space="preserve">pdated and or/additional guidance </w:t>
      </w:r>
      <w:r w:rsidR="00B50828" w:rsidRPr="00DD4E6E">
        <w:t>may</w:t>
      </w:r>
      <w:r w:rsidR="006449DB" w:rsidRPr="00DD4E6E">
        <w:t xml:space="preserve"> be developed </w:t>
      </w:r>
      <w:r w:rsidRPr="00DD4E6E">
        <w:t xml:space="preserve">at a later date </w:t>
      </w:r>
      <w:r w:rsidR="006449DB" w:rsidRPr="00DD4E6E">
        <w:t xml:space="preserve">which takes account of the evidence in </w:t>
      </w:r>
      <w:r w:rsidRPr="00DD4E6E">
        <w:t>the 2016-18 Activity Work Plans</w:t>
      </w:r>
      <w:r w:rsidR="004D4FE0" w:rsidRPr="00DD4E6E">
        <w:t xml:space="preserve"> and of PHNs' experience in undertaking the planning</w:t>
      </w:r>
      <w:r w:rsidR="006449DB" w:rsidRPr="00DD4E6E">
        <w:t>.</w:t>
      </w:r>
    </w:p>
    <w:p w:rsidR="007C482C" w:rsidRPr="00DD4E6E" w:rsidRDefault="007C482C" w:rsidP="00813C57">
      <w:pPr>
        <w:rPr>
          <w:lang w:val="en-AU"/>
        </w:rPr>
      </w:pPr>
    </w:p>
    <w:p w:rsidR="002B2FB7" w:rsidRPr="00DD4E6E" w:rsidRDefault="007C482C" w:rsidP="00813C57">
      <w:pPr>
        <w:rPr>
          <w:lang w:val="en-AU"/>
        </w:rPr>
      </w:pPr>
      <w:r w:rsidRPr="00DD4E6E">
        <w:rPr>
          <w:lang w:val="en-AU"/>
        </w:rPr>
        <w:t xml:space="preserve">This </w:t>
      </w:r>
      <w:r w:rsidR="00E667D7" w:rsidRPr="00DD4E6E">
        <w:rPr>
          <w:lang w:val="en-AU"/>
        </w:rPr>
        <w:t>guide</w:t>
      </w:r>
      <w:r w:rsidRPr="00DD4E6E">
        <w:rPr>
          <w:lang w:val="en-AU"/>
        </w:rPr>
        <w:t xml:space="preserve"> is accompanied by a compendium of resources that may be of use to PHNs in planning</w:t>
      </w:r>
      <w:r w:rsidR="00E40F2B" w:rsidRPr="00DD4E6E">
        <w:rPr>
          <w:lang w:val="en-AU"/>
        </w:rPr>
        <w:t xml:space="preserve">. </w:t>
      </w:r>
      <w:r w:rsidRPr="00DD4E6E">
        <w:rPr>
          <w:lang w:val="en-AU"/>
        </w:rPr>
        <w:t>The intention is to progressively build this resource base</w:t>
      </w:r>
      <w:r w:rsidR="003A14A7" w:rsidRPr="00DD4E6E">
        <w:rPr>
          <w:lang w:val="en-AU"/>
        </w:rPr>
        <w:t xml:space="preserve">, drawing on </w:t>
      </w:r>
      <w:r w:rsidR="00005DF4" w:rsidRPr="00DD4E6E">
        <w:rPr>
          <w:lang w:val="en-AU"/>
        </w:rPr>
        <w:t>PHN practice,</w:t>
      </w:r>
      <w:r w:rsidRPr="00DD4E6E">
        <w:rPr>
          <w:lang w:val="en-AU"/>
        </w:rPr>
        <w:t xml:space="preserve"> in order to provide a solid foundation for future PHN planning.</w:t>
      </w:r>
    </w:p>
    <w:p w:rsidR="00D4735D" w:rsidRPr="00DD4E6E" w:rsidRDefault="00D4735D" w:rsidP="00813C57">
      <w:pPr>
        <w:rPr>
          <w:lang w:val="en-AU"/>
        </w:rPr>
      </w:pPr>
    </w:p>
    <w:p w:rsidR="00D4735D" w:rsidRPr="00DD4E6E" w:rsidRDefault="00D454A0" w:rsidP="00813C57">
      <w:pPr>
        <w:rPr>
          <w:lang w:val="en-AU"/>
        </w:rPr>
      </w:pPr>
      <w:r w:rsidRPr="00DD4E6E">
        <w:rPr>
          <w:lang w:val="en-AU"/>
        </w:rPr>
        <w:t xml:space="preserve">The </w:t>
      </w:r>
      <w:r w:rsidR="004D4FE0" w:rsidRPr="00DD4E6E">
        <w:rPr>
          <w:lang w:val="en-AU"/>
        </w:rPr>
        <w:t xml:space="preserve">guide </w:t>
      </w:r>
      <w:r w:rsidR="003208C0" w:rsidRPr="00DD4E6E">
        <w:rPr>
          <w:lang w:val="en-AU"/>
        </w:rPr>
        <w:t xml:space="preserve">should be read in conjunction with the </w:t>
      </w:r>
      <w:r w:rsidR="007C6388">
        <w:rPr>
          <w:i/>
          <w:lang w:val="en-AU"/>
        </w:rPr>
        <w:t xml:space="preserve">PHN Commissioning – Needs Assessment Guide </w:t>
      </w:r>
      <w:r w:rsidR="007C6388" w:rsidRPr="00DD4E6E">
        <w:rPr>
          <w:lang w:val="en-AU"/>
        </w:rPr>
        <w:t xml:space="preserve">published by the Department </w:t>
      </w:r>
      <w:r w:rsidR="00D66153" w:rsidRPr="00DD4E6E">
        <w:rPr>
          <w:lang w:val="en-AU"/>
        </w:rPr>
        <w:t xml:space="preserve">of Health </w:t>
      </w:r>
      <w:r w:rsidR="007C6388" w:rsidRPr="00DD4E6E">
        <w:rPr>
          <w:lang w:val="en-AU"/>
        </w:rPr>
        <w:t>in December 2015</w:t>
      </w:r>
      <w:r w:rsidR="00A33C9F" w:rsidRPr="00DD4E6E">
        <w:rPr>
          <w:lang w:val="en-AU"/>
        </w:rPr>
        <w:t>,</w:t>
      </w:r>
      <w:r w:rsidRPr="00DD4E6E">
        <w:rPr>
          <w:lang w:val="en-AU"/>
        </w:rPr>
        <w:t xml:space="preserve"> and</w:t>
      </w:r>
      <w:r w:rsidR="004D4FE0" w:rsidRPr="00DD4E6E">
        <w:rPr>
          <w:lang w:val="en-AU"/>
        </w:rPr>
        <w:t xml:space="preserve"> </w:t>
      </w:r>
      <w:r w:rsidR="006C4B72" w:rsidRPr="00DD4E6E">
        <w:rPr>
          <w:lang w:val="en-AU"/>
        </w:rPr>
        <w:t xml:space="preserve">the </w:t>
      </w:r>
      <w:r w:rsidR="007C6388">
        <w:rPr>
          <w:i/>
          <w:lang w:val="en-AU"/>
        </w:rPr>
        <w:t>Designing and Contracting Services Guidance</w:t>
      </w:r>
      <w:r w:rsidR="003208C0" w:rsidRPr="00DD4E6E">
        <w:rPr>
          <w:lang w:val="en-AU"/>
        </w:rPr>
        <w:t>.</w:t>
      </w:r>
    </w:p>
    <w:p w:rsidR="002B2FB7" w:rsidRDefault="002B2FB7" w:rsidP="00A907F2">
      <w:pPr>
        <w:spacing w:line="240" w:lineRule="auto"/>
        <w:jc w:val="left"/>
        <w:rPr>
          <w:rFonts w:cs="Arial"/>
          <w:bCs/>
          <w:iCs/>
          <w:color w:val="003D69"/>
          <w:sz w:val="32"/>
          <w:szCs w:val="28"/>
          <w:lang w:val="en-AU"/>
        </w:rPr>
      </w:pPr>
      <w:r w:rsidRPr="00DD4E6E">
        <w:rPr>
          <w:lang w:val="en-AU"/>
        </w:rPr>
        <w:br w:type="page"/>
      </w:r>
    </w:p>
    <w:p w:rsidR="00550CE6" w:rsidRDefault="00923F20" w:rsidP="00550CE6">
      <w:pPr>
        <w:pStyle w:val="Heading2"/>
        <w:rPr>
          <w:lang w:val="en-AU"/>
        </w:rPr>
      </w:pPr>
      <w:bookmarkStart w:id="4" w:name="_Toc458775159"/>
      <w:r>
        <w:rPr>
          <w:lang w:val="en-AU"/>
        </w:rPr>
        <w:lastRenderedPageBreak/>
        <w:t xml:space="preserve">1.1 </w:t>
      </w:r>
      <w:r w:rsidR="00550CE6">
        <w:rPr>
          <w:lang w:val="en-AU"/>
        </w:rPr>
        <w:t>Introduction</w:t>
      </w:r>
      <w:bookmarkEnd w:id="4"/>
    </w:p>
    <w:p w:rsidR="00D60835" w:rsidRPr="000F07F9" w:rsidRDefault="004A30C6" w:rsidP="003178F8">
      <w:pPr>
        <w:spacing w:after="180"/>
        <w:rPr>
          <w:rFonts w:asciiTheme="minorHAnsi" w:hAnsiTheme="minorHAnsi"/>
          <w:i/>
          <w:szCs w:val="22"/>
        </w:rPr>
      </w:pPr>
      <w:r w:rsidRPr="00DE67CD">
        <w:rPr>
          <w:rFonts w:asciiTheme="minorHAnsi" w:hAnsiTheme="minorHAnsi"/>
          <w:szCs w:val="22"/>
          <w:lang w:val="en-AU"/>
        </w:rPr>
        <w:t>PHNs</w:t>
      </w:r>
      <w:r w:rsidRPr="00027E12">
        <w:rPr>
          <w:rFonts w:asciiTheme="minorHAnsi" w:hAnsiTheme="minorHAnsi"/>
          <w:szCs w:val="22"/>
          <w:lang w:val="en-AU"/>
        </w:rPr>
        <w:t xml:space="preserve"> were established in July 2015</w:t>
      </w:r>
      <w:r w:rsidR="000F07F9">
        <w:rPr>
          <w:rFonts w:asciiTheme="minorHAnsi" w:hAnsiTheme="minorHAnsi"/>
          <w:szCs w:val="22"/>
        </w:rPr>
        <w:t xml:space="preserve"> and</w:t>
      </w:r>
      <w:r w:rsidR="00C374B4" w:rsidRPr="00DD4E6E">
        <w:rPr>
          <w:bCs/>
          <w:lang w:val="en-AU"/>
        </w:rPr>
        <w:t xml:space="preserve"> </w:t>
      </w:r>
      <w:r w:rsidR="00E667D7" w:rsidRPr="00DD4E6E">
        <w:rPr>
          <w:bCs/>
          <w:lang w:val="en-AU"/>
        </w:rPr>
        <w:t>are</w:t>
      </w:r>
      <w:r w:rsidR="00C374B4" w:rsidRPr="00DD4E6E">
        <w:rPr>
          <w:bCs/>
          <w:lang w:val="en-AU"/>
        </w:rPr>
        <w:t xml:space="preserve"> mov</w:t>
      </w:r>
      <w:r w:rsidR="00E667D7" w:rsidRPr="00DD4E6E">
        <w:rPr>
          <w:bCs/>
          <w:lang w:val="en-AU"/>
        </w:rPr>
        <w:t>ing</w:t>
      </w:r>
      <w:r w:rsidR="00C374B4" w:rsidRPr="00DD4E6E">
        <w:rPr>
          <w:bCs/>
          <w:lang w:val="en-AU"/>
        </w:rPr>
        <w:t xml:space="preserve"> to a commissioning environment in the second year of operation (2016-17).</w:t>
      </w:r>
      <w:r w:rsidR="00C0273C">
        <w:rPr>
          <w:rFonts w:asciiTheme="minorHAnsi" w:hAnsiTheme="minorHAnsi"/>
          <w:i/>
          <w:szCs w:val="22"/>
        </w:rPr>
        <w:t xml:space="preserve"> </w:t>
      </w:r>
      <w:r w:rsidR="007A7C7B" w:rsidRPr="00DD4E6E">
        <w:rPr>
          <w:lang w:val="en-AU"/>
        </w:rPr>
        <w:t xml:space="preserve">This document </w:t>
      </w:r>
      <w:r w:rsidR="00C374B4" w:rsidRPr="00DD4E6E">
        <w:rPr>
          <w:lang w:val="en-AU"/>
        </w:rPr>
        <w:t>follows on from earlier advice on needs assessment</w:t>
      </w:r>
      <w:r w:rsidR="00956159" w:rsidRPr="00DD4E6E">
        <w:rPr>
          <w:lang w:val="en-AU"/>
        </w:rPr>
        <w:t xml:space="preserve"> published by the Department of Health (the Department)</w:t>
      </w:r>
      <w:r w:rsidR="00C374B4" w:rsidRPr="00DD4E6E">
        <w:rPr>
          <w:lang w:val="en-AU"/>
        </w:rPr>
        <w:t>.</w:t>
      </w:r>
      <w:r w:rsidR="00FA2A02" w:rsidRPr="00DD4E6E">
        <w:rPr>
          <w:rStyle w:val="EndnoteReference"/>
          <w:lang w:val="en-AU"/>
        </w:rPr>
        <w:endnoteReference w:id="1"/>
      </w:r>
      <w:r w:rsidR="00246AFD" w:rsidRPr="00DD4E6E">
        <w:rPr>
          <w:lang w:val="en-AU"/>
        </w:rPr>
        <w:t xml:space="preserve"> </w:t>
      </w:r>
      <w:r w:rsidR="00C374B4" w:rsidRPr="00DD4E6E">
        <w:rPr>
          <w:lang w:val="en-AU"/>
        </w:rPr>
        <w:t xml:space="preserve">It </w:t>
      </w:r>
      <w:r w:rsidR="007A7C7B" w:rsidRPr="00DD4E6E">
        <w:rPr>
          <w:lang w:val="en-AU"/>
        </w:rPr>
        <w:t>is intended to:</w:t>
      </w:r>
    </w:p>
    <w:p w:rsidR="00D60835" w:rsidRPr="00DD4E6E" w:rsidRDefault="007A7C7B" w:rsidP="003178F8">
      <w:pPr>
        <w:pStyle w:val="ListParagraph"/>
      </w:pPr>
      <w:r w:rsidRPr="00DD4E6E">
        <w:t xml:space="preserve">discuss how planning </w:t>
      </w:r>
      <w:r w:rsidR="00282AE1" w:rsidRPr="00DD4E6E">
        <w:t xml:space="preserve">by PHNs </w:t>
      </w:r>
      <w:r w:rsidRPr="00DD4E6E">
        <w:t>may be different in a commissioning environment</w:t>
      </w:r>
      <w:r w:rsidR="00A907F2" w:rsidRPr="00DD4E6E">
        <w:t xml:space="preserve"> in 2016-17 </w:t>
      </w:r>
      <w:r w:rsidR="00923D6B" w:rsidRPr="00DD4E6E">
        <w:t>and beyond</w:t>
      </w:r>
      <w:r w:rsidRPr="00DD4E6E">
        <w:t>;</w:t>
      </w:r>
      <w:r w:rsidR="00A33C9F" w:rsidRPr="00DD4E6E">
        <w:t xml:space="preserve"> </w:t>
      </w:r>
    </w:p>
    <w:p w:rsidR="00D60835" w:rsidRPr="00DD4E6E" w:rsidRDefault="007A7C7B" w:rsidP="003178F8">
      <w:pPr>
        <w:pStyle w:val="ListParagraph"/>
      </w:pPr>
      <w:r w:rsidRPr="00DD4E6E">
        <w:t>provide</w:t>
      </w:r>
      <w:r w:rsidR="00C374B4" w:rsidRPr="00DD4E6E">
        <w:t xml:space="preserve"> information on</w:t>
      </w:r>
      <w:r w:rsidR="00C975EB" w:rsidRPr="00DD4E6E">
        <w:t xml:space="preserve"> the D</w:t>
      </w:r>
      <w:r w:rsidR="00A03790" w:rsidRPr="00DD4E6E">
        <w:t>epartment</w:t>
      </w:r>
      <w:r w:rsidR="00282AE1" w:rsidRPr="00DD4E6E">
        <w:t>'s</w:t>
      </w:r>
      <w:r w:rsidR="00C975EB" w:rsidRPr="00DD4E6E">
        <w:t xml:space="preserve"> </w:t>
      </w:r>
      <w:r w:rsidR="00A03790" w:rsidRPr="00DD4E6E">
        <w:t xml:space="preserve">expectations in regard to the </w:t>
      </w:r>
      <w:r w:rsidR="00802DA6" w:rsidRPr="00DD4E6E">
        <w:t xml:space="preserve">preparation of the </w:t>
      </w:r>
      <w:r w:rsidR="00A03790" w:rsidRPr="00DD4E6E">
        <w:t>2016-1</w:t>
      </w:r>
      <w:r w:rsidR="00C93329" w:rsidRPr="00DD4E6E">
        <w:t>8 Activity Work Plan</w:t>
      </w:r>
      <w:r w:rsidR="003B7522" w:rsidRPr="00DD4E6E">
        <w:t>s</w:t>
      </w:r>
      <w:r w:rsidR="00C93329" w:rsidRPr="00DD4E6E">
        <w:t xml:space="preserve">; and </w:t>
      </w:r>
    </w:p>
    <w:p w:rsidR="00C374B4" w:rsidRPr="00DD4E6E" w:rsidRDefault="006F1F9C" w:rsidP="002D4D3E">
      <w:pPr>
        <w:pStyle w:val="ListParagraph"/>
      </w:pPr>
      <w:proofErr w:type="gramStart"/>
      <w:r w:rsidRPr="00DD4E6E">
        <w:t>provide</w:t>
      </w:r>
      <w:proofErr w:type="gramEnd"/>
      <w:r w:rsidRPr="00DD4E6E">
        <w:t xml:space="preserve"> </w:t>
      </w:r>
      <w:r w:rsidR="00246AFD" w:rsidRPr="00DD4E6E">
        <w:t>a</w:t>
      </w:r>
      <w:r w:rsidR="001F035F" w:rsidRPr="00DD4E6E">
        <w:t>n accompanying</w:t>
      </w:r>
      <w:r w:rsidR="00A907F2" w:rsidRPr="00DD4E6E">
        <w:t xml:space="preserve"> </w:t>
      </w:r>
      <w:r w:rsidR="001F035F" w:rsidRPr="00DD4E6E">
        <w:t xml:space="preserve">compendium </w:t>
      </w:r>
      <w:r w:rsidR="00005DF4" w:rsidRPr="00DD4E6E">
        <w:t>o</w:t>
      </w:r>
      <w:r w:rsidR="00A33C9F" w:rsidRPr="00DD4E6E">
        <w:t xml:space="preserve">f resources </w:t>
      </w:r>
      <w:r w:rsidRPr="00DD4E6E">
        <w:t xml:space="preserve">that </w:t>
      </w:r>
      <w:r w:rsidR="001F035F" w:rsidRPr="00DD4E6E">
        <w:t xml:space="preserve">can </w:t>
      </w:r>
      <w:r w:rsidR="00A33C9F" w:rsidRPr="00DD4E6E">
        <w:t>be progressively developed during 2016</w:t>
      </w:r>
      <w:r w:rsidR="00D924E6" w:rsidRPr="00DD4E6E">
        <w:noBreakHyphen/>
      </w:r>
      <w:r w:rsidR="00A33C9F" w:rsidRPr="00DD4E6E">
        <w:t>17.</w:t>
      </w:r>
    </w:p>
    <w:p w:rsidR="00562B0F" w:rsidRPr="00DD4E6E" w:rsidRDefault="000F24EC" w:rsidP="003178F8">
      <w:pPr>
        <w:spacing w:after="180"/>
        <w:rPr>
          <w:szCs w:val="22"/>
          <w:lang w:val="en-AU"/>
        </w:rPr>
      </w:pPr>
      <w:r w:rsidRPr="003178F8">
        <w:rPr>
          <w:rFonts w:asciiTheme="minorHAnsi" w:hAnsiTheme="minorHAnsi"/>
          <w:szCs w:val="22"/>
          <w:lang w:val="en-AU"/>
        </w:rPr>
        <w:t>There are three important points to make at the outset:</w:t>
      </w:r>
    </w:p>
    <w:p w:rsidR="00F71517" w:rsidRPr="00DD4E6E" w:rsidRDefault="0096380D" w:rsidP="003178F8">
      <w:pPr>
        <w:pStyle w:val="ListParagraph"/>
      </w:pPr>
      <w:r w:rsidRPr="00DD4E6E">
        <w:t xml:space="preserve">This </w:t>
      </w:r>
      <w:r w:rsidR="007D4775" w:rsidRPr="00DD4E6E">
        <w:t xml:space="preserve">document is intended to give initial guidance and </w:t>
      </w:r>
      <w:r w:rsidRPr="00DD4E6E">
        <w:t xml:space="preserve">is a work in </w:t>
      </w:r>
      <w:r w:rsidR="00C0273C" w:rsidRPr="00DD4E6E">
        <w:t xml:space="preserve">progress. </w:t>
      </w:r>
      <w:r w:rsidR="007D4775" w:rsidRPr="00DD4E6E">
        <w:t xml:space="preserve">It </w:t>
      </w:r>
      <w:r w:rsidRPr="00DD4E6E">
        <w:t>will need to be revisited during 2016-17 in light of the experience gained by PHN</w:t>
      </w:r>
      <w:r w:rsidR="00C975EB" w:rsidRPr="00DD4E6E">
        <w:t>s</w:t>
      </w:r>
      <w:r w:rsidRPr="00DD4E6E">
        <w:t xml:space="preserve"> in preparing their first plans in a commissioning environment. </w:t>
      </w:r>
      <w:r w:rsidR="00465634" w:rsidRPr="00DD4E6E">
        <w:t xml:space="preserve">The information contained in these plans </w:t>
      </w:r>
      <w:r w:rsidR="00E667D7" w:rsidRPr="00DD4E6E">
        <w:t>is very</w:t>
      </w:r>
      <w:r w:rsidR="00465634" w:rsidRPr="00DD4E6E">
        <w:t xml:space="preserve"> important in understanding the direction of travel for PHNs both individually and collectively, and for the </w:t>
      </w:r>
      <w:r w:rsidR="001062C2" w:rsidRPr="00DD4E6E">
        <w:t xml:space="preserve">PHN </w:t>
      </w:r>
      <w:r w:rsidR="00465634" w:rsidRPr="00DD4E6E">
        <w:t>program as a whole.</w:t>
      </w:r>
    </w:p>
    <w:p w:rsidR="0096380D" w:rsidRPr="00DD4E6E" w:rsidRDefault="00802DA6" w:rsidP="002D4D3E">
      <w:pPr>
        <w:pStyle w:val="ListParagraph"/>
      </w:pPr>
      <w:r w:rsidRPr="00DD4E6E">
        <w:t>As in any other part of the commissioning cycle, planning is not linear but iterative.  While planning is a discrete area of activity and focus in the annual commissioning cyc</w:t>
      </w:r>
      <w:r w:rsidR="00FE4A97" w:rsidRPr="00DD4E6E">
        <w:t xml:space="preserve">le, its boundaries are porous. </w:t>
      </w:r>
      <w:r w:rsidRPr="00DD4E6E">
        <w:t xml:space="preserve">A number of issues that are central to </w:t>
      </w:r>
      <w:r w:rsidR="0096380D" w:rsidRPr="00DD4E6E">
        <w:t xml:space="preserve">PHN </w:t>
      </w:r>
      <w:r w:rsidRPr="00DD4E6E">
        <w:t>planning will inevitably have had to be considered to some extent during the needs assessment phase, such as value for money</w:t>
      </w:r>
      <w:r w:rsidR="00465634" w:rsidRPr="00DD4E6E">
        <w:t>, fit with the PHN role</w:t>
      </w:r>
      <w:r w:rsidRPr="00DD4E6E">
        <w:t xml:space="preserve"> or indeed achievability.  </w:t>
      </w:r>
    </w:p>
    <w:p w:rsidR="00802DA6" w:rsidRPr="00DD4E6E" w:rsidRDefault="00802DA6" w:rsidP="002D4D3E">
      <w:pPr>
        <w:pStyle w:val="ListParagraph"/>
      </w:pPr>
      <w:r w:rsidRPr="00DD4E6E">
        <w:t>Similarly, a number of issues around service design and procurement processes will influenc</w:t>
      </w:r>
      <w:r w:rsidR="001062C2" w:rsidRPr="00DD4E6E">
        <w:t>e</w:t>
      </w:r>
      <w:r w:rsidRPr="00DD4E6E">
        <w:t xml:space="preserve"> decision making during the development of </w:t>
      </w:r>
      <w:r w:rsidR="00005DF4" w:rsidRPr="00DD4E6E">
        <w:t>PHN</w:t>
      </w:r>
      <w:r w:rsidR="001062C2" w:rsidRPr="00DD4E6E">
        <w:t>s’</w:t>
      </w:r>
      <w:r w:rsidR="00005DF4" w:rsidRPr="00DD4E6E">
        <w:t xml:space="preserve"> </w:t>
      </w:r>
      <w:r w:rsidRPr="00DD4E6E">
        <w:t>plan</w:t>
      </w:r>
      <w:r w:rsidR="00005DF4" w:rsidRPr="00DD4E6E">
        <w:t>s</w:t>
      </w:r>
      <w:r w:rsidRPr="00DD4E6E">
        <w:t xml:space="preserve">. There </w:t>
      </w:r>
      <w:r w:rsidR="005F5ECD" w:rsidRPr="00DD4E6E">
        <w:t>are no easy answers</w:t>
      </w:r>
      <w:r w:rsidRPr="00DD4E6E">
        <w:t xml:space="preserve"> to </w:t>
      </w:r>
      <w:r w:rsidR="005F5ECD" w:rsidRPr="00DD4E6E">
        <w:t>this, other</w:t>
      </w:r>
      <w:r w:rsidR="00465634" w:rsidRPr="00DD4E6E">
        <w:t xml:space="preserve"> than to note that</w:t>
      </w:r>
      <w:r w:rsidRPr="00DD4E6E">
        <w:t xml:space="preserve"> these issues are probably more pronounced during the </w:t>
      </w:r>
      <w:r w:rsidR="005F5ECD" w:rsidRPr="00DD4E6E">
        <w:t>initial</w:t>
      </w:r>
      <w:r w:rsidRPr="00DD4E6E">
        <w:t xml:space="preserve"> year of a commissioning cycle.</w:t>
      </w:r>
    </w:p>
    <w:p w:rsidR="002A330F" w:rsidRPr="00DD4E6E" w:rsidRDefault="002A330F">
      <w:pPr>
        <w:spacing w:line="240" w:lineRule="auto"/>
        <w:jc w:val="left"/>
        <w:rPr>
          <w:lang w:val="en-AU"/>
        </w:rPr>
      </w:pPr>
      <w:bookmarkStart w:id="5" w:name="_Toc444513144"/>
      <w:bookmarkStart w:id="6" w:name="_Toc445194105"/>
      <w:bookmarkStart w:id="7" w:name="_Toc427917620"/>
    </w:p>
    <w:p w:rsidR="002A330F" w:rsidRPr="00DD4E6E" w:rsidRDefault="002A330F">
      <w:pPr>
        <w:spacing w:line="240" w:lineRule="auto"/>
        <w:jc w:val="left"/>
        <w:rPr>
          <w:lang w:val="en-AU"/>
        </w:rPr>
      </w:pPr>
    </w:p>
    <w:p w:rsidR="00A424EB" w:rsidRDefault="00A424EB">
      <w:pPr>
        <w:spacing w:line="240" w:lineRule="auto"/>
        <w:jc w:val="left"/>
        <w:rPr>
          <w:rFonts w:cs="Arial"/>
          <w:b/>
          <w:bCs/>
          <w:iCs/>
          <w:color w:val="003D69"/>
          <w:sz w:val="32"/>
          <w:szCs w:val="28"/>
          <w:lang w:val="en-AU"/>
        </w:rPr>
      </w:pPr>
      <w:r w:rsidRPr="00DD4E6E">
        <w:rPr>
          <w:lang w:val="en-AU"/>
        </w:rPr>
        <w:br w:type="page"/>
      </w:r>
    </w:p>
    <w:p w:rsidR="009B5A1D" w:rsidRDefault="00923F20" w:rsidP="006D1839">
      <w:pPr>
        <w:pStyle w:val="Heading2"/>
        <w:rPr>
          <w:lang w:val="en-AU"/>
        </w:rPr>
      </w:pPr>
      <w:bookmarkStart w:id="8" w:name="_Toc458775160"/>
      <w:r>
        <w:rPr>
          <w:lang w:val="en-AU"/>
        </w:rPr>
        <w:lastRenderedPageBreak/>
        <w:t xml:space="preserve">1.2 </w:t>
      </w:r>
      <w:r w:rsidR="009B5A1D">
        <w:rPr>
          <w:lang w:val="en-AU"/>
        </w:rPr>
        <w:t>Key messages</w:t>
      </w:r>
      <w:bookmarkEnd w:id="8"/>
    </w:p>
    <w:p w:rsidR="000B5FA6" w:rsidRPr="00DD4E6E" w:rsidRDefault="000B5FA6" w:rsidP="008A4368">
      <w:r w:rsidRPr="00DD4E6E">
        <w:t xml:space="preserve">Commissioning provides a range of opportunities for improving the primary health care system. PHN commissioning can help to drive </w:t>
      </w:r>
      <w:r w:rsidRPr="00DD4E6E">
        <w:rPr>
          <w:lang w:eastAsia="en-AU"/>
        </w:rPr>
        <w:t>more systematic and proactive management of chronic disease, a population-based approach and</w:t>
      </w:r>
      <w:r w:rsidRPr="00DD4E6E">
        <w:t xml:space="preserve"> </w:t>
      </w:r>
      <w:r w:rsidRPr="00DD4E6E">
        <w:rPr>
          <w:lang w:eastAsia="en-AU"/>
        </w:rPr>
        <w:t>more integrated models of care. Commissioning is one of the key means for achieving these ends.</w:t>
      </w:r>
    </w:p>
    <w:p w:rsidR="00340523" w:rsidRPr="00DD4E6E" w:rsidRDefault="00340523" w:rsidP="00F046E5"/>
    <w:p w:rsidR="000B5FA6" w:rsidRPr="00D80E65" w:rsidRDefault="000B5FA6" w:rsidP="003178F8">
      <w:pPr>
        <w:spacing w:after="180" w:line="240" w:lineRule="auto"/>
        <w:jc w:val="left"/>
        <w:rPr>
          <w:i/>
        </w:rPr>
      </w:pPr>
      <w:r w:rsidRPr="00D80E65">
        <w:rPr>
          <w:i/>
        </w:rPr>
        <w:t xml:space="preserve">Effective planning in a commissioning environment </w:t>
      </w:r>
    </w:p>
    <w:p w:rsidR="008529D7" w:rsidRPr="00DD4E6E" w:rsidRDefault="00921ACC" w:rsidP="002D4D3E">
      <w:pPr>
        <w:pStyle w:val="ListParagraph"/>
      </w:pPr>
      <w:r w:rsidRPr="00DD4E6E">
        <w:t>A number of characteristics of ef</w:t>
      </w:r>
      <w:r w:rsidR="00B7358E" w:rsidRPr="00DD4E6E">
        <w:t xml:space="preserve">fective planning </w:t>
      </w:r>
      <w:r w:rsidRPr="00DD4E6E">
        <w:t xml:space="preserve">are the same in both a </w:t>
      </w:r>
      <w:r w:rsidR="00B7358E" w:rsidRPr="00DD4E6E">
        <w:t>commissioning</w:t>
      </w:r>
      <w:r w:rsidRPr="00DD4E6E">
        <w:t xml:space="preserve"> environment and whe</w:t>
      </w:r>
      <w:r w:rsidR="00232D46" w:rsidRPr="00DD4E6E">
        <w:t xml:space="preserve">n </w:t>
      </w:r>
      <w:r w:rsidR="00A33C9F" w:rsidRPr="00DD4E6E">
        <w:t xml:space="preserve">an </w:t>
      </w:r>
      <w:r w:rsidR="001069CC" w:rsidRPr="00DD4E6E">
        <w:t>organisation</w:t>
      </w:r>
      <w:r w:rsidR="00A33C9F" w:rsidRPr="00DD4E6E">
        <w:t xml:space="preserve"> is </w:t>
      </w:r>
      <w:r w:rsidR="00FE4A97" w:rsidRPr="00DD4E6E">
        <w:t xml:space="preserve">planning for service delivery. </w:t>
      </w:r>
      <w:r w:rsidR="00232D46" w:rsidRPr="00DD4E6E">
        <w:t xml:space="preserve">This includes clarity about purpose, being based on an understanding of need, </w:t>
      </w:r>
      <w:r w:rsidR="00A33C9F" w:rsidRPr="00DD4E6E">
        <w:t xml:space="preserve">and being </w:t>
      </w:r>
      <w:r w:rsidR="00232D46" w:rsidRPr="00DD4E6E">
        <w:t>developed with clear and transparent processes and under strong governance</w:t>
      </w:r>
      <w:r w:rsidR="008529D7" w:rsidRPr="00DD4E6E">
        <w:t>.</w:t>
      </w:r>
    </w:p>
    <w:p w:rsidR="006E4245" w:rsidRPr="00DD4E6E" w:rsidRDefault="006E4245" w:rsidP="002D4D3E">
      <w:pPr>
        <w:pStyle w:val="ListParagraph"/>
      </w:pPr>
      <w:r w:rsidRPr="00DD4E6E">
        <w:t xml:space="preserve">A number of aspects of planning are different in a </w:t>
      </w:r>
      <w:r w:rsidR="001069CC" w:rsidRPr="00DD4E6E">
        <w:t>commissioning</w:t>
      </w:r>
      <w:r w:rsidR="00FE4A97" w:rsidRPr="00DD4E6E">
        <w:t xml:space="preserve"> environment. </w:t>
      </w:r>
      <w:r w:rsidR="00435A90" w:rsidRPr="00DD4E6E">
        <w:t xml:space="preserve">Fundamentally, planning in a commissioning environment is about identifying what will be commissioned to be delivered (by third parties) rather than, operationally, what will be delivered by the PHN. This requires a greater focus on ‘what’ will be delivered rather than ‘how’ it will be delivered. </w:t>
      </w:r>
      <w:r w:rsidRPr="00DD4E6E">
        <w:t xml:space="preserve">This </w:t>
      </w:r>
      <w:r w:rsidR="00435A90" w:rsidRPr="00DD4E6E">
        <w:t xml:space="preserve">also </w:t>
      </w:r>
      <w:r w:rsidRPr="00DD4E6E">
        <w:t>includes different supports or inputs into decision making processes – information and data, tools, governance, resources, methods, approaches</w:t>
      </w:r>
      <w:r w:rsidR="001349F9" w:rsidRPr="00DD4E6E">
        <w:t xml:space="preserve"> – </w:t>
      </w:r>
      <w:r w:rsidRPr="00DD4E6E">
        <w:t xml:space="preserve">and </w:t>
      </w:r>
      <w:r w:rsidR="001349F9" w:rsidRPr="00DD4E6E">
        <w:t>different competencies in market assessment, service design</w:t>
      </w:r>
      <w:r w:rsidR="00934AF7" w:rsidRPr="00DD4E6E">
        <w:t xml:space="preserve"> and contracting</w:t>
      </w:r>
      <w:r w:rsidRPr="00DD4E6E">
        <w:t xml:space="preserve">.  </w:t>
      </w:r>
    </w:p>
    <w:p w:rsidR="008529D7" w:rsidRPr="00DD4E6E" w:rsidRDefault="008529D7" w:rsidP="002D4D3E">
      <w:pPr>
        <w:pStyle w:val="ListParagraph"/>
      </w:pPr>
      <w:r w:rsidRPr="00DD4E6E">
        <w:t xml:space="preserve">Activities proposed in a PHN plan must obviously be aligned with the PHN’s role and in particular the two PHN </w:t>
      </w:r>
      <w:r w:rsidR="003B7522" w:rsidRPr="00DD4E6E">
        <w:t xml:space="preserve">program </w:t>
      </w:r>
      <w:r w:rsidRPr="00DD4E6E">
        <w:t>objectives</w:t>
      </w:r>
      <w:r w:rsidR="001F035F" w:rsidRPr="00DD4E6E">
        <w:t xml:space="preserve"> (see page </w:t>
      </w:r>
      <w:r w:rsidR="009D4E75" w:rsidRPr="00DD4E6E">
        <w:t>6</w:t>
      </w:r>
      <w:r w:rsidR="001F035F" w:rsidRPr="00DD4E6E">
        <w:t>, below)</w:t>
      </w:r>
      <w:r w:rsidRPr="00DD4E6E">
        <w:t xml:space="preserve">. PHNs should also be mindful of the six </w:t>
      </w:r>
      <w:r w:rsidR="000C7B82" w:rsidRPr="00DD4E6E">
        <w:t>key priority areas for targeted work</w:t>
      </w:r>
      <w:r w:rsidR="009D4E75" w:rsidRPr="00DD4E6E">
        <w:t xml:space="preserve"> (see page </w:t>
      </w:r>
      <w:r w:rsidR="00502839" w:rsidRPr="00DD4E6E">
        <w:t>10</w:t>
      </w:r>
      <w:r w:rsidR="001F035F" w:rsidRPr="00DD4E6E">
        <w:t>, below)</w:t>
      </w:r>
      <w:r w:rsidR="000C7B82" w:rsidRPr="00DD4E6E">
        <w:t>.</w:t>
      </w:r>
      <w:r w:rsidRPr="00DD4E6E">
        <w:t xml:space="preserve"> </w:t>
      </w:r>
    </w:p>
    <w:p w:rsidR="008529D7" w:rsidRPr="00DD4E6E" w:rsidRDefault="000C7B82" w:rsidP="002D4D3E">
      <w:pPr>
        <w:pStyle w:val="ListParagraph"/>
      </w:pPr>
      <w:r w:rsidRPr="00DD4E6E">
        <w:t xml:space="preserve">The plans need to be based on the </w:t>
      </w:r>
      <w:r w:rsidR="00435A90" w:rsidRPr="00DD4E6E">
        <w:t xml:space="preserve">needs, </w:t>
      </w:r>
      <w:r w:rsidRPr="00DD4E6E">
        <w:t>opportunities, priorities and options identified in the needs assessment.</w:t>
      </w:r>
    </w:p>
    <w:p w:rsidR="000C7B82" w:rsidRPr="00DD4E6E" w:rsidRDefault="000C7B82" w:rsidP="002D4D3E">
      <w:pPr>
        <w:pStyle w:val="ListParagraph"/>
      </w:pPr>
      <w:r w:rsidRPr="00DD4E6E">
        <w:t xml:space="preserve">Boards need to be aware of and fully understand the commissioning </w:t>
      </w:r>
      <w:r w:rsidR="001069CC" w:rsidRPr="00DD4E6E">
        <w:t>role.</w:t>
      </w:r>
    </w:p>
    <w:p w:rsidR="00921ACC" w:rsidRPr="00DD4E6E" w:rsidRDefault="000C7B82" w:rsidP="002D4D3E">
      <w:pPr>
        <w:pStyle w:val="ListParagraph"/>
      </w:pPr>
      <w:r w:rsidRPr="00DD4E6E">
        <w:t>The plans should seek to leverage available resources, and demonstrate the PHN’s role as a leader in health system improvement.</w:t>
      </w:r>
    </w:p>
    <w:p w:rsidR="00B7358E" w:rsidRPr="00DD4E6E" w:rsidRDefault="00934AF7" w:rsidP="002D4D3E">
      <w:pPr>
        <w:pStyle w:val="ListParagraph"/>
      </w:pPr>
      <w:r w:rsidRPr="00DD4E6E">
        <w:t xml:space="preserve">In parallel, </w:t>
      </w:r>
      <w:r w:rsidR="000C7B82" w:rsidRPr="00DD4E6E">
        <w:t>PHNs will need to plan for building the skills and competencies requir</w:t>
      </w:r>
      <w:r w:rsidR="003B7522" w:rsidRPr="00DD4E6E">
        <w:t>ed for successful commissioning, and build provider capacity.</w:t>
      </w:r>
    </w:p>
    <w:p w:rsidR="000B5FA6" w:rsidRPr="00D80E65" w:rsidRDefault="000B5FA6" w:rsidP="003178F8">
      <w:pPr>
        <w:spacing w:after="180" w:line="240" w:lineRule="auto"/>
        <w:jc w:val="left"/>
        <w:rPr>
          <w:i/>
        </w:rPr>
      </w:pPr>
      <w:r w:rsidRPr="00D80E65">
        <w:rPr>
          <w:i/>
        </w:rPr>
        <w:t>Stakeholder engagement</w:t>
      </w:r>
    </w:p>
    <w:p w:rsidR="00C261D4" w:rsidRPr="00DD4E6E" w:rsidRDefault="00C261D4" w:rsidP="002D4D3E">
      <w:pPr>
        <w:pStyle w:val="ListParagraph"/>
      </w:pPr>
      <w:r w:rsidRPr="00DD4E6E">
        <w:t>The nature of engagement with communities, clinicians, service providers and other stakeholders will be different in a commissioning environment. There are enhanced opportunities to explore more collaborative ways of working, but also a heightened need for transparency in decision making.</w:t>
      </w:r>
    </w:p>
    <w:p w:rsidR="00B7358E" w:rsidRPr="00DD4E6E" w:rsidRDefault="003772B9" w:rsidP="00C77694">
      <w:pPr>
        <w:pStyle w:val="ListParagraph"/>
        <w:keepNext/>
        <w:keepLines/>
        <w:ind w:left="720" w:hanging="360"/>
      </w:pPr>
      <w:r w:rsidRPr="00DD4E6E">
        <w:lastRenderedPageBreak/>
        <w:t>The commissioning environment provides</w:t>
      </w:r>
      <w:r w:rsidR="00C261D4" w:rsidRPr="00DD4E6E">
        <w:t xml:space="preserve"> greater opportunity to design and co-design new forms</w:t>
      </w:r>
      <w:r w:rsidR="00A33C9F" w:rsidRPr="00DD4E6E">
        <w:t xml:space="preserve"> </w:t>
      </w:r>
      <w:r w:rsidR="00FE4A97" w:rsidRPr="00DD4E6E">
        <w:t xml:space="preserve">of service delivery. </w:t>
      </w:r>
      <w:r w:rsidRPr="00DD4E6E">
        <w:t>This i</w:t>
      </w:r>
      <w:r w:rsidR="00C261D4" w:rsidRPr="00DD4E6E">
        <w:t xml:space="preserve">s accompanied by a responsibility to ensure that these are appropriate and acceptable to </w:t>
      </w:r>
      <w:r w:rsidR="00A33C9F" w:rsidRPr="00DD4E6E">
        <w:t xml:space="preserve">providers, communities and individuals, are </w:t>
      </w:r>
      <w:r w:rsidR="00C261D4" w:rsidRPr="00DD4E6E">
        <w:t xml:space="preserve">based on evidence and </w:t>
      </w:r>
      <w:r w:rsidRPr="00DD4E6E">
        <w:t xml:space="preserve">are </w:t>
      </w:r>
      <w:r w:rsidR="00C261D4" w:rsidRPr="00DD4E6E">
        <w:t xml:space="preserve">consistent with agreed </w:t>
      </w:r>
      <w:r w:rsidR="00B50828" w:rsidRPr="00DD4E6E">
        <w:t xml:space="preserve">standards </w:t>
      </w:r>
      <w:r w:rsidR="00C261D4" w:rsidRPr="00DD4E6E">
        <w:t>of quality</w:t>
      </w:r>
      <w:r w:rsidR="00FD61F8" w:rsidRPr="00DD4E6E">
        <w:t xml:space="preserve"> and clinical safety.</w:t>
      </w:r>
    </w:p>
    <w:p w:rsidR="000B5FA6" w:rsidRPr="00D80E65" w:rsidRDefault="000B5FA6" w:rsidP="003178F8">
      <w:pPr>
        <w:spacing w:after="180" w:line="240" w:lineRule="auto"/>
        <w:jc w:val="left"/>
        <w:rPr>
          <w:i/>
        </w:rPr>
      </w:pPr>
      <w:r w:rsidRPr="00D80E65">
        <w:rPr>
          <w:i/>
        </w:rPr>
        <w:t>Priority setting</w:t>
      </w:r>
      <w:r w:rsidR="00704895" w:rsidRPr="00D80E65">
        <w:rPr>
          <w:i/>
        </w:rPr>
        <w:t xml:space="preserve"> and decision making</w:t>
      </w:r>
    </w:p>
    <w:p w:rsidR="00316F38" w:rsidRPr="00DD4E6E" w:rsidRDefault="00316F38" w:rsidP="002D4D3E">
      <w:pPr>
        <w:pStyle w:val="ListParagraph"/>
      </w:pPr>
      <w:r w:rsidRPr="00DD4E6E">
        <w:t xml:space="preserve">Priority setting and decision making </w:t>
      </w:r>
      <w:r w:rsidR="001069CC" w:rsidRPr="00DD4E6E">
        <w:t>is</w:t>
      </w:r>
      <w:r w:rsidRPr="00DD4E6E">
        <w:t xml:space="preserve"> core to the commission</w:t>
      </w:r>
      <w:r w:rsidR="003772B9" w:rsidRPr="00DD4E6E">
        <w:t>ing</w:t>
      </w:r>
      <w:r w:rsidRPr="00DD4E6E">
        <w:t xml:space="preserve"> role.  Success in priority setting req</w:t>
      </w:r>
      <w:r w:rsidR="003772B9" w:rsidRPr="00DD4E6E">
        <w:t>u</w:t>
      </w:r>
      <w:r w:rsidRPr="00DD4E6E">
        <w:t>ires the PHN to establish legitimacy, particularly when making difficult and unpopular decisions.</w:t>
      </w:r>
      <w:r w:rsidR="008C4529" w:rsidRPr="00DD4E6E">
        <w:t xml:space="preserve"> </w:t>
      </w:r>
      <w:r w:rsidR="001069CC" w:rsidRPr="00DD4E6E">
        <w:t>Having a clear rationale and criteria for decision making is central to this</w:t>
      </w:r>
      <w:r w:rsidR="00435A90" w:rsidRPr="00DD4E6E">
        <w:t xml:space="preserve">; as </w:t>
      </w:r>
      <w:r w:rsidR="007C6C26" w:rsidRPr="00DD4E6E">
        <w:t xml:space="preserve">is </w:t>
      </w:r>
      <w:r w:rsidR="00435A90" w:rsidRPr="00DD4E6E">
        <w:t>a</w:t>
      </w:r>
      <w:r w:rsidR="007C6C26" w:rsidRPr="00DD4E6E">
        <w:t xml:space="preserve"> clear</w:t>
      </w:r>
      <w:r w:rsidR="00435A90" w:rsidRPr="00DD4E6E">
        <w:t xml:space="preserve"> ‘audit trail’ that demonstrates why decisions were made.</w:t>
      </w:r>
    </w:p>
    <w:p w:rsidR="007E3282" w:rsidRPr="00DD4E6E" w:rsidRDefault="00AD51C0" w:rsidP="002D4D3E">
      <w:pPr>
        <w:pStyle w:val="ListParagraph"/>
      </w:pPr>
      <w:r w:rsidRPr="00DD4E6E">
        <w:t xml:space="preserve">Priority setting in </w:t>
      </w:r>
      <w:r w:rsidR="00435A90" w:rsidRPr="00DD4E6E">
        <w:t xml:space="preserve">a </w:t>
      </w:r>
      <w:r w:rsidRPr="00DD4E6E">
        <w:t xml:space="preserve">commissioning environment involves an understanding of the capacity of the </w:t>
      </w:r>
      <w:r w:rsidR="00847305" w:rsidRPr="00DD4E6E">
        <w:t>market;</w:t>
      </w:r>
      <w:r w:rsidR="003772B9" w:rsidRPr="00DD4E6E">
        <w:t xml:space="preserve"> </w:t>
      </w:r>
      <w:r w:rsidR="00316F38" w:rsidRPr="00DD4E6E">
        <w:t xml:space="preserve">this will often require </w:t>
      </w:r>
      <w:r w:rsidR="003772B9" w:rsidRPr="00DD4E6E">
        <w:t xml:space="preserve">a degree of </w:t>
      </w:r>
      <w:r w:rsidR="00316F38" w:rsidRPr="00DD4E6E">
        <w:t>market testing</w:t>
      </w:r>
      <w:r w:rsidR="00435A90" w:rsidRPr="00DD4E6E">
        <w:t xml:space="preserve"> or soundings</w:t>
      </w:r>
      <w:r w:rsidR="00FE4A97" w:rsidRPr="00DD4E6E">
        <w:t xml:space="preserve">. </w:t>
      </w:r>
      <w:r w:rsidR="00435A90" w:rsidRPr="00DD4E6E">
        <w:t>Some PHNs have made good progress in this area.</w:t>
      </w:r>
    </w:p>
    <w:p w:rsidR="00F71517" w:rsidRPr="00FC1AF3" w:rsidRDefault="00F71517" w:rsidP="003178F8">
      <w:pPr>
        <w:spacing w:after="180" w:line="240" w:lineRule="auto"/>
        <w:jc w:val="left"/>
        <w:rPr>
          <w:i/>
        </w:rPr>
      </w:pPr>
      <w:r w:rsidRPr="00FC1AF3">
        <w:rPr>
          <w:i/>
        </w:rPr>
        <w:t>Planning for specific populations</w:t>
      </w:r>
    </w:p>
    <w:p w:rsidR="00981960" w:rsidRPr="00DD4E6E" w:rsidRDefault="005E2A9B" w:rsidP="002D4D3E">
      <w:pPr>
        <w:pStyle w:val="ListParagraph"/>
      </w:pPr>
      <w:r w:rsidRPr="00DD4E6E">
        <w:t xml:space="preserve">It is of course expected that PHN planning will recognise the social and cultural needs of specific populations within their region.  In particular, this has been recognised in respect to planning and commissioning services for Aboriginal and Torres Strait Islander people, and the role of Aboriginal Community Controlled Health Organisations (ACCHOs).  </w:t>
      </w:r>
    </w:p>
    <w:p w:rsidR="005E2A9B" w:rsidRPr="00DD4E6E" w:rsidRDefault="005E2A9B" w:rsidP="002D4D3E">
      <w:pPr>
        <w:pStyle w:val="ListParagraph"/>
      </w:pPr>
      <w:r w:rsidRPr="00DD4E6E">
        <w:t xml:space="preserve">A set of Guiding Principles for relationships between PHNs and ACCHOs has been developed in consultation with ACCHO Peak Bodies and PHNs and </w:t>
      </w:r>
      <w:r w:rsidR="00F7220E" w:rsidRPr="00DD4E6E">
        <w:t>covers actions</w:t>
      </w:r>
      <w:r w:rsidRPr="00DD4E6E">
        <w:rPr>
          <w:lang w:val="en-US"/>
        </w:rPr>
        <w:t xml:space="preserve"> to be taken by each party across six key domains: Closing the Gap; cultural competency; commissioning; engagement and representation; accountability, data and reporting; service delivery; and research.  This document is available at the </w:t>
      </w:r>
      <w:hyperlink r:id="rId19" w:history="1">
        <w:r w:rsidRPr="00FC4DFE">
          <w:rPr>
            <w:rStyle w:val="Hyperlink"/>
            <w:lang w:val="en-US"/>
          </w:rPr>
          <w:t>PHN website</w:t>
        </w:r>
      </w:hyperlink>
      <w:r w:rsidR="00FC4DFE">
        <w:rPr>
          <w:lang w:val="en-US"/>
        </w:rPr>
        <w:t>.</w:t>
      </w:r>
      <w:r w:rsidR="00FC4DFE" w:rsidRPr="00DD4E6E">
        <w:t xml:space="preserve"> </w:t>
      </w:r>
    </w:p>
    <w:p w:rsidR="00F71517" w:rsidRPr="0099055B" w:rsidRDefault="00F71517" w:rsidP="003178F8">
      <w:pPr>
        <w:spacing w:after="180" w:line="240" w:lineRule="auto"/>
        <w:jc w:val="left"/>
        <w:rPr>
          <w:i/>
        </w:rPr>
      </w:pPr>
      <w:r w:rsidRPr="0099055B">
        <w:rPr>
          <w:i/>
        </w:rPr>
        <w:t>Working with State and Territory Governments</w:t>
      </w:r>
    </w:p>
    <w:p w:rsidR="00981960" w:rsidRPr="00DD4E6E" w:rsidRDefault="00981960" w:rsidP="002D4D3E">
      <w:pPr>
        <w:pStyle w:val="ListParagraph"/>
      </w:pPr>
      <w:r w:rsidRPr="00DD4E6E">
        <w:t>PHNs will be working closely with State</w:t>
      </w:r>
      <w:r w:rsidR="00FD1E3F" w:rsidRPr="00DD4E6E">
        <w:t>s</w:t>
      </w:r>
      <w:r w:rsidRPr="00DD4E6E">
        <w:t xml:space="preserve"> and Territor</w:t>
      </w:r>
      <w:r w:rsidR="00FD1E3F" w:rsidRPr="00DD4E6E">
        <w:t>ies</w:t>
      </w:r>
      <w:r w:rsidRPr="00DD4E6E">
        <w:t xml:space="preserve"> and their health agencies and Local Hospital </w:t>
      </w:r>
      <w:r w:rsidR="00F7220E" w:rsidRPr="00DD4E6E">
        <w:t>Networks (LHNs) or equivalents, which have extensive resources, data and skills.</w:t>
      </w:r>
      <w:r w:rsidRPr="00DD4E6E">
        <w:t xml:space="preserve"> </w:t>
      </w:r>
      <w:r w:rsidR="00F7220E" w:rsidRPr="00DD4E6E">
        <w:t>A collaborative approach to planning and commissioning is required, and an understanding of State/Territory roles across the whole system, including inpatient, community and outpatient care.</w:t>
      </w:r>
    </w:p>
    <w:p w:rsidR="00F7220E" w:rsidRPr="00DD4E6E" w:rsidRDefault="00F7220E" w:rsidP="002D4D3E">
      <w:pPr>
        <w:pStyle w:val="ListParagraph"/>
      </w:pPr>
      <w:r w:rsidRPr="00DD4E6E">
        <w:t xml:space="preserve">In PHN planning it is important for PHNs to work closely with </w:t>
      </w:r>
      <w:r w:rsidR="00FD1E3F" w:rsidRPr="00DD4E6E">
        <w:t xml:space="preserve">the </w:t>
      </w:r>
      <w:r w:rsidRPr="00DD4E6E">
        <w:t>State</w:t>
      </w:r>
      <w:r w:rsidR="00FD1E3F" w:rsidRPr="00DD4E6E">
        <w:t xml:space="preserve">s and </w:t>
      </w:r>
      <w:r w:rsidRPr="00DD4E6E">
        <w:t>Territor</w:t>
      </w:r>
      <w:r w:rsidR="00FD1E3F" w:rsidRPr="00DD4E6E">
        <w:t>ies</w:t>
      </w:r>
      <w:r w:rsidRPr="00DD4E6E">
        <w:t xml:space="preserve">  to ensure that gaps, overlaps or any disconnect in the provision of </w:t>
      </w:r>
      <w:r w:rsidR="00FD1E3F" w:rsidRPr="00DD4E6E">
        <w:t>Commonwealth</w:t>
      </w:r>
      <w:r w:rsidRPr="00DD4E6E">
        <w:t xml:space="preserve"> and state funded services is identified: not only to reduce duplication, but to ensure that consumers can transition as seamlessly as possible between different parts of the health system.</w:t>
      </w:r>
    </w:p>
    <w:p w:rsidR="007E3282" w:rsidRPr="00D80E65" w:rsidRDefault="007E3282" w:rsidP="00C77694">
      <w:pPr>
        <w:keepNext/>
        <w:keepLines/>
        <w:spacing w:after="180" w:line="240" w:lineRule="auto"/>
        <w:jc w:val="left"/>
        <w:rPr>
          <w:i/>
        </w:rPr>
      </w:pPr>
      <w:r w:rsidRPr="00D80E65">
        <w:rPr>
          <w:i/>
        </w:rPr>
        <w:t>Performance measurement</w:t>
      </w:r>
    </w:p>
    <w:p w:rsidR="000B5FA6" w:rsidRPr="00DD4E6E" w:rsidRDefault="000B5FA6" w:rsidP="003178F8">
      <w:pPr>
        <w:pStyle w:val="ListParagraph"/>
        <w:jc w:val="left"/>
        <w:rPr>
          <w:rStyle w:val="Hyperlink"/>
          <w:color w:val="auto"/>
          <w:u w:val="none"/>
        </w:rPr>
      </w:pPr>
      <w:r w:rsidRPr="00DD4E6E">
        <w:t xml:space="preserve">Guidance on performance measurement is covered in detail in the </w:t>
      </w:r>
      <w:r w:rsidR="001F035F" w:rsidRPr="00DD4E6E">
        <w:t xml:space="preserve">PHN </w:t>
      </w:r>
      <w:r w:rsidRPr="00DD4E6E">
        <w:t>Performance Framework</w:t>
      </w:r>
      <w:r w:rsidR="00FC4DFE">
        <w:t>.</w:t>
      </w:r>
      <w:r w:rsidR="007310E5" w:rsidRPr="00DD4E6E">
        <w:t xml:space="preserve"> </w:t>
      </w:r>
    </w:p>
    <w:p w:rsidR="000B5FA6" w:rsidRDefault="000B5FA6" w:rsidP="003178F8">
      <w:pPr>
        <w:spacing w:after="180" w:line="240" w:lineRule="auto"/>
        <w:jc w:val="left"/>
        <w:rPr>
          <w:i/>
        </w:rPr>
      </w:pPr>
      <w:r w:rsidRPr="003A14A7">
        <w:rPr>
          <w:i/>
        </w:rPr>
        <w:lastRenderedPageBreak/>
        <w:t>Decommissioning</w:t>
      </w:r>
    </w:p>
    <w:p w:rsidR="000F3AFE" w:rsidRPr="00DD4E6E" w:rsidRDefault="000F3AFE" w:rsidP="002D4D3E">
      <w:pPr>
        <w:pStyle w:val="ListParagraph"/>
      </w:pPr>
      <w:r w:rsidRPr="00DD4E6E">
        <w:t>Proposals for decommissioning need to consider a number of factors other than the termination of a service, including</w:t>
      </w:r>
      <w:r w:rsidR="002C6BF8" w:rsidRPr="00DD4E6E">
        <w:t xml:space="preserve"> </w:t>
      </w:r>
      <w:r w:rsidR="00435A90" w:rsidRPr="00DD4E6E">
        <w:t xml:space="preserve">having an evidence-based rationale, </w:t>
      </w:r>
      <w:r w:rsidR="002C6BF8" w:rsidRPr="00DD4E6E">
        <w:t xml:space="preserve">good </w:t>
      </w:r>
      <w:r w:rsidR="001069CC" w:rsidRPr="00DD4E6E">
        <w:t>communication, providing</w:t>
      </w:r>
      <w:r w:rsidR="002C6BF8" w:rsidRPr="00DD4E6E">
        <w:t xml:space="preserve"> as much notice as </w:t>
      </w:r>
      <w:r w:rsidR="001069CC" w:rsidRPr="00DD4E6E">
        <w:t>possible and</w:t>
      </w:r>
      <w:r w:rsidR="002C6BF8" w:rsidRPr="00DD4E6E">
        <w:t xml:space="preserve"> supporting parties </w:t>
      </w:r>
      <w:r w:rsidR="00A06671" w:rsidRPr="00DD4E6E">
        <w:t>t</w:t>
      </w:r>
      <w:r w:rsidR="002C6BF8" w:rsidRPr="00DD4E6E">
        <w:t>hrough the process.</w:t>
      </w:r>
    </w:p>
    <w:p w:rsidR="000B5FA6" w:rsidRPr="00FC1AF3" w:rsidRDefault="000B5FA6" w:rsidP="003178F8">
      <w:pPr>
        <w:spacing w:after="180" w:line="240" w:lineRule="auto"/>
        <w:jc w:val="left"/>
        <w:rPr>
          <w:i/>
        </w:rPr>
      </w:pPr>
      <w:r w:rsidRPr="00FC1AF3">
        <w:rPr>
          <w:i/>
        </w:rPr>
        <w:t>Direct service provision</w:t>
      </w:r>
    </w:p>
    <w:p w:rsidR="00795FB9" w:rsidRPr="007E3282" w:rsidRDefault="002C6BF8" w:rsidP="002D4D3E">
      <w:pPr>
        <w:pStyle w:val="ListParagraph"/>
        <w:rPr>
          <w:rFonts w:cs="Arial"/>
          <w:bCs/>
          <w:color w:val="003D69"/>
          <w:sz w:val="26"/>
          <w:szCs w:val="26"/>
        </w:rPr>
      </w:pPr>
      <w:r w:rsidRPr="00DD4E6E">
        <w:t xml:space="preserve">Where a plan proposes a continuation of </w:t>
      </w:r>
      <w:r w:rsidR="007C6C26" w:rsidRPr="00DD4E6E">
        <w:t xml:space="preserve">a </w:t>
      </w:r>
      <w:r w:rsidRPr="00DD4E6E">
        <w:t>direct service delivery arrangement</w:t>
      </w:r>
      <w:r w:rsidR="00934AF7" w:rsidRPr="00DD4E6E">
        <w:t>,</w:t>
      </w:r>
      <w:r w:rsidRPr="00DD4E6E">
        <w:t xml:space="preserve"> PHNs need to adhere </w:t>
      </w:r>
      <w:r w:rsidR="00435A90" w:rsidRPr="00DD4E6E">
        <w:t xml:space="preserve">to </w:t>
      </w:r>
      <w:r w:rsidRPr="00DD4E6E">
        <w:t xml:space="preserve">the requirements in the </w:t>
      </w:r>
      <w:r w:rsidR="001349F9" w:rsidRPr="00DD4E6E">
        <w:t xml:space="preserve">Core Funding </w:t>
      </w:r>
      <w:r w:rsidRPr="00DD4E6E">
        <w:t>schedule</w:t>
      </w:r>
      <w:r w:rsidR="00435A90" w:rsidRPr="00DD4E6E">
        <w:t xml:space="preserve"> </w:t>
      </w:r>
      <w:r w:rsidR="007C6C26" w:rsidRPr="00DD4E6E">
        <w:t>and</w:t>
      </w:r>
      <w:r w:rsidRPr="00DD4E6E">
        <w:t xml:space="preserve"> </w:t>
      </w:r>
      <w:r w:rsidR="001F035F" w:rsidRPr="00DD4E6E">
        <w:t xml:space="preserve">outline </w:t>
      </w:r>
      <w:r w:rsidRPr="00DD4E6E">
        <w:t xml:space="preserve">activity designed to test and </w:t>
      </w:r>
      <w:r w:rsidR="001069CC" w:rsidRPr="00DD4E6E">
        <w:t>stimulate</w:t>
      </w:r>
      <w:r w:rsidRPr="00DD4E6E">
        <w:t xml:space="preserve"> the market</w:t>
      </w:r>
      <w:r w:rsidR="001F035F" w:rsidRPr="00DD4E6E">
        <w:t>,</w:t>
      </w:r>
      <w:r w:rsidRPr="00DD4E6E">
        <w:t xml:space="preserve"> and include proposals for moving to commissioning in the longer term.</w:t>
      </w:r>
    </w:p>
    <w:p w:rsidR="000B5FA6" w:rsidRPr="00FC1AF3" w:rsidRDefault="000B5FA6" w:rsidP="003178F8">
      <w:pPr>
        <w:spacing w:after="180" w:line="240" w:lineRule="auto"/>
        <w:jc w:val="left"/>
        <w:rPr>
          <w:i/>
        </w:rPr>
      </w:pPr>
      <w:r w:rsidRPr="00FC1AF3">
        <w:rPr>
          <w:i/>
        </w:rPr>
        <w:t>Completing and submitting the Activity Work Plan</w:t>
      </w:r>
    </w:p>
    <w:p w:rsidR="00550CE6" w:rsidRPr="00DD4E6E" w:rsidRDefault="00550CE6" w:rsidP="002D4D3E">
      <w:pPr>
        <w:pStyle w:val="ListParagraph"/>
      </w:pPr>
      <w:r w:rsidRPr="00DD4E6E">
        <w:t>PHNs need to submit the A</w:t>
      </w:r>
      <w:r w:rsidR="003772B9" w:rsidRPr="00DD4E6E">
        <w:t xml:space="preserve">ctivity </w:t>
      </w:r>
      <w:r w:rsidRPr="00DD4E6E">
        <w:t>W</w:t>
      </w:r>
      <w:r w:rsidR="003772B9" w:rsidRPr="00DD4E6E">
        <w:t xml:space="preserve">ork </w:t>
      </w:r>
      <w:r w:rsidRPr="00DD4E6E">
        <w:t>P</w:t>
      </w:r>
      <w:r w:rsidR="003772B9" w:rsidRPr="00DD4E6E">
        <w:t>lan as described in the template</w:t>
      </w:r>
      <w:r w:rsidR="009F6061" w:rsidRPr="00DD4E6E">
        <w:t xml:space="preserve"> and in Word format</w:t>
      </w:r>
      <w:r w:rsidR="007E3282" w:rsidRPr="00DD4E6E">
        <w:t>.</w:t>
      </w:r>
      <w:r w:rsidR="003772B9" w:rsidRPr="00DD4E6E">
        <w:t xml:space="preserve"> This allow</w:t>
      </w:r>
      <w:r w:rsidR="006F248B" w:rsidRPr="00DD4E6E">
        <w:t>s</w:t>
      </w:r>
      <w:r w:rsidR="003772B9" w:rsidRPr="00DD4E6E">
        <w:t xml:space="preserve"> information to be in a form suitable for aggregation, analysis, comparison and use in program and policy development.</w:t>
      </w:r>
    </w:p>
    <w:p w:rsidR="00550CE6" w:rsidRPr="00DD4E6E" w:rsidRDefault="003772B9" w:rsidP="002D4D3E">
      <w:pPr>
        <w:pStyle w:val="ListParagraph"/>
      </w:pPr>
      <w:r w:rsidRPr="00DD4E6E">
        <w:t>Activities need to be described at a consistent level. Previous experience with Medicare</w:t>
      </w:r>
      <w:r w:rsidR="007E3282" w:rsidRPr="00DD4E6E">
        <w:t> </w:t>
      </w:r>
      <w:r w:rsidRPr="00DD4E6E">
        <w:t>Locals suggests that 15-20 activities would be an indicative benchmark.</w:t>
      </w:r>
    </w:p>
    <w:p w:rsidR="003772B9" w:rsidRPr="00DD4E6E" w:rsidRDefault="003772B9" w:rsidP="002D4D3E">
      <w:pPr>
        <w:pStyle w:val="ListParagraph"/>
      </w:pPr>
      <w:r w:rsidRPr="00DD4E6E">
        <w:t>There are three</w:t>
      </w:r>
      <w:r w:rsidR="007F611D" w:rsidRPr="00DD4E6E">
        <w:t xml:space="preserve"> broad</w:t>
      </w:r>
      <w:r w:rsidRPr="00DD4E6E">
        <w:t xml:space="preserve"> stages to developing the Activity Work Pla</w:t>
      </w:r>
      <w:r w:rsidR="007F611D" w:rsidRPr="00DD4E6E">
        <w:t>n</w:t>
      </w:r>
      <w:r w:rsidRPr="00DD4E6E">
        <w:t>:</w:t>
      </w:r>
    </w:p>
    <w:p w:rsidR="003772B9" w:rsidRPr="00DD4E6E" w:rsidRDefault="007F611D" w:rsidP="002D4D3E">
      <w:pPr>
        <w:pStyle w:val="ListParagraph"/>
        <w:numPr>
          <w:ilvl w:val="0"/>
          <w:numId w:val="34"/>
        </w:numPr>
      </w:pPr>
      <w:r w:rsidRPr="00DD4E6E">
        <w:t>developing a list of activities for consideration;</w:t>
      </w:r>
    </w:p>
    <w:p w:rsidR="007F611D" w:rsidRPr="00DD4E6E" w:rsidRDefault="007F611D" w:rsidP="002D4D3E">
      <w:pPr>
        <w:pStyle w:val="ListParagraph"/>
        <w:numPr>
          <w:ilvl w:val="0"/>
          <w:numId w:val="34"/>
        </w:numPr>
      </w:pPr>
      <w:r w:rsidRPr="00DD4E6E">
        <w:t>priority setting and decision making on the basis of these</w:t>
      </w:r>
      <w:r w:rsidR="00D820CD" w:rsidRPr="00DD4E6E">
        <w:t xml:space="preserve"> activities</w:t>
      </w:r>
      <w:r w:rsidRPr="00DD4E6E">
        <w:t>; and</w:t>
      </w:r>
    </w:p>
    <w:p w:rsidR="007F611D" w:rsidRPr="00DD4E6E" w:rsidRDefault="007F611D" w:rsidP="002D4D3E">
      <w:pPr>
        <w:pStyle w:val="ListParagraph"/>
        <w:numPr>
          <w:ilvl w:val="0"/>
          <w:numId w:val="34"/>
        </w:numPr>
      </w:pPr>
      <w:proofErr w:type="gramStart"/>
      <w:r w:rsidRPr="00DD4E6E">
        <w:t>reviewing</w:t>
      </w:r>
      <w:proofErr w:type="gramEnd"/>
      <w:r w:rsidRPr="00DD4E6E">
        <w:t xml:space="preserve"> the final set of activities to ensure balance and focus.</w:t>
      </w:r>
    </w:p>
    <w:p w:rsidR="00550CE6" w:rsidRPr="00DD4E6E" w:rsidRDefault="006C31BB">
      <w:pPr>
        <w:spacing w:line="240" w:lineRule="auto"/>
        <w:jc w:val="left"/>
        <w:rPr>
          <w:lang w:val="en-AU"/>
        </w:rPr>
      </w:pPr>
      <w:r w:rsidRPr="00DD4E6E">
        <w:rPr>
          <w:lang w:val="en-AU"/>
        </w:rPr>
        <w:t xml:space="preserve">These </w:t>
      </w:r>
      <w:r w:rsidR="00D820CD" w:rsidRPr="00DD4E6E">
        <w:rPr>
          <w:lang w:val="en-AU"/>
        </w:rPr>
        <w:t xml:space="preserve">issues </w:t>
      </w:r>
      <w:r w:rsidRPr="00DD4E6E">
        <w:rPr>
          <w:lang w:val="en-AU"/>
        </w:rPr>
        <w:t>are covered in more detail in the guidance.</w:t>
      </w:r>
    </w:p>
    <w:p w:rsidR="000719BD" w:rsidRDefault="000719BD">
      <w:pPr>
        <w:spacing w:line="240" w:lineRule="auto"/>
        <w:jc w:val="left"/>
        <w:rPr>
          <w:b/>
          <w:lang w:val="en-AU"/>
        </w:rPr>
      </w:pPr>
    </w:p>
    <w:p w:rsidR="00A06671" w:rsidRDefault="00A06671">
      <w:pPr>
        <w:spacing w:line="240" w:lineRule="auto"/>
        <w:jc w:val="left"/>
        <w:rPr>
          <w:b/>
          <w:lang w:val="en-AU"/>
        </w:rPr>
      </w:pPr>
    </w:p>
    <w:p w:rsidR="00934AF7" w:rsidRPr="003178F8" w:rsidRDefault="00934AF7" w:rsidP="003178F8">
      <w:pPr>
        <w:spacing w:after="180" w:line="240" w:lineRule="auto"/>
        <w:jc w:val="left"/>
        <w:rPr>
          <w:b/>
          <w:lang w:val="en-AU"/>
        </w:rPr>
      </w:pPr>
      <w:r w:rsidRPr="003178F8">
        <w:rPr>
          <w:b/>
          <w:i/>
        </w:rPr>
        <w:t>Guidance for planning in specific program areas</w:t>
      </w:r>
    </w:p>
    <w:p w:rsidR="009F6061" w:rsidRDefault="00934AF7" w:rsidP="00A424EB">
      <w:pPr>
        <w:rPr>
          <w:rFonts w:cs="Arial"/>
          <w:bCs/>
          <w:caps/>
          <w:color w:val="003D69"/>
          <w:kern w:val="28"/>
          <w:sz w:val="36"/>
          <w:szCs w:val="32"/>
          <w:lang w:val="en-AU"/>
        </w:rPr>
      </w:pPr>
      <w:r w:rsidRPr="00DD4E6E">
        <w:rPr>
          <w:lang w:val="en-AU"/>
        </w:rPr>
        <w:t>Specific guidance is available separately for PHNs on needs assessment and planning in relation to mental health and suicide prevention, and drug and alcohol treatment services.</w:t>
      </w:r>
      <w:r w:rsidR="00FE4A97" w:rsidRPr="00DD4E6E">
        <w:rPr>
          <w:lang w:val="en-AU"/>
        </w:rPr>
        <w:t xml:space="preserve"> </w:t>
      </w:r>
      <w:r w:rsidR="002E1005" w:rsidRPr="00DD4E6E">
        <w:rPr>
          <w:lang w:val="en-AU"/>
        </w:rPr>
        <w:t>Th</w:t>
      </w:r>
      <w:r w:rsidR="007E3282" w:rsidRPr="00DD4E6E">
        <w:rPr>
          <w:lang w:val="en-AU"/>
        </w:rPr>
        <w:t>e specific</w:t>
      </w:r>
      <w:r w:rsidR="002E1005" w:rsidRPr="00DD4E6E">
        <w:rPr>
          <w:lang w:val="en-AU"/>
        </w:rPr>
        <w:t xml:space="preserve"> guidance needs to be read in conjunction with the generic guidance provided here.</w:t>
      </w:r>
      <w:r w:rsidRPr="00DD4E6E">
        <w:rPr>
          <w:lang w:val="en-AU"/>
        </w:rPr>
        <w:t xml:space="preserve"> </w:t>
      </w:r>
      <w:r w:rsidR="009F6061" w:rsidRPr="00DD4E6E">
        <w:rPr>
          <w:lang w:val="en-AU"/>
        </w:rPr>
        <w:br w:type="page"/>
      </w:r>
    </w:p>
    <w:p w:rsidR="007740B6" w:rsidRDefault="00923F20" w:rsidP="00540231">
      <w:pPr>
        <w:pStyle w:val="Heading1"/>
        <w:rPr>
          <w:lang w:val="en-AU"/>
        </w:rPr>
      </w:pPr>
      <w:bookmarkStart w:id="9" w:name="_Toc458775161"/>
      <w:r>
        <w:rPr>
          <w:lang w:val="en-AU"/>
        </w:rPr>
        <w:lastRenderedPageBreak/>
        <w:t xml:space="preserve">2. </w:t>
      </w:r>
      <w:r w:rsidR="00C72C32">
        <w:rPr>
          <w:lang w:val="en-AU"/>
        </w:rPr>
        <w:t>P</w:t>
      </w:r>
      <w:r w:rsidR="007740B6">
        <w:rPr>
          <w:lang w:val="en-AU"/>
        </w:rPr>
        <w:t>lanning in a commissioning enviro</w:t>
      </w:r>
      <w:r w:rsidR="00CF6999">
        <w:rPr>
          <w:lang w:val="en-AU"/>
        </w:rPr>
        <w:t>n</w:t>
      </w:r>
      <w:r w:rsidR="007740B6">
        <w:rPr>
          <w:lang w:val="en-AU"/>
        </w:rPr>
        <w:t>ment</w:t>
      </w:r>
      <w:bookmarkEnd w:id="5"/>
      <w:bookmarkEnd w:id="6"/>
      <w:bookmarkEnd w:id="9"/>
    </w:p>
    <w:p w:rsidR="00644D99" w:rsidRDefault="00923F20" w:rsidP="005B59DE">
      <w:pPr>
        <w:pStyle w:val="Heading2"/>
        <w:rPr>
          <w:lang w:val="en-AU"/>
        </w:rPr>
      </w:pPr>
      <w:bookmarkStart w:id="10" w:name="_Toc458775162"/>
      <w:bookmarkStart w:id="11" w:name="_Toc444513145"/>
      <w:r>
        <w:rPr>
          <w:lang w:val="en-AU"/>
        </w:rPr>
        <w:t xml:space="preserve">2.1 </w:t>
      </w:r>
      <w:r w:rsidR="00693255">
        <w:rPr>
          <w:lang w:val="en-AU"/>
        </w:rPr>
        <w:t>The PHN commissioning framework</w:t>
      </w:r>
      <w:bookmarkEnd w:id="10"/>
    </w:p>
    <w:p w:rsidR="00C1330E" w:rsidRPr="00DD4E6E" w:rsidRDefault="00C1330E" w:rsidP="008E2F70">
      <w:pPr>
        <w:rPr>
          <w:lang w:val="en-AU"/>
        </w:rPr>
      </w:pPr>
      <w:r w:rsidRPr="00DD4E6E">
        <w:rPr>
          <w:lang w:val="en-AU"/>
        </w:rPr>
        <w:t xml:space="preserve">Figure </w:t>
      </w:r>
      <w:r w:rsidR="00F44BAF" w:rsidRPr="00DD4E6E">
        <w:rPr>
          <w:lang w:val="en-AU"/>
        </w:rPr>
        <w:t>2</w:t>
      </w:r>
      <w:r w:rsidR="00FE4A97" w:rsidRPr="00DD4E6E">
        <w:rPr>
          <w:lang w:val="en-AU"/>
        </w:rPr>
        <w:t>.</w:t>
      </w:r>
      <w:r w:rsidR="00F44BAF" w:rsidRPr="00DD4E6E">
        <w:rPr>
          <w:lang w:val="en-AU"/>
        </w:rPr>
        <w:t>1</w:t>
      </w:r>
      <w:r w:rsidR="00FE4A97" w:rsidRPr="00DD4E6E">
        <w:rPr>
          <w:lang w:val="en-AU"/>
        </w:rPr>
        <w:t xml:space="preserve"> PHN</w:t>
      </w:r>
      <w:r w:rsidRPr="00DD4E6E">
        <w:rPr>
          <w:lang w:val="en-AU"/>
        </w:rPr>
        <w:t xml:space="preserve"> Commissioning </w:t>
      </w:r>
      <w:proofErr w:type="gramStart"/>
      <w:r w:rsidRPr="00DD4E6E">
        <w:rPr>
          <w:lang w:val="en-AU"/>
        </w:rPr>
        <w:t>framework</w:t>
      </w:r>
      <w:proofErr w:type="gramEnd"/>
    </w:p>
    <w:p w:rsidR="00644D99" w:rsidRDefault="00644D99" w:rsidP="005B59DE">
      <w:pPr>
        <w:spacing w:after="120"/>
        <w:jc w:val="center"/>
        <w:rPr>
          <w:rFonts w:asciiTheme="minorHAnsi" w:hAnsiTheme="minorHAnsi"/>
          <w:szCs w:val="22"/>
          <w:lang w:val="en-AU"/>
        </w:rPr>
      </w:pPr>
      <w:r w:rsidRPr="00DD4E6E">
        <w:rPr>
          <w:noProof/>
          <w:lang w:val="en-AU" w:eastAsia="en-AU"/>
        </w:rPr>
        <w:drawing>
          <wp:inline distT="0" distB="0" distL="0" distR="0" wp14:anchorId="3295F6F9" wp14:editId="3E307A36">
            <wp:extent cx="4356625" cy="3801595"/>
            <wp:effectExtent l="0" t="0" r="6350" b="8890"/>
            <wp:docPr id="15" name="Picture 15" descr="This diagram depicts the full PHN commissioning cycle including the three main phases within the commissioning process. The first phase is titled 'Strategic Planning' and involves both Needs Assessment and Annual Planning. The second phase is 'Procuring Services' and involves designing and contracting services and shaping the structure of supply. The third phase in the framework is 'Monitoring and Evaluation'. This involves managing performance and evaluation." title="Figure 2.1 PHN Commission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l="1" r="-1673" b="947"/>
                    <a:stretch/>
                  </pic:blipFill>
                  <pic:spPr bwMode="auto">
                    <a:xfrm>
                      <a:off x="0" y="0"/>
                      <a:ext cx="4356625" cy="3801595"/>
                    </a:xfrm>
                    <a:prstGeom prst="rect">
                      <a:avLst/>
                    </a:prstGeom>
                    <a:noFill/>
                    <a:ln>
                      <a:noFill/>
                    </a:ln>
                    <a:extLst>
                      <a:ext uri="{53640926-AAD7-44D8-BBD7-CCE9431645EC}">
                        <a14:shadowObscured xmlns:a14="http://schemas.microsoft.com/office/drawing/2010/main"/>
                      </a:ext>
                    </a:extLst>
                  </pic:spPr>
                </pic:pic>
              </a:graphicData>
            </a:graphic>
          </wp:inline>
        </w:drawing>
      </w:r>
    </w:p>
    <w:p w:rsidR="00644D99" w:rsidRDefault="00644D99" w:rsidP="005B59DE">
      <w:pPr>
        <w:spacing w:after="120"/>
        <w:jc w:val="center"/>
        <w:rPr>
          <w:rFonts w:asciiTheme="minorHAnsi" w:hAnsiTheme="minorHAnsi"/>
          <w:szCs w:val="22"/>
          <w:lang w:val="en-AU"/>
        </w:rPr>
      </w:pPr>
    </w:p>
    <w:p w:rsidR="00693255" w:rsidRPr="00DD4E6E" w:rsidRDefault="00693255" w:rsidP="009D4E75">
      <w:pPr>
        <w:rPr>
          <w:lang w:val="en-AU"/>
        </w:rPr>
      </w:pPr>
      <w:r w:rsidRPr="00DD4E6E">
        <w:rPr>
          <w:lang w:val="en-AU"/>
        </w:rPr>
        <w:t>PHNs were established in July 2015, with the objectives of:</w:t>
      </w:r>
    </w:p>
    <w:p w:rsidR="009D4E75" w:rsidRPr="00DD4E6E" w:rsidRDefault="009D4E75" w:rsidP="009D4E75">
      <w:pPr>
        <w:rPr>
          <w:lang w:val="en-AU"/>
        </w:rPr>
      </w:pPr>
    </w:p>
    <w:p w:rsidR="00693255" w:rsidRPr="00DD4E6E" w:rsidRDefault="00693255" w:rsidP="002D4D3E">
      <w:pPr>
        <w:pStyle w:val="ListParagraph"/>
      </w:pPr>
      <w:r w:rsidRPr="00DD4E6E">
        <w:t>increasing the efficiency and effectiveness of medical services for patients, particularly those at risk of poor health outcomes; and</w:t>
      </w:r>
    </w:p>
    <w:p w:rsidR="00693255" w:rsidRPr="00DE67CD" w:rsidRDefault="00693255" w:rsidP="002D4D3E">
      <w:pPr>
        <w:pStyle w:val="ListParagraph"/>
        <w:rPr>
          <w:i/>
        </w:rPr>
      </w:pPr>
      <w:proofErr w:type="gramStart"/>
      <w:r w:rsidRPr="00DD4E6E">
        <w:t>improving</w:t>
      </w:r>
      <w:proofErr w:type="gramEnd"/>
      <w:r w:rsidRPr="00DD4E6E">
        <w:t xml:space="preserve"> coordination of care to ensure patients receive the right care in the right place at the right time.</w:t>
      </w:r>
    </w:p>
    <w:p w:rsidR="00693255" w:rsidRDefault="00693255" w:rsidP="00FE4A97">
      <w:pPr>
        <w:jc w:val="left"/>
        <w:rPr>
          <w:rFonts w:asciiTheme="minorHAnsi" w:hAnsiTheme="minorHAnsi"/>
          <w:lang w:val="en-AU"/>
        </w:rPr>
      </w:pPr>
    </w:p>
    <w:p w:rsidR="00A06671" w:rsidRPr="00DD4E6E" w:rsidRDefault="002E1005" w:rsidP="009D4E75">
      <w:pPr>
        <w:rPr>
          <w:lang w:val="en-AU"/>
        </w:rPr>
      </w:pPr>
      <w:r w:rsidRPr="00DD4E6E">
        <w:t>As commissioners, PHNs will be regional purchasers of health services with the flexibility to stimulate innovative public and private health care solutions to improve frontline services and better integrate health service sectors</w:t>
      </w:r>
      <w:r w:rsidR="00FE4A97" w:rsidRPr="00DD4E6E">
        <w:t>.</w:t>
      </w:r>
      <w:r w:rsidRPr="00DD4E6E">
        <w:t xml:space="preserve"> PHNs will only directly provide services in exceptional circumstances,</w:t>
      </w:r>
      <w:r w:rsidR="00D820CD" w:rsidRPr="00DD4E6E">
        <w:t xml:space="preserve"> such as</w:t>
      </w:r>
      <w:r w:rsidRPr="00DD4E6E">
        <w:t xml:space="preserve"> </w:t>
      </w:r>
      <w:r w:rsidR="00D820CD" w:rsidRPr="00DD4E6E">
        <w:t>where local services do not exist</w:t>
      </w:r>
      <w:r w:rsidRPr="00DD4E6E">
        <w:t>.</w:t>
      </w:r>
      <w:r w:rsidR="00D820CD" w:rsidRPr="00DD4E6E">
        <w:rPr>
          <w:rStyle w:val="EndnoteReference"/>
          <w:lang w:val="en-AU"/>
        </w:rPr>
        <w:t xml:space="preserve"> </w:t>
      </w:r>
      <w:r w:rsidR="00D820CD" w:rsidRPr="00DD4E6E">
        <w:rPr>
          <w:rStyle w:val="EndnoteReference"/>
          <w:lang w:val="en-AU"/>
        </w:rPr>
        <w:endnoteReference w:id="2"/>
      </w:r>
    </w:p>
    <w:p w:rsidR="00A06671" w:rsidRPr="00DD4E6E" w:rsidRDefault="00A06671" w:rsidP="009D4E75">
      <w:pPr>
        <w:rPr>
          <w:lang w:val="en-AU"/>
        </w:rPr>
      </w:pPr>
    </w:p>
    <w:p w:rsidR="00693255" w:rsidRPr="00DD4E6E" w:rsidRDefault="00693255" w:rsidP="009D4E75">
      <w:pPr>
        <w:rPr>
          <w:lang w:val="en-AU"/>
        </w:rPr>
      </w:pPr>
      <w:r w:rsidRPr="00DD4E6E">
        <w:rPr>
          <w:lang w:val="en-AU"/>
        </w:rPr>
        <w:t>Th</w:t>
      </w:r>
      <w:r w:rsidR="002E1005" w:rsidRPr="00DD4E6E">
        <w:rPr>
          <w:lang w:val="en-AU"/>
        </w:rPr>
        <w:t>e</w:t>
      </w:r>
      <w:r w:rsidRPr="00DD4E6E">
        <w:rPr>
          <w:lang w:val="en-AU"/>
        </w:rPr>
        <w:t xml:space="preserve"> commissioning framework has been developed so that PHNs can ensure that their commissioning approach is consistent with the approach adopted for the </w:t>
      </w:r>
      <w:r w:rsidR="002C67C3" w:rsidRPr="00DD4E6E">
        <w:rPr>
          <w:lang w:val="en-AU"/>
        </w:rPr>
        <w:t xml:space="preserve">PHN </w:t>
      </w:r>
      <w:r w:rsidRPr="00DD4E6E">
        <w:rPr>
          <w:lang w:val="en-AU"/>
        </w:rPr>
        <w:t xml:space="preserve">program as a whole and that the process results in consistent, comparable and measurable outputs and outcomes. There are three </w:t>
      </w:r>
      <w:r w:rsidR="001F035F" w:rsidRPr="00DD4E6E">
        <w:rPr>
          <w:lang w:val="en-AU"/>
        </w:rPr>
        <w:t xml:space="preserve">main </w:t>
      </w:r>
      <w:r w:rsidRPr="00DD4E6E">
        <w:rPr>
          <w:lang w:val="en-AU"/>
        </w:rPr>
        <w:t xml:space="preserve">phases in the </w:t>
      </w:r>
      <w:r w:rsidR="00D820CD" w:rsidRPr="00DD4E6E">
        <w:rPr>
          <w:lang w:val="en-AU"/>
        </w:rPr>
        <w:t xml:space="preserve">commissioning </w:t>
      </w:r>
      <w:r w:rsidRPr="00DD4E6E">
        <w:rPr>
          <w:lang w:val="en-AU"/>
        </w:rPr>
        <w:t>cycle – strategic planning, procuring services, and monitoring and evaluation.</w:t>
      </w:r>
      <w:r w:rsidRPr="00DD4E6E">
        <w:rPr>
          <w:rStyle w:val="EndnoteReference"/>
          <w:lang w:val="en-AU"/>
        </w:rPr>
        <w:endnoteReference w:id="3"/>
      </w:r>
    </w:p>
    <w:p w:rsidR="00693255" w:rsidRPr="00DD4E6E" w:rsidRDefault="00693255" w:rsidP="005E2A9B">
      <w:pPr>
        <w:rPr>
          <w:lang w:val="en-AU"/>
        </w:rPr>
      </w:pPr>
      <w:r w:rsidRPr="00DD4E6E">
        <w:rPr>
          <w:lang w:val="en-AU"/>
        </w:rPr>
        <w:lastRenderedPageBreak/>
        <w:t>It is important to keep in mind that commissioning is a holistic approach to enable PHNs to work as strategic orga</w:t>
      </w:r>
      <w:r w:rsidR="00FE4A97" w:rsidRPr="00DD4E6E">
        <w:rPr>
          <w:lang w:val="en-AU"/>
        </w:rPr>
        <w:t xml:space="preserve">nisations at the system level. It is not merely a process. </w:t>
      </w:r>
      <w:r w:rsidRPr="00DD4E6E">
        <w:rPr>
          <w:lang w:val="en-AU"/>
        </w:rPr>
        <w:t>It is expected that PHNs may well be engaged in different parts of the cycle throughout the year (such as monitoring co</w:t>
      </w:r>
      <w:r w:rsidR="00C0273C" w:rsidRPr="00DD4E6E">
        <w:rPr>
          <w:lang w:val="en-AU"/>
        </w:rPr>
        <w:t xml:space="preserve">ntracts). </w:t>
      </w:r>
      <w:r w:rsidRPr="00DD4E6E">
        <w:rPr>
          <w:lang w:val="en-AU"/>
        </w:rPr>
        <w:t xml:space="preserve">While PHNs are required to </w:t>
      </w:r>
      <w:r w:rsidR="00640ED8" w:rsidRPr="00DD4E6E">
        <w:rPr>
          <w:lang w:val="en-AU"/>
        </w:rPr>
        <w:t xml:space="preserve">review and update </w:t>
      </w:r>
      <w:r w:rsidR="002C67C3" w:rsidRPr="00DD4E6E">
        <w:rPr>
          <w:lang w:val="en-AU"/>
        </w:rPr>
        <w:t xml:space="preserve">their </w:t>
      </w:r>
      <w:r w:rsidR="00640ED8" w:rsidRPr="00DD4E6E">
        <w:rPr>
          <w:lang w:val="en-AU"/>
        </w:rPr>
        <w:t>needs assessments and plans annually, in practice these are</w:t>
      </w:r>
      <w:r w:rsidRPr="00DD4E6E">
        <w:rPr>
          <w:lang w:val="en-AU"/>
        </w:rPr>
        <w:t xml:space="preserve"> under continual review as new information, data and experience become available.</w:t>
      </w:r>
    </w:p>
    <w:p w:rsidR="00693255" w:rsidRDefault="00693255" w:rsidP="00CD0ED7">
      <w:pPr>
        <w:pStyle w:val="Heading3"/>
        <w:spacing w:before="240"/>
      </w:pPr>
      <w:bookmarkStart w:id="12" w:name="_Toc437444008"/>
      <w:bookmarkStart w:id="13" w:name="_Toc458775163"/>
      <w:r w:rsidRPr="00851B15">
        <w:t>Commissioning</w:t>
      </w:r>
      <w:bookmarkEnd w:id="12"/>
      <w:bookmarkEnd w:id="13"/>
    </w:p>
    <w:p w:rsidR="00640ED8" w:rsidRPr="00EB2E55" w:rsidRDefault="00693255" w:rsidP="009D4E75">
      <w:pPr>
        <w:rPr>
          <w:rFonts w:asciiTheme="minorHAnsi" w:hAnsiTheme="minorHAnsi"/>
          <w:iCs/>
          <w:szCs w:val="22"/>
          <w:lang w:val="en-AU"/>
        </w:rPr>
      </w:pPr>
      <w:r w:rsidRPr="00DD4E6E">
        <w:rPr>
          <w:szCs w:val="22"/>
          <w:lang w:val="en-AU"/>
        </w:rPr>
        <w:t>Commissioning is a continual and iterative cycle involving the development and implementation of services based on planning, procurement, monitoring</w:t>
      </w:r>
      <w:r w:rsidR="00FE4A97" w:rsidRPr="00DD4E6E">
        <w:rPr>
          <w:szCs w:val="22"/>
          <w:lang w:val="en-AU"/>
        </w:rPr>
        <w:t xml:space="preserve"> and evaluation. </w:t>
      </w:r>
      <w:r w:rsidRPr="00EB2E55">
        <w:rPr>
          <w:rFonts w:asciiTheme="minorHAnsi" w:hAnsiTheme="minorHAnsi"/>
          <w:iCs/>
          <w:szCs w:val="22"/>
          <w:lang w:val="en-AU"/>
        </w:rPr>
        <w:t xml:space="preserve">Commissioning describes a broad set of linked activities, including needs assessment, priority setting, </w:t>
      </w:r>
      <w:r w:rsidR="00CD0ED7" w:rsidRPr="00EB2E55">
        <w:rPr>
          <w:rFonts w:asciiTheme="minorHAnsi" w:hAnsiTheme="minorHAnsi"/>
          <w:iCs/>
          <w:szCs w:val="22"/>
          <w:lang w:val="en-AU"/>
        </w:rPr>
        <w:t xml:space="preserve">service design and </w:t>
      </w:r>
      <w:r w:rsidRPr="00EB2E55">
        <w:rPr>
          <w:rFonts w:asciiTheme="minorHAnsi" w:hAnsiTheme="minorHAnsi"/>
          <w:iCs/>
          <w:szCs w:val="22"/>
          <w:lang w:val="en-AU"/>
        </w:rPr>
        <w:t>procurement through contracts, monitoring of service delivery, and review and evaluation.</w:t>
      </w:r>
      <w:r w:rsidR="00640ED8" w:rsidRPr="00EB2E55">
        <w:rPr>
          <w:rFonts w:asciiTheme="minorHAnsi" w:hAnsiTheme="minorHAnsi"/>
          <w:iCs/>
          <w:szCs w:val="22"/>
          <w:lang w:val="en-AU"/>
        </w:rPr>
        <w:t xml:space="preserve"> </w:t>
      </w:r>
    </w:p>
    <w:p w:rsidR="00640ED8" w:rsidRPr="00EB2E55" w:rsidRDefault="00640ED8" w:rsidP="009D4E75">
      <w:pPr>
        <w:rPr>
          <w:rFonts w:asciiTheme="minorHAnsi" w:hAnsiTheme="minorHAnsi"/>
          <w:iCs/>
          <w:szCs w:val="22"/>
          <w:lang w:val="en-AU"/>
        </w:rPr>
      </w:pPr>
    </w:p>
    <w:p w:rsidR="00693255" w:rsidRPr="00EB2E55" w:rsidRDefault="00693255" w:rsidP="009D4E75">
      <w:pPr>
        <w:rPr>
          <w:rFonts w:asciiTheme="minorHAnsi" w:hAnsiTheme="minorHAnsi"/>
          <w:iCs/>
          <w:szCs w:val="22"/>
          <w:lang w:val="en-AU"/>
        </w:rPr>
      </w:pPr>
      <w:r w:rsidRPr="00EB2E55">
        <w:rPr>
          <w:rFonts w:asciiTheme="minorHAnsi" w:hAnsiTheme="minorHAnsi"/>
          <w:szCs w:val="22"/>
        </w:rPr>
        <w:t>A key characteristic of commissioning is that pro</w:t>
      </w:r>
      <w:r w:rsidRPr="00DD4E6E">
        <w:rPr>
          <w:szCs w:val="22"/>
          <w:lang w:val="en-AU"/>
        </w:rPr>
        <w:t xml:space="preserve">curing or purchasing decisions occur within </w:t>
      </w:r>
      <w:r w:rsidR="00FE4A97" w:rsidRPr="00DD4E6E">
        <w:rPr>
          <w:szCs w:val="22"/>
          <w:lang w:val="en-AU"/>
        </w:rPr>
        <w:t>a broader conceptual framework.</w:t>
      </w:r>
      <w:r w:rsidRPr="00DD4E6E">
        <w:rPr>
          <w:szCs w:val="22"/>
          <w:lang w:val="en-AU"/>
        </w:rPr>
        <w:t xml:space="preserve"> </w:t>
      </w:r>
      <w:r w:rsidRPr="00EB2E55">
        <w:rPr>
          <w:rFonts w:asciiTheme="minorHAnsi" w:hAnsiTheme="minorHAnsi"/>
          <w:szCs w:val="22"/>
        </w:rPr>
        <w:t>The difference between purchasing and commissioning in the health care context has been described as follows:</w:t>
      </w:r>
    </w:p>
    <w:p w:rsidR="00693255" w:rsidRPr="00EB2E55" w:rsidRDefault="00693255" w:rsidP="009D4E75">
      <w:pPr>
        <w:spacing w:before="120"/>
        <w:ind w:left="720"/>
        <w:rPr>
          <w:rFonts w:asciiTheme="minorHAnsi" w:hAnsiTheme="minorHAnsi"/>
          <w:iCs/>
          <w:szCs w:val="22"/>
          <w:lang w:val="en-AU"/>
        </w:rPr>
      </w:pPr>
      <w:r w:rsidRPr="00EB2E55">
        <w:rPr>
          <w:rFonts w:asciiTheme="minorHAnsi" w:hAnsiTheme="minorHAnsi"/>
          <w:iCs/>
          <w:szCs w:val="22"/>
          <w:lang w:val="en-AU"/>
        </w:rPr>
        <w:t xml:space="preserve">Commissioning is a term used most in the UK context and tends to denote a proactive strategic role in planning, designing and implementing the range of services required, rather than a more passive purchasing role. A </w:t>
      </w:r>
      <w:r w:rsidRPr="00EB2E55">
        <w:rPr>
          <w:rFonts w:asciiTheme="minorHAnsi" w:hAnsiTheme="minorHAnsi"/>
          <w:i/>
          <w:iCs/>
          <w:szCs w:val="22"/>
          <w:lang w:val="en-AU"/>
        </w:rPr>
        <w:t>commissioner</w:t>
      </w:r>
      <w:r w:rsidRPr="00EB2E55">
        <w:rPr>
          <w:rFonts w:asciiTheme="minorHAnsi" w:hAnsiTheme="minorHAnsi"/>
          <w:iCs/>
          <w:szCs w:val="22"/>
          <w:lang w:val="en-AU"/>
        </w:rPr>
        <w:t xml:space="preserve"> decides which services or healthcare interventions should be provided, who should provide them and how they should be paid for, and may work closely with the provider in implementing changes.  A </w:t>
      </w:r>
      <w:r w:rsidRPr="00EB2E55">
        <w:rPr>
          <w:rFonts w:asciiTheme="minorHAnsi" w:hAnsiTheme="minorHAnsi"/>
          <w:i/>
          <w:iCs/>
          <w:szCs w:val="22"/>
          <w:lang w:val="en-AU"/>
        </w:rPr>
        <w:t>purchaser</w:t>
      </w:r>
      <w:r w:rsidRPr="00EB2E55">
        <w:rPr>
          <w:rFonts w:asciiTheme="minorHAnsi" w:hAnsiTheme="minorHAnsi"/>
          <w:iCs/>
          <w:szCs w:val="22"/>
          <w:lang w:val="en-AU"/>
        </w:rPr>
        <w:t xml:space="preserve"> buys what is on offer or reimburses the provider on the basis of usage.</w:t>
      </w:r>
      <w:r w:rsidRPr="00EB2E55">
        <w:rPr>
          <w:rStyle w:val="EndnoteReference"/>
          <w:rFonts w:asciiTheme="minorHAnsi" w:hAnsiTheme="minorHAnsi"/>
          <w:iCs/>
          <w:szCs w:val="22"/>
          <w:lang w:val="en-AU"/>
        </w:rPr>
        <w:endnoteReference w:id="4"/>
      </w:r>
    </w:p>
    <w:p w:rsidR="00693255" w:rsidRPr="00EB2E55" w:rsidRDefault="00693255" w:rsidP="00FE4A97">
      <w:pPr>
        <w:ind w:left="720"/>
        <w:jc w:val="left"/>
        <w:rPr>
          <w:rFonts w:asciiTheme="minorHAnsi" w:hAnsiTheme="minorHAnsi"/>
          <w:iCs/>
          <w:szCs w:val="22"/>
          <w:lang w:val="en-AU"/>
        </w:rPr>
      </w:pPr>
    </w:p>
    <w:p w:rsidR="00693255" w:rsidRPr="00DD4E6E" w:rsidRDefault="00693255" w:rsidP="009D4E75">
      <w:pPr>
        <w:rPr>
          <w:szCs w:val="22"/>
          <w:lang w:val="en-AU"/>
        </w:rPr>
      </w:pPr>
      <w:r w:rsidRPr="00DD4E6E">
        <w:rPr>
          <w:szCs w:val="22"/>
          <w:lang w:val="en-AU"/>
        </w:rPr>
        <w:t>As health systems differ</w:t>
      </w:r>
      <w:r w:rsidR="00A85534" w:rsidRPr="00DD4E6E">
        <w:rPr>
          <w:szCs w:val="22"/>
          <w:lang w:val="en-AU"/>
        </w:rPr>
        <w:t xml:space="preserve"> between countries</w:t>
      </w:r>
      <w:r w:rsidRPr="00DD4E6E">
        <w:rPr>
          <w:szCs w:val="22"/>
          <w:lang w:val="en-AU"/>
        </w:rPr>
        <w:t xml:space="preserve">, PHN commissioning will of course differ from </w:t>
      </w:r>
      <w:r w:rsidR="00A85534" w:rsidRPr="00DD4E6E">
        <w:rPr>
          <w:szCs w:val="22"/>
          <w:lang w:val="en-AU"/>
        </w:rPr>
        <w:t xml:space="preserve">other nations’ </w:t>
      </w:r>
      <w:r w:rsidRPr="00DD4E6E">
        <w:rPr>
          <w:szCs w:val="22"/>
          <w:lang w:val="en-AU"/>
        </w:rPr>
        <w:t>experiences. However, the fundamental elements remain valid in the Australian context.</w:t>
      </w:r>
      <w:bookmarkStart w:id="14" w:name="_Toc429477461"/>
      <w:r w:rsidR="002D7D68" w:rsidRPr="00DD4E6E">
        <w:rPr>
          <w:rStyle w:val="EndnoteReference"/>
          <w:szCs w:val="22"/>
          <w:lang w:val="en-AU"/>
        </w:rPr>
        <w:endnoteReference w:id="5"/>
      </w:r>
    </w:p>
    <w:p w:rsidR="00FE6C98" w:rsidRDefault="00FE6C98" w:rsidP="00CD0ED7">
      <w:pPr>
        <w:pStyle w:val="Heading3"/>
        <w:spacing w:before="240"/>
      </w:pPr>
      <w:bookmarkStart w:id="15" w:name="_Toc458775164"/>
      <w:bookmarkEnd w:id="14"/>
      <w:r>
        <w:t>Planning</w:t>
      </w:r>
      <w:bookmarkEnd w:id="15"/>
    </w:p>
    <w:p w:rsidR="007D4775" w:rsidRPr="00DD4E6E" w:rsidRDefault="00802DA6" w:rsidP="009D4E75">
      <w:pPr>
        <w:rPr>
          <w:lang w:val="en-AU"/>
        </w:rPr>
      </w:pPr>
      <w:r w:rsidRPr="00DD4E6E">
        <w:rPr>
          <w:lang w:val="en-AU"/>
        </w:rPr>
        <w:t xml:space="preserve">The </w:t>
      </w:r>
      <w:r w:rsidR="004A30C6" w:rsidRPr="00DD4E6E">
        <w:rPr>
          <w:lang w:val="en-AU"/>
        </w:rPr>
        <w:t xml:space="preserve">transition to a commissioning environment has proved a complex and multifaceted process in other health systems, and this will </w:t>
      </w:r>
      <w:r w:rsidR="00C0273C" w:rsidRPr="00DD4E6E">
        <w:rPr>
          <w:lang w:val="en-AU"/>
        </w:rPr>
        <w:t xml:space="preserve">also be the case in Australia. </w:t>
      </w:r>
      <w:r w:rsidR="004A30C6" w:rsidRPr="00DD4E6E">
        <w:rPr>
          <w:lang w:val="en-AU"/>
        </w:rPr>
        <w:t>The 2016-1</w:t>
      </w:r>
      <w:r w:rsidR="004D245D" w:rsidRPr="00DD4E6E">
        <w:rPr>
          <w:lang w:val="en-AU"/>
        </w:rPr>
        <w:t>8</w:t>
      </w:r>
      <w:r w:rsidR="004A30C6" w:rsidRPr="00DD4E6E">
        <w:rPr>
          <w:lang w:val="en-AU"/>
        </w:rPr>
        <w:t xml:space="preserve"> </w:t>
      </w:r>
      <w:r w:rsidR="004336F1" w:rsidRPr="00DD4E6E">
        <w:rPr>
          <w:lang w:val="en-AU"/>
        </w:rPr>
        <w:t xml:space="preserve">PHN </w:t>
      </w:r>
      <w:r w:rsidR="00640ED8" w:rsidRPr="00DD4E6E">
        <w:rPr>
          <w:lang w:val="en-AU"/>
        </w:rPr>
        <w:t xml:space="preserve">plans, including the </w:t>
      </w:r>
      <w:r w:rsidR="002D7D68" w:rsidRPr="00DD4E6E">
        <w:rPr>
          <w:lang w:val="en-AU"/>
        </w:rPr>
        <w:t>Activity Work Plan for core funding, r</w:t>
      </w:r>
      <w:r w:rsidR="004A30C6" w:rsidRPr="00DD4E6E">
        <w:rPr>
          <w:lang w:val="en-AU"/>
        </w:rPr>
        <w:t xml:space="preserve">epresent the first full articulation of not only what PHNs are proposing to do, but </w:t>
      </w:r>
      <w:r w:rsidR="004336F1" w:rsidRPr="00DD4E6E">
        <w:rPr>
          <w:lang w:val="en-AU"/>
        </w:rPr>
        <w:t xml:space="preserve">also </w:t>
      </w:r>
      <w:r w:rsidR="004A30C6" w:rsidRPr="00DD4E6E">
        <w:rPr>
          <w:lang w:val="en-AU"/>
        </w:rPr>
        <w:t>– to some degr</w:t>
      </w:r>
      <w:r w:rsidR="00E80E77" w:rsidRPr="00DD4E6E">
        <w:rPr>
          <w:lang w:val="en-AU"/>
        </w:rPr>
        <w:t xml:space="preserve">ee at least – how PHNs are </w:t>
      </w:r>
      <w:r w:rsidR="004A30C6" w:rsidRPr="00DD4E6E">
        <w:rPr>
          <w:lang w:val="en-AU"/>
        </w:rPr>
        <w:t>proposing to do it.</w:t>
      </w:r>
      <w:bookmarkEnd w:id="11"/>
    </w:p>
    <w:p w:rsidR="007D4775" w:rsidRPr="00DD4E6E" w:rsidRDefault="007D4775" w:rsidP="009D4E75">
      <w:pPr>
        <w:rPr>
          <w:lang w:val="en-AU"/>
        </w:rPr>
      </w:pPr>
    </w:p>
    <w:p w:rsidR="00C0273C" w:rsidRPr="00DD4E6E" w:rsidRDefault="00D7092E" w:rsidP="009D4E75">
      <w:pPr>
        <w:rPr>
          <w:lang w:val="en-AU"/>
        </w:rPr>
      </w:pPr>
      <w:r w:rsidRPr="00DD4E6E">
        <w:rPr>
          <w:lang w:val="en-AU"/>
        </w:rPr>
        <w:t>Effective planning is a characteristic of any successful organisation, and takes place at a number of levels – strategic, business, operational – and across a number of different areas.</w:t>
      </w:r>
      <w:r w:rsidR="00077EB0" w:rsidRPr="00DD4E6E">
        <w:rPr>
          <w:lang w:val="en-AU"/>
        </w:rPr>
        <w:t xml:space="preserve"> </w:t>
      </w:r>
    </w:p>
    <w:p w:rsidR="00077EB0" w:rsidRPr="00DD4E6E" w:rsidRDefault="002D7D68" w:rsidP="003178F8">
      <w:pPr>
        <w:spacing w:after="180"/>
        <w:rPr>
          <w:szCs w:val="22"/>
          <w:lang w:val="en-AU"/>
        </w:rPr>
      </w:pPr>
      <w:r w:rsidRPr="00DD4E6E">
        <w:rPr>
          <w:lang w:val="en-AU"/>
        </w:rPr>
        <w:t>E</w:t>
      </w:r>
      <w:r w:rsidR="00077EB0" w:rsidRPr="00DD4E6E">
        <w:rPr>
          <w:lang w:val="en-AU"/>
        </w:rPr>
        <w:t>ffective</w:t>
      </w:r>
      <w:r w:rsidR="005F105F" w:rsidRPr="00DD4E6E">
        <w:rPr>
          <w:lang w:val="en-AU"/>
        </w:rPr>
        <w:t xml:space="preserve"> plans</w:t>
      </w:r>
      <w:r w:rsidR="00077EB0" w:rsidRPr="00DD4E6E">
        <w:rPr>
          <w:lang w:val="en-AU"/>
        </w:rPr>
        <w:t>:</w:t>
      </w:r>
    </w:p>
    <w:p w:rsidR="005F105F" w:rsidRPr="00DD4E6E" w:rsidRDefault="005F105F" w:rsidP="002D4D3E">
      <w:pPr>
        <w:pStyle w:val="ListParagraph"/>
        <w:numPr>
          <w:ilvl w:val="0"/>
          <w:numId w:val="46"/>
        </w:numPr>
      </w:pPr>
      <w:r w:rsidRPr="00DD4E6E">
        <w:t>provide clarity about the organisation</w:t>
      </w:r>
      <w:r w:rsidR="00E80E77" w:rsidRPr="00DD4E6E">
        <w:t>’</w:t>
      </w:r>
      <w:r w:rsidRPr="00DD4E6E">
        <w:t>s intended activity;</w:t>
      </w:r>
    </w:p>
    <w:p w:rsidR="00077EB0" w:rsidRPr="00DD4E6E" w:rsidRDefault="00077EB0" w:rsidP="002D4D3E">
      <w:pPr>
        <w:pStyle w:val="ListParagraph"/>
        <w:numPr>
          <w:ilvl w:val="0"/>
          <w:numId w:val="46"/>
        </w:numPr>
      </w:pPr>
      <w:r w:rsidRPr="00DD4E6E">
        <w:t>are based on an assessment of need, an understanding of the organisati</w:t>
      </w:r>
      <w:r w:rsidR="004336F1" w:rsidRPr="00DD4E6E">
        <w:t xml:space="preserve">on’s objectives, </w:t>
      </w:r>
      <w:r w:rsidRPr="00DD4E6E">
        <w:t>capability, and resourc</w:t>
      </w:r>
      <w:r w:rsidR="004336F1" w:rsidRPr="00DD4E6E">
        <w:t>ing</w:t>
      </w:r>
      <w:r w:rsidRPr="00DD4E6E">
        <w:t>;</w:t>
      </w:r>
    </w:p>
    <w:p w:rsidR="00077EB0" w:rsidRPr="00DD4E6E" w:rsidRDefault="005F105F" w:rsidP="002D4D3E">
      <w:pPr>
        <w:pStyle w:val="ListParagraph"/>
        <w:numPr>
          <w:ilvl w:val="0"/>
          <w:numId w:val="46"/>
        </w:numPr>
      </w:pPr>
      <w:r w:rsidRPr="00DD4E6E">
        <w:t xml:space="preserve">are developed through </w:t>
      </w:r>
      <w:r w:rsidR="00077EB0" w:rsidRPr="00DD4E6E">
        <w:t>appropriate governance structures;</w:t>
      </w:r>
    </w:p>
    <w:p w:rsidR="00077EB0" w:rsidRPr="00DD4E6E" w:rsidRDefault="0093335B" w:rsidP="002D4D3E">
      <w:pPr>
        <w:pStyle w:val="ListParagraph"/>
        <w:numPr>
          <w:ilvl w:val="0"/>
          <w:numId w:val="46"/>
        </w:numPr>
      </w:pPr>
      <w:r w:rsidRPr="00DD4E6E">
        <w:lastRenderedPageBreak/>
        <w:t xml:space="preserve">effectively and appropriately </w:t>
      </w:r>
      <w:r w:rsidR="005F105F" w:rsidRPr="00DD4E6E">
        <w:t xml:space="preserve">manage </w:t>
      </w:r>
      <w:r w:rsidR="00077EB0" w:rsidRPr="00DD4E6E">
        <w:t>potential conflicts of interest and risk; and</w:t>
      </w:r>
    </w:p>
    <w:p w:rsidR="00615B63" w:rsidRPr="00DD4E6E" w:rsidRDefault="00077EB0" w:rsidP="002D4D3E">
      <w:pPr>
        <w:pStyle w:val="ListParagraph"/>
        <w:numPr>
          <w:ilvl w:val="0"/>
          <w:numId w:val="46"/>
        </w:numPr>
      </w:pPr>
      <w:proofErr w:type="gramStart"/>
      <w:r w:rsidRPr="00DD4E6E">
        <w:t>show</w:t>
      </w:r>
      <w:proofErr w:type="gramEnd"/>
      <w:r w:rsidRPr="00DD4E6E">
        <w:t xml:space="preserve"> an awareness of the activity of other related parties such as providers, stakeholders and partners</w:t>
      </w:r>
      <w:r w:rsidR="005F105F" w:rsidRPr="00DD4E6E">
        <w:t>.</w:t>
      </w:r>
      <w:r w:rsidR="00443E9D" w:rsidRPr="00DD4E6E">
        <w:t xml:space="preserve"> </w:t>
      </w:r>
      <w:r w:rsidR="00615B63" w:rsidRPr="00DD4E6E">
        <w:rPr>
          <w:rStyle w:val="EndnoteReference"/>
          <w:szCs w:val="22"/>
        </w:rPr>
        <w:endnoteReference w:id="6"/>
      </w:r>
      <w:r w:rsidR="004336F1" w:rsidRPr="00DD4E6E">
        <w:t xml:space="preserve"> </w:t>
      </w:r>
      <w:r w:rsidR="004336F1" w:rsidRPr="00DD4E6E">
        <w:rPr>
          <w:rStyle w:val="EndnoteReference"/>
          <w:szCs w:val="22"/>
        </w:rPr>
        <w:endnoteReference w:id="7"/>
      </w:r>
    </w:p>
    <w:p w:rsidR="00F31FF4" w:rsidRPr="00C72C32" w:rsidRDefault="00F31FF4" w:rsidP="00C72C32">
      <w:pPr>
        <w:pStyle w:val="Heading3"/>
      </w:pPr>
      <w:bookmarkStart w:id="16" w:name="_Toc458775165"/>
      <w:r w:rsidRPr="00C72C32">
        <w:t>P</w:t>
      </w:r>
      <w:r w:rsidR="0079790E">
        <w:t>l</w:t>
      </w:r>
      <w:r w:rsidRPr="00C72C32">
        <w:t>anning for commissioning</w:t>
      </w:r>
      <w:bookmarkEnd w:id="16"/>
    </w:p>
    <w:p w:rsidR="00DF4B56" w:rsidRPr="00DD4E6E" w:rsidRDefault="00B059FD" w:rsidP="009D4E75">
      <w:pPr>
        <w:rPr>
          <w:szCs w:val="22"/>
          <w:lang w:val="en-AU"/>
        </w:rPr>
      </w:pPr>
      <w:r w:rsidRPr="00DD4E6E">
        <w:rPr>
          <w:szCs w:val="22"/>
          <w:lang w:val="en-AU"/>
        </w:rPr>
        <w:t xml:space="preserve">At this </w:t>
      </w:r>
      <w:r w:rsidR="00C13344" w:rsidRPr="00DD4E6E">
        <w:rPr>
          <w:szCs w:val="22"/>
          <w:lang w:val="en-AU"/>
        </w:rPr>
        <w:t>stage</w:t>
      </w:r>
      <w:r w:rsidRPr="00DD4E6E">
        <w:rPr>
          <w:szCs w:val="22"/>
          <w:lang w:val="en-AU"/>
        </w:rPr>
        <w:t xml:space="preserve">, this document primarily relates to aspects of planning </w:t>
      </w:r>
      <w:r w:rsidR="006F248B" w:rsidRPr="00DD4E6E">
        <w:rPr>
          <w:szCs w:val="22"/>
          <w:lang w:val="en-AU"/>
        </w:rPr>
        <w:t>for</w:t>
      </w:r>
      <w:r w:rsidRPr="00DD4E6E">
        <w:rPr>
          <w:szCs w:val="22"/>
          <w:lang w:val="en-AU"/>
        </w:rPr>
        <w:t xml:space="preserve"> PHNs </w:t>
      </w:r>
      <w:r w:rsidR="000C5811" w:rsidRPr="00DD4E6E">
        <w:rPr>
          <w:szCs w:val="22"/>
          <w:lang w:val="en-AU"/>
        </w:rPr>
        <w:t>to consider</w:t>
      </w:r>
      <w:r w:rsidRPr="00DD4E6E">
        <w:rPr>
          <w:szCs w:val="22"/>
          <w:lang w:val="en-AU"/>
        </w:rPr>
        <w:t xml:space="preserve"> when preparing their Activity Work Plans for Core Funding (</w:t>
      </w:r>
      <w:r w:rsidR="003E25CA" w:rsidRPr="00DD4E6E">
        <w:rPr>
          <w:szCs w:val="22"/>
          <w:lang w:val="en-AU"/>
        </w:rPr>
        <w:t xml:space="preserve">hereafter </w:t>
      </w:r>
      <w:r w:rsidRPr="00DD4E6E">
        <w:rPr>
          <w:szCs w:val="22"/>
          <w:lang w:val="en-AU"/>
        </w:rPr>
        <w:t xml:space="preserve">‘the plan’). </w:t>
      </w:r>
      <w:r w:rsidR="001069CC" w:rsidRPr="00DD4E6E">
        <w:rPr>
          <w:szCs w:val="22"/>
          <w:lang w:val="en-AU"/>
        </w:rPr>
        <w:t>However, in a commissioning environment</w:t>
      </w:r>
      <w:r w:rsidR="006C31BB" w:rsidRPr="00DD4E6E">
        <w:rPr>
          <w:szCs w:val="22"/>
          <w:lang w:val="en-AU"/>
        </w:rPr>
        <w:t>,</w:t>
      </w:r>
      <w:r w:rsidR="001069CC" w:rsidRPr="00DD4E6E">
        <w:rPr>
          <w:szCs w:val="22"/>
          <w:lang w:val="en-AU"/>
        </w:rPr>
        <w:t xml:space="preserve"> a number of considerations are common across other areas of planning; including planning for other Department of Health funding streams, or for operational plans developed on the basis of the </w:t>
      </w:r>
      <w:r w:rsidR="006E495B" w:rsidRPr="00DD4E6E">
        <w:rPr>
          <w:szCs w:val="22"/>
          <w:lang w:val="en-AU"/>
        </w:rPr>
        <w:t>p</w:t>
      </w:r>
      <w:r w:rsidR="001069CC" w:rsidRPr="00DD4E6E">
        <w:rPr>
          <w:szCs w:val="22"/>
          <w:lang w:val="en-AU"/>
        </w:rPr>
        <w:t>lan.</w:t>
      </w:r>
    </w:p>
    <w:p w:rsidR="00DF4B56" w:rsidRPr="00DD4E6E" w:rsidRDefault="00DF4B56" w:rsidP="009D4E75">
      <w:pPr>
        <w:rPr>
          <w:szCs w:val="22"/>
          <w:lang w:val="en-AU"/>
        </w:rPr>
      </w:pPr>
    </w:p>
    <w:p w:rsidR="00B059FD" w:rsidRPr="00DD4E6E" w:rsidRDefault="00DF4B56" w:rsidP="003178F8">
      <w:pPr>
        <w:spacing w:after="180"/>
        <w:rPr>
          <w:szCs w:val="22"/>
          <w:lang w:val="en-AU"/>
        </w:rPr>
      </w:pPr>
      <w:r w:rsidRPr="00DD4E6E">
        <w:rPr>
          <w:szCs w:val="22"/>
          <w:lang w:val="en-AU"/>
        </w:rPr>
        <w:t xml:space="preserve">More broadly, </w:t>
      </w:r>
      <w:r w:rsidR="00B059FD" w:rsidRPr="00DD4E6E">
        <w:rPr>
          <w:szCs w:val="22"/>
          <w:lang w:val="en-AU"/>
        </w:rPr>
        <w:t xml:space="preserve">there are a number of ways in which planning in a commissioning environment will be different for PHNs than was the case for Divisions of General Practice or Medicare Locals in the past, or for </w:t>
      </w:r>
      <w:r w:rsidR="003E25CA" w:rsidRPr="00DD4E6E">
        <w:rPr>
          <w:szCs w:val="22"/>
          <w:lang w:val="en-AU"/>
        </w:rPr>
        <w:t xml:space="preserve">other </w:t>
      </w:r>
      <w:r w:rsidR="00B059FD" w:rsidRPr="00DD4E6E">
        <w:rPr>
          <w:szCs w:val="22"/>
          <w:lang w:val="en-AU"/>
        </w:rPr>
        <w:t>organisations</w:t>
      </w:r>
      <w:r w:rsidR="003E25CA" w:rsidRPr="00DD4E6E">
        <w:rPr>
          <w:szCs w:val="22"/>
          <w:lang w:val="en-AU"/>
        </w:rPr>
        <w:t xml:space="preserve"> with a service delivery focus</w:t>
      </w:r>
      <w:r w:rsidR="00C0273C" w:rsidRPr="00DD4E6E">
        <w:rPr>
          <w:szCs w:val="22"/>
          <w:lang w:val="en-AU"/>
        </w:rPr>
        <w:t>.</w:t>
      </w:r>
      <w:r w:rsidR="00B059FD" w:rsidRPr="00DD4E6E">
        <w:rPr>
          <w:szCs w:val="22"/>
          <w:lang w:val="en-AU"/>
        </w:rPr>
        <w:t xml:space="preserve"> This could be because:</w:t>
      </w:r>
    </w:p>
    <w:p w:rsidR="0079790E" w:rsidRPr="00DD4E6E" w:rsidRDefault="00B059FD" w:rsidP="002D4D3E">
      <w:pPr>
        <w:pStyle w:val="ListParagraph"/>
        <w:numPr>
          <w:ilvl w:val="0"/>
          <w:numId w:val="47"/>
        </w:numPr>
        <w:rPr>
          <w:szCs w:val="22"/>
        </w:rPr>
      </w:pPr>
      <w:r w:rsidRPr="00DD4E6E">
        <w:rPr>
          <w:szCs w:val="22"/>
        </w:rPr>
        <w:t>PHNs are planning to do similar things as in the non-commissioning past, to achieve similar outcomes, but in a different way; and/or</w:t>
      </w:r>
    </w:p>
    <w:p w:rsidR="00B059FD" w:rsidRPr="00DD4E6E" w:rsidRDefault="00B059FD" w:rsidP="002D4D3E">
      <w:pPr>
        <w:pStyle w:val="ListParagraph"/>
        <w:numPr>
          <w:ilvl w:val="0"/>
          <w:numId w:val="47"/>
        </w:numPr>
        <w:rPr>
          <w:szCs w:val="22"/>
        </w:rPr>
      </w:pPr>
      <w:r w:rsidRPr="00DD4E6E">
        <w:rPr>
          <w:szCs w:val="22"/>
        </w:rPr>
        <w:t>PHNs are planning to do different things, and become involved in new areas of activity.</w:t>
      </w:r>
    </w:p>
    <w:p w:rsidR="007D4775" w:rsidRPr="00DD4E6E" w:rsidRDefault="00B059FD" w:rsidP="009D4E75">
      <w:pPr>
        <w:rPr>
          <w:szCs w:val="22"/>
          <w:lang w:val="en-AU"/>
        </w:rPr>
      </w:pPr>
      <w:r w:rsidRPr="00DD4E6E">
        <w:rPr>
          <w:szCs w:val="22"/>
          <w:lang w:val="en-AU"/>
        </w:rPr>
        <w:t xml:space="preserve">This will inevitably change the nature of many decisions made in the development of a plan and PHNs will often need different supports or inputs into decision making processes – information and data, tools, </w:t>
      </w:r>
      <w:r w:rsidR="00F42991" w:rsidRPr="00DD4E6E">
        <w:rPr>
          <w:szCs w:val="22"/>
          <w:lang w:val="en-AU"/>
        </w:rPr>
        <w:t xml:space="preserve">governance, </w:t>
      </w:r>
      <w:r w:rsidRPr="00DD4E6E">
        <w:rPr>
          <w:szCs w:val="22"/>
          <w:lang w:val="en-AU"/>
        </w:rPr>
        <w:t xml:space="preserve">resources, methods, </w:t>
      </w:r>
      <w:r w:rsidR="005F5ECD" w:rsidRPr="00DD4E6E">
        <w:rPr>
          <w:szCs w:val="22"/>
          <w:lang w:val="en-AU"/>
        </w:rPr>
        <w:t>approaches</w:t>
      </w:r>
      <w:r w:rsidR="00C0273C" w:rsidRPr="00DD4E6E">
        <w:rPr>
          <w:szCs w:val="22"/>
          <w:lang w:val="en-AU"/>
        </w:rPr>
        <w:t xml:space="preserve"> and competencies.</w:t>
      </w:r>
      <w:r w:rsidRPr="00DD4E6E">
        <w:rPr>
          <w:szCs w:val="22"/>
          <w:lang w:val="en-AU"/>
        </w:rPr>
        <w:t xml:space="preserve"> </w:t>
      </w:r>
      <w:r w:rsidR="007D4775" w:rsidRPr="00DD4E6E">
        <w:rPr>
          <w:szCs w:val="22"/>
          <w:lang w:val="en-AU"/>
        </w:rPr>
        <w:t>It has been noted that:</w:t>
      </w:r>
    </w:p>
    <w:p w:rsidR="007D4775" w:rsidRPr="00DD4E6E" w:rsidRDefault="007D4775" w:rsidP="00C0273C">
      <w:pPr>
        <w:jc w:val="left"/>
        <w:rPr>
          <w:szCs w:val="22"/>
          <w:lang w:val="en-AU"/>
        </w:rPr>
      </w:pPr>
    </w:p>
    <w:p w:rsidR="007D4775" w:rsidRPr="00EB2E55" w:rsidRDefault="007D4775" w:rsidP="009D4E75">
      <w:pPr>
        <w:ind w:left="720"/>
        <w:rPr>
          <w:szCs w:val="22"/>
          <w:lang w:val="en-AU"/>
        </w:rPr>
      </w:pPr>
      <w:r w:rsidRPr="00EB2E55">
        <w:rPr>
          <w:szCs w:val="22"/>
          <w:lang w:val="en-AU" w:eastAsia="en-AU"/>
        </w:rPr>
        <w:t>Successful commissioning is one of the best ways a PHN can achieve the program</w:t>
      </w:r>
      <w:r w:rsidR="00C02EB0" w:rsidRPr="00EB2E55">
        <w:rPr>
          <w:szCs w:val="22"/>
          <w:lang w:val="en-AU" w:eastAsia="en-AU"/>
        </w:rPr>
        <w:t>me</w:t>
      </w:r>
      <w:r w:rsidRPr="00EB2E55">
        <w:rPr>
          <w:szCs w:val="22"/>
          <w:lang w:val="en-AU" w:eastAsia="en-AU"/>
        </w:rPr>
        <w:t>’s overall aim of improving health outcomes. However, commissioning is not an easy task. Successful execution of the commissioning of services requires careful planning and identification of priorities on behalf of the board.</w:t>
      </w:r>
      <w:r w:rsidR="00A110E0" w:rsidRPr="00EB2E55">
        <w:rPr>
          <w:szCs w:val="22"/>
          <w:lang w:val="en-AU" w:eastAsia="en-AU"/>
        </w:rPr>
        <w:t>.</w:t>
      </w:r>
      <w:r w:rsidRPr="00EB2E55">
        <w:rPr>
          <w:szCs w:val="22"/>
          <w:lang w:val="en-AU" w:eastAsia="en-AU"/>
        </w:rPr>
        <w:t>.</w:t>
      </w:r>
      <w:r w:rsidRPr="00EB2E55">
        <w:rPr>
          <w:rStyle w:val="EndnoteReference"/>
          <w:szCs w:val="22"/>
          <w:lang w:val="en-AU"/>
        </w:rPr>
        <w:endnoteReference w:id="8"/>
      </w:r>
    </w:p>
    <w:p w:rsidR="0079790E" w:rsidRPr="00DD4E6E" w:rsidRDefault="0079790E" w:rsidP="009D4E75">
      <w:pPr>
        <w:spacing w:before="120"/>
        <w:rPr>
          <w:szCs w:val="22"/>
        </w:rPr>
      </w:pPr>
      <w:r w:rsidRPr="00DD4E6E">
        <w:rPr>
          <w:szCs w:val="22"/>
        </w:rPr>
        <w:t xml:space="preserve">There are some specific factors PHNs need to be </w:t>
      </w:r>
      <w:proofErr w:type="spellStart"/>
      <w:r w:rsidRPr="00DD4E6E">
        <w:rPr>
          <w:szCs w:val="22"/>
        </w:rPr>
        <w:t>cognisant</w:t>
      </w:r>
      <w:proofErr w:type="spellEnd"/>
      <w:r w:rsidRPr="00DD4E6E">
        <w:rPr>
          <w:szCs w:val="22"/>
        </w:rPr>
        <w:t xml:space="preserve"> of that influence the approach to planning. This is depicted </w:t>
      </w:r>
      <w:r w:rsidR="00C1330E" w:rsidRPr="00DD4E6E">
        <w:rPr>
          <w:szCs w:val="22"/>
        </w:rPr>
        <w:t xml:space="preserve">in Figure </w:t>
      </w:r>
      <w:r w:rsidR="00C02EB0" w:rsidRPr="00DD4E6E">
        <w:rPr>
          <w:szCs w:val="22"/>
        </w:rPr>
        <w:t>2</w:t>
      </w:r>
      <w:r w:rsidR="00C1330E" w:rsidRPr="00DD4E6E">
        <w:rPr>
          <w:szCs w:val="22"/>
        </w:rPr>
        <w:t>.</w:t>
      </w:r>
      <w:r w:rsidR="00C02EB0" w:rsidRPr="00DD4E6E">
        <w:rPr>
          <w:szCs w:val="22"/>
        </w:rPr>
        <w:t>2</w:t>
      </w:r>
      <w:r w:rsidR="00C1330E" w:rsidRPr="00DD4E6E">
        <w:rPr>
          <w:szCs w:val="22"/>
        </w:rPr>
        <w:t xml:space="preserve"> </w:t>
      </w:r>
      <w:r w:rsidRPr="00DD4E6E">
        <w:rPr>
          <w:szCs w:val="22"/>
        </w:rPr>
        <w:t xml:space="preserve">below. </w:t>
      </w:r>
      <w:r w:rsidR="00194124" w:rsidRPr="00DD4E6E">
        <w:rPr>
          <w:szCs w:val="22"/>
        </w:rPr>
        <w:t xml:space="preserve"> As outlined above in section 1.2 (Key Messages), this also includes working closely with States and Territories.</w:t>
      </w:r>
    </w:p>
    <w:p w:rsidR="00502839" w:rsidRPr="00DD4E6E" w:rsidRDefault="00502839">
      <w:pPr>
        <w:spacing w:line="240" w:lineRule="auto"/>
        <w:jc w:val="left"/>
      </w:pPr>
      <w:r w:rsidRPr="00DD4E6E">
        <w:br w:type="page"/>
      </w:r>
    </w:p>
    <w:p w:rsidR="0079790E" w:rsidRDefault="00C1330E" w:rsidP="00C0273C">
      <w:pPr>
        <w:jc w:val="left"/>
      </w:pPr>
      <w:r w:rsidRPr="00DD4E6E">
        <w:lastRenderedPageBreak/>
        <w:t xml:space="preserve">Figure </w:t>
      </w:r>
      <w:r w:rsidR="00C02EB0" w:rsidRPr="00DD4E6E">
        <w:t>2</w:t>
      </w:r>
      <w:r w:rsidR="00C0273C" w:rsidRPr="00DD4E6E">
        <w:t>.</w:t>
      </w:r>
      <w:r w:rsidR="00C02EB0" w:rsidRPr="00DD4E6E">
        <w:t>2</w:t>
      </w:r>
      <w:r w:rsidR="00C0273C" w:rsidRPr="00DD4E6E">
        <w:t xml:space="preserve"> Factors</w:t>
      </w:r>
      <w:r w:rsidRPr="00DD4E6E">
        <w:t xml:space="preserve"> relevant to PHN planning </w:t>
      </w:r>
    </w:p>
    <w:p w:rsidR="00226C92" w:rsidRDefault="00226C92" w:rsidP="00226C92">
      <w:pPr>
        <w:jc w:val="center"/>
      </w:pPr>
      <w:r>
        <w:rPr>
          <w:noProof/>
          <w:lang w:val="en-AU" w:eastAsia="en-AU"/>
        </w:rPr>
        <w:drawing>
          <wp:inline distT="0" distB="0" distL="0" distR="0">
            <wp:extent cx="5061977" cy="2916621"/>
            <wp:effectExtent l="0" t="0" r="5715" b="0"/>
            <wp:docPr id="7" name="Picture 7" descr="This figure refers to seven factors that are relevant to and impact on planning: PHN objectives; Needs assessment; Commissioning landscape; Funding and governance; PHN Performance Framework; PHN Programme Evaluation; and Health sector reform." title="Figure 2.2 Factors relevant to PHN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aap.ad.pwcinternal.com\syd$\Data\IFS\Williams Lea\Client Work\127041854_PHN accessible doc\Fig 2.2_Page_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1671" cy="2916445"/>
                    </a:xfrm>
                    <a:prstGeom prst="rect">
                      <a:avLst/>
                    </a:prstGeom>
                    <a:noFill/>
                    <a:ln>
                      <a:noFill/>
                    </a:ln>
                  </pic:spPr>
                </pic:pic>
              </a:graphicData>
            </a:graphic>
          </wp:inline>
        </w:drawing>
      </w:r>
    </w:p>
    <w:p w:rsidR="00226C92" w:rsidRDefault="00226C92" w:rsidP="00C0273C">
      <w:pPr>
        <w:jc w:val="left"/>
      </w:pPr>
    </w:p>
    <w:p w:rsidR="00991481" w:rsidRPr="00226C92" w:rsidRDefault="0079790E" w:rsidP="00226C92">
      <w:r w:rsidRPr="00226C92">
        <w:t>The following section proposes a number of considerations related to the commissioning</w:t>
      </w:r>
      <w:r w:rsidR="00DF4B56" w:rsidRPr="00226C92">
        <w:t xml:space="preserve"> role</w:t>
      </w:r>
      <w:r w:rsidR="000F07F9" w:rsidRPr="00226C92">
        <w:t xml:space="preserve"> </w:t>
      </w:r>
      <w:r w:rsidR="00FA5C02" w:rsidRPr="00226C92">
        <w:t xml:space="preserve">that are </w:t>
      </w:r>
      <w:r w:rsidR="000F07F9" w:rsidRPr="00226C92">
        <w:t xml:space="preserve">relevant to the development of </w:t>
      </w:r>
      <w:r w:rsidR="004E0253" w:rsidRPr="00226C92">
        <w:t xml:space="preserve">PHN </w:t>
      </w:r>
      <w:r w:rsidR="000F07F9" w:rsidRPr="00226C92">
        <w:t>plans.  Issues are grouped under the</w:t>
      </w:r>
      <w:r w:rsidR="00DF4B56" w:rsidRPr="00226C92">
        <w:t xml:space="preserve"> </w:t>
      </w:r>
      <w:r w:rsidR="000F07F9" w:rsidRPr="00226C92">
        <w:t>following broad headings:</w:t>
      </w:r>
    </w:p>
    <w:p w:rsidR="009D4E75" w:rsidRPr="00226C92" w:rsidRDefault="009D4E75" w:rsidP="00226C92"/>
    <w:p w:rsidR="000F07F9" w:rsidRPr="00DD4E6E" w:rsidRDefault="00520B76" w:rsidP="002D4D3E">
      <w:pPr>
        <w:pStyle w:val="ListParagraph"/>
        <w:numPr>
          <w:ilvl w:val="0"/>
          <w:numId w:val="15"/>
        </w:numPr>
      </w:pPr>
      <w:r w:rsidRPr="00DD4E6E">
        <w:t>the PHN objectives, needs assessment and national priorities;</w:t>
      </w:r>
    </w:p>
    <w:p w:rsidR="000F07F9" w:rsidRPr="00DD4E6E" w:rsidRDefault="00DF4B56" w:rsidP="002D4D3E">
      <w:pPr>
        <w:pStyle w:val="ListParagraph"/>
        <w:numPr>
          <w:ilvl w:val="0"/>
          <w:numId w:val="15"/>
        </w:numPr>
      </w:pPr>
      <w:r w:rsidRPr="00DD4E6E">
        <w:t>leadership</w:t>
      </w:r>
      <w:r w:rsidR="00D54381" w:rsidRPr="00DD4E6E">
        <w:t xml:space="preserve">, governance and </w:t>
      </w:r>
      <w:r w:rsidR="000F07F9" w:rsidRPr="00DD4E6E">
        <w:t>organisational capacity;</w:t>
      </w:r>
    </w:p>
    <w:p w:rsidR="000F07F9" w:rsidRPr="00DD4E6E" w:rsidRDefault="003E3070" w:rsidP="002D4D3E">
      <w:pPr>
        <w:pStyle w:val="ListParagraph"/>
        <w:numPr>
          <w:ilvl w:val="0"/>
          <w:numId w:val="15"/>
        </w:numPr>
      </w:pPr>
      <w:r w:rsidRPr="00DD4E6E">
        <w:t>engagement and consultation, and auton</w:t>
      </w:r>
      <w:r w:rsidR="000F07F9" w:rsidRPr="00DD4E6E">
        <w:t>omy and responsibility;</w:t>
      </w:r>
    </w:p>
    <w:p w:rsidR="00F42991" w:rsidRPr="00DD4E6E" w:rsidRDefault="000F07F9" w:rsidP="002D4D3E">
      <w:pPr>
        <w:pStyle w:val="ListParagraph"/>
        <w:numPr>
          <w:ilvl w:val="0"/>
          <w:numId w:val="15"/>
        </w:numPr>
      </w:pPr>
      <w:r w:rsidRPr="00DD4E6E">
        <w:t>priority setting and decision making;</w:t>
      </w:r>
      <w:r w:rsidR="004A7CB6" w:rsidRPr="00DD4E6E">
        <w:t xml:space="preserve"> </w:t>
      </w:r>
    </w:p>
    <w:p w:rsidR="00644D99" w:rsidRPr="00DD4E6E" w:rsidRDefault="00644D99" w:rsidP="002D4D3E">
      <w:pPr>
        <w:pStyle w:val="ListParagraph"/>
        <w:numPr>
          <w:ilvl w:val="0"/>
          <w:numId w:val="15"/>
        </w:numPr>
      </w:pPr>
      <w:r w:rsidRPr="00DD4E6E">
        <w:t>decommissioning and direct service delivery;</w:t>
      </w:r>
      <w:r w:rsidR="00443E9D" w:rsidRPr="00DD4E6E">
        <w:t xml:space="preserve"> and</w:t>
      </w:r>
    </w:p>
    <w:p w:rsidR="003E25CA" w:rsidRDefault="00644D99" w:rsidP="002D4D3E">
      <w:pPr>
        <w:pStyle w:val="ListParagraph"/>
        <w:numPr>
          <w:ilvl w:val="0"/>
          <w:numId w:val="15"/>
        </w:numPr>
      </w:pPr>
      <w:proofErr w:type="gramStart"/>
      <w:r w:rsidRPr="00DD4E6E">
        <w:t>performance</w:t>
      </w:r>
      <w:proofErr w:type="gramEnd"/>
      <w:r w:rsidRPr="00DD4E6E">
        <w:t xml:space="preserve"> measuremen</w:t>
      </w:r>
      <w:bookmarkStart w:id="17" w:name="_Toc445194107"/>
      <w:r w:rsidR="00443E9D" w:rsidRPr="00DD4E6E">
        <w:t>t.</w:t>
      </w:r>
    </w:p>
    <w:p w:rsidR="00525D3E" w:rsidRPr="00C0273C" w:rsidRDefault="001110E5" w:rsidP="00C0273C">
      <w:pPr>
        <w:pStyle w:val="Heading2"/>
        <w:rPr>
          <w:lang w:val="en-AU"/>
        </w:rPr>
      </w:pPr>
      <w:bookmarkStart w:id="18" w:name="_Toc458775166"/>
      <w:r>
        <w:rPr>
          <w:lang w:val="en-AU"/>
        </w:rPr>
        <w:t xml:space="preserve">2.2 </w:t>
      </w:r>
      <w:r w:rsidR="00615B63">
        <w:rPr>
          <w:lang w:val="en-AU"/>
        </w:rPr>
        <w:t>Co</w:t>
      </w:r>
      <w:r w:rsidR="00F9495E">
        <w:rPr>
          <w:lang w:val="en-AU"/>
        </w:rPr>
        <w:t>nsiderations for PHNs</w:t>
      </w:r>
      <w:bookmarkEnd w:id="17"/>
      <w:bookmarkEnd w:id="18"/>
    </w:p>
    <w:p w:rsidR="00F9495E" w:rsidRDefault="00F9495E" w:rsidP="00F9495E">
      <w:pPr>
        <w:pStyle w:val="Heading3"/>
      </w:pPr>
      <w:bookmarkStart w:id="19" w:name="_Toc458775167"/>
      <w:r>
        <w:t>PHN objectives</w:t>
      </w:r>
      <w:r w:rsidR="002818B7">
        <w:t>, needs assessment and national priorities</w:t>
      </w:r>
      <w:bookmarkEnd w:id="19"/>
    </w:p>
    <w:p w:rsidR="00131D83" w:rsidRPr="00DD4E6E" w:rsidRDefault="00A110E0" w:rsidP="00137BFB">
      <w:pPr>
        <w:rPr>
          <w:lang w:val="en-AU"/>
        </w:rPr>
      </w:pPr>
      <w:r w:rsidRPr="00DD4E6E">
        <w:rPr>
          <w:lang w:val="en-AU"/>
        </w:rPr>
        <w:t xml:space="preserve">As indicated </w:t>
      </w:r>
      <w:r w:rsidR="00443E9D" w:rsidRPr="00DD4E6E">
        <w:rPr>
          <w:lang w:val="en-AU"/>
        </w:rPr>
        <w:t>earlier</w:t>
      </w:r>
      <w:r w:rsidRPr="00DD4E6E">
        <w:rPr>
          <w:lang w:val="en-AU"/>
        </w:rPr>
        <w:t>, PHNs have been established to increase the efficiency and effectiveness of medical services for patients, particularly those at risk of poor health outcomes, and to improve coordination of care</w:t>
      </w:r>
      <w:r w:rsidR="00443E9D" w:rsidRPr="00DD4E6E">
        <w:rPr>
          <w:lang w:val="en-AU"/>
        </w:rPr>
        <w:t>.</w:t>
      </w:r>
      <w:r w:rsidRPr="00DD4E6E">
        <w:rPr>
          <w:rStyle w:val="EndnoteReference"/>
          <w:szCs w:val="22"/>
          <w:lang w:val="en-AU"/>
        </w:rPr>
        <w:endnoteReference w:id="9"/>
      </w:r>
    </w:p>
    <w:p w:rsidR="00131D83" w:rsidRPr="00DD4E6E" w:rsidRDefault="00131D83" w:rsidP="00137BFB">
      <w:pPr>
        <w:rPr>
          <w:lang w:val="en-AU"/>
        </w:rPr>
      </w:pPr>
    </w:p>
    <w:p w:rsidR="00E8676F" w:rsidRPr="00DD4E6E" w:rsidRDefault="001D2891" w:rsidP="00137BFB">
      <w:pPr>
        <w:rPr>
          <w:szCs w:val="22"/>
          <w:lang w:val="en-AU"/>
        </w:rPr>
      </w:pPr>
      <w:r w:rsidRPr="00DD4E6E">
        <w:rPr>
          <w:szCs w:val="22"/>
          <w:lang w:val="en-AU"/>
        </w:rPr>
        <w:t>T</w:t>
      </w:r>
      <w:r w:rsidR="00E8676F" w:rsidRPr="00DD4E6E">
        <w:rPr>
          <w:szCs w:val="22"/>
          <w:lang w:val="en-AU"/>
        </w:rPr>
        <w:t>he first point to make about planning in a co</w:t>
      </w:r>
      <w:r w:rsidR="00137BFB" w:rsidRPr="00DD4E6E">
        <w:rPr>
          <w:szCs w:val="22"/>
          <w:lang w:val="en-AU"/>
        </w:rPr>
        <w:t xml:space="preserve">mmissioning environment is that </w:t>
      </w:r>
      <w:r w:rsidR="00E8676F" w:rsidRPr="00DD4E6E">
        <w:rPr>
          <w:szCs w:val="22"/>
          <w:lang w:val="en-AU"/>
        </w:rPr>
        <w:t>c</w:t>
      </w:r>
      <w:r w:rsidR="00B62C75" w:rsidRPr="00DD4E6E">
        <w:rPr>
          <w:szCs w:val="22"/>
          <w:lang w:val="en-AU"/>
        </w:rPr>
        <w:t xml:space="preserve">ommissioning is a means to an end rather than an end in itself. </w:t>
      </w:r>
      <w:r w:rsidR="00E8676F" w:rsidRPr="00DD4E6E">
        <w:rPr>
          <w:szCs w:val="22"/>
          <w:lang w:val="en-AU"/>
        </w:rPr>
        <w:t xml:space="preserve"> </w:t>
      </w:r>
      <w:r w:rsidR="00375106" w:rsidRPr="00DD4E6E">
        <w:rPr>
          <w:szCs w:val="22"/>
          <w:lang w:val="en-AU"/>
        </w:rPr>
        <w:t>While commissioning is the agreed approach</w:t>
      </w:r>
      <w:r w:rsidRPr="00DD4E6E">
        <w:rPr>
          <w:szCs w:val="22"/>
          <w:lang w:val="en-AU"/>
        </w:rPr>
        <w:t>,</w:t>
      </w:r>
      <w:r w:rsidR="00375106" w:rsidRPr="00DD4E6E">
        <w:rPr>
          <w:szCs w:val="22"/>
          <w:lang w:val="en-AU"/>
        </w:rPr>
        <w:t xml:space="preserve"> t</w:t>
      </w:r>
      <w:r w:rsidR="00B62C75" w:rsidRPr="00DD4E6E">
        <w:rPr>
          <w:szCs w:val="22"/>
          <w:lang w:val="en-AU"/>
        </w:rPr>
        <w:t xml:space="preserve">he </w:t>
      </w:r>
      <w:r w:rsidR="00375106" w:rsidRPr="00DD4E6E">
        <w:rPr>
          <w:szCs w:val="22"/>
          <w:lang w:val="en-AU"/>
        </w:rPr>
        <w:t xml:space="preserve">key intention of </w:t>
      </w:r>
      <w:r w:rsidR="00E8676F" w:rsidRPr="00DD4E6E">
        <w:rPr>
          <w:szCs w:val="22"/>
          <w:lang w:val="en-AU"/>
        </w:rPr>
        <w:t xml:space="preserve">PHN planning is to achieve the objectives of the </w:t>
      </w:r>
      <w:r w:rsidRPr="00DD4E6E">
        <w:rPr>
          <w:szCs w:val="22"/>
          <w:lang w:val="en-AU"/>
        </w:rPr>
        <w:t>PHN</w:t>
      </w:r>
      <w:r w:rsidR="00F44C2C" w:rsidRPr="00DD4E6E">
        <w:rPr>
          <w:szCs w:val="22"/>
          <w:lang w:val="en-AU"/>
        </w:rPr>
        <w:t> </w:t>
      </w:r>
      <w:r w:rsidR="00E8676F" w:rsidRPr="00DD4E6E">
        <w:rPr>
          <w:szCs w:val="22"/>
          <w:lang w:val="en-AU"/>
        </w:rPr>
        <w:t xml:space="preserve">program. </w:t>
      </w:r>
    </w:p>
    <w:p w:rsidR="00EB2E55" w:rsidRPr="00DD4E6E" w:rsidRDefault="00EB2E55">
      <w:pPr>
        <w:spacing w:line="240" w:lineRule="auto"/>
        <w:jc w:val="left"/>
        <w:rPr>
          <w:lang w:val="en-AU"/>
        </w:rPr>
      </w:pPr>
      <w:r w:rsidRPr="00DD4E6E">
        <w:rPr>
          <w:lang w:val="en-AU"/>
        </w:rPr>
        <w:br w:type="page"/>
      </w:r>
    </w:p>
    <w:p w:rsidR="009463C9" w:rsidRDefault="009463C9" w:rsidP="00137BFB">
      <w:pPr>
        <w:rPr>
          <w:lang w:val="en-AU"/>
        </w:rPr>
      </w:pPr>
    </w:p>
    <w:p w:rsidR="00F9495E" w:rsidRPr="00DD4E6E" w:rsidRDefault="00F1205D" w:rsidP="00137BFB">
      <w:pPr>
        <w:rPr>
          <w:lang w:val="en-AU"/>
        </w:rPr>
      </w:pPr>
      <w:r w:rsidRPr="00DD4E6E">
        <w:rPr>
          <w:lang w:val="en-AU"/>
        </w:rPr>
        <w:t xml:space="preserve">The </w:t>
      </w:r>
      <w:r w:rsidR="002D4D3E" w:rsidRPr="00DD4E6E">
        <w:rPr>
          <w:lang w:val="en-AU"/>
        </w:rPr>
        <w:t>p</w:t>
      </w:r>
      <w:r w:rsidR="00E8676F" w:rsidRPr="00DD4E6E">
        <w:rPr>
          <w:lang w:val="en-AU"/>
        </w:rPr>
        <w:t>lan is not, therefore, a ‘commissioning plan’, and the primary focus is to describe the proposed areas of PHN activity</w:t>
      </w:r>
      <w:r w:rsidR="007A46C6" w:rsidRPr="00DD4E6E">
        <w:rPr>
          <w:lang w:val="en-AU"/>
        </w:rPr>
        <w:t xml:space="preserve"> and funding streams</w:t>
      </w:r>
      <w:r w:rsidR="00E8676F" w:rsidRPr="00DD4E6E">
        <w:rPr>
          <w:lang w:val="en-AU"/>
        </w:rPr>
        <w:t>.</w:t>
      </w:r>
      <w:r w:rsidRPr="00DD4E6E">
        <w:rPr>
          <w:lang w:val="en-AU"/>
        </w:rPr>
        <w:t xml:space="preserve"> </w:t>
      </w:r>
      <w:r w:rsidR="00E8676F" w:rsidRPr="00DD4E6E">
        <w:rPr>
          <w:lang w:val="en-AU"/>
        </w:rPr>
        <w:t xml:space="preserve">The </w:t>
      </w:r>
      <w:r w:rsidR="00B62C75" w:rsidRPr="00DD4E6E">
        <w:rPr>
          <w:lang w:val="en-AU"/>
        </w:rPr>
        <w:t>PHN object</w:t>
      </w:r>
      <w:r w:rsidR="00E8676F" w:rsidRPr="00DD4E6E">
        <w:rPr>
          <w:lang w:val="en-AU"/>
        </w:rPr>
        <w:t xml:space="preserve">ives focus on particular </w:t>
      </w:r>
      <w:r w:rsidR="00B62C75" w:rsidRPr="00DD4E6E">
        <w:rPr>
          <w:lang w:val="en-AU"/>
        </w:rPr>
        <w:t xml:space="preserve">aspects of the health system – efficiency, effectiveness, </w:t>
      </w:r>
      <w:r w:rsidR="00E8676F" w:rsidRPr="00DD4E6E">
        <w:rPr>
          <w:lang w:val="en-AU"/>
        </w:rPr>
        <w:t xml:space="preserve">improved </w:t>
      </w:r>
      <w:r w:rsidR="00B62C75" w:rsidRPr="00DD4E6E">
        <w:rPr>
          <w:lang w:val="en-AU"/>
        </w:rPr>
        <w:t>targe</w:t>
      </w:r>
      <w:r w:rsidR="00C0273C" w:rsidRPr="00DD4E6E">
        <w:rPr>
          <w:lang w:val="en-AU"/>
        </w:rPr>
        <w:t>ting and improved coordination.</w:t>
      </w:r>
      <w:r w:rsidR="00B62C75" w:rsidRPr="00DD4E6E">
        <w:rPr>
          <w:lang w:val="en-AU"/>
        </w:rPr>
        <w:t xml:space="preserve"> T</w:t>
      </w:r>
      <w:r w:rsidR="004E0253" w:rsidRPr="00DD4E6E">
        <w:rPr>
          <w:lang w:val="en-AU"/>
        </w:rPr>
        <w:t xml:space="preserve">here </w:t>
      </w:r>
      <w:r w:rsidR="00B62C75" w:rsidRPr="00DD4E6E">
        <w:rPr>
          <w:lang w:val="en-AU"/>
        </w:rPr>
        <w:t xml:space="preserve">needs to </w:t>
      </w:r>
      <w:r w:rsidR="005F5ECD" w:rsidRPr="00DD4E6E">
        <w:rPr>
          <w:lang w:val="en-AU"/>
        </w:rPr>
        <w:t>be a</w:t>
      </w:r>
      <w:r w:rsidR="004E0253" w:rsidRPr="00DD4E6E">
        <w:rPr>
          <w:lang w:val="en-AU"/>
        </w:rPr>
        <w:t xml:space="preserve"> strong link between </w:t>
      </w:r>
      <w:r w:rsidR="007E7989" w:rsidRPr="00DD4E6E">
        <w:rPr>
          <w:lang w:val="en-AU"/>
        </w:rPr>
        <w:t xml:space="preserve">all </w:t>
      </w:r>
      <w:r w:rsidR="004E0253" w:rsidRPr="00DD4E6E">
        <w:rPr>
          <w:lang w:val="en-AU"/>
        </w:rPr>
        <w:t>activities proposed in the plan and the objectives outlined above</w:t>
      </w:r>
      <w:r w:rsidR="00B62C75" w:rsidRPr="00DD4E6E">
        <w:rPr>
          <w:lang w:val="en-AU"/>
        </w:rPr>
        <w:t>.</w:t>
      </w:r>
    </w:p>
    <w:p w:rsidR="002818B7" w:rsidRPr="00DD4E6E" w:rsidRDefault="002818B7" w:rsidP="00137BFB">
      <w:pPr>
        <w:rPr>
          <w:lang w:val="en-AU"/>
        </w:rPr>
      </w:pPr>
    </w:p>
    <w:p w:rsidR="00F9495E" w:rsidRPr="00DD4E6E" w:rsidRDefault="005F5ECD" w:rsidP="00137BFB">
      <w:pPr>
        <w:rPr>
          <w:lang w:val="en-AU"/>
        </w:rPr>
      </w:pPr>
      <w:r w:rsidRPr="00DD4E6E">
        <w:rPr>
          <w:lang w:val="en-AU"/>
        </w:rPr>
        <w:t>Similarly</w:t>
      </w:r>
      <w:r w:rsidR="00F1205D" w:rsidRPr="00DD4E6E">
        <w:rPr>
          <w:lang w:val="en-AU"/>
        </w:rPr>
        <w:t>, the plan need</w:t>
      </w:r>
      <w:r w:rsidR="00A110E0" w:rsidRPr="00DD4E6E">
        <w:rPr>
          <w:lang w:val="en-AU"/>
        </w:rPr>
        <w:t>s</w:t>
      </w:r>
      <w:r w:rsidR="00F1205D" w:rsidRPr="00DD4E6E">
        <w:rPr>
          <w:lang w:val="en-AU"/>
        </w:rPr>
        <w:t xml:space="preserve"> to be based on the opportunities, priorities and options identified in t</w:t>
      </w:r>
      <w:r w:rsidR="00C0273C" w:rsidRPr="00DD4E6E">
        <w:rPr>
          <w:lang w:val="en-AU"/>
        </w:rPr>
        <w:t xml:space="preserve">he needs assessment. </w:t>
      </w:r>
      <w:r w:rsidR="00F1205D" w:rsidRPr="00DD4E6E">
        <w:rPr>
          <w:lang w:val="en-AU"/>
        </w:rPr>
        <w:t>The</w:t>
      </w:r>
      <w:r w:rsidR="00676F53" w:rsidRPr="00DD4E6E">
        <w:rPr>
          <w:lang w:val="en-AU"/>
        </w:rPr>
        <w:t xml:space="preserve"> </w:t>
      </w:r>
      <w:r w:rsidR="008C1DC3" w:rsidRPr="00DD4E6E">
        <w:rPr>
          <w:lang w:val="en-AU"/>
        </w:rPr>
        <w:t>Needs Assessment Guide</w:t>
      </w:r>
      <w:r w:rsidR="00F1205D" w:rsidRPr="00DD4E6E">
        <w:rPr>
          <w:lang w:val="en-AU"/>
        </w:rPr>
        <w:t xml:space="preserve"> noted that</w:t>
      </w:r>
      <w:r w:rsidR="008C1DC3" w:rsidRPr="00DD4E6E">
        <w:rPr>
          <w:lang w:val="en-AU"/>
        </w:rPr>
        <w:t>:</w:t>
      </w:r>
    </w:p>
    <w:p w:rsidR="008C1DC3" w:rsidRPr="00DD4E6E" w:rsidRDefault="008C1DC3" w:rsidP="00C0273C">
      <w:pPr>
        <w:jc w:val="left"/>
        <w:rPr>
          <w:lang w:val="en-AU"/>
        </w:rPr>
      </w:pPr>
    </w:p>
    <w:p w:rsidR="008C1DC3" w:rsidRPr="00EB2E55" w:rsidRDefault="008C1DC3" w:rsidP="00137BFB">
      <w:pPr>
        <w:ind w:left="720"/>
        <w:rPr>
          <w:szCs w:val="22"/>
          <w:lang w:val="en-AU"/>
        </w:rPr>
      </w:pPr>
      <w:r w:rsidRPr="00EB2E55">
        <w:rPr>
          <w:szCs w:val="22"/>
          <w:lang w:val="en-AU"/>
        </w:rPr>
        <w:t>In their Annual Plans, PHNs may pursue a number of priori</w:t>
      </w:r>
      <w:r w:rsidR="00C0273C" w:rsidRPr="00EB2E55">
        <w:rPr>
          <w:szCs w:val="22"/>
          <w:lang w:val="en-AU"/>
        </w:rPr>
        <w:t xml:space="preserve">ties through flexible funding. </w:t>
      </w:r>
      <w:r w:rsidRPr="00EB2E55">
        <w:rPr>
          <w:szCs w:val="22"/>
          <w:lang w:val="en-AU"/>
        </w:rPr>
        <w:t>In addition, some priorities may more appropriately be addressed through the use of separate programme-sp</w:t>
      </w:r>
      <w:r w:rsidR="00C0273C" w:rsidRPr="00EB2E55">
        <w:rPr>
          <w:szCs w:val="22"/>
          <w:lang w:val="en-AU"/>
        </w:rPr>
        <w:t xml:space="preserve">ecific funding. </w:t>
      </w:r>
      <w:r w:rsidRPr="00EB2E55">
        <w:rPr>
          <w:szCs w:val="22"/>
          <w:lang w:val="en-AU"/>
        </w:rPr>
        <w:t>While an annual plan has a particular focus on the upcoming financial year it will also include medium and longer term perspective</w:t>
      </w:r>
      <w:r w:rsidR="004D245D" w:rsidRPr="00EB2E55">
        <w:rPr>
          <w:szCs w:val="22"/>
          <w:lang w:val="en-AU"/>
        </w:rPr>
        <w:t>s</w:t>
      </w:r>
      <w:r w:rsidRPr="00EB2E55">
        <w:rPr>
          <w:szCs w:val="22"/>
          <w:lang w:val="en-AU"/>
        </w:rPr>
        <w:t>.</w:t>
      </w:r>
    </w:p>
    <w:p w:rsidR="008C1DC3" w:rsidRPr="00EB2E55" w:rsidRDefault="008C1DC3" w:rsidP="00137BFB">
      <w:pPr>
        <w:ind w:left="720"/>
        <w:rPr>
          <w:szCs w:val="22"/>
          <w:lang w:val="en-AU"/>
        </w:rPr>
      </w:pPr>
    </w:p>
    <w:p w:rsidR="008C1DC3" w:rsidRPr="00EB2E55" w:rsidRDefault="008C1DC3" w:rsidP="00137BFB">
      <w:pPr>
        <w:ind w:left="720"/>
        <w:rPr>
          <w:szCs w:val="22"/>
          <w:lang w:val="en-AU"/>
        </w:rPr>
      </w:pPr>
      <w:r w:rsidRPr="00EB2E55">
        <w:rPr>
          <w:szCs w:val="22"/>
          <w:lang w:val="en-AU"/>
        </w:rPr>
        <w:t>A number of areas may be identified where furt</w:t>
      </w:r>
      <w:r w:rsidR="00C0273C" w:rsidRPr="00EB2E55">
        <w:rPr>
          <w:szCs w:val="22"/>
          <w:lang w:val="en-AU"/>
        </w:rPr>
        <w:t xml:space="preserve">her investigation is required. </w:t>
      </w:r>
      <w:r w:rsidRPr="00EB2E55">
        <w:rPr>
          <w:szCs w:val="22"/>
          <w:lang w:val="en-AU"/>
        </w:rPr>
        <w:t>There may also be identified priorities where it will take longer to develop responses, or where it is more appropriate that another agency such as Local Hospital Networks</w:t>
      </w:r>
      <w:r w:rsidR="00981960" w:rsidRPr="00EB2E55">
        <w:rPr>
          <w:szCs w:val="22"/>
          <w:lang w:val="en-AU"/>
        </w:rPr>
        <w:t xml:space="preserve"> (LHNs)</w:t>
      </w:r>
      <w:r w:rsidRPr="00EB2E55">
        <w:rPr>
          <w:szCs w:val="22"/>
          <w:lang w:val="en-AU"/>
        </w:rPr>
        <w:t xml:space="preserve"> or equivalents would take the lead role.</w:t>
      </w:r>
      <w:r w:rsidR="00F1205D" w:rsidRPr="00EB2E55">
        <w:rPr>
          <w:rStyle w:val="EndnoteReference"/>
          <w:szCs w:val="22"/>
          <w:lang w:val="en-AU"/>
        </w:rPr>
        <w:endnoteReference w:id="10"/>
      </w:r>
    </w:p>
    <w:p w:rsidR="008C1DC3" w:rsidRPr="00DD4E6E" w:rsidRDefault="008C1DC3" w:rsidP="00C0273C">
      <w:pPr>
        <w:jc w:val="left"/>
        <w:rPr>
          <w:szCs w:val="22"/>
          <w:lang w:val="en-AU"/>
        </w:rPr>
      </w:pPr>
    </w:p>
    <w:p w:rsidR="00676F53" w:rsidRPr="00DD4E6E" w:rsidRDefault="00676F53" w:rsidP="009D4E75">
      <w:pPr>
        <w:rPr>
          <w:lang w:val="en-AU"/>
        </w:rPr>
      </w:pPr>
      <w:r w:rsidRPr="00DD4E6E">
        <w:rPr>
          <w:szCs w:val="22"/>
          <w:lang w:val="en-AU"/>
        </w:rPr>
        <w:t xml:space="preserve">PHNs should </w:t>
      </w:r>
      <w:r w:rsidR="00F318BF" w:rsidRPr="00DD4E6E">
        <w:rPr>
          <w:szCs w:val="22"/>
          <w:lang w:val="en-AU"/>
        </w:rPr>
        <w:t xml:space="preserve">also </w:t>
      </w:r>
      <w:r w:rsidR="00F42991" w:rsidRPr="00DD4E6E">
        <w:rPr>
          <w:szCs w:val="22"/>
          <w:lang w:val="en-AU"/>
        </w:rPr>
        <w:t xml:space="preserve">be mindful of </w:t>
      </w:r>
      <w:r w:rsidRPr="00DD4E6E">
        <w:rPr>
          <w:szCs w:val="22"/>
          <w:lang w:val="en-AU"/>
        </w:rPr>
        <w:t xml:space="preserve">the </w:t>
      </w:r>
      <w:r w:rsidRPr="00DD4E6E">
        <w:rPr>
          <w:szCs w:val="22"/>
        </w:rPr>
        <w:t>six key priorities for targeted work: mental health, Aboriginal and Torres Strait Islander health, population</w:t>
      </w:r>
      <w:r w:rsidRPr="00DD4E6E">
        <w:t xml:space="preserve"> health, health workforce, </w:t>
      </w:r>
      <w:r w:rsidR="00D820CD" w:rsidRPr="00DD4E6E">
        <w:t>eH</w:t>
      </w:r>
      <w:r w:rsidRPr="00DD4E6E">
        <w:t>ealth and aged care.</w:t>
      </w:r>
      <w:r w:rsidR="008529D7" w:rsidRPr="00DD4E6E">
        <w:rPr>
          <w:rStyle w:val="EndnoteReference"/>
        </w:rPr>
        <w:endnoteReference w:id="11"/>
      </w:r>
    </w:p>
    <w:p w:rsidR="00B75C78" w:rsidRPr="00DC218A" w:rsidRDefault="00D54381" w:rsidP="00DC218A">
      <w:pPr>
        <w:pStyle w:val="Heading3"/>
      </w:pPr>
      <w:bookmarkStart w:id="20" w:name="_Toc458775168"/>
      <w:r>
        <w:t>L</w:t>
      </w:r>
      <w:r w:rsidR="00B75C78">
        <w:t>eadership</w:t>
      </w:r>
      <w:r>
        <w:t>, governance and organisational capacity</w:t>
      </w:r>
      <w:bookmarkEnd w:id="20"/>
    </w:p>
    <w:p w:rsidR="004905E5" w:rsidRPr="00DD4E6E" w:rsidRDefault="004905E5" w:rsidP="004905E5">
      <w:pPr>
        <w:rPr>
          <w:lang w:val="en-AU"/>
        </w:rPr>
      </w:pPr>
    </w:p>
    <w:p w:rsidR="00316294" w:rsidRPr="005965EF" w:rsidRDefault="00316294" w:rsidP="004905E5">
      <w:pPr>
        <w:spacing w:after="240" w:line="240" w:lineRule="auto"/>
        <w:ind w:left="720"/>
        <w:rPr>
          <w:szCs w:val="22"/>
        </w:rPr>
      </w:pPr>
      <w:r w:rsidRPr="005965EF">
        <w:rPr>
          <w:szCs w:val="22"/>
        </w:rPr>
        <w:t>Commissioning organisations are often described as leaders of the local health care system…  Critical to this leadership role is the ability to develop and articulate a clear vision for the local health and care system, and to win the support of key stakeholders in delivering that vision and driving change.</w:t>
      </w:r>
      <w:r w:rsidR="00043188" w:rsidRPr="005965EF">
        <w:rPr>
          <w:rStyle w:val="EndnoteReference"/>
          <w:szCs w:val="22"/>
        </w:rPr>
        <w:endnoteReference w:id="12"/>
      </w:r>
    </w:p>
    <w:p w:rsidR="00C90D8A" w:rsidRPr="005965EF" w:rsidRDefault="00C90D8A" w:rsidP="004905E5">
      <w:pPr>
        <w:spacing w:after="240" w:line="240" w:lineRule="auto"/>
        <w:ind w:left="720"/>
        <w:rPr>
          <w:szCs w:val="22"/>
        </w:rPr>
      </w:pPr>
      <w:r w:rsidRPr="005965EF">
        <w:rPr>
          <w:szCs w:val="22"/>
        </w:rPr>
        <w:t>The leadership and governance of health systems, also called stewardship, is arguably the most complex but critical build</w:t>
      </w:r>
      <w:r w:rsidR="008807F1" w:rsidRPr="005965EF">
        <w:rPr>
          <w:szCs w:val="22"/>
        </w:rPr>
        <w:t>ing block of any health system…</w:t>
      </w:r>
      <w:r w:rsidR="00E26C6A" w:rsidRPr="005965EF">
        <w:rPr>
          <w:szCs w:val="22"/>
        </w:rPr>
        <w:t xml:space="preserve"> </w:t>
      </w:r>
      <w:r w:rsidRPr="005965EF">
        <w:rPr>
          <w:szCs w:val="22"/>
        </w:rPr>
        <w:t xml:space="preserve"> It requires both political and technical action, because it involves reconciling competing demands for limited resources, in changing circumstances, for example, with rising expectations, more pluralistic societies, </w:t>
      </w:r>
      <w:proofErr w:type="spellStart"/>
      <w:r w:rsidRPr="005965EF">
        <w:rPr>
          <w:szCs w:val="22"/>
        </w:rPr>
        <w:t>decentrali</w:t>
      </w:r>
      <w:r w:rsidR="00691DB3" w:rsidRPr="005965EF">
        <w:rPr>
          <w:szCs w:val="22"/>
        </w:rPr>
        <w:t>s</w:t>
      </w:r>
      <w:r w:rsidRPr="005965EF">
        <w:rPr>
          <w:szCs w:val="22"/>
        </w:rPr>
        <w:t>ation</w:t>
      </w:r>
      <w:proofErr w:type="spellEnd"/>
      <w:r w:rsidRPr="005965EF">
        <w:rPr>
          <w:szCs w:val="22"/>
        </w:rPr>
        <w:t xml:space="preserve"> or a growing private sector.</w:t>
      </w:r>
      <w:r w:rsidRPr="005965EF">
        <w:rPr>
          <w:rStyle w:val="EndnoteReference"/>
          <w:szCs w:val="22"/>
        </w:rPr>
        <w:endnoteReference w:id="13"/>
      </w:r>
    </w:p>
    <w:p w:rsidR="00E26C6A" w:rsidRPr="00DD4E6E" w:rsidRDefault="004905E5" w:rsidP="005D7281">
      <w:r w:rsidRPr="00DD4E6E">
        <w:rPr>
          <w:lang w:val="en-AU"/>
        </w:rPr>
        <w:t xml:space="preserve">PHNs </w:t>
      </w:r>
      <w:r w:rsidR="00B75C78" w:rsidRPr="00DD4E6E">
        <w:t xml:space="preserve">have a more explicit remit about leading change and system improvement than </w:t>
      </w:r>
      <w:r w:rsidRPr="00DD4E6E">
        <w:t xml:space="preserve">their predecessors. </w:t>
      </w:r>
      <w:r w:rsidR="00B75C78" w:rsidRPr="00DD4E6E">
        <w:t xml:space="preserve">This is </w:t>
      </w:r>
      <w:r w:rsidRPr="00DD4E6E">
        <w:t xml:space="preserve">a key part of what is different and </w:t>
      </w:r>
      <w:r w:rsidR="00B75C78" w:rsidRPr="00DD4E6E">
        <w:t xml:space="preserve">unique for PHNs in a commissioning environment. </w:t>
      </w:r>
      <w:r w:rsidR="00375106">
        <w:rPr>
          <w:rFonts w:asciiTheme="minorHAnsi" w:hAnsiTheme="minorHAnsi" w:cs="Arial"/>
          <w:iCs/>
          <w:szCs w:val="22"/>
        </w:rPr>
        <w:t xml:space="preserve">As commissioners, PHNs </w:t>
      </w:r>
      <w:r w:rsidR="007A46C6">
        <w:rPr>
          <w:rFonts w:asciiTheme="minorHAnsi" w:hAnsiTheme="minorHAnsi" w:cs="Arial"/>
          <w:iCs/>
          <w:szCs w:val="22"/>
        </w:rPr>
        <w:t xml:space="preserve">have an important leadership, integration and coordination role </w:t>
      </w:r>
      <w:r w:rsidR="00E26C6A" w:rsidRPr="00E26C6A">
        <w:rPr>
          <w:rFonts w:asciiTheme="minorHAnsi" w:hAnsiTheme="minorHAnsi" w:cs="Arial"/>
          <w:iCs/>
          <w:szCs w:val="22"/>
        </w:rPr>
        <w:t>in the local health system</w:t>
      </w:r>
      <w:r w:rsidR="00E26C6A" w:rsidRPr="00E26C6A">
        <w:rPr>
          <w:rFonts w:asciiTheme="minorHAnsi" w:hAnsiTheme="minorHAnsi"/>
          <w:szCs w:val="22"/>
        </w:rPr>
        <w:t>.</w:t>
      </w:r>
      <w:r w:rsidR="00E26C6A">
        <w:rPr>
          <w:rFonts w:asciiTheme="minorHAnsi" w:hAnsiTheme="minorHAnsi"/>
          <w:szCs w:val="22"/>
        </w:rPr>
        <w:t xml:space="preserve"> </w:t>
      </w:r>
      <w:r w:rsidRPr="00DD4E6E">
        <w:t xml:space="preserve">The decisions </w:t>
      </w:r>
      <w:r w:rsidR="00165108" w:rsidRPr="00DD4E6E">
        <w:t xml:space="preserve">that </w:t>
      </w:r>
      <w:r w:rsidRPr="00DD4E6E">
        <w:t xml:space="preserve">PHNs make and articulate in their plans – particularly their decisions in respect of service design and procurement </w:t>
      </w:r>
      <w:r w:rsidR="005F5ECD" w:rsidRPr="00DD4E6E">
        <w:t>– will</w:t>
      </w:r>
      <w:r w:rsidRPr="00DD4E6E">
        <w:t xml:space="preserve"> </w:t>
      </w:r>
      <w:r w:rsidR="00375106" w:rsidRPr="00DD4E6E">
        <w:t>inevitably involve changes to previous arrangements and</w:t>
      </w:r>
      <w:r w:rsidR="00165108" w:rsidRPr="00DD4E6E">
        <w:t>,</w:t>
      </w:r>
      <w:r w:rsidR="00375106" w:rsidRPr="00DD4E6E">
        <w:t xml:space="preserve"> as such</w:t>
      </w:r>
      <w:r w:rsidR="00165108" w:rsidRPr="00DD4E6E">
        <w:t>,</w:t>
      </w:r>
      <w:r w:rsidR="00375106" w:rsidRPr="00DD4E6E">
        <w:t xml:space="preserve"> </w:t>
      </w:r>
      <w:r w:rsidRPr="00DD4E6E">
        <w:t>be open to an increased level</w:t>
      </w:r>
      <w:r w:rsidR="00E26C6A" w:rsidRPr="00DD4E6E">
        <w:t xml:space="preserve"> </w:t>
      </w:r>
      <w:r w:rsidRPr="00DD4E6E">
        <w:t>of scrutiny.</w:t>
      </w:r>
      <w:r w:rsidR="00E26C6A" w:rsidRPr="00DD4E6E">
        <w:t xml:space="preserve"> </w:t>
      </w:r>
    </w:p>
    <w:p w:rsidR="00EB2E55" w:rsidRPr="00DD4E6E" w:rsidRDefault="00EB2E55" w:rsidP="005D7281"/>
    <w:p w:rsidR="00434BDA" w:rsidRPr="00DD4E6E" w:rsidRDefault="00F532FB" w:rsidP="005D7281">
      <w:r w:rsidRPr="00DD4E6E">
        <w:lastRenderedPageBreak/>
        <w:t>Traditionally</w:t>
      </w:r>
      <w:r w:rsidR="00CB3103" w:rsidRPr="00DD4E6E">
        <w:t>,</w:t>
      </w:r>
      <w:r w:rsidR="00DC218A" w:rsidRPr="00DD4E6E">
        <w:t xml:space="preserve"> </w:t>
      </w:r>
      <w:proofErr w:type="spellStart"/>
      <w:r w:rsidRPr="00DD4E6E">
        <w:t>organisational</w:t>
      </w:r>
      <w:proofErr w:type="spellEnd"/>
      <w:r w:rsidRPr="00DD4E6E">
        <w:t xml:space="preserve"> leaders who hold 'authority' and 'weight' are often those with the largest budgets, biggest resource pool, </w:t>
      </w:r>
      <w:r w:rsidR="005F5ECD" w:rsidRPr="00DD4E6E">
        <w:t>and greatest</w:t>
      </w:r>
      <w:r w:rsidRPr="00DD4E6E">
        <w:t xml:space="preserve"> asset base. While PHNs do not have the level of resourcing held by </w:t>
      </w:r>
      <w:r w:rsidR="00981960" w:rsidRPr="00DD4E6E">
        <w:t xml:space="preserve">LHNs </w:t>
      </w:r>
      <w:r w:rsidR="006E2DAB" w:rsidRPr="00DD4E6E">
        <w:t>or their equivalents</w:t>
      </w:r>
      <w:r w:rsidRPr="00DD4E6E">
        <w:t xml:space="preserve">, </w:t>
      </w:r>
      <w:r w:rsidR="00375106" w:rsidRPr="00DD4E6E">
        <w:t xml:space="preserve">the </w:t>
      </w:r>
      <w:r w:rsidRPr="00DD4E6E">
        <w:t xml:space="preserve">plans </w:t>
      </w:r>
      <w:r w:rsidR="00375106" w:rsidRPr="00DD4E6E">
        <w:t>they develop</w:t>
      </w:r>
      <w:r w:rsidRPr="00DD4E6E">
        <w:t xml:space="preserve"> in a commissioning environment provide the opportunity for PHNs to </w:t>
      </w:r>
      <w:r w:rsidR="00E26C6A" w:rsidRPr="00DD4E6E">
        <w:t xml:space="preserve">lead beyond their immediate and </w:t>
      </w:r>
      <w:proofErr w:type="spellStart"/>
      <w:r w:rsidR="00E26C6A" w:rsidRPr="00DD4E6E">
        <w:t>organisational</w:t>
      </w:r>
      <w:proofErr w:type="spellEnd"/>
      <w:r w:rsidR="00E26C6A" w:rsidRPr="00DD4E6E">
        <w:t xml:space="preserve"> authority. The term 'leading beyond authority' is used for people who can </w:t>
      </w:r>
      <w:r w:rsidR="00691DB3" w:rsidRPr="00DD4E6E">
        <w:t xml:space="preserve">help set strategy or direction and </w:t>
      </w:r>
      <w:r w:rsidR="00E26C6A" w:rsidRPr="00DD4E6E">
        <w:t>produce change beyond their direct circle of control, where they rely on their capacity to persuade and their ability t</w:t>
      </w:r>
      <w:r w:rsidR="007A46C6" w:rsidRPr="00DD4E6E">
        <w:t>o form networks and coalitions.</w:t>
      </w:r>
    </w:p>
    <w:p w:rsidR="00434BDA" w:rsidRPr="00DD4E6E" w:rsidRDefault="00434BDA" w:rsidP="005D7281"/>
    <w:p w:rsidR="00434BDA" w:rsidRPr="00DD4E6E" w:rsidRDefault="00E26C6A" w:rsidP="003178F8">
      <w:pPr>
        <w:spacing w:after="180"/>
        <w:rPr>
          <w:lang w:val="en-AU"/>
        </w:rPr>
      </w:pPr>
      <w:r w:rsidRPr="00DD4E6E">
        <w:rPr>
          <w:lang w:val="en-AU"/>
        </w:rPr>
        <w:t xml:space="preserve">Identifying and developing the competencies and skills sets for effective PHN commissioning will take time. PHNs will need to develop a workforce with the ability to analyse performance data, </w:t>
      </w:r>
      <w:r w:rsidR="003A578C" w:rsidRPr="00DD4E6E">
        <w:rPr>
          <w:lang w:val="en-AU"/>
        </w:rPr>
        <w:t xml:space="preserve">co-design new forms of services, </w:t>
      </w:r>
      <w:r w:rsidRPr="00DD4E6E">
        <w:rPr>
          <w:lang w:val="en-AU"/>
        </w:rPr>
        <w:t>conduct cost-benefit analysis and options appraisal</w:t>
      </w:r>
      <w:r w:rsidR="003A578C" w:rsidRPr="00DD4E6E">
        <w:rPr>
          <w:lang w:val="en-AU"/>
        </w:rPr>
        <w:t>s</w:t>
      </w:r>
      <w:r w:rsidRPr="00DD4E6E">
        <w:rPr>
          <w:lang w:val="en-AU"/>
        </w:rPr>
        <w:t xml:space="preserve">, and </w:t>
      </w:r>
      <w:r w:rsidR="003A578C" w:rsidRPr="00DD4E6E">
        <w:rPr>
          <w:lang w:val="en-AU"/>
        </w:rPr>
        <w:t>draw</w:t>
      </w:r>
      <w:r w:rsidRPr="00DD4E6E">
        <w:rPr>
          <w:lang w:val="en-AU"/>
        </w:rPr>
        <w:t xml:space="preserve"> up </w:t>
      </w:r>
      <w:r w:rsidR="003A578C" w:rsidRPr="00DD4E6E">
        <w:rPr>
          <w:lang w:val="en-AU"/>
        </w:rPr>
        <w:t xml:space="preserve">and manage </w:t>
      </w:r>
      <w:r w:rsidRPr="00DD4E6E">
        <w:rPr>
          <w:lang w:val="en-AU"/>
        </w:rPr>
        <w:t>app</w:t>
      </w:r>
      <w:r w:rsidR="003A578C" w:rsidRPr="00DD4E6E">
        <w:rPr>
          <w:lang w:val="en-AU"/>
        </w:rPr>
        <w:t>ropriate contracts</w:t>
      </w:r>
      <w:r w:rsidRPr="00DD4E6E">
        <w:rPr>
          <w:lang w:val="en-AU"/>
        </w:rPr>
        <w:t>.</w:t>
      </w:r>
      <w:r w:rsidRPr="00DD4E6E">
        <w:rPr>
          <w:rStyle w:val="EndnoteReference"/>
          <w:lang w:val="en-AU"/>
        </w:rPr>
        <w:endnoteReference w:id="14"/>
      </w:r>
      <w:r w:rsidRPr="00DD4E6E">
        <w:rPr>
          <w:lang w:val="en-AU"/>
        </w:rPr>
        <w:t xml:space="preserve"> </w:t>
      </w:r>
      <w:r w:rsidR="007A46C6" w:rsidRPr="00DD4E6E">
        <w:rPr>
          <w:lang w:val="en-AU"/>
        </w:rPr>
        <w:t xml:space="preserve"> </w:t>
      </w:r>
      <w:r w:rsidR="00434BDA" w:rsidRPr="00DD4E6E">
        <w:rPr>
          <w:lang w:val="en-AU"/>
        </w:rPr>
        <w:t>As a result:</w:t>
      </w:r>
    </w:p>
    <w:p w:rsidR="00165108" w:rsidRPr="00DD4E6E" w:rsidRDefault="00375106" w:rsidP="002D4D3E">
      <w:pPr>
        <w:pStyle w:val="ListParagraph"/>
      </w:pPr>
      <w:r w:rsidRPr="00DD4E6E">
        <w:t xml:space="preserve">PHN </w:t>
      </w:r>
      <w:r w:rsidR="00E85557" w:rsidRPr="00DD4E6E">
        <w:t>B</w:t>
      </w:r>
      <w:r w:rsidR="003B4B97" w:rsidRPr="00DD4E6E">
        <w:t xml:space="preserve">oards </w:t>
      </w:r>
      <w:r w:rsidR="00E26C6A" w:rsidRPr="00DD4E6E">
        <w:t xml:space="preserve">need to be </w:t>
      </w:r>
      <w:r w:rsidR="003B4B97" w:rsidRPr="00DD4E6E">
        <w:t xml:space="preserve">aware of and </w:t>
      </w:r>
      <w:r w:rsidR="00E41FA8" w:rsidRPr="00DD4E6E">
        <w:t xml:space="preserve">fully </w:t>
      </w:r>
      <w:r w:rsidR="003B4B97" w:rsidRPr="00DD4E6E">
        <w:t>un</w:t>
      </w:r>
      <w:r w:rsidR="00E41FA8" w:rsidRPr="00DD4E6E">
        <w:t>derstand the commissioning role</w:t>
      </w:r>
      <w:r w:rsidR="00F532FB" w:rsidRPr="00DD4E6E">
        <w:t xml:space="preserve">, </w:t>
      </w:r>
      <w:r w:rsidR="00F42991" w:rsidRPr="00DD4E6E">
        <w:t>an</w:t>
      </w:r>
      <w:r w:rsidRPr="00DD4E6E">
        <w:t xml:space="preserve">d how to involve both </w:t>
      </w:r>
      <w:r w:rsidR="005F5ECD" w:rsidRPr="00DD4E6E">
        <w:t>Clinical</w:t>
      </w:r>
      <w:r w:rsidR="003B4B97" w:rsidRPr="00DD4E6E">
        <w:t xml:space="preserve"> </w:t>
      </w:r>
      <w:r w:rsidR="00E41FA8" w:rsidRPr="00DD4E6E">
        <w:t>Co</w:t>
      </w:r>
      <w:r w:rsidR="003B4B97" w:rsidRPr="00DD4E6E">
        <w:t>uncils and Community Advisory Committees</w:t>
      </w:r>
      <w:r w:rsidR="00F42991" w:rsidRPr="00DD4E6E">
        <w:t xml:space="preserve"> in the development of the plan</w:t>
      </w:r>
      <w:r w:rsidR="00BC3D41" w:rsidRPr="00DD4E6E">
        <w:t xml:space="preserve">. The role of PHN </w:t>
      </w:r>
      <w:r w:rsidR="00E85557" w:rsidRPr="00DD4E6E">
        <w:t>B</w:t>
      </w:r>
      <w:r w:rsidR="00BC3D41" w:rsidRPr="00DD4E6E">
        <w:t>oards in leading change in primary care is discussed at</w:t>
      </w:r>
      <w:r w:rsidR="000C7B82" w:rsidRPr="00DD4E6E">
        <w:t xml:space="preserve"> </w:t>
      </w:r>
      <w:r w:rsidR="00BC3D41" w:rsidRPr="00DD4E6E">
        <w:t xml:space="preserve">length in the recent publication by </w:t>
      </w:r>
      <w:proofErr w:type="spellStart"/>
      <w:r w:rsidR="00BC3D41" w:rsidRPr="00DD4E6E">
        <w:t>Duckett</w:t>
      </w:r>
      <w:proofErr w:type="spellEnd"/>
      <w:r w:rsidR="00BC3D41" w:rsidRPr="00DD4E6E">
        <w:t xml:space="preserve"> et al</w:t>
      </w:r>
      <w:r w:rsidR="00E41FA8" w:rsidRPr="00DD4E6E">
        <w:t>;</w:t>
      </w:r>
      <w:r w:rsidR="00BC3D41" w:rsidRPr="00DD4E6E">
        <w:rPr>
          <w:rStyle w:val="EndnoteReference"/>
        </w:rPr>
        <w:endnoteReference w:id="15"/>
      </w:r>
    </w:p>
    <w:p w:rsidR="00434BDA" w:rsidRPr="00DD4E6E" w:rsidRDefault="00AC42F4" w:rsidP="002D4D3E">
      <w:pPr>
        <w:pStyle w:val="ListParagraph"/>
      </w:pPr>
      <w:r w:rsidRPr="00DD4E6E">
        <w:t>planned activities should seek to leverage available resources, and demonstrate the PHN’s role as a leader in health system improvement</w:t>
      </w:r>
      <w:r w:rsidR="00434BDA" w:rsidRPr="00DD4E6E">
        <w:t xml:space="preserve"> and part of a regional health leadership team that includes individuals and both government and non-government agencies</w:t>
      </w:r>
      <w:r w:rsidRPr="00DD4E6E">
        <w:t>; and</w:t>
      </w:r>
      <w:r w:rsidR="00691DB3" w:rsidRPr="00DD4E6E">
        <w:t xml:space="preserve"> </w:t>
      </w:r>
    </w:p>
    <w:p w:rsidR="00E26C6A" w:rsidRPr="00DD4E6E" w:rsidRDefault="00E26C6A" w:rsidP="002D4D3E">
      <w:pPr>
        <w:pStyle w:val="ListParagraph"/>
      </w:pPr>
      <w:r w:rsidRPr="00DD4E6E">
        <w:t>PHNs need to carefully consider the skills and competencies required for successful commissioning</w:t>
      </w:r>
      <w:r w:rsidR="00F532FB" w:rsidRPr="00DD4E6E">
        <w:t xml:space="preserve">, and to ensure that </w:t>
      </w:r>
      <w:r w:rsidR="00F42991" w:rsidRPr="00DD4E6E">
        <w:t xml:space="preserve">the organisation has plans for </w:t>
      </w:r>
      <w:r w:rsidR="001069CC" w:rsidRPr="00DD4E6E">
        <w:t>building</w:t>
      </w:r>
      <w:r w:rsidR="00F42991" w:rsidRPr="00DD4E6E">
        <w:t xml:space="preserve">, buying or sharing the capability to </w:t>
      </w:r>
      <w:r w:rsidR="001069CC" w:rsidRPr="00DD4E6E">
        <w:t>undertake</w:t>
      </w:r>
      <w:r w:rsidR="00F42991" w:rsidRPr="00DD4E6E">
        <w:t xml:space="preserve"> the proposed activities.</w:t>
      </w:r>
    </w:p>
    <w:p w:rsidR="00F9495E" w:rsidRDefault="00F9495E" w:rsidP="009B5A1D">
      <w:pPr>
        <w:pStyle w:val="Heading3"/>
      </w:pPr>
      <w:bookmarkStart w:id="21" w:name="_Toc458775169"/>
      <w:r>
        <w:t>Engagement and consultation</w:t>
      </w:r>
      <w:r w:rsidR="003E3070">
        <w:t>, autonomy and responsibility</w:t>
      </w:r>
      <w:bookmarkEnd w:id="21"/>
    </w:p>
    <w:p w:rsidR="0001485E" w:rsidRPr="00DD4E6E" w:rsidRDefault="0001485E" w:rsidP="0001485E">
      <w:pPr>
        <w:rPr>
          <w:lang w:val="en-AU"/>
        </w:rPr>
      </w:pPr>
    </w:p>
    <w:p w:rsidR="00F9495E" w:rsidRPr="005965EF" w:rsidRDefault="00F9495E" w:rsidP="005D7281">
      <w:pPr>
        <w:ind w:left="720"/>
        <w:rPr>
          <w:szCs w:val="22"/>
          <w:lang w:val="en-AU"/>
        </w:rPr>
      </w:pPr>
      <w:r w:rsidRPr="005965EF">
        <w:rPr>
          <w:szCs w:val="22"/>
        </w:rPr>
        <w:t>Relational aspects are important to successful commissioning, especially when implementing difficult decisions around service redesign. The evidence suggests that leaders need to work collectively across stakeholder groups and organisations, operating with political ‘astuteness’.</w:t>
      </w:r>
      <w:r w:rsidRPr="005965EF">
        <w:rPr>
          <w:szCs w:val="22"/>
          <w:vertAlign w:val="superscript"/>
        </w:rPr>
        <w:endnoteReference w:id="16"/>
      </w:r>
    </w:p>
    <w:p w:rsidR="00213422" w:rsidRPr="005965EF" w:rsidRDefault="00213422" w:rsidP="005D7281">
      <w:pPr>
        <w:rPr>
          <w:szCs w:val="22"/>
          <w:lang w:val="en-AU"/>
        </w:rPr>
      </w:pPr>
    </w:p>
    <w:p w:rsidR="00F9495E" w:rsidRPr="005965EF" w:rsidRDefault="00D53F2D" w:rsidP="005D7281">
      <w:pPr>
        <w:ind w:left="720"/>
        <w:rPr>
          <w:szCs w:val="22"/>
        </w:rPr>
      </w:pPr>
      <w:r w:rsidRPr="005965EF">
        <w:rPr>
          <w:szCs w:val="22"/>
        </w:rPr>
        <w:t xml:space="preserve">Engaging clinicians in developing outcomes is important to ensure their longer-term buy-in to the transformation programme and to its ultimate success. Similarly, agreeing outcomes in consultation with patients, </w:t>
      </w:r>
      <w:proofErr w:type="spellStart"/>
      <w:r w:rsidRPr="005965EF">
        <w:rPr>
          <w:szCs w:val="22"/>
        </w:rPr>
        <w:t>carers</w:t>
      </w:r>
      <w:proofErr w:type="spellEnd"/>
      <w:r w:rsidRPr="005965EF">
        <w:rPr>
          <w:szCs w:val="22"/>
        </w:rPr>
        <w:t xml:space="preserve"> and the wider community is vital for developing and communicating the focus and ambition of the programme, rather than being driven by contract and procurement technicalities. Commissioners and others involved in the programme must have a clear understanding of the desired outcomes and be able to articulate them to a range of audiences.</w:t>
      </w:r>
      <w:r w:rsidRPr="005965EF">
        <w:rPr>
          <w:rStyle w:val="EndnoteReference"/>
          <w:szCs w:val="22"/>
        </w:rPr>
        <w:endnoteReference w:id="17"/>
      </w:r>
    </w:p>
    <w:p w:rsidR="00EB2E55" w:rsidRPr="00DD4E6E" w:rsidRDefault="00EB2E55">
      <w:pPr>
        <w:spacing w:line="240" w:lineRule="auto"/>
        <w:jc w:val="left"/>
        <w:rPr>
          <w:lang w:val="en-AU"/>
        </w:rPr>
      </w:pPr>
      <w:r w:rsidRPr="00DD4E6E">
        <w:rPr>
          <w:lang w:val="en-AU"/>
        </w:rPr>
        <w:br w:type="page"/>
      </w:r>
    </w:p>
    <w:p w:rsidR="00213422" w:rsidRPr="00DD4E6E" w:rsidRDefault="00F9495E" w:rsidP="005D7281">
      <w:pPr>
        <w:rPr>
          <w:szCs w:val="22"/>
          <w:lang w:val="en-AU"/>
        </w:rPr>
      </w:pPr>
      <w:r w:rsidRPr="00DD4E6E">
        <w:rPr>
          <w:lang w:val="en-AU"/>
        </w:rPr>
        <w:lastRenderedPageBreak/>
        <w:t xml:space="preserve">In a </w:t>
      </w:r>
      <w:r w:rsidR="0001485E" w:rsidRPr="00DD4E6E">
        <w:rPr>
          <w:lang w:val="en-AU"/>
        </w:rPr>
        <w:t>PHN commissioning environment</w:t>
      </w:r>
      <w:r w:rsidR="00AE6CC4" w:rsidRPr="00DD4E6E">
        <w:rPr>
          <w:lang w:val="en-AU"/>
        </w:rPr>
        <w:t>,</w:t>
      </w:r>
      <w:r w:rsidR="0001485E" w:rsidRPr="00DD4E6E">
        <w:rPr>
          <w:lang w:val="en-AU"/>
        </w:rPr>
        <w:t xml:space="preserve"> the nature of e</w:t>
      </w:r>
      <w:r w:rsidRPr="00DD4E6E">
        <w:rPr>
          <w:lang w:val="en-AU"/>
        </w:rPr>
        <w:t xml:space="preserve">ngagement with communities, </w:t>
      </w:r>
      <w:r w:rsidR="00AC42F4" w:rsidRPr="00DD4E6E">
        <w:rPr>
          <w:lang w:val="en-AU"/>
        </w:rPr>
        <w:t xml:space="preserve">clinicians, service providers and other </w:t>
      </w:r>
      <w:r w:rsidRPr="00DD4E6E">
        <w:rPr>
          <w:lang w:val="en-AU"/>
        </w:rPr>
        <w:t>stakeholders</w:t>
      </w:r>
      <w:r w:rsidR="00AC42F4" w:rsidRPr="00DD4E6E">
        <w:rPr>
          <w:lang w:val="en-AU"/>
        </w:rPr>
        <w:t xml:space="preserve"> will be different</w:t>
      </w:r>
      <w:r w:rsidR="007A46C6" w:rsidRPr="00DD4E6E">
        <w:rPr>
          <w:lang w:val="en-AU"/>
        </w:rPr>
        <w:t xml:space="preserve"> where the PHN commissions</w:t>
      </w:r>
      <w:r w:rsidR="00024853" w:rsidRPr="00DD4E6E">
        <w:rPr>
          <w:lang w:val="en-AU"/>
        </w:rPr>
        <w:t xml:space="preserve"> </w:t>
      </w:r>
      <w:r w:rsidR="007A46C6" w:rsidRPr="00DD4E6E">
        <w:rPr>
          <w:lang w:val="en-AU"/>
        </w:rPr>
        <w:t>rather than provides services</w:t>
      </w:r>
      <w:r w:rsidR="00AC42F4" w:rsidRPr="00DD4E6E">
        <w:rPr>
          <w:lang w:val="en-AU"/>
        </w:rPr>
        <w:t>.</w:t>
      </w:r>
      <w:r w:rsidRPr="00DD4E6E">
        <w:rPr>
          <w:lang w:val="en-AU"/>
        </w:rPr>
        <w:t xml:space="preserve"> </w:t>
      </w:r>
      <w:r w:rsidR="00AC42F4" w:rsidRPr="00DD4E6E">
        <w:rPr>
          <w:lang w:val="en-AU"/>
        </w:rPr>
        <w:t xml:space="preserve">Commissioning </w:t>
      </w:r>
      <w:r w:rsidR="00AC42F4" w:rsidRPr="00DD4E6E">
        <w:rPr>
          <w:szCs w:val="22"/>
          <w:lang w:val="en-AU"/>
        </w:rPr>
        <w:t xml:space="preserve">allows both the PHN and potential service providers to work together in the development </w:t>
      </w:r>
      <w:r w:rsidR="005F5ECD" w:rsidRPr="00DD4E6E">
        <w:rPr>
          <w:szCs w:val="22"/>
          <w:lang w:val="en-AU"/>
        </w:rPr>
        <w:t>of different</w:t>
      </w:r>
      <w:r w:rsidR="00AC42F4" w:rsidRPr="00DD4E6E">
        <w:rPr>
          <w:szCs w:val="22"/>
          <w:lang w:val="en-AU"/>
        </w:rPr>
        <w:t xml:space="preserve"> approaches and new, flexible and innovative service delivery methods.</w:t>
      </w:r>
      <w:r w:rsidR="00AC42F4" w:rsidRPr="00DD4E6E">
        <w:rPr>
          <w:rStyle w:val="EndnoteReference"/>
          <w:szCs w:val="22"/>
          <w:lang w:val="en-AU"/>
        </w:rPr>
        <w:endnoteReference w:id="18"/>
      </w:r>
    </w:p>
    <w:p w:rsidR="00213422" w:rsidRPr="00DD4E6E" w:rsidRDefault="00213422" w:rsidP="005D7281">
      <w:pPr>
        <w:rPr>
          <w:szCs w:val="22"/>
          <w:lang w:val="en-AU"/>
        </w:rPr>
      </w:pPr>
    </w:p>
    <w:p w:rsidR="00213422" w:rsidRPr="00DD4E6E" w:rsidRDefault="00AC42F4" w:rsidP="005D7281">
      <w:pPr>
        <w:rPr>
          <w:lang w:val="en-AU"/>
        </w:rPr>
      </w:pPr>
      <w:r w:rsidRPr="00DD4E6E">
        <w:rPr>
          <w:szCs w:val="22"/>
          <w:lang w:val="en-AU"/>
        </w:rPr>
        <w:t>As a result</w:t>
      </w:r>
      <w:r w:rsidR="00165108" w:rsidRPr="00DD4E6E">
        <w:rPr>
          <w:szCs w:val="22"/>
          <w:lang w:val="en-AU"/>
        </w:rPr>
        <w:t>,</w:t>
      </w:r>
      <w:r w:rsidRPr="00DD4E6E">
        <w:rPr>
          <w:szCs w:val="22"/>
          <w:lang w:val="en-AU"/>
        </w:rPr>
        <w:t xml:space="preserve"> </w:t>
      </w:r>
      <w:r w:rsidRPr="00DD4E6E">
        <w:t>plan development needs to be built on collaboration with providers and other local partners, as effective commissioni</w:t>
      </w:r>
      <w:r w:rsidR="00E80E77" w:rsidRPr="00DD4E6E">
        <w:t xml:space="preserve">ng </w:t>
      </w:r>
      <w:r w:rsidRPr="00DD4E6E">
        <w:t>involves nurturing relationships as well as formal structures.</w:t>
      </w:r>
      <w:r w:rsidR="00213422" w:rsidRPr="00DD4E6E">
        <w:t xml:space="preserve"> </w:t>
      </w:r>
      <w:r w:rsidR="00213422" w:rsidRPr="00DD4E6E">
        <w:rPr>
          <w:lang w:val="en-AU"/>
        </w:rPr>
        <w:t xml:space="preserve">Clinical Councils and Community Advisory Committees are a crucial element in engagement, but not the only one. </w:t>
      </w:r>
    </w:p>
    <w:p w:rsidR="00213422" w:rsidRPr="00DD4E6E" w:rsidRDefault="00213422" w:rsidP="005D7281">
      <w:pPr>
        <w:rPr>
          <w:lang w:val="en-AU"/>
        </w:rPr>
      </w:pPr>
    </w:p>
    <w:p w:rsidR="00F9495E" w:rsidRPr="00DD4E6E" w:rsidRDefault="00A10606" w:rsidP="005D7281">
      <w:r w:rsidRPr="00DD4E6E">
        <w:t xml:space="preserve">Engagement and consultation will be critical </w:t>
      </w:r>
      <w:r w:rsidR="005F5ECD" w:rsidRPr="00DD4E6E">
        <w:t>in</w:t>
      </w:r>
      <w:r w:rsidRPr="00DD4E6E">
        <w:t xml:space="preserve"> both </w:t>
      </w:r>
      <w:r w:rsidR="00950647" w:rsidRPr="00DD4E6E">
        <w:t xml:space="preserve">the development and implementation of </w:t>
      </w:r>
      <w:r w:rsidRPr="00DD4E6E">
        <w:t>plan</w:t>
      </w:r>
      <w:r w:rsidR="00950647" w:rsidRPr="00DD4E6E">
        <w:t>s</w:t>
      </w:r>
      <w:r w:rsidR="00DC218A" w:rsidRPr="00DD4E6E">
        <w:t>.</w:t>
      </w:r>
      <w:r w:rsidRPr="00DD4E6E">
        <w:t xml:space="preserve"> A number of PHN activities will involve </w:t>
      </w:r>
      <w:r w:rsidR="00F9495E" w:rsidRPr="00DD4E6E">
        <w:rPr>
          <w:lang w:val="en-AU"/>
        </w:rPr>
        <w:t>service transformation, transfiguration, modification or decommissioning.</w:t>
      </w:r>
      <w:r w:rsidR="00DC218A" w:rsidRPr="00DD4E6E">
        <w:rPr>
          <w:lang w:val="en-AU"/>
        </w:rPr>
        <w:t xml:space="preserve"> </w:t>
      </w:r>
      <w:r w:rsidR="00B853F3" w:rsidRPr="00DD4E6E">
        <w:rPr>
          <w:lang w:val="en-AU"/>
        </w:rPr>
        <w:t xml:space="preserve">This is likely to have substantial impact on both providers and consumers, many of whom will not, as yet, have a fully developed understanding of the PHN’s </w:t>
      </w:r>
      <w:r w:rsidR="005F5ECD" w:rsidRPr="00DD4E6E">
        <w:rPr>
          <w:lang w:val="en-AU"/>
        </w:rPr>
        <w:t>commissioning</w:t>
      </w:r>
      <w:r w:rsidR="00DC218A" w:rsidRPr="00DD4E6E">
        <w:rPr>
          <w:lang w:val="en-AU"/>
        </w:rPr>
        <w:t xml:space="preserve"> role. </w:t>
      </w:r>
      <w:r w:rsidR="00B853F3" w:rsidRPr="00DD4E6E">
        <w:t>E</w:t>
      </w:r>
      <w:r w:rsidR="00F9495E" w:rsidRPr="00DD4E6E">
        <w:t xml:space="preserve">ffective commissioning needs to </w:t>
      </w:r>
      <w:r w:rsidR="00B853F3" w:rsidRPr="00DD4E6E">
        <w:t xml:space="preserve">focus on </w:t>
      </w:r>
      <w:r w:rsidR="00F9495E" w:rsidRPr="00DD4E6E">
        <w:t xml:space="preserve">relational aspects, </w:t>
      </w:r>
      <w:r w:rsidR="00B853F3" w:rsidRPr="00DD4E6E">
        <w:t xml:space="preserve">and the plan is a means of articulating </w:t>
      </w:r>
      <w:r w:rsidR="00F9495E" w:rsidRPr="00DD4E6E">
        <w:t xml:space="preserve">a shared purpose and </w:t>
      </w:r>
      <w:r w:rsidR="00B853F3" w:rsidRPr="00DD4E6E">
        <w:t>a process</w:t>
      </w:r>
      <w:r w:rsidR="00F9495E" w:rsidRPr="00DD4E6E">
        <w:t xml:space="preserve"> towards achieving it.</w:t>
      </w:r>
      <w:r w:rsidR="00F9495E" w:rsidRPr="00DD4E6E">
        <w:rPr>
          <w:rStyle w:val="EndnoteReference"/>
          <w:szCs w:val="20"/>
        </w:rPr>
        <w:endnoteReference w:id="19"/>
      </w:r>
    </w:p>
    <w:p w:rsidR="00F9495E" w:rsidRPr="00AE6CC4" w:rsidRDefault="00F9495E" w:rsidP="005D7281">
      <w:pPr>
        <w:rPr>
          <w:sz w:val="20"/>
          <w:szCs w:val="20"/>
        </w:rPr>
      </w:pPr>
    </w:p>
    <w:p w:rsidR="000F32D6" w:rsidRPr="00DD4E6E" w:rsidRDefault="00F23296" w:rsidP="005D7281">
      <w:pPr>
        <w:rPr>
          <w:lang w:val="en-AU"/>
        </w:rPr>
      </w:pPr>
      <w:r w:rsidRPr="00DD4E6E">
        <w:rPr>
          <w:szCs w:val="22"/>
        </w:rPr>
        <w:t>E</w:t>
      </w:r>
      <w:r w:rsidR="000F32D6" w:rsidRPr="00DD4E6E">
        <w:rPr>
          <w:szCs w:val="22"/>
        </w:rPr>
        <w:t>ngagement and consu</w:t>
      </w:r>
      <w:r w:rsidRPr="00DD4E6E">
        <w:rPr>
          <w:szCs w:val="22"/>
        </w:rPr>
        <w:t>ltatio</w:t>
      </w:r>
      <w:r w:rsidR="00DC218A" w:rsidRPr="00DD4E6E">
        <w:rPr>
          <w:szCs w:val="22"/>
        </w:rPr>
        <w:t xml:space="preserve">n are critical. </w:t>
      </w:r>
      <w:r w:rsidRPr="00DD4E6E">
        <w:rPr>
          <w:szCs w:val="22"/>
        </w:rPr>
        <w:t xml:space="preserve">Beyond this, however, </w:t>
      </w:r>
      <w:r w:rsidR="000F32D6" w:rsidRPr="00DD4E6E">
        <w:rPr>
          <w:szCs w:val="22"/>
        </w:rPr>
        <w:t xml:space="preserve">commissioning a flexible funding program provides PHNs </w:t>
      </w:r>
      <w:r w:rsidRPr="00DD4E6E">
        <w:rPr>
          <w:szCs w:val="22"/>
        </w:rPr>
        <w:t xml:space="preserve">with </w:t>
      </w:r>
      <w:r w:rsidR="000F32D6" w:rsidRPr="00DD4E6E">
        <w:rPr>
          <w:szCs w:val="22"/>
        </w:rPr>
        <w:t xml:space="preserve">autonomy and </w:t>
      </w:r>
      <w:r w:rsidRPr="00DD4E6E">
        <w:rPr>
          <w:szCs w:val="22"/>
        </w:rPr>
        <w:t xml:space="preserve">requires </w:t>
      </w:r>
      <w:r w:rsidR="000F32D6" w:rsidRPr="00DD4E6E">
        <w:rPr>
          <w:szCs w:val="22"/>
        </w:rPr>
        <w:t xml:space="preserve">responsibility: autonomy to develop and commission new approaches to health care, and the responsibility </w:t>
      </w:r>
      <w:r w:rsidR="000F32D6" w:rsidRPr="00DD4E6E">
        <w:rPr>
          <w:lang w:val="en-AU"/>
        </w:rPr>
        <w:t>for addressing issues which may previously have been considered at the national level as part of the design o</w:t>
      </w:r>
      <w:r w:rsidR="00DC218A" w:rsidRPr="00DD4E6E">
        <w:rPr>
          <w:lang w:val="en-AU"/>
        </w:rPr>
        <w:t xml:space="preserve">f more traditional programs. </w:t>
      </w:r>
      <w:r w:rsidR="000F32D6" w:rsidRPr="00DD4E6E">
        <w:rPr>
          <w:lang w:val="en-AU"/>
        </w:rPr>
        <w:t xml:space="preserve">This includes the need to ensure that activities proposed in the plan </w:t>
      </w:r>
      <w:r w:rsidR="002942CA" w:rsidRPr="00DD4E6E">
        <w:rPr>
          <w:lang w:val="en-AU"/>
        </w:rPr>
        <w:t>reflect all the dimensions of quality</w:t>
      </w:r>
      <w:r w:rsidR="00FD61F8" w:rsidRPr="00DD4E6E">
        <w:rPr>
          <w:lang w:val="en-AU"/>
        </w:rPr>
        <w:t xml:space="preserve"> and clinical safety</w:t>
      </w:r>
      <w:r w:rsidR="002942CA" w:rsidRPr="00DD4E6E">
        <w:rPr>
          <w:lang w:val="en-AU"/>
        </w:rPr>
        <w:t>, are</w:t>
      </w:r>
      <w:r w:rsidR="000F32D6" w:rsidRPr="00DD4E6E">
        <w:rPr>
          <w:lang w:val="en-AU"/>
        </w:rPr>
        <w:t xml:space="preserve"> appropriate and acceptable to their communities, </w:t>
      </w:r>
      <w:r w:rsidR="002942CA" w:rsidRPr="00DD4E6E">
        <w:rPr>
          <w:lang w:val="en-AU"/>
        </w:rPr>
        <w:t xml:space="preserve">based on evidence, </w:t>
      </w:r>
      <w:r w:rsidR="000F32D6" w:rsidRPr="00DD4E6E">
        <w:rPr>
          <w:lang w:val="en-AU"/>
        </w:rPr>
        <w:t xml:space="preserve">support patient choice, </w:t>
      </w:r>
      <w:r w:rsidR="005F5ECD" w:rsidRPr="00DD4E6E">
        <w:rPr>
          <w:lang w:val="en-AU"/>
        </w:rPr>
        <w:t>and promote</w:t>
      </w:r>
      <w:r w:rsidR="002942CA" w:rsidRPr="00DD4E6E">
        <w:rPr>
          <w:lang w:val="en-AU"/>
        </w:rPr>
        <w:t xml:space="preserve"> equity and so on.</w:t>
      </w:r>
      <w:r w:rsidR="002942CA" w:rsidRPr="00DD4E6E">
        <w:rPr>
          <w:rStyle w:val="EndnoteReference"/>
          <w:lang w:val="en-AU"/>
        </w:rPr>
        <w:endnoteReference w:id="20"/>
      </w:r>
    </w:p>
    <w:p w:rsidR="00525F16" w:rsidRDefault="00525F16">
      <w:pPr>
        <w:spacing w:line="240" w:lineRule="auto"/>
        <w:jc w:val="left"/>
        <w:rPr>
          <w:rFonts w:ascii="Calibri Light" w:hAnsi="Calibri Light" w:cs="Arial"/>
          <w:bCs/>
          <w:color w:val="003D69"/>
          <w:sz w:val="26"/>
          <w:szCs w:val="26"/>
          <w:lang w:val="en-AU"/>
        </w:rPr>
      </w:pPr>
    </w:p>
    <w:p w:rsidR="000F34F7" w:rsidRDefault="000F07F9" w:rsidP="00DC218A">
      <w:pPr>
        <w:pStyle w:val="Heading3"/>
        <w:spacing w:before="120"/>
      </w:pPr>
      <w:bookmarkStart w:id="22" w:name="_Toc458775170"/>
      <w:r>
        <w:t>P</w:t>
      </w:r>
      <w:r w:rsidR="00573A60">
        <w:t>riority setting</w:t>
      </w:r>
      <w:r>
        <w:t xml:space="preserve"> and decision making</w:t>
      </w:r>
      <w:bookmarkEnd w:id="22"/>
    </w:p>
    <w:p w:rsidR="00F7107C" w:rsidRPr="00DD4E6E" w:rsidRDefault="00F7107C" w:rsidP="00DC218A">
      <w:pPr>
        <w:spacing w:before="120" w:after="120" w:line="240" w:lineRule="auto"/>
        <w:ind w:left="720"/>
        <w:rPr>
          <w:color w:val="003D69"/>
          <w:szCs w:val="22"/>
        </w:rPr>
      </w:pPr>
    </w:p>
    <w:p w:rsidR="00953A84" w:rsidRPr="005965EF" w:rsidRDefault="00573A60" w:rsidP="00DC218A">
      <w:pPr>
        <w:spacing w:before="120" w:after="120" w:line="240" w:lineRule="auto"/>
        <w:ind w:left="720"/>
        <w:rPr>
          <w:szCs w:val="22"/>
          <w:lang w:val="en-AU"/>
        </w:rPr>
      </w:pPr>
      <w:r w:rsidRPr="005965EF">
        <w:rPr>
          <w:szCs w:val="22"/>
        </w:rPr>
        <w:t xml:space="preserve">Priority setting is a fundamental part of the commissioning function. However, it is not a single activity but rather involves a series of distributed tasks. Although commissioners are expected to undertake priority setting activities, they are rarely in a position to take control over all of its dimensions. </w:t>
      </w:r>
      <w:r w:rsidR="003416A3" w:rsidRPr="005965EF">
        <w:rPr>
          <w:szCs w:val="22"/>
          <w:lang w:val="en-AU"/>
        </w:rPr>
        <w:t>Priority setting describes decisions about the allocation of resources between the competing claims of different services, different patient groups or different elements of care</w:t>
      </w:r>
      <w:r w:rsidR="00297D7E" w:rsidRPr="005965EF">
        <w:rPr>
          <w:szCs w:val="22"/>
          <w:lang w:val="en-AU"/>
        </w:rPr>
        <w:t>…</w:t>
      </w:r>
      <w:r w:rsidR="00015206" w:rsidRPr="005965EF">
        <w:rPr>
          <w:szCs w:val="22"/>
          <w:lang w:val="en-AU"/>
        </w:rPr>
        <w:t xml:space="preserve"> </w:t>
      </w:r>
    </w:p>
    <w:p w:rsidR="00573A60" w:rsidRPr="005965EF" w:rsidRDefault="00297D7E" w:rsidP="00015206">
      <w:pPr>
        <w:spacing w:after="240" w:line="240" w:lineRule="auto"/>
        <w:ind w:left="720"/>
        <w:rPr>
          <w:szCs w:val="22"/>
          <w:lang w:val="en-AU"/>
        </w:rPr>
      </w:pPr>
      <w:r w:rsidRPr="005965EF">
        <w:rPr>
          <w:szCs w:val="22"/>
          <w:lang w:val="en-AU"/>
        </w:rPr>
        <w:t>Prioritisation is not a purely mechanistic process. In practice, prioritisation decisions are heavily influenced by a range of factors. As well as the national or more ‘objective’ policies or protocols, commissioning decisions are driven by providers (particularly clinical decision-making and referral patterns), historical commissioning patterns, political arguments and public opinion. Policy-makers and commissioners should seek to understand the range of features that impact on commissioning decisions, in order to be transparent and minimise their influence where possible.</w:t>
      </w:r>
      <w:r w:rsidR="00573A60" w:rsidRPr="005965EF">
        <w:rPr>
          <w:rStyle w:val="EndnoteReference"/>
          <w:szCs w:val="22"/>
        </w:rPr>
        <w:endnoteReference w:id="21"/>
      </w:r>
    </w:p>
    <w:p w:rsidR="00EB2E55" w:rsidRPr="00DD4E6E" w:rsidRDefault="00EB2E55">
      <w:pPr>
        <w:spacing w:line="240" w:lineRule="auto"/>
        <w:jc w:val="left"/>
        <w:rPr>
          <w:lang w:val="en-AU"/>
        </w:rPr>
      </w:pPr>
      <w:r w:rsidRPr="00DD4E6E">
        <w:rPr>
          <w:lang w:val="en-AU"/>
        </w:rPr>
        <w:br w:type="page"/>
      </w:r>
    </w:p>
    <w:p w:rsidR="00DC218A" w:rsidRPr="00DD4E6E" w:rsidRDefault="00953A84" w:rsidP="005D7281">
      <w:pPr>
        <w:rPr>
          <w:lang w:val="en-AU"/>
        </w:rPr>
      </w:pPr>
      <w:r w:rsidRPr="00DD4E6E">
        <w:rPr>
          <w:lang w:val="en-AU"/>
        </w:rPr>
        <w:lastRenderedPageBreak/>
        <w:t xml:space="preserve">Priority setting is a key feature of the planning process. </w:t>
      </w:r>
      <w:r w:rsidR="00DD32D9" w:rsidRPr="00DD4E6E">
        <w:rPr>
          <w:lang w:val="en-AU"/>
        </w:rPr>
        <w:t xml:space="preserve">Examples of </w:t>
      </w:r>
      <w:r w:rsidR="00DD32D9" w:rsidRPr="00DD4E6E">
        <w:t>tools that can support commissioners in setting priorities are includ</w:t>
      </w:r>
      <w:r w:rsidR="00DC218A" w:rsidRPr="00DD4E6E">
        <w:t>ed in the accompanying toolkit.</w:t>
      </w:r>
      <w:r w:rsidR="00DD32D9" w:rsidRPr="00DD4E6E">
        <w:t xml:space="preserve"> Priority setting</w:t>
      </w:r>
      <w:r w:rsidRPr="00DD4E6E">
        <w:rPr>
          <w:lang w:val="en-AU"/>
        </w:rPr>
        <w:t xml:space="preserve"> is covered in some detail in the </w:t>
      </w:r>
      <w:r w:rsidR="00C52216" w:rsidRPr="00DD4E6E">
        <w:rPr>
          <w:lang w:val="en-AU"/>
        </w:rPr>
        <w:t>literature and evidence review on commissioning</w:t>
      </w:r>
      <w:r w:rsidR="00DC218A" w:rsidRPr="00DD4E6E">
        <w:rPr>
          <w:lang w:val="en-AU"/>
        </w:rPr>
        <w:t xml:space="preserve"> </w:t>
      </w:r>
      <w:r w:rsidRPr="00DD4E6E">
        <w:rPr>
          <w:lang w:val="en-AU"/>
        </w:rPr>
        <w:t xml:space="preserve">prepared for the Department by </w:t>
      </w:r>
      <w:r w:rsidR="00AE6CC4" w:rsidRPr="00DD4E6E">
        <w:rPr>
          <w:lang w:val="en-AU"/>
        </w:rPr>
        <w:t>T</w:t>
      </w:r>
      <w:r w:rsidRPr="00DD4E6E">
        <w:rPr>
          <w:lang w:val="en-AU"/>
        </w:rPr>
        <w:t>he King’s Fund</w:t>
      </w:r>
      <w:r w:rsidR="00686116" w:rsidRPr="00DD4E6E">
        <w:rPr>
          <w:lang w:val="en-AU"/>
        </w:rPr>
        <w:t xml:space="preserve"> and University of Melbourne</w:t>
      </w:r>
      <w:r w:rsidR="00AE6CC4" w:rsidRPr="00DD4E6E">
        <w:rPr>
          <w:lang w:val="en-AU"/>
        </w:rPr>
        <w:t>, in alliance with PwC</w:t>
      </w:r>
      <w:r w:rsidR="00056335" w:rsidRPr="00DD4E6E">
        <w:rPr>
          <w:lang w:val="en-AU"/>
        </w:rPr>
        <w:t>.</w:t>
      </w:r>
      <w:r w:rsidR="00AE6CC4" w:rsidRPr="00DD4E6E">
        <w:rPr>
          <w:rStyle w:val="EndnoteReference"/>
          <w:lang w:val="en-AU"/>
        </w:rPr>
        <w:endnoteReference w:id="22"/>
      </w:r>
      <w:r w:rsidR="00056335" w:rsidRPr="00DD4E6E">
        <w:rPr>
          <w:lang w:val="en-AU"/>
        </w:rPr>
        <w:t xml:space="preserve"> </w:t>
      </w:r>
      <w:r w:rsidRPr="00DD4E6E">
        <w:rPr>
          <w:lang w:val="en-AU"/>
        </w:rPr>
        <w:t xml:space="preserve"> </w:t>
      </w:r>
    </w:p>
    <w:p w:rsidR="009D3AF5" w:rsidRPr="00DD4E6E" w:rsidRDefault="009D3AF5" w:rsidP="003178F8">
      <w:pPr>
        <w:spacing w:after="180"/>
        <w:rPr>
          <w:lang w:val="en-AU"/>
        </w:rPr>
      </w:pPr>
      <w:r w:rsidRPr="00DD4E6E">
        <w:rPr>
          <w:lang w:val="en-AU"/>
        </w:rPr>
        <w:t>The authors note that:</w:t>
      </w:r>
    </w:p>
    <w:p w:rsidR="009D3AF5" w:rsidRPr="00DD4E6E" w:rsidRDefault="009D3AF5" w:rsidP="003178F8">
      <w:pPr>
        <w:pStyle w:val="ListParagraph"/>
      </w:pPr>
      <w:r w:rsidRPr="00DD4E6E">
        <w:t xml:space="preserve">Elements of priority setting will be undertaken at a national and local level.  (In the case of the PHN program, </w:t>
      </w:r>
      <w:r w:rsidR="00206041" w:rsidRPr="00DD4E6E">
        <w:t xml:space="preserve">these are set out in </w:t>
      </w:r>
      <w:r w:rsidRPr="00DD4E6E">
        <w:t xml:space="preserve">the </w:t>
      </w:r>
      <w:r w:rsidR="005B0E9B" w:rsidRPr="00DD4E6E">
        <w:t xml:space="preserve">PHN Grant Programme </w:t>
      </w:r>
      <w:r w:rsidRPr="00DD4E6E">
        <w:t>Guidelines and any schedules for funding</w:t>
      </w:r>
      <w:r w:rsidR="005F5ECD" w:rsidRPr="00DD4E6E">
        <w:t xml:space="preserve"> </w:t>
      </w:r>
      <w:r w:rsidRPr="00DD4E6E">
        <w:t xml:space="preserve">national priorities.) </w:t>
      </w:r>
    </w:p>
    <w:p w:rsidR="009D3AF5" w:rsidRPr="00DD4E6E" w:rsidRDefault="00D820CD" w:rsidP="003178F8">
      <w:pPr>
        <w:pStyle w:val="ListParagraph"/>
      </w:pPr>
      <w:r w:rsidRPr="00DD4E6E">
        <w:t>C</w:t>
      </w:r>
      <w:r w:rsidR="009D3AF5" w:rsidRPr="00DD4E6E">
        <w:t>ost-effectiveness</w:t>
      </w:r>
      <w:r w:rsidRPr="00DD4E6E">
        <w:t xml:space="preserve"> analysis</w:t>
      </w:r>
      <w:r w:rsidR="009D3AF5" w:rsidRPr="00DD4E6E">
        <w:t xml:space="preserve"> using robust information and data plays an important role in making comprehensive and defensible commissioning decisions. However, in practice other considerations such as historic service provision and provider sustainability also have an influence.</w:t>
      </w:r>
    </w:p>
    <w:p w:rsidR="00B54244" w:rsidRPr="00DD4E6E" w:rsidRDefault="009D3AF5" w:rsidP="003178F8">
      <w:pPr>
        <w:pStyle w:val="ListParagraph"/>
      </w:pPr>
      <w:r w:rsidRPr="00DD4E6E">
        <w:t>Commissioners should actively and regularly engage with their local community in priority setting and communicate the outcome and impact of commissioning decisions</w:t>
      </w:r>
      <w:r w:rsidR="00E80E77" w:rsidRPr="00DD4E6E">
        <w:t>.</w:t>
      </w:r>
    </w:p>
    <w:p w:rsidR="00B54244" w:rsidRPr="00DD4E6E" w:rsidRDefault="00B54244" w:rsidP="003178F8">
      <w:pPr>
        <w:pStyle w:val="ListParagraph"/>
      </w:pPr>
      <w:r w:rsidRPr="00DD4E6E">
        <w:t xml:space="preserve">Priority setting and decision making </w:t>
      </w:r>
      <w:r w:rsidR="001069CC" w:rsidRPr="00DD4E6E">
        <w:t>is</w:t>
      </w:r>
      <w:r w:rsidRPr="00DD4E6E">
        <w:t xml:space="preserve"> core to the commissioner role and therefore having adequate skills and capacity to provide the supporting information and analysis on an on-going basis is vital.</w:t>
      </w:r>
      <w:r w:rsidRPr="003178F8">
        <w:rPr>
          <w:rStyle w:val="EndnoteReference"/>
          <w:sz w:val="20"/>
        </w:rPr>
        <w:endnoteReference w:id="23"/>
      </w:r>
    </w:p>
    <w:p w:rsidR="000F34F7" w:rsidRPr="00DD4E6E" w:rsidRDefault="001C6113" w:rsidP="005D7281">
      <w:r w:rsidRPr="00DD4E6E">
        <w:t>D</w:t>
      </w:r>
      <w:r w:rsidR="000F34F7" w:rsidRPr="00DD4E6E">
        <w:t xml:space="preserve">ecisions that </w:t>
      </w:r>
      <w:r w:rsidRPr="00DD4E6E">
        <w:t xml:space="preserve">PHNs make </w:t>
      </w:r>
      <w:r w:rsidR="000F34F7" w:rsidRPr="00DD4E6E">
        <w:t xml:space="preserve">on </w:t>
      </w:r>
      <w:proofErr w:type="spellStart"/>
      <w:r w:rsidR="000F34F7" w:rsidRPr="00DD4E6E">
        <w:t>prioritisation</w:t>
      </w:r>
      <w:proofErr w:type="spellEnd"/>
      <w:r w:rsidR="000F34F7" w:rsidRPr="00DD4E6E">
        <w:t xml:space="preserve"> of </w:t>
      </w:r>
      <w:r w:rsidRPr="00DD4E6E">
        <w:t xml:space="preserve">activities, </w:t>
      </w:r>
      <w:r w:rsidR="000F34F7" w:rsidRPr="00DD4E6E">
        <w:t>resources and funding will be ca</w:t>
      </w:r>
      <w:r w:rsidRPr="00DD4E6E">
        <w:t xml:space="preserve">rried out in the public eye. The interest from </w:t>
      </w:r>
      <w:r w:rsidR="000F34F7" w:rsidRPr="00DD4E6E">
        <w:t xml:space="preserve">communities, organisations (public </w:t>
      </w:r>
      <w:r w:rsidRPr="00DD4E6E">
        <w:t>and</w:t>
      </w:r>
      <w:r w:rsidR="000F34F7" w:rsidRPr="00DD4E6E">
        <w:t xml:space="preserve"> private) and providers in</w:t>
      </w:r>
      <w:r w:rsidRPr="00DD4E6E">
        <w:t xml:space="preserve"> the outcome of the plan </w:t>
      </w:r>
      <w:r w:rsidR="000F34F7" w:rsidRPr="00DD4E6E">
        <w:t>requires a sophisticated level of operating particularly in managing risk, conflicts, relationships and transparency.</w:t>
      </w:r>
      <w:r w:rsidRPr="00DD4E6E">
        <w:t xml:space="preserve"> </w:t>
      </w:r>
      <w:r w:rsidR="000F34F7" w:rsidRPr="00DD4E6E">
        <w:t>Having a clear rationale and crite</w:t>
      </w:r>
      <w:r w:rsidRPr="00DD4E6E">
        <w:t xml:space="preserve">ria for decision making is </w:t>
      </w:r>
      <w:r w:rsidR="005F5ECD" w:rsidRPr="00DD4E6E">
        <w:t xml:space="preserve">a </w:t>
      </w:r>
      <w:r w:rsidRPr="00DD4E6E">
        <w:t>key</w:t>
      </w:r>
      <w:r w:rsidR="005F5ECD" w:rsidRPr="00DD4E6E">
        <w:t xml:space="preserve"> to this</w:t>
      </w:r>
      <w:r w:rsidR="00F7107C" w:rsidRPr="00DD4E6E">
        <w:t>.</w:t>
      </w:r>
      <w:r w:rsidR="00F7107C" w:rsidRPr="00DD4E6E">
        <w:rPr>
          <w:rStyle w:val="EndnoteReference"/>
        </w:rPr>
        <w:t xml:space="preserve"> </w:t>
      </w:r>
      <w:r w:rsidR="00F7107C" w:rsidRPr="00DD4E6E">
        <w:rPr>
          <w:rStyle w:val="EndnoteReference"/>
        </w:rPr>
        <w:endnoteReference w:id="24"/>
      </w:r>
    </w:p>
    <w:p w:rsidR="0000301C" w:rsidRPr="00DD4E6E" w:rsidRDefault="0000301C" w:rsidP="005D7281">
      <w:pPr>
        <w:ind w:left="360"/>
      </w:pPr>
    </w:p>
    <w:p w:rsidR="0070241D" w:rsidRPr="00DD4E6E" w:rsidRDefault="0022129A" w:rsidP="003178F8">
      <w:pPr>
        <w:spacing w:after="180"/>
      </w:pPr>
      <w:r w:rsidRPr="00DD4E6E">
        <w:t>P</w:t>
      </w:r>
      <w:r w:rsidR="001E1201" w:rsidRPr="00DD4E6E">
        <w:t xml:space="preserve">riority setting in </w:t>
      </w:r>
      <w:r w:rsidR="00686116" w:rsidRPr="00DD4E6E">
        <w:t xml:space="preserve">a </w:t>
      </w:r>
      <w:r w:rsidR="001E1201" w:rsidRPr="00DD4E6E">
        <w:t>commissioning environment</w:t>
      </w:r>
      <w:r w:rsidRPr="00DD4E6E">
        <w:t xml:space="preserve"> involves an understanding of </w:t>
      </w:r>
      <w:r w:rsidR="001E1201" w:rsidRPr="00DD4E6E">
        <w:t>the capacity of the market. In the first year in particular</w:t>
      </w:r>
      <w:r w:rsidR="00374AAD" w:rsidRPr="00DD4E6E">
        <w:t>,</w:t>
      </w:r>
      <w:r w:rsidR="001E1201" w:rsidRPr="00DD4E6E">
        <w:t xml:space="preserve"> an element of planned PHN activities</w:t>
      </w:r>
      <w:r w:rsidRPr="00DD4E6E">
        <w:t xml:space="preserve"> may involve ways in which to test that capacity through, for example, a general expression of interest or a request to tender for a specific service. </w:t>
      </w:r>
      <w:r w:rsidR="0070241D" w:rsidRPr="00DD4E6E">
        <w:t xml:space="preserve">A study of priority setting in English </w:t>
      </w:r>
      <w:r w:rsidR="00375106" w:rsidRPr="00DD4E6E">
        <w:t>Primary C</w:t>
      </w:r>
      <w:r w:rsidR="0070241D" w:rsidRPr="00DD4E6E">
        <w:t xml:space="preserve">are </w:t>
      </w:r>
      <w:r w:rsidR="00375106" w:rsidRPr="00DD4E6E">
        <w:t>T</w:t>
      </w:r>
      <w:r w:rsidR="0070241D" w:rsidRPr="00DD4E6E">
        <w:t xml:space="preserve">rusts </w:t>
      </w:r>
      <w:r w:rsidR="00206041" w:rsidRPr="00DD4E6E">
        <w:t xml:space="preserve">that is </w:t>
      </w:r>
      <w:r w:rsidR="00DD32D9" w:rsidRPr="00DD4E6E">
        <w:t xml:space="preserve">relevant to PHNs suggests that </w:t>
      </w:r>
      <w:r w:rsidR="0070241D" w:rsidRPr="00DD4E6E">
        <w:t>commissioners will need to consider the following factors when making resource allocation decisions:</w:t>
      </w:r>
    </w:p>
    <w:p w:rsidR="0070241D" w:rsidRPr="00DD4E6E" w:rsidRDefault="0070241D" w:rsidP="003178F8">
      <w:pPr>
        <w:pStyle w:val="ListParagraph"/>
        <w:numPr>
          <w:ilvl w:val="0"/>
          <w:numId w:val="5"/>
        </w:numPr>
        <w:ind w:left="357" w:hanging="357"/>
      </w:pPr>
      <w:r w:rsidRPr="00DD4E6E">
        <w:t>skills in needs assessment, decision analysis, economic evaluation and stakeholder engagement;</w:t>
      </w:r>
    </w:p>
    <w:p w:rsidR="0070241D" w:rsidRPr="00DD4E6E" w:rsidRDefault="0070241D" w:rsidP="003178F8">
      <w:pPr>
        <w:pStyle w:val="ListParagraph"/>
        <w:numPr>
          <w:ilvl w:val="0"/>
          <w:numId w:val="5"/>
        </w:numPr>
        <w:ind w:left="357" w:hanging="357"/>
      </w:pPr>
      <w:r w:rsidRPr="00DD4E6E">
        <w:t xml:space="preserve">dedicated resources to establish evidence, engage a range of stakeholders and manage the forums and organisations responsible for decision-making; </w:t>
      </w:r>
    </w:p>
    <w:p w:rsidR="0070241D" w:rsidRPr="00DD4E6E" w:rsidRDefault="0070241D" w:rsidP="003178F8">
      <w:pPr>
        <w:pStyle w:val="ListParagraph"/>
        <w:numPr>
          <w:ilvl w:val="0"/>
          <w:numId w:val="5"/>
        </w:numPr>
        <w:ind w:left="357" w:hanging="357"/>
      </w:pPr>
      <w:r w:rsidRPr="00DD4E6E">
        <w:t>the need to consider processes of implementation in a context of complex delivery systems; and</w:t>
      </w:r>
    </w:p>
    <w:p w:rsidR="0070241D" w:rsidRPr="00DD4E6E" w:rsidRDefault="0070241D" w:rsidP="003178F8">
      <w:pPr>
        <w:pStyle w:val="ListParagraph"/>
        <w:numPr>
          <w:ilvl w:val="0"/>
          <w:numId w:val="5"/>
        </w:numPr>
        <w:ind w:left="357" w:hanging="357"/>
      </w:pPr>
      <w:proofErr w:type="gramStart"/>
      <w:r w:rsidRPr="00DD4E6E">
        <w:t>the</w:t>
      </w:r>
      <w:proofErr w:type="gramEnd"/>
      <w:r w:rsidRPr="00DD4E6E">
        <w:t xml:space="preserve"> ability to establish the necessary local legitimacy, particularly when making difficult and unpopular decisions. Clinical leadership is important for establishing this legitimacy.</w:t>
      </w:r>
      <w:r w:rsidRPr="00DD4E6E">
        <w:rPr>
          <w:rStyle w:val="EndnoteReference"/>
        </w:rPr>
        <w:endnoteReference w:id="25"/>
      </w:r>
    </w:p>
    <w:p w:rsidR="00921452" w:rsidRPr="00DD4E6E" w:rsidRDefault="00921452" w:rsidP="00F44C2C">
      <w:pPr>
        <w:keepNext/>
        <w:keepLines/>
      </w:pPr>
      <w:r w:rsidRPr="00DD4E6E">
        <w:lastRenderedPageBreak/>
        <w:t>I</w:t>
      </w:r>
      <w:r w:rsidR="00D26145" w:rsidRPr="00DD4E6E">
        <w:t>n</w:t>
      </w:r>
      <w:r w:rsidRPr="00DD4E6E">
        <w:t xml:space="preserve"> terms of the use of particular tools, an</w:t>
      </w:r>
      <w:r w:rsidR="00D26145" w:rsidRPr="00DD4E6E">
        <w:t xml:space="preserve"> ‘evidence check</w:t>
      </w:r>
      <w:r w:rsidRPr="00DD4E6E">
        <w:t>’</w:t>
      </w:r>
      <w:r w:rsidR="00D26145" w:rsidRPr="00DD4E6E">
        <w:t xml:space="preserve"> by the Sax Institute in 2012 identified Program Budgeting and Marginal Analysis (PBMA) as </w:t>
      </w:r>
      <w:r w:rsidR="00443E9D" w:rsidRPr="00DD4E6E">
        <w:t xml:space="preserve">possibly </w:t>
      </w:r>
      <w:r w:rsidR="005D7281" w:rsidRPr="00DD4E6E">
        <w:t xml:space="preserve">the most </w:t>
      </w:r>
      <w:r w:rsidR="00D26145" w:rsidRPr="00DD4E6E">
        <w:t>appropriate for use in Australian health care settings out of a number reviewed.</w:t>
      </w:r>
      <w:r w:rsidRPr="00DD4E6E">
        <w:t xml:space="preserve">  This </w:t>
      </w:r>
      <w:r w:rsidR="001069CC" w:rsidRPr="00DD4E6E">
        <w:t>argued</w:t>
      </w:r>
      <w:r w:rsidRPr="00DD4E6E">
        <w:t xml:space="preserve"> that the criteria used in priority setting could be described as follows:</w:t>
      </w:r>
    </w:p>
    <w:p w:rsidR="00921452" w:rsidRPr="00DD4E6E" w:rsidRDefault="00921452" w:rsidP="000D7527">
      <w:pPr>
        <w:spacing w:line="240" w:lineRule="auto"/>
      </w:pPr>
    </w:p>
    <w:p w:rsidR="00371F14" w:rsidRPr="003178F8" w:rsidRDefault="00921452" w:rsidP="000D7527">
      <w:pPr>
        <w:pStyle w:val="EndnoteText"/>
        <w:spacing w:line="240" w:lineRule="auto"/>
        <w:rPr>
          <w:rFonts w:asciiTheme="minorHAnsi" w:hAnsiTheme="minorHAnsi" w:cs="Century Gothic"/>
          <w:bCs/>
          <w:sz w:val="22"/>
          <w:szCs w:val="22"/>
          <w:lang w:val="en-AU" w:eastAsia="en-AU"/>
        </w:rPr>
      </w:pPr>
      <w:r w:rsidRPr="003178F8">
        <w:rPr>
          <w:rFonts w:asciiTheme="minorHAnsi" w:hAnsiTheme="minorHAnsi" w:cs="Century Gothic"/>
          <w:bCs/>
          <w:i/>
          <w:sz w:val="22"/>
          <w:szCs w:val="22"/>
          <w:lang w:val="en-AU" w:eastAsia="en-AU"/>
        </w:rPr>
        <w:t xml:space="preserve">Background Criteria </w:t>
      </w:r>
    </w:p>
    <w:p w:rsidR="00921452" w:rsidRPr="003178F8" w:rsidRDefault="00921452" w:rsidP="000D7527">
      <w:pPr>
        <w:pStyle w:val="EndnoteText"/>
        <w:numPr>
          <w:ilvl w:val="0"/>
          <w:numId w:val="39"/>
        </w:numPr>
        <w:spacing w:line="240" w:lineRule="auto"/>
        <w:ind w:left="360"/>
        <w:rPr>
          <w:rFonts w:asciiTheme="minorHAnsi" w:hAnsiTheme="minorHAnsi" w:cs="Century Gothic"/>
          <w:bCs/>
          <w:sz w:val="22"/>
          <w:szCs w:val="22"/>
          <w:lang w:val="en-AU" w:eastAsia="en-AU"/>
        </w:rPr>
      </w:pPr>
      <w:r w:rsidRPr="003178F8">
        <w:rPr>
          <w:rFonts w:asciiTheme="minorHAnsi" w:hAnsiTheme="minorHAnsi" w:cs="Century Gothic"/>
          <w:bCs/>
          <w:sz w:val="22"/>
          <w:szCs w:val="22"/>
          <w:lang w:val="en-AU" w:eastAsia="en-AU"/>
        </w:rPr>
        <w:t>Accept</w:t>
      </w:r>
      <w:r w:rsidR="005D7281" w:rsidRPr="003178F8">
        <w:rPr>
          <w:rFonts w:asciiTheme="minorHAnsi" w:hAnsiTheme="minorHAnsi" w:cs="Century Gothic"/>
          <w:bCs/>
          <w:sz w:val="22"/>
          <w:szCs w:val="22"/>
          <w:lang w:val="en-AU" w:eastAsia="en-AU"/>
        </w:rPr>
        <w:t>ance of the need to prioritise</w:t>
      </w:r>
    </w:p>
    <w:p w:rsidR="00CD337E" w:rsidRPr="003178F8" w:rsidRDefault="00921452" w:rsidP="000D7527">
      <w:pPr>
        <w:pStyle w:val="EndnoteText"/>
        <w:numPr>
          <w:ilvl w:val="0"/>
          <w:numId w:val="24"/>
        </w:numPr>
        <w:spacing w:line="240" w:lineRule="auto"/>
        <w:ind w:left="360"/>
        <w:rPr>
          <w:rFonts w:asciiTheme="minorHAnsi" w:hAnsiTheme="minorHAnsi" w:cs="Century Gothic"/>
          <w:bCs/>
          <w:sz w:val="22"/>
          <w:szCs w:val="22"/>
          <w:lang w:val="en-AU" w:eastAsia="en-AU"/>
        </w:rPr>
      </w:pPr>
      <w:r w:rsidRPr="003178F8">
        <w:rPr>
          <w:rFonts w:asciiTheme="minorHAnsi" w:hAnsiTheme="minorHAnsi" w:cs="Century Gothic"/>
          <w:bCs/>
          <w:sz w:val="22"/>
          <w:szCs w:val="22"/>
          <w:lang w:val="en-AU" w:eastAsia="en-AU"/>
        </w:rPr>
        <w:t>Incentives for change</w:t>
      </w:r>
    </w:p>
    <w:p w:rsidR="00921452" w:rsidRPr="003178F8" w:rsidRDefault="00921452" w:rsidP="000D7527">
      <w:pPr>
        <w:pStyle w:val="EndnoteText"/>
        <w:numPr>
          <w:ilvl w:val="0"/>
          <w:numId w:val="24"/>
        </w:numPr>
        <w:spacing w:line="240" w:lineRule="auto"/>
        <w:ind w:left="360"/>
        <w:rPr>
          <w:rFonts w:asciiTheme="minorHAnsi" w:hAnsiTheme="minorHAnsi" w:cs="Century Gothic"/>
          <w:bCs/>
          <w:sz w:val="22"/>
          <w:szCs w:val="22"/>
          <w:lang w:val="en-AU" w:eastAsia="en-AU"/>
        </w:rPr>
      </w:pPr>
      <w:r w:rsidRPr="003178F8">
        <w:rPr>
          <w:rFonts w:asciiTheme="minorHAnsi" w:hAnsiTheme="minorHAnsi" w:cs="Century Gothic"/>
          <w:bCs/>
          <w:sz w:val="22"/>
          <w:szCs w:val="22"/>
          <w:lang w:val="en-AU" w:eastAsia="en-AU"/>
        </w:rPr>
        <w:t>Leadership/championing</w:t>
      </w:r>
    </w:p>
    <w:p w:rsidR="00921452" w:rsidRPr="00DD4E6E" w:rsidRDefault="00921452" w:rsidP="000D7527">
      <w:pPr>
        <w:pStyle w:val="EndnoteText"/>
        <w:spacing w:line="240" w:lineRule="auto"/>
        <w:ind w:left="357"/>
        <w:rPr>
          <w:sz w:val="22"/>
          <w:szCs w:val="22"/>
        </w:rPr>
      </w:pPr>
    </w:p>
    <w:p w:rsidR="00CD337E" w:rsidRPr="003178F8" w:rsidRDefault="00921452" w:rsidP="000D7527">
      <w:pPr>
        <w:pStyle w:val="EndnoteText"/>
        <w:spacing w:line="240" w:lineRule="auto"/>
        <w:rPr>
          <w:i/>
          <w:sz w:val="22"/>
          <w:szCs w:val="22"/>
        </w:rPr>
      </w:pPr>
      <w:r w:rsidRPr="003178F8">
        <w:rPr>
          <w:i/>
          <w:sz w:val="22"/>
          <w:szCs w:val="22"/>
        </w:rPr>
        <w:t>Essential Criteria</w:t>
      </w:r>
    </w:p>
    <w:p w:rsidR="00921452" w:rsidRPr="00DD4E6E" w:rsidRDefault="00921452" w:rsidP="000D7527">
      <w:pPr>
        <w:pStyle w:val="EndnoteText"/>
        <w:numPr>
          <w:ilvl w:val="0"/>
          <w:numId w:val="25"/>
        </w:numPr>
        <w:spacing w:line="240" w:lineRule="auto"/>
        <w:rPr>
          <w:sz w:val="22"/>
          <w:szCs w:val="22"/>
        </w:rPr>
      </w:pPr>
      <w:r w:rsidRPr="00DD4E6E">
        <w:rPr>
          <w:sz w:val="22"/>
          <w:szCs w:val="22"/>
        </w:rPr>
        <w:t>Opportunity cost within health care</w:t>
      </w:r>
    </w:p>
    <w:p w:rsidR="000D7527" w:rsidRPr="00DD4E6E" w:rsidRDefault="00921452" w:rsidP="000D7527">
      <w:pPr>
        <w:pStyle w:val="EndnoteText"/>
        <w:numPr>
          <w:ilvl w:val="0"/>
          <w:numId w:val="25"/>
        </w:numPr>
        <w:spacing w:line="240" w:lineRule="auto"/>
        <w:rPr>
          <w:sz w:val="22"/>
          <w:szCs w:val="22"/>
        </w:rPr>
      </w:pPr>
      <w:r w:rsidRPr="00DD4E6E">
        <w:rPr>
          <w:sz w:val="22"/>
          <w:szCs w:val="22"/>
        </w:rPr>
        <w:t>The concept of the margin</w:t>
      </w:r>
    </w:p>
    <w:p w:rsidR="00CD337E" w:rsidRPr="00DD4E6E" w:rsidRDefault="00921452" w:rsidP="000D7527">
      <w:pPr>
        <w:pStyle w:val="EndnoteText"/>
        <w:numPr>
          <w:ilvl w:val="0"/>
          <w:numId w:val="25"/>
        </w:numPr>
        <w:spacing w:line="240" w:lineRule="auto"/>
        <w:rPr>
          <w:sz w:val="22"/>
          <w:szCs w:val="22"/>
        </w:rPr>
      </w:pPr>
      <w:r w:rsidRPr="00DD4E6E">
        <w:rPr>
          <w:sz w:val="22"/>
          <w:szCs w:val="22"/>
        </w:rPr>
        <w:t>Some set of acceptable principles or objectives: organisations can be differently structured</w:t>
      </w:r>
    </w:p>
    <w:p w:rsidR="00CD337E" w:rsidRPr="00DD4E6E" w:rsidRDefault="00921452" w:rsidP="000D7527">
      <w:pPr>
        <w:pStyle w:val="EndnoteText"/>
        <w:numPr>
          <w:ilvl w:val="0"/>
          <w:numId w:val="25"/>
        </w:numPr>
        <w:spacing w:line="240" w:lineRule="auto"/>
        <w:ind w:left="357"/>
        <w:rPr>
          <w:sz w:val="22"/>
          <w:szCs w:val="22"/>
        </w:rPr>
      </w:pPr>
      <w:r w:rsidRPr="00DD4E6E">
        <w:rPr>
          <w:sz w:val="22"/>
          <w:szCs w:val="22"/>
        </w:rPr>
        <w:t>Having the capacity to be understood and acted upon by clinicians i</w:t>
      </w:r>
      <w:r w:rsidR="000D7527" w:rsidRPr="00DD4E6E">
        <w:rPr>
          <w:sz w:val="22"/>
          <w:szCs w:val="22"/>
        </w:rPr>
        <w:t>n health services and networks</w:t>
      </w:r>
    </w:p>
    <w:p w:rsidR="00CD337E" w:rsidRPr="003178F8" w:rsidRDefault="00CD337E" w:rsidP="000D7527">
      <w:pPr>
        <w:pStyle w:val="EndnoteText"/>
        <w:spacing w:line="240" w:lineRule="auto"/>
        <w:ind w:left="357"/>
        <w:rPr>
          <w:i/>
          <w:sz w:val="22"/>
          <w:szCs w:val="22"/>
        </w:rPr>
      </w:pPr>
    </w:p>
    <w:p w:rsidR="00921452" w:rsidRPr="003178F8" w:rsidRDefault="00921452" w:rsidP="000D7527">
      <w:pPr>
        <w:pStyle w:val="EndnoteText"/>
        <w:spacing w:line="240" w:lineRule="auto"/>
        <w:rPr>
          <w:i/>
          <w:sz w:val="22"/>
          <w:szCs w:val="22"/>
        </w:rPr>
      </w:pPr>
      <w:r w:rsidRPr="003178F8">
        <w:rPr>
          <w:i/>
          <w:sz w:val="22"/>
          <w:szCs w:val="22"/>
        </w:rPr>
        <w:t>Highly Desirable Criteria</w:t>
      </w:r>
    </w:p>
    <w:p w:rsidR="00921452" w:rsidRPr="00DD4E6E" w:rsidRDefault="00921452" w:rsidP="000D7527">
      <w:pPr>
        <w:pStyle w:val="EndnoteText"/>
        <w:numPr>
          <w:ilvl w:val="0"/>
          <w:numId w:val="26"/>
        </w:numPr>
        <w:spacing w:line="240" w:lineRule="auto"/>
        <w:ind w:left="360"/>
        <w:rPr>
          <w:sz w:val="22"/>
          <w:szCs w:val="22"/>
        </w:rPr>
      </w:pPr>
      <w:r w:rsidRPr="00DD4E6E">
        <w:rPr>
          <w:sz w:val="22"/>
          <w:szCs w:val="22"/>
        </w:rPr>
        <w:t>Explicitness and transparency</w:t>
      </w:r>
    </w:p>
    <w:p w:rsidR="00921452" w:rsidRPr="00DD4E6E" w:rsidRDefault="00921452" w:rsidP="000D7527">
      <w:pPr>
        <w:pStyle w:val="EndnoteText"/>
        <w:numPr>
          <w:ilvl w:val="0"/>
          <w:numId w:val="26"/>
        </w:numPr>
        <w:spacing w:line="240" w:lineRule="auto"/>
        <w:ind w:left="357" w:hanging="357"/>
        <w:rPr>
          <w:sz w:val="22"/>
          <w:szCs w:val="22"/>
        </w:rPr>
      </w:pPr>
      <w:r w:rsidRPr="00DD4E6E">
        <w:rPr>
          <w:sz w:val="22"/>
          <w:szCs w:val="22"/>
        </w:rPr>
        <w:t>An evidence-based approach</w:t>
      </w:r>
    </w:p>
    <w:p w:rsidR="00921452" w:rsidRPr="00DD4E6E" w:rsidRDefault="000D7527" w:rsidP="000D7527">
      <w:pPr>
        <w:pStyle w:val="EndnoteText"/>
        <w:numPr>
          <w:ilvl w:val="0"/>
          <w:numId w:val="26"/>
        </w:numPr>
        <w:spacing w:line="240" w:lineRule="auto"/>
        <w:ind w:left="357" w:hanging="357"/>
        <w:rPr>
          <w:sz w:val="22"/>
          <w:szCs w:val="22"/>
        </w:rPr>
      </w:pPr>
      <w:r w:rsidRPr="00DD4E6E">
        <w:rPr>
          <w:sz w:val="22"/>
          <w:szCs w:val="22"/>
        </w:rPr>
        <w:t>Local evidence</w:t>
      </w:r>
    </w:p>
    <w:p w:rsidR="00921452" w:rsidRPr="00DD4E6E" w:rsidRDefault="000D7527" w:rsidP="000D7527">
      <w:pPr>
        <w:pStyle w:val="EndnoteText"/>
        <w:numPr>
          <w:ilvl w:val="0"/>
          <w:numId w:val="26"/>
        </w:numPr>
        <w:spacing w:line="240" w:lineRule="auto"/>
        <w:ind w:left="357" w:hanging="357"/>
        <w:rPr>
          <w:sz w:val="22"/>
          <w:szCs w:val="22"/>
        </w:rPr>
      </w:pPr>
      <w:r w:rsidRPr="00DD4E6E">
        <w:rPr>
          <w:sz w:val="22"/>
          <w:szCs w:val="22"/>
        </w:rPr>
        <w:t>Local values</w:t>
      </w:r>
    </w:p>
    <w:p w:rsidR="000D7527" w:rsidRPr="00DD4E6E" w:rsidRDefault="000D7527" w:rsidP="000D7527">
      <w:pPr>
        <w:pStyle w:val="EndnoteText"/>
        <w:numPr>
          <w:ilvl w:val="0"/>
          <w:numId w:val="26"/>
        </w:numPr>
        <w:spacing w:line="240" w:lineRule="auto"/>
        <w:ind w:left="357" w:hanging="357"/>
        <w:rPr>
          <w:sz w:val="22"/>
          <w:szCs w:val="22"/>
        </w:rPr>
      </w:pPr>
      <w:r w:rsidRPr="00DD4E6E">
        <w:rPr>
          <w:sz w:val="22"/>
          <w:szCs w:val="22"/>
        </w:rPr>
        <w:t>Efficiency</w:t>
      </w:r>
    </w:p>
    <w:p w:rsidR="00921452" w:rsidRPr="00DD4E6E" w:rsidRDefault="000D7527" w:rsidP="000D7527">
      <w:pPr>
        <w:pStyle w:val="EndnoteText"/>
        <w:numPr>
          <w:ilvl w:val="0"/>
          <w:numId w:val="26"/>
        </w:numPr>
        <w:spacing w:line="240" w:lineRule="auto"/>
        <w:ind w:left="357" w:hanging="357"/>
        <w:rPr>
          <w:sz w:val="22"/>
          <w:szCs w:val="22"/>
        </w:rPr>
      </w:pPr>
      <w:r w:rsidRPr="00DD4E6E">
        <w:rPr>
          <w:sz w:val="22"/>
          <w:szCs w:val="22"/>
        </w:rPr>
        <w:t>Equity</w:t>
      </w:r>
    </w:p>
    <w:p w:rsidR="000D7527" w:rsidRPr="00DD4E6E" w:rsidRDefault="003E56A2" w:rsidP="000D7527">
      <w:pPr>
        <w:pStyle w:val="EndnoteText"/>
        <w:numPr>
          <w:ilvl w:val="0"/>
          <w:numId w:val="26"/>
        </w:numPr>
        <w:spacing w:line="240" w:lineRule="auto"/>
        <w:ind w:left="360"/>
        <w:rPr>
          <w:sz w:val="22"/>
          <w:szCs w:val="22"/>
        </w:rPr>
      </w:pPr>
      <w:r w:rsidRPr="00DD4E6E">
        <w:rPr>
          <w:sz w:val="22"/>
          <w:szCs w:val="22"/>
        </w:rPr>
        <w:t>Inclusion of non-</w:t>
      </w:r>
      <w:r w:rsidR="000D7527" w:rsidRPr="00DD4E6E">
        <w:rPr>
          <w:sz w:val="22"/>
          <w:szCs w:val="22"/>
        </w:rPr>
        <w:t>health service costs</w:t>
      </w:r>
    </w:p>
    <w:p w:rsidR="00CD337E" w:rsidRPr="00DD4E6E" w:rsidRDefault="00921452" w:rsidP="000D7527">
      <w:pPr>
        <w:pStyle w:val="EndnoteText"/>
        <w:numPr>
          <w:ilvl w:val="0"/>
          <w:numId w:val="26"/>
        </w:numPr>
        <w:spacing w:line="240" w:lineRule="auto"/>
        <w:ind w:left="360"/>
        <w:rPr>
          <w:sz w:val="22"/>
          <w:szCs w:val="22"/>
        </w:rPr>
      </w:pPr>
      <w:r w:rsidRPr="00DD4E6E">
        <w:rPr>
          <w:sz w:val="22"/>
          <w:szCs w:val="22"/>
        </w:rPr>
        <w:t>Able to resolve:</w:t>
      </w:r>
    </w:p>
    <w:p w:rsidR="00921452" w:rsidRPr="00DD4E6E" w:rsidRDefault="00CD337E" w:rsidP="000D7527">
      <w:pPr>
        <w:pStyle w:val="EndnoteText"/>
        <w:numPr>
          <w:ilvl w:val="0"/>
          <w:numId w:val="27"/>
        </w:numPr>
        <w:spacing w:line="240" w:lineRule="auto"/>
        <w:rPr>
          <w:sz w:val="22"/>
          <w:szCs w:val="22"/>
        </w:rPr>
      </w:pPr>
      <w:proofErr w:type="gramStart"/>
      <w:r w:rsidRPr="00DD4E6E">
        <w:rPr>
          <w:sz w:val="22"/>
          <w:szCs w:val="22"/>
        </w:rPr>
        <w:t>w</w:t>
      </w:r>
      <w:r w:rsidR="00921452" w:rsidRPr="00DD4E6E">
        <w:rPr>
          <w:sz w:val="22"/>
          <w:szCs w:val="22"/>
        </w:rPr>
        <w:t>hose</w:t>
      </w:r>
      <w:proofErr w:type="gramEnd"/>
      <w:r w:rsidR="00921452" w:rsidRPr="00DD4E6E">
        <w:rPr>
          <w:sz w:val="22"/>
          <w:szCs w:val="22"/>
        </w:rPr>
        <w:t xml:space="preserve"> values to adopt with respect to</w:t>
      </w:r>
      <w:r w:rsidR="004203C3" w:rsidRPr="00DD4E6E">
        <w:rPr>
          <w:sz w:val="22"/>
          <w:szCs w:val="22"/>
        </w:rPr>
        <w:t>,</w:t>
      </w:r>
      <w:r w:rsidR="00921452" w:rsidRPr="00DD4E6E">
        <w:rPr>
          <w:sz w:val="22"/>
          <w:szCs w:val="22"/>
        </w:rPr>
        <w:t xml:space="preserve"> for example</w:t>
      </w:r>
      <w:r w:rsidR="004203C3" w:rsidRPr="00DD4E6E">
        <w:rPr>
          <w:sz w:val="22"/>
          <w:szCs w:val="22"/>
        </w:rPr>
        <w:t>,</w:t>
      </w:r>
      <w:r w:rsidR="00921452" w:rsidRPr="00DD4E6E">
        <w:rPr>
          <w:sz w:val="22"/>
          <w:szCs w:val="22"/>
        </w:rPr>
        <w:t xml:space="preserve"> setting principles, defining benefit, trading off between different benefits. How equity is to be defined and by whom</w:t>
      </w:r>
      <w:r w:rsidRPr="00DD4E6E">
        <w:rPr>
          <w:sz w:val="22"/>
          <w:szCs w:val="22"/>
        </w:rPr>
        <w:t>; and</w:t>
      </w:r>
    </w:p>
    <w:p w:rsidR="002B38E2" w:rsidRPr="003178F8" w:rsidRDefault="00CD337E" w:rsidP="003178F8">
      <w:pPr>
        <w:pStyle w:val="EndnoteText"/>
        <w:numPr>
          <w:ilvl w:val="0"/>
          <w:numId w:val="27"/>
        </w:numPr>
        <w:spacing w:line="240" w:lineRule="auto"/>
        <w:jc w:val="left"/>
        <w:rPr>
          <w:rFonts w:cs="Arial"/>
          <w:bCs/>
          <w:color w:val="003D69"/>
          <w:sz w:val="26"/>
          <w:szCs w:val="26"/>
          <w:lang w:val="en-AU"/>
        </w:rPr>
      </w:pPr>
      <w:proofErr w:type="gramStart"/>
      <w:r w:rsidRPr="00DD4E6E">
        <w:rPr>
          <w:sz w:val="22"/>
          <w:szCs w:val="22"/>
        </w:rPr>
        <w:t>h</w:t>
      </w:r>
      <w:r w:rsidR="00921452" w:rsidRPr="00DD4E6E">
        <w:rPr>
          <w:sz w:val="22"/>
          <w:szCs w:val="22"/>
        </w:rPr>
        <w:t>ow</w:t>
      </w:r>
      <w:proofErr w:type="gramEnd"/>
      <w:r w:rsidR="00921452" w:rsidRPr="00DD4E6E">
        <w:rPr>
          <w:sz w:val="22"/>
          <w:szCs w:val="22"/>
        </w:rPr>
        <w:t xml:space="preserve"> important equity is compared to efficiency and who decides: there is often a ‘trade off’ or conflict between these; the relative importance of each needs to be addressed.</w:t>
      </w:r>
      <w:r w:rsidR="00D26145" w:rsidRPr="00DD4E6E">
        <w:rPr>
          <w:rStyle w:val="EndnoteReference"/>
          <w:sz w:val="22"/>
          <w:szCs w:val="22"/>
        </w:rPr>
        <w:endnoteReference w:id="26"/>
      </w:r>
    </w:p>
    <w:p w:rsidR="001B78A7" w:rsidRDefault="001B78A7" w:rsidP="001B78A7">
      <w:pPr>
        <w:pStyle w:val="Heading3"/>
      </w:pPr>
      <w:bookmarkStart w:id="23" w:name="_Toc458775171"/>
      <w:r>
        <w:t>Decommissioning and direct service delivery</w:t>
      </w:r>
      <w:bookmarkEnd w:id="23"/>
    </w:p>
    <w:p w:rsidR="00ED1E64" w:rsidRDefault="00ED1E64" w:rsidP="00C57742">
      <w:pPr>
        <w:pStyle w:val="Heading4"/>
        <w:rPr>
          <w:b w:val="0"/>
        </w:rPr>
      </w:pPr>
      <w:r w:rsidRPr="00ED1E64">
        <w:t>Decommissioning</w:t>
      </w:r>
      <w:r w:rsidR="00ED7300">
        <w:t xml:space="preserve"> </w:t>
      </w:r>
    </w:p>
    <w:p w:rsidR="00443E9D" w:rsidRPr="00ED7300" w:rsidRDefault="00443E9D" w:rsidP="0000301C">
      <w:pPr>
        <w:rPr>
          <w:b/>
          <w:color w:val="FF0000"/>
        </w:rPr>
      </w:pPr>
    </w:p>
    <w:p w:rsidR="00D54228" w:rsidRPr="005965EF" w:rsidRDefault="00D54228" w:rsidP="00D54228">
      <w:pPr>
        <w:ind w:left="720"/>
        <w:rPr>
          <w:szCs w:val="22"/>
          <w:lang w:val="en-AU"/>
        </w:rPr>
      </w:pPr>
      <w:r w:rsidRPr="005965EF">
        <w:rPr>
          <w:szCs w:val="22"/>
          <w:lang w:val="en-AU"/>
        </w:rPr>
        <w:t>This concept is concerned with ceasing activities that are no longer deemed essential or effective. This encompasses the replacement and removal of a product or service as part of evidence-based practice at the organisational level, and also policies to remove interventions from across wider geographical areas and/or patient populations, and strategic reconfiguration of services leading to organisational downgrading o</w:t>
      </w:r>
      <w:r w:rsidR="004203C3" w:rsidRPr="005965EF">
        <w:rPr>
          <w:szCs w:val="22"/>
          <w:lang w:val="en-AU"/>
        </w:rPr>
        <w:t>r</w:t>
      </w:r>
      <w:r w:rsidRPr="005965EF">
        <w:rPr>
          <w:szCs w:val="22"/>
          <w:lang w:val="en-AU"/>
        </w:rPr>
        <w:t xml:space="preserve"> closure.</w:t>
      </w:r>
      <w:r w:rsidRPr="005965EF">
        <w:rPr>
          <w:rStyle w:val="EndnoteReference"/>
          <w:szCs w:val="22"/>
          <w:lang w:val="en-AU"/>
        </w:rPr>
        <w:endnoteReference w:id="27"/>
      </w:r>
    </w:p>
    <w:p w:rsidR="00EB2E55" w:rsidRDefault="00EB2E55">
      <w:pPr>
        <w:spacing w:line="240" w:lineRule="auto"/>
        <w:jc w:val="left"/>
        <w:rPr>
          <w:color w:val="003D69"/>
          <w:szCs w:val="22"/>
        </w:rPr>
      </w:pPr>
      <w:r>
        <w:rPr>
          <w:color w:val="003D69"/>
          <w:szCs w:val="22"/>
        </w:rPr>
        <w:br w:type="page"/>
      </w:r>
    </w:p>
    <w:p w:rsidR="0000301C" w:rsidRPr="00DD4E6E" w:rsidRDefault="00ED7300" w:rsidP="002B38E2">
      <w:pPr>
        <w:rPr>
          <w:lang w:val="en-AU"/>
        </w:rPr>
      </w:pPr>
      <w:r w:rsidRPr="00DD4E6E">
        <w:rPr>
          <w:szCs w:val="22"/>
          <w:lang w:val="en-AU"/>
        </w:rPr>
        <w:lastRenderedPageBreak/>
        <w:t>A decision to decommission may not be</w:t>
      </w:r>
      <w:r w:rsidR="003A3228" w:rsidRPr="00DD4E6E">
        <w:rPr>
          <w:szCs w:val="22"/>
          <w:lang w:val="en-AU"/>
        </w:rPr>
        <w:t xml:space="preserve"> straightforward</w:t>
      </w:r>
      <w:r w:rsidRPr="00DD4E6E">
        <w:rPr>
          <w:szCs w:val="22"/>
          <w:lang w:val="en-AU"/>
        </w:rPr>
        <w:t xml:space="preserve">. </w:t>
      </w:r>
      <w:r w:rsidR="001069CC" w:rsidRPr="00DD4E6E">
        <w:rPr>
          <w:szCs w:val="22"/>
          <w:lang w:val="en-AU"/>
        </w:rPr>
        <w:t>Decommissioning</w:t>
      </w:r>
      <w:r w:rsidRPr="00DD4E6E">
        <w:rPr>
          <w:szCs w:val="22"/>
          <w:lang w:val="en-AU"/>
        </w:rPr>
        <w:t xml:space="preserve"> is one end of a</w:t>
      </w:r>
      <w:r w:rsidRPr="00DD4E6E">
        <w:rPr>
          <w:lang w:val="en-AU"/>
        </w:rPr>
        <w:t xml:space="preserve"> decision-making spectrum, and there will be situations where a PHN plans to do similar things, to achieve similar outcomes, but in such a different way that it equates to decommissioning from the current provider’s perspective.</w:t>
      </w:r>
      <w:r w:rsidR="00921452" w:rsidRPr="00DD4E6E">
        <w:rPr>
          <w:lang w:val="en-AU"/>
        </w:rPr>
        <w:t xml:space="preserve"> I</w:t>
      </w:r>
      <w:r w:rsidRPr="00DD4E6E">
        <w:rPr>
          <w:lang w:val="en-AU"/>
        </w:rPr>
        <w:t xml:space="preserve">nternational experience </w:t>
      </w:r>
      <w:r w:rsidR="00921452" w:rsidRPr="00DD4E6E">
        <w:rPr>
          <w:lang w:val="en-AU"/>
        </w:rPr>
        <w:t>indicates t</w:t>
      </w:r>
      <w:r w:rsidRPr="00DD4E6E">
        <w:rPr>
          <w:lang w:val="en-AU"/>
        </w:rPr>
        <w:t>hat health service re-design decisions are difficult, and can result in community and political resistance and even in decisions being overturned if there is not enough evidence and community support.</w:t>
      </w:r>
      <w:r w:rsidR="00921452" w:rsidRPr="00DD4E6E">
        <w:rPr>
          <w:lang w:val="en-AU"/>
        </w:rPr>
        <w:t xml:space="preserve"> </w:t>
      </w:r>
      <w:r w:rsidR="00ED1E64" w:rsidRPr="00DD4E6E">
        <w:t>In relation to dec</w:t>
      </w:r>
      <w:r w:rsidR="0000301C" w:rsidRPr="00DD4E6E">
        <w:t>ommissioning decisions</w:t>
      </w:r>
      <w:r w:rsidR="00B54244" w:rsidRPr="00DD4E6E">
        <w:t>:</w:t>
      </w:r>
    </w:p>
    <w:p w:rsidR="0000301C" w:rsidRDefault="0000301C" w:rsidP="00DC218A">
      <w:pPr>
        <w:jc w:val="left"/>
        <w:rPr>
          <w:sz w:val="20"/>
          <w:szCs w:val="20"/>
        </w:rPr>
      </w:pPr>
    </w:p>
    <w:p w:rsidR="000F34F7" w:rsidRPr="005965EF" w:rsidRDefault="0000301C" w:rsidP="002B38E2">
      <w:pPr>
        <w:ind w:left="720"/>
        <w:rPr>
          <w:szCs w:val="22"/>
          <w:lang w:val="en-AU"/>
        </w:rPr>
      </w:pPr>
      <w:r w:rsidRPr="005965EF">
        <w:rPr>
          <w:szCs w:val="22"/>
        </w:rPr>
        <w:t xml:space="preserve">Experience suggests that in the case of service transformation or closure, stakeholder engagement can make decision making more difficult… Although de-commissioning is an inevitable output of the </w:t>
      </w:r>
      <w:proofErr w:type="spellStart"/>
      <w:r w:rsidRPr="005965EF">
        <w:rPr>
          <w:szCs w:val="22"/>
        </w:rPr>
        <w:t>prioritisation</w:t>
      </w:r>
      <w:proofErr w:type="spellEnd"/>
      <w:r w:rsidRPr="005965EF">
        <w:rPr>
          <w:szCs w:val="22"/>
        </w:rPr>
        <w:t xml:space="preserve"> process, particularly where budgets are under pressure, in practice commissioners have often struggled to implement decisions to stop providing a particular service or treatment due to protests from the local population, or resistance from politicians.</w:t>
      </w:r>
      <w:r w:rsidRPr="005965EF">
        <w:rPr>
          <w:rStyle w:val="EndnoteReference"/>
          <w:szCs w:val="22"/>
        </w:rPr>
        <w:endnoteReference w:id="28"/>
      </w:r>
    </w:p>
    <w:p w:rsidR="00921452" w:rsidRPr="00DD4E6E" w:rsidRDefault="00921452" w:rsidP="00DC218A">
      <w:pPr>
        <w:jc w:val="left"/>
        <w:rPr>
          <w:lang w:val="en-AU"/>
        </w:rPr>
      </w:pPr>
    </w:p>
    <w:p w:rsidR="0067335C" w:rsidRPr="00DD4E6E" w:rsidRDefault="0067335C" w:rsidP="002B38E2">
      <w:pPr>
        <w:rPr>
          <w:lang w:val="en-AU"/>
        </w:rPr>
      </w:pPr>
      <w:r w:rsidRPr="00DD4E6E">
        <w:rPr>
          <w:lang w:val="en-AU"/>
        </w:rPr>
        <w:t xml:space="preserve">Achieving transparency and accountability is crucial in decommissioning. This requires a strong evidence base, clinical leadership and community support. </w:t>
      </w:r>
    </w:p>
    <w:p w:rsidR="0067335C" w:rsidRPr="00DD4E6E" w:rsidRDefault="0067335C" w:rsidP="002B38E2">
      <w:pPr>
        <w:rPr>
          <w:lang w:val="en-AU"/>
        </w:rPr>
      </w:pPr>
    </w:p>
    <w:p w:rsidR="00A82733" w:rsidRPr="00DD4E6E" w:rsidRDefault="00A82733" w:rsidP="003178F8">
      <w:pPr>
        <w:spacing w:after="180"/>
        <w:rPr>
          <w:lang w:val="en-AU"/>
        </w:rPr>
      </w:pPr>
      <w:r w:rsidRPr="00DD4E6E">
        <w:rPr>
          <w:lang w:val="en-AU"/>
        </w:rPr>
        <w:t xml:space="preserve">The UK National Audit Office has developed a toolkit to support commissioners in this area which has a range of advice that may be useful to PHNs. </w:t>
      </w:r>
      <w:r w:rsidR="002C6BF8" w:rsidRPr="00DD4E6E">
        <w:rPr>
          <w:lang w:val="en-AU"/>
        </w:rPr>
        <w:t xml:space="preserve">Among other guidance – including the </w:t>
      </w:r>
      <w:r w:rsidR="001069CC" w:rsidRPr="00DD4E6E">
        <w:rPr>
          <w:lang w:val="en-AU"/>
        </w:rPr>
        <w:t>need to</w:t>
      </w:r>
      <w:r w:rsidR="002C6BF8" w:rsidRPr="00DD4E6E">
        <w:rPr>
          <w:lang w:val="en-AU"/>
        </w:rPr>
        <w:t xml:space="preserve"> give as much early warning as possible and supporting all parties through the process </w:t>
      </w:r>
      <w:r w:rsidR="001069CC" w:rsidRPr="00DD4E6E">
        <w:rPr>
          <w:lang w:val="en-AU"/>
        </w:rPr>
        <w:t>– this</w:t>
      </w:r>
      <w:r w:rsidRPr="00DD4E6E">
        <w:rPr>
          <w:lang w:val="en-AU"/>
        </w:rPr>
        <w:t xml:space="preserve"> identifies the following principles for successful decommissioning:</w:t>
      </w:r>
      <w:r w:rsidR="00036425" w:rsidRPr="00DD4E6E">
        <w:rPr>
          <w:lang w:val="en-AU"/>
        </w:rPr>
        <w:br/>
      </w:r>
    </w:p>
    <w:p w:rsidR="009B5A1D" w:rsidRPr="00DD4E6E" w:rsidRDefault="00A82733" w:rsidP="003178F8">
      <w:pPr>
        <w:pStyle w:val="ListParagraph"/>
        <w:numPr>
          <w:ilvl w:val="0"/>
          <w:numId w:val="18"/>
        </w:numPr>
        <w:spacing w:after="0"/>
        <w:ind w:left="731" w:hanging="357"/>
      </w:pPr>
      <w:r w:rsidRPr="00DD4E6E">
        <w:rPr>
          <w:lang w:eastAsia="en-AU"/>
        </w:rPr>
        <w:t>Good communication.</w:t>
      </w:r>
    </w:p>
    <w:p w:rsidR="009B5A1D" w:rsidRPr="00DD4E6E" w:rsidRDefault="00A82733" w:rsidP="003178F8">
      <w:pPr>
        <w:pStyle w:val="ListParagraph"/>
        <w:numPr>
          <w:ilvl w:val="0"/>
          <w:numId w:val="18"/>
        </w:numPr>
        <w:spacing w:after="0"/>
        <w:ind w:left="731" w:hanging="357"/>
      </w:pPr>
      <w:r w:rsidRPr="00DD4E6E">
        <w:rPr>
          <w:lang w:eastAsia="en-AU"/>
        </w:rPr>
        <w:t>Understanding needs and the provider market when considering options, risks, impacts and effects on users and providers and value for money.</w:t>
      </w:r>
    </w:p>
    <w:p w:rsidR="009B5A1D" w:rsidRPr="00DD4E6E" w:rsidRDefault="00A82733" w:rsidP="003178F8">
      <w:pPr>
        <w:pStyle w:val="ListParagraph"/>
        <w:numPr>
          <w:ilvl w:val="0"/>
          <w:numId w:val="18"/>
        </w:numPr>
        <w:spacing w:after="0"/>
        <w:ind w:left="731" w:hanging="357"/>
      </w:pPr>
      <w:r w:rsidRPr="00DD4E6E">
        <w:rPr>
          <w:lang w:eastAsia="en-AU"/>
        </w:rPr>
        <w:t>A strong focus on users and the community.</w:t>
      </w:r>
    </w:p>
    <w:p w:rsidR="009B5A1D" w:rsidRPr="00DD4E6E" w:rsidRDefault="00A82733" w:rsidP="003178F8">
      <w:pPr>
        <w:pStyle w:val="ListParagraph"/>
        <w:numPr>
          <w:ilvl w:val="0"/>
          <w:numId w:val="18"/>
        </w:numPr>
        <w:spacing w:after="0"/>
        <w:ind w:left="731" w:hanging="357"/>
      </w:pPr>
      <w:r w:rsidRPr="00DD4E6E">
        <w:rPr>
          <w:bCs/>
          <w:lang w:eastAsia="en-AU"/>
        </w:rPr>
        <w:t>Having a clear rationale and seeking c</w:t>
      </w:r>
      <w:r w:rsidRPr="00DD4E6E">
        <w:rPr>
          <w:lang w:eastAsia="en-AU"/>
        </w:rPr>
        <w:t xml:space="preserve">onsensus on the reasons why change is </w:t>
      </w:r>
      <w:r w:rsidR="001069CC" w:rsidRPr="00DD4E6E">
        <w:rPr>
          <w:lang w:eastAsia="en-AU"/>
        </w:rPr>
        <w:t>needed.</w:t>
      </w:r>
    </w:p>
    <w:p w:rsidR="009B5A1D" w:rsidRPr="00DD4E6E" w:rsidRDefault="00A82733" w:rsidP="003178F8">
      <w:pPr>
        <w:pStyle w:val="ListParagraph"/>
        <w:numPr>
          <w:ilvl w:val="0"/>
          <w:numId w:val="18"/>
        </w:numPr>
        <w:spacing w:after="0"/>
        <w:ind w:left="731" w:hanging="357"/>
      </w:pPr>
      <w:r w:rsidRPr="00DD4E6E">
        <w:rPr>
          <w:bCs/>
          <w:lang w:eastAsia="en-AU"/>
        </w:rPr>
        <w:t>Understanding impact, including l</w:t>
      </w:r>
      <w:r w:rsidRPr="00DD4E6E">
        <w:rPr>
          <w:lang w:eastAsia="en-AU"/>
        </w:rPr>
        <w:t xml:space="preserve">onger </w:t>
      </w:r>
      <w:r w:rsidR="001069CC" w:rsidRPr="00DD4E6E">
        <w:rPr>
          <w:lang w:eastAsia="en-AU"/>
        </w:rPr>
        <w:t>term ‘whole</w:t>
      </w:r>
      <w:r w:rsidRPr="00DD4E6E">
        <w:rPr>
          <w:lang w:eastAsia="en-AU"/>
        </w:rPr>
        <w:t>-life’ impacts of services on users, providers and the wider community.</w:t>
      </w:r>
    </w:p>
    <w:p w:rsidR="009B5A1D" w:rsidRPr="00DD4E6E" w:rsidRDefault="00A82733" w:rsidP="003178F8">
      <w:pPr>
        <w:pStyle w:val="ListParagraph"/>
        <w:numPr>
          <w:ilvl w:val="0"/>
          <w:numId w:val="18"/>
        </w:numPr>
        <w:spacing w:after="0"/>
        <w:ind w:left="731" w:hanging="357"/>
      </w:pPr>
      <w:r w:rsidRPr="00DD4E6E">
        <w:rPr>
          <w:bCs/>
          <w:lang w:eastAsia="en-AU"/>
        </w:rPr>
        <w:t>Focus on value for money</w:t>
      </w:r>
      <w:r w:rsidRPr="00DD4E6E">
        <w:rPr>
          <w:lang w:eastAsia="en-AU"/>
        </w:rPr>
        <w:t xml:space="preserve"> which protects outcomes whilst improving productivity.</w:t>
      </w:r>
    </w:p>
    <w:p w:rsidR="009B5A1D" w:rsidRPr="00DD4E6E" w:rsidRDefault="00A82733" w:rsidP="003178F8">
      <w:pPr>
        <w:pStyle w:val="ListParagraph"/>
        <w:numPr>
          <w:ilvl w:val="0"/>
          <w:numId w:val="18"/>
        </w:numPr>
        <w:spacing w:after="0"/>
        <w:ind w:left="731" w:hanging="357"/>
      </w:pPr>
      <w:r w:rsidRPr="00DD4E6E">
        <w:rPr>
          <w:lang w:eastAsia="en-AU"/>
        </w:rPr>
        <w:t>Robust risk management.</w:t>
      </w:r>
    </w:p>
    <w:p w:rsidR="009B5A1D" w:rsidRPr="00DD4E6E" w:rsidRDefault="00A82733" w:rsidP="003178F8">
      <w:pPr>
        <w:pStyle w:val="ListParagraph"/>
        <w:numPr>
          <w:ilvl w:val="0"/>
          <w:numId w:val="18"/>
        </w:numPr>
        <w:spacing w:after="0"/>
        <w:ind w:left="731" w:hanging="357"/>
      </w:pPr>
      <w:r w:rsidRPr="00DD4E6E">
        <w:rPr>
          <w:lang w:eastAsia="en-AU"/>
        </w:rPr>
        <w:t>Understand</w:t>
      </w:r>
      <w:r w:rsidR="004203C3" w:rsidRPr="00DD4E6E">
        <w:rPr>
          <w:lang w:eastAsia="en-AU"/>
        </w:rPr>
        <w:t>ing</w:t>
      </w:r>
      <w:r w:rsidRPr="00DD4E6E">
        <w:rPr>
          <w:lang w:eastAsia="en-AU"/>
        </w:rPr>
        <w:t xml:space="preserve"> current and potential future costs, benefits and savings.</w:t>
      </w:r>
    </w:p>
    <w:p w:rsidR="00A82733" w:rsidRPr="00DD4E6E" w:rsidRDefault="00A82733" w:rsidP="003178F8">
      <w:pPr>
        <w:pStyle w:val="ListParagraph"/>
        <w:numPr>
          <w:ilvl w:val="0"/>
          <w:numId w:val="18"/>
        </w:numPr>
        <w:spacing w:after="0"/>
        <w:ind w:left="731" w:hanging="357"/>
      </w:pPr>
      <w:r w:rsidRPr="00DD4E6E">
        <w:rPr>
          <w:bCs/>
          <w:lang w:eastAsia="en-AU"/>
        </w:rPr>
        <w:t>Good governance</w:t>
      </w:r>
      <w:r w:rsidR="001069CC" w:rsidRPr="00DD4E6E">
        <w:rPr>
          <w:bCs/>
          <w:lang w:eastAsia="en-AU"/>
        </w:rPr>
        <w:t> and</w:t>
      </w:r>
      <w:r w:rsidRPr="00DD4E6E">
        <w:rPr>
          <w:bCs/>
          <w:lang w:eastAsia="en-AU"/>
        </w:rPr>
        <w:t xml:space="preserve"> </w:t>
      </w:r>
      <w:r w:rsidRPr="00DD4E6E">
        <w:rPr>
          <w:lang w:eastAsia="en-AU"/>
        </w:rPr>
        <w:t>clear decision making processes.</w:t>
      </w:r>
      <w:r w:rsidRPr="00DD4E6E">
        <w:rPr>
          <w:vertAlign w:val="superscript"/>
        </w:rPr>
        <w:t xml:space="preserve"> </w:t>
      </w:r>
      <w:r w:rsidRPr="00DD4E6E">
        <w:rPr>
          <w:vertAlign w:val="superscript"/>
        </w:rPr>
        <w:endnoteReference w:id="29"/>
      </w:r>
    </w:p>
    <w:p w:rsidR="001B78A7" w:rsidRDefault="001B78A7">
      <w:pPr>
        <w:spacing w:line="240" w:lineRule="auto"/>
        <w:jc w:val="left"/>
        <w:rPr>
          <w:b/>
          <w:color w:val="FF0000"/>
          <w:lang w:val="en-AU"/>
        </w:rPr>
      </w:pPr>
    </w:p>
    <w:p w:rsidR="00E33E51" w:rsidRPr="00DD4E6E" w:rsidRDefault="00E33E51">
      <w:pPr>
        <w:spacing w:line="240" w:lineRule="auto"/>
        <w:jc w:val="left"/>
        <w:rPr>
          <w:lang w:val="en-AU"/>
        </w:rPr>
      </w:pPr>
      <w:r w:rsidRPr="00DD4E6E">
        <w:rPr>
          <w:lang w:val="en-AU"/>
        </w:rPr>
        <w:t xml:space="preserve">Decisions on decommissioning also require consultation with appropriate stakeholders, including LHNs and </w:t>
      </w:r>
      <w:r w:rsidR="00F93171" w:rsidRPr="00DD4E6E">
        <w:rPr>
          <w:lang w:val="en-AU"/>
        </w:rPr>
        <w:t>non-government organisations (</w:t>
      </w:r>
      <w:r w:rsidRPr="00DD4E6E">
        <w:rPr>
          <w:lang w:val="en-AU"/>
        </w:rPr>
        <w:t>NGOs</w:t>
      </w:r>
      <w:r w:rsidR="00F93171" w:rsidRPr="00DD4E6E">
        <w:rPr>
          <w:lang w:val="en-AU"/>
        </w:rPr>
        <w:t>)</w:t>
      </w:r>
      <w:r w:rsidRPr="00DD4E6E">
        <w:rPr>
          <w:lang w:val="en-AU"/>
        </w:rPr>
        <w:t xml:space="preserve"> in order to prevent negative impacts on communities.</w:t>
      </w:r>
      <w:r w:rsidR="00D21042" w:rsidRPr="00DD4E6E">
        <w:rPr>
          <w:lang w:val="en-AU"/>
        </w:rPr>
        <w:t xml:space="preserve">  PHNs should also ensure that they communicate early with the Department in relation to any decommissioning decisions that are made</w:t>
      </w:r>
      <w:r w:rsidR="00F93171" w:rsidRPr="00DD4E6E">
        <w:rPr>
          <w:lang w:val="en-AU"/>
        </w:rPr>
        <w:t>, and must seek the Department’s approval to directly provide services.</w:t>
      </w:r>
      <w:r w:rsidR="00F93171" w:rsidRPr="00DD4E6E">
        <w:rPr>
          <w:vertAlign w:val="superscript"/>
        </w:rPr>
        <w:endnoteReference w:id="30"/>
      </w:r>
    </w:p>
    <w:p w:rsidR="00EB2E55" w:rsidRDefault="00EB2E55">
      <w:pPr>
        <w:spacing w:line="240" w:lineRule="auto"/>
        <w:jc w:val="left"/>
        <w:rPr>
          <w:b/>
          <w:lang w:val="en-AU"/>
        </w:rPr>
      </w:pPr>
      <w:r>
        <w:rPr>
          <w:b/>
          <w:lang w:val="en-AU"/>
        </w:rPr>
        <w:br w:type="page"/>
      </w:r>
    </w:p>
    <w:p w:rsidR="00ED1E64" w:rsidRDefault="00ED1E64" w:rsidP="00C57742">
      <w:pPr>
        <w:pStyle w:val="Heading4"/>
        <w:rPr>
          <w:lang w:val="en-AU"/>
        </w:rPr>
      </w:pPr>
      <w:r w:rsidRPr="00921452">
        <w:rPr>
          <w:lang w:val="en-AU"/>
        </w:rPr>
        <w:lastRenderedPageBreak/>
        <w:t>Direct service delivery</w:t>
      </w:r>
    </w:p>
    <w:p w:rsidR="00443E9D" w:rsidRPr="00921452" w:rsidRDefault="00443E9D">
      <w:pPr>
        <w:spacing w:line="240" w:lineRule="auto"/>
        <w:jc w:val="left"/>
        <w:rPr>
          <w:b/>
          <w:lang w:val="en-AU"/>
        </w:rPr>
      </w:pPr>
    </w:p>
    <w:p w:rsidR="00E65A0E" w:rsidRPr="00DD4E6E" w:rsidRDefault="00D6669A" w:rsidP="002B38E2">
      <w:pPr>
        <w:spacing w:line="240" w:lineRule="auto"/>
        <w:rPr>
          <w:lang w:val="en-AU"/>
        </w:rPr>
      </w:pPr>
      <w:r w:rsidRPr="00DD4E6E">
        <w:rPr>
          <w:lang w:val="en-AU"/>
        </w:rPr>
        <w:t xml:space="preserve">Direct service delivery must not be considered as an option that is equally valid as commissioning. </w:t>
      </w:r>
      <w:r w:rsidR="00D54228" w:rsidRPr="00DD4E6E">
        <w:rPr>
          <w:lang w:val="en-AU"/>
        </w:rPr>
        <w:t xml:space="preserve">The </w:t>
      </w:r>
      <w:r w:rsidR="001069CC" w:rsidRPr="00DD4E6E">
        <w:rPr>
          <w:lang w:val="en-AU"/>
        </w:rPr>
        <w:t>possibility</w:t>
      </w:r>
      <w:r w:rsidR="00D54228" w:rsidRPr="00DD4E6E">
        <w:rPr>
          <w:lang w:val="en-AU"/>
        </w:rPr>
        <w:t xml:space="preserve"> of a PHN planning to directly pr</w:t>
      </w:r>
      <w:r w:rsidR="00C53FA8" w:rsidRPr="00DD4E6E">
        <w:rPr>
          <w:lang w:val="en-AU"/>
        </w:rPr>
        <w:t>o</w:t>
      </w:r>
      <w:r w:rsidR="00D54228" w:rsidRPr="00DD4E6E">
        <w:rPr>
          <w:lang w:val="en-AU"/>
        </w:rPr>
        <w:t>vide services is c</w:t>
      </w:r>
      <w:r w:rsidR="00ED1E64" w:rsidRPr="00DD4E6E">
        <w:rPr>
          <w:lang w:val="en-AU"/>
        </w:rPr>
        <w:t xml:space="preserve">overed in </w:t>
      </w:r>
      <w:r w:rsidR="009F6B4C" w:rsidRPr="00DD4E6E">
        <w:rPr>
          <w:lang w:val="en-AU"/>
        </w:rPr>
        <w:t xml:space="preserve">the </w:t>
      </w:r>
      <w:r w:rsidR="000A69A4" w:rsidRPr="00DD4E6E">
        <w:rPr>
          <w:lang w:val="en-AU"/>
        </w:rPr>
        <w:t xml:space="preserve">PHN Grant Programme </w:t>
      </w:r>
      <w:r w:rsidR="00ED1E64" w:rsidRPr="00DD4E6E">
        <w:rPr>
          <w:lang w:val="en-AU"/>
        </w:rPr>
        <w:t>Guidelines</w:t>
      </w:r>
      <w:r w:rsidR="006F248B" w:rsidRPr="00DD4E6E">
        <w:rPr>
          <w:lang w:val="en-AU"/>
        </w:rPr>
        <w:t xml:space="preserve"> which </w:t>
      </w:r>
      <w:r w:rsidR="000A69A4" w:rsidRPr="00DD4E6E">
        <w:rPr>
          <w:lang w:val="en-AU"/>
        </w:rPr>
        <w:t>state</w:t>
      </w:r>
      <w:r w:rsidR="00D54228" w:rsidRPr="00DD4E6E">
        <w:rPr>
          <w:lang w:val="en-AU"/>
        </w:rPr>
        <w:t>:</w:t>
      </w:r>
    </w:p>
    <w:p w:rsidR="00E65A0E" w:rsidRDefault="00E65A0E" w:rsidP="00DC218A">
      <w:pPr>
        <w:jc w:val="left"/>
        <w:rPr>
          <w:sz w:val="20"/>
          <w:szCs w:val="20"/>
        </w:rPr>
      </w:pPr>
    </w:p>
    <w:p w:rsidR="00052424" w:rsidRPr="005965EF" w:rsidRDefault="000C5A83" w:rsidP="002B38E2">
      <w:pPr>
        <w:ind w:left="720"/>
        <w:rPr>
          <w:szCs w:val="22"/>
        </w:rPr>
      </w:pPr>
      <w:r w:rsidRPr="005965EF">
        <w:rPr>
          <w:szCs w:val="22"/>
        </w:rPr>
        <w:t xml:space="preserve">As a general rule, the PHN’s role in primary health care service provision in the second year of operation (2016-17) as far as possible will be as a commissioner, rather than a provider of services.  If the PHN’s needs assessment identifies a specific population or cohort or area with a lack of, or inequitable access to medical and health care services, </w:t>
      </w:r>
      <w:r w:rsidR="00E65A0E" w:rsidRPr="005965EF">
        <w:rPr>
          <w:szCs w:val="22"/>
        </w:rPr>
        <w:t xml:space="preserve">PHNs must take reasonable steps to </w:t>
      </w:r>
      <w:proofErr w:type="spellStart"/>
      <w:r w:rsidR="00E65A0E" w:rsidRPr="005965EF">
        <w:rPr>
          <w:szCs w:val="22"/>
        </w:rPr>
        <w:t>utilise</w:t>
      </w:r>
      <w:proofErr w:type="spellEnd"/>
      <w:r w:rsidR="00E65A0E" w:rsidRPr="005965EF">
        <w:rPr>
          <w:szCs w:val="22"/>
        </w:rPr>
        <w:t xml:space="preserve"> existing service providers within their PHN. Where local services do not exist, PHNs will work to stimulate the market through investment in health and medical services to attract new providers, including from outside of the PHN. </w:t>
      </w:r>
    </w:p>
    <w:p w:rsidR="00052424" w:rsidRPr="005965EF" w:rsidRDefault="00052424" w:rsidP="002B38E2">
      <w:pPr>
        <w:ind w:left="720"/>
        <w:rPr>
          <w:szCs w:val="22"/>
        </w:rPr>
      </w:pPr>
    </w:p>
    <w:p w:rsidR="00E65A0E" w:rsidRPr="005965EF" w:rsidRDefault="00E65A0E" w:rsidP="002B38E2">
      <w:pPr>
        <w:ind w:left="720"/>
        <w:rPr>
          <w:szCs w:val="22"/>
        </w:rPr>
      </w:pPr>
      <w:r w:rsidRPr="005965EF">
        <w:rPr>
          <w:szCs w:val="22"/>
        </w:rPr>
        <w:t>In the event that no appropriate service provider is available and the PHN cannot reasonably facilitate new providers, a PHN must seek the department’s approval to directly provide services either as an interim or longer term arrangement. In these instances, the PHN must demonstrate to the department that the region is lacking appropriate services and the PHN has investigated alternative avenues for service</w:t>
      </w:r>
      <w:r w:rsidR="00EB2E55" w:rsidRPr="005965EF">
        <w:rPr>
          <w:szCs w:val="22"/>
        </w:rPr>
        <w:t> </w:t>
      </w:r>
      <w:r w:rsidRPr="005965EF">
        <w:rPr>
          <w:szCs w:val="22"/>
        </w:rPr>
        <w:t>delivery.</w:t>
      </w:r>
      <w:r w:rsidRPr="005965EF">
        <w:rPr>
          <w:rStyle w:val="EndnoteReference"/>
          <w:szCs w:val="22"/>
        </w:rPr>
        <w:endnoteReference w:id="31"/>
      </w:r>
    </w:p>
    <w:p w:rsidR="00C53FA8" w:rsidRPr="005965EF" w:rsidRDefault="00C53FA8" w:rsidP="00DC218A">
      <w:pPr>
        <w:spacing w:line="240" w:lineRule="auto"/>
        <w:jc w:val="left"/>
        <w:rPr>
          <w:lang w:val="en-AU"/>
        </w:rPr>
      </w:pPr>
    </w:p>
    <w:p w:rsidR="00C53FA8" w:rsidRPr="00DD4E6E" w:rsidRDefault="00C53FA8" w:rsidP="002B38E2">
      <w:pPr>
        <w:spacing w:line="240" w:lineRule="auto"/>
      </w:pPr>
      <w:r w:rsidRPr="00DD4E6E">
        <w:rPr>
          <w:lang w:val="en-AU"/>
        </w:rPr>
        <w:t>I</w:t>
      </w:r>
      <w:r w:rsidR="00BF1B33" w:rsidRPr="00DD4E6E">
        <w:rPr>
          <w:lang w:val="en-AU"/>
        </w:rPr>
        <w:t>n</w:t>
      </w:r>
      <w:r w:rsidRPr="00DD4E6E">
        <w:rPr>
          <w:lang w:val="en-AU"/>
        </w:rPr>
        <w:t xml:space="preserve"> terms of planning for 2016-17</w:t>
      </w:r>
      <w:r w:rsidR="00BF1B33" w:rsidRPr="00DD4E6E">
        <w:rPr>
          <w:lang w:val="en-AU"/>
        </w:rPr>
        <w:t>,</w:t>
      </w:r>
      <w:r w:rsidRPr="00DD4E6E">
        <w:rPr>
          <w:lang w:val="en-AU"/>
        </w:rPr>
        <w:t xml:space="preserve"> it is acknowledged that </w:t>
      </w:r>
      <w:r w:rsidR="00234A7B" w:rsidRPr="00DD4E6E">
        <w:rPr>
          <w:lang w:val="en-AU"/>
        </w:rPr>
        <w:t xml:space="preserve">in many instances </w:t>
      </w:r>
      <w:r w:rsidRPr="00DD4E6E">
        <w:rPr>
          <w:rFonts w:cs="Arial"/>
          <w:bCs/>
          <w:szCs w:val="22"/>
        </w:rPr>
        <w:t xml:space="preserve">changing from direct </w:t>
      </w:r>
      <w:r w:rsidR="001069CC" w:rsidRPr="00DD4E6E">
        <w:rPr>
          <w:rFonts w:cs="Arial"/>
          <w:bCs/>
          <w:szCs w:val="22"/>
        </w:rPr>
        <w:t>service</w:t>
      </w:r>
      <w:r w:rsidRPr="00DD4E6E">
        <w:rPr>
          <w:rFonts w:cs="Arial"/>
          <w:bCs/>
          <w:szCs w:val="22"/>
        </w:rPr>
        <w:t xml:space="preserve"> delivery to </w:t>
      </w:r>
      <w:r w:rsidR="00234A7B" w:rsidRPr="00DD4E6E">
        <w:rPr>
          <w:rFonts w:cs="Arial"/>
          <w:bCs/>
          <w:szCs w:val="22"/>
        </w:rPr>
        <w:t xml:space="preserve">a </w:t>
      </w:r>
      <w:r w:rsidRPr="00DD4E6E">
        <w:rPr>
          <w:rFonts w:cs="Arial"/>
          <w:bCs/>
          <w:szCs w:val="22"/>
        </w:rPr>
        <w:t>commissioning</w:t>
      </w:r>
      <w:r w:rsidR="00234A7B" w:rsidRPr="00DD4E6E">
        <w:rPr>
          <w:rFonts w:cs="Arial"/>
          <w:bCs/>
          <w:szCs w:val="22"/>
        </w:rPr>
        <w:t xml:space="preserve"> </w:t>
      </w:r>
      <w:r w:rsidR="001069CC" w:rsidRPr="00DD4E6E">
        <w:rPr>
          <w:rFonts w:cs="Arial"/>
          <w:bCs/>
          <w:szCs w:val="22"/>
        </w:rPr>
        <w:t xml:space="preserve">approach </w:t>
      </w:r>
      <w:r w:rsidR="006F248B" w:rsidRPr="00DD4E6E">
        <w:rPr>
          <w:rFonts w:cs="Arial"/>
          <w:bCs/>
          <w:szCs w:val="22"/>
        </w:rPr>
        <w:t>from</w:t>
      </w:r>
      <w:r w:rsidR="00234A7B" w:rsidRPr="00DD4E6E">
        <w:rPr>
          <w:rFonts w:cs="Arial"/>
          <w:bCs/>
          <w:szCs w:val="22"/>
        </w:rPr>
        <w:t xml:space="preserve"> 1 July 2016 may </w:t>
      </w:r>
      <w:r w:rsidRPr="00DD4E6E">
        <w:rPr>
          <w:rFonts w:cs="Arial"/>
          <w:bCs/>
          <w:szCs w:val="22"/>
        </w:rPr>
        <w:t xml:space="preserve">not be </w:t>
      </w:r>
      <w:r w:rsidR="00921452" w:rsidRPr="00DD4E6E">
        <w:rPr>
          <w:rFonts w:cs="Arial"/>
          <w:bCs/>
          <w:szCs w:val="22"/>
        </w:rPr>
        <w:t xml:space="preserve">immediately </w:t>
      </w:r>
      <w:r w:rsidR="008D1032" w:rsidRPr="00DD4E6E">
        <w:rPr>
          <w:rFonts w:cs="Arial"/>
          <w:bCs/>
          <w:szCs w:val="22"/>
        </w:rPr>
        <w:t xml:space="preserve">feasible. </w:t>
      </w:r>
      <w:r w:rsidR="00234A7B" w:rsidRPr="00DD4E6E">
        <w:rPr>
          <w:rFonts w:cs="Arial"/>
          <w:bCs/>
          <w:szCs w:val="22"/>
        </w:rPr>
        <w:t>H</w:t>
      </w:r>
      <w:r w:rsidR="00D6669A" w:rsidRPr="00DD4E6E">
        <w:rPr>
          <w:rFonts w:cs="Arial"/>
          <w:bCs/>
          <w:szCs w:val="22"/>
        </w:rPr>
        <w:t>owever</w:t>
      </w:r>
      <w:r w:rsidR="00686116" w:rsidRPr="00DD4E6E">
        <w:rPr>
          <w:rFonts w:cs="Arial"/>
          <w:bCs/>
          <w:szCs w:val="22"/>
        </w:rPr>
        <w:t>,</w:t>
      </w:r>
      <w:r w:rsidR="00D6669A" w:rsidRPr="00DD4E6E">
        <w:rPr>
          <w:rFonts w:cs="Arial"/>
          <w:bCs/>
          <w:szCs w:val="22"/>
        </w:rPr>
        <w:t xml:space="preserve"> </w:t>
      </w:r>
      <w:r w:rsidR="00234A7B" w:rsidRPr="00DD4E6E">
        <w:rPr>
          <w:rFonts w:cs="Arial"/>
          <w:bCs/>
          <w:szCs w:val="22"/>
        </w:rPr>
        <w:t xml:space="preserve">in any circumstances where a </w:t>
      </w:r>
      <w:r w:rsidR="00921452" w:rsidRPr="00DD4E6E">
        <w:rPr>
          <w:rFonts w:cs="Arial"/>
          <w:bCs/>
          <w:szCs w:val="22"/>
        </w:rPr>
        <w:t xml:space="preserve">PHN </w:t>
      </w:r>
      <w:r w:rsidRPr="00DD4E6E">
        <w:t>p</w:t>
      </w:r>
      <w:r w:rsidR="00234A7B" w:rsidRPr="00DD4E6E">
        <w:t>roposes to continue direct service provision the plan will</w:t>
      </w:r>
      <w:r w:rsidRPr="00DD4E6E">
        <w:t xml:space="preserve"> need to</w:t>
      </w:r>
      <w:r w:rsidR="00D6669A" w:rsidRPr="00DD4E6E">
        <w:t xml:space="preserve"> demonstrate</w:t>
      </w:r>
      <w:r w:rsidR="006F248B" w:rsidRPr="00DD4E6E">
        <w:t xml:space="preserve"> that</w:t>
      </w:r>
      <w:r w:rsidR="00D6669A" w:rsidRPr="00DD4E6E">
        <w:t>:</w:t>
      </w:r>
    </w:p>
    <w:p w:rsidR="002B38E2" w:rsidRPr="00DD4E6E" w:rsidRDefault="002B38E2" w:rsidP="00DC218A">
      <w:pPr>
        <w:spacing w:line="240" w:lineRule="auto"/>
        <w:jc w:val="left"/>
        <w:rPr>
          <w:lang w:val="en-AU"/>
        </w:rPr>
      </w:pPr>
    </w:p>
    <w:p w:rsidR="00C53FA8" w:rsidRPr="002B38E2" w:rsidRDefault="00234A7B" w:rsidP="002D4D3E">
      <w:pPr>
        <w:pStyle w:val="ListParagraph"/>
        <w:rPr>
          <w:rFonts w:cs="Arial"/>
          <w:bCs/>
          <w:sz w:val="26"/>
          <w:szCs w:val="26"/>
        </w:rPr>
      </w:pPr>
      <w:r w:rsidRPr="00DD4E6E">
        <w:t xml:space="preserve">there are approaches </w:t>
      </w:r>
      <w:r w:rsidR="00C53FA8" w:rsidRPr="00DD4E6E">
        <w:t>designed to te</w:t>
      </w:r>
      <w:r w:rsidRPr="00DD4E6E">
        <w:t>st and stimula</w:t>
      </w:r>
      <w:r w:rsidR="00D6669A" w:rsidRPr="00DD4E6E">
        <w:t xml:space="preserve">te the market; </w:t>
      </w:r>
    </w:p>
    <w:p w:rsidR="002B38E2" w:rsidRPr="00DD4E6E" w:rsidRDefault="00234A7B" w:rsidP="003178F8">
      <w:pPr>
        <w:pStyle w:val="ListParagraph"/>
      </w:pPr>
      <w:r w:rsidRPr="00DD4E6E">
        <w:t xml:space="preserve">there is </w:t>
      </w:r>
      <w:r w:rsidR="00D6669A" w:rsidRPr="00DD4E6E">
        <w:t xml:space="preserve">an intention to move to commissioning </w:t>
      </w:r>
      <w:r w:rsidRPr="00DD4E6E">
        <w:t xml:space="preserve">services </w:t>
      </w:r>
      <w:r w:rsidR="00D6669A" w:rsidRPr="00DD4E6E">
        <w:t>within the 2016</w:t>
      </w:r>
      <w:r w:rsidRPr="00DD4E6E">
        <w:t>-17 financial year; and</w:t>
      </w:r>
    </w:p>
    <w:p w:rsidR="00443E9D" w:rsidRPr="003178F8" w:rsidRDefault="00D6669A" w:rsidP="003178F8">
      <w:pPr>
        <w:pStyle w:val="ListParagraph"/>
        <w:spacing w:line="240" w:lineRule="auto"/>
        <w:rPr>
          <w:rFonts w:cs="Arial"/>
          <w:bCs/>
          <w:color w:val="003D69"/>
          <w:sz w:val="26"/>
          <w:szCs w:val="26"/>
        </w:rPr>
      </w:pPr>
      <w:proofErr w:type="gramStart"/>
      <w:r w:rsidRPr="00DD4E6E">
        <w:t>where</w:t>
      </w:r>
      <w:proofErr w:type="gramEnd"/>
      <w:r w:rsidRPr="00DD4E6E">
        <w:t xml:space="preserve"> direct service provision appears likely to continue beyond </w:t>
      </w:r>
      <w:r w:rsidR="00BF1B33" w:rsidRPr="00DD4E6E">
        <w:t>2016-17</w:t>
      </w:r>
      <w:r w:rsidRPr="00DD4E6E">
        <w:t xml:space="preserve">, </w:t>
      </w:r>
      <w:r w:rsidR="00234A7B" w:rsidRPr="00DD4E6E">
        <w:t xml:space="preserve">there are </w:t>
      </w:r>
      <w:r w:rsidR="001069CC" w:rsidRPr="00DD4E6E">
        <w:t>proposals</w:t>
      </w:r>
      <w:r w:rsidR="00C53FA8" w:rsidRPr="00DD4E6E">
        <w:t xml:space="preserve"> for moving to commissioning in the longer term.</w:t>
      </w:r>
    </w:p>
    <w:p w:rsidR="00ED1E64" w:rsidRDefault="00ED1E64" w:rsidP="00ED1E64">
      <w:pPr>
        <w:pStyle w:val="Heading3"/>
      </w:pPr>
      <w:bookmarkStart w:id="24" w:name="_Toc458775172"/>
      <w:r>
        <w:t>Performance measurement</w:t>
      </w:r>
      <w:bookmarkEnd w:id="24"/>
    </w:p>
    <w:p w:rsidR="00FD7702" w:rsidRPr="00DD4E6E" w:rsidRDefault="007F0025" w:rsidP="00CE0171">
      <w:r w:rsidRPr="00DD4E6E">
        <w:t xml:space="preserve">Performance measurement is covered in detail in the </w:t>
      </w:r>
      <w:r w:rsidR="00BF1B33" w:rsidRPr="00DD4E6E">
        <w:t xml:space="preserve">PHN </w:t>
      </w:r>
      <w:r w:rsidRPr="00DD4E6E">
        <w:t>Performance Framework</w:t>
      </w:r>
      <w:r w:rsidR="00FD7702" w:rsidRPr="00DD4E6E">
        <w:t xml:space="preserve"> (v.1</w:t>
      </w:r>
      <w:r w:rsidR="00BF02D8" w:rsidRPr="00DD4E6E">
        <w:t>.0</w:t>
      </w:r>
      <w:r w:rsidR="00FD7702" w:rsidRPr="00DD4E6E">
        <w:t>)</w:t>
      </w:r>
      <w:r w:rsidRPr="00DD4E6E">
        <w:t>.</w:t>
      </w:r>
      <w:r w:rsidR="001F54E9" w:rsidRPr="00DD4E6E">
        <w:t xml:space="preserve"> </w:t>
      </w:r>
      <w:r w:rsidR="00FD7702" w:rsidRPr="00DD4E6E">
        <w:t xml:space="preserve">The diagram below from the </w:t>
      </w:r>
      <w:r w:rsidR="001069CC" w:rsidRPr="00DD4E6E">
        <w:t>Performance</w:t>
      </w:r>
      <w:r w:rsidR="00FD7702" w:rsidRPr="00DD4E6E">
        <w:t xml:space="preserve"> Framework shows </w:t>
      </w:r>
      <w:r w:rsidR="00EC1083" w:rsidRPr="00DD4E6E">
        <w:t>an overview of the process to identify local indicators.</w:t>
      </w:r>
    </w:p>
    <w:p w:rsidR="00EB2E55" w:rsidRPr="00DD4E6E" w:rsidRDefault="00EB2E55">
      <w:pPr>
        <w:spacing w:line="240" w:lineRule="auto"/>
        <w:jc w:val="left"/>
      </w:pPr>
      <w:r w:rsidRPr="00DD4E6E">
        <w:br w:type="page"/>
      </w:r>
    </w:p>
    <w:p w:rsidR="00D7786A" w:rsidRPr="00DD4E6E" w:rsidRDefault="00D7786A" w:rsidP="00D7786A">
      <w:pPr>
        <w:jc w:val="left"/>
      </w:pPr>
      <w:r w:rsidRPr="00DD4E6E">
        <w:lastRenderedPageBreak/>
        <w:t>Figure 2.3: Overview of process to identify local indicators</w:t>
      </w:r>
    </w:p>
    <w:p w:rsidR="00D7786A" w:rsidRPr="00DD4E6E" w:rsidRDefault="00D7786A" w:rsidP="008D1032">
      <w:pPr>
        <w:jc w:val="left"/>
      </w:pPr>
    </w:p>
    <w:p w:rsidR="00FD7702" w:rsidRPr="00DD4E6E" w:rsidRDefault="00FD7702" w:rsidP="00622096">
      <w:pPr>
        <w:ind w:left="360"/>
        <w:jc w:val="center"/>
      </w:pPr>
      <w:r w:rsidRPr="00DD4E6E">
        <w:rPr>
          <w:noProof/>
          <w:lang w:val="en-AU" w:eastAsia="en-AU"/>
        </w:rPr>
        <w:drawing>
          <wp:inline distT="0" distB="0" distL="0" distR="0" wp14:anchorId="48E509BE" wp14:editId="15B39013">
            <wp:extent cx="4075200" cy="2174400"/>
            <wp:effectExtent l="0" t="0" r="1905" b="0"/>
            <wp:docPr id="5" name="Picture 5" descr="This figure, which is from the Performance Framework, provides an overview of the process for PHNs to identify local indicators. It illustrates that the process flows from the commissioning cycle which encompasses strategic planning, procuring services and monitoring and evaluating; to the Indicators available from a national data set; to the PHN identifying indicators such as outcome measures, output measures and process measures. This then flows down to selection of the Measure relating to PHN objectives and/or National Priority Areas and/or national headline indicators; to the PHN setting the target for each local indicator; and then the local indicators (and targets) for each priority being included in the PHN Activity Work Plan." title="Figure 2.3: Overview of process to identify local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impss\AppData\Local\Microsoft\Windows\Temporary Internet Files\Content.Outlook\OIQZ2ZBD\Local indicator selection diagram v4.jpg"/>
                    <pic:cNvPicPr>
                      <a:picLocks noChangeAspect="1" noChangeArrowheads="1"/>
                    </pic:cNvPicPr>
                  </pic:nvPicPr>
                  <pic:blipFill>
                    <a:blip r:embed="rId21">
                      <a:extLst>
                        <a:ext uri="{28A0092B-C50C-407E-A947-70E740481C1C}">
                          <a14:useLocalDpi xmlns:a14="http://schemas.microsoft.com/office/drawing/2010/main"/>
                        </a:ext>
                      </a:extLst>
                    </a:blip>
                    <a:stretch>
                      <a:fillRect/>
                    </a:stretch>
                  </pic:blipFill>
                  <pic:spPr bwMode="auto">
                    <a:xfrm>
                      <a:off x="0" y="0"/>
                      <a:ext cx="4075200" cy="2174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5="http://schemas.microsoft.com/office/word/2012/wordml"/>
                      </a:ext>
                    </a:extLst>
                  </pic:spPr>
                </pic:pic>
              </a:graphicData>
            </a:graphic>
          </wp:inline>
        </w:drawing>
      </w:r>
    </w:p>
    <w:p w:rsidR="00EC1083" w:rsidRPr="00DD4E6E" w:rsidRDefault="00EC1083" w:rsidP="00EC1083"/>
    <w:p w:rsidR="00EC1083" w:rsidRPr="00DD4E6E" w:rsidRDefault="00FD7702" w:rsidP="00CE0171">
      <w:r w:rsidRPr="00DD4E6E">
        <w:t>The Performance Framework gives t</w:t>
      </w:r>
      <w:r w:rsidR="00EC1083" w:rsidRPr="00DD4E6E">
        <w:t xml:space="preserve">he following guidance </w:t>
      </w:r>
      <w:r w:rsidRPr="00DD4E6E">
        <w:t>for</w:t>
      </w:r>
      <w:r w:rsidR="00EC1083" w:rsidRPr="00DD4E6E">
        <w:t xml:space="preserve"> determining local indicators: </w:t>
      </w:r>
    </w:p>
    <w:p w:rsidR="005048CB" w:rsidRPr="00DD4E6E" w:rsidRDefault="005048CB" w:rsidP="00CE0171"/>
    <w:p w:rsidR="00EC1083" w:rsidRPr="00DD4E6E" w:rsidRDefault="00EC1083" w:rsidP="002D4D3E">
      <w:pPr>
        <w:pStyle w:val="ListParagraph"/>
      </w:pPr>
      <w:r w:rsidRPr="00DD4E6E">
        <w:t>Local indi</w:t>
      </w:r>
      <w:r w:rsidR="003D0035" w:rsidRPr="00DD4E6E">
        <w:t>cators need to cover all local activities</w:t>
      </w:r>
      <w:r w:rsidRPr="00DD4E6E">
        <w:t xml:space="preserve">.  An indicator might cover multiple </w:t>
      </w:r>
      <w:r w:rsidR="003D0035" w:rsidRPr="00DD4E6E">
        <w:t>activities, and one activit</w:t>
      </w:r>
      <w:r w:rsidRPr="00DD4E6E">
        <w:t xml:space="preserve">y might have multiple indicators.  </w:t>
      </w:r>
    </w:p>
    <w:p w:rsidR="00EC1083" w:rsidRPr="00DD4E6E" w:rsidRDefault="00EC1083" w:rsidP="002D4D3E">
      <w:pPr>
        <w:pStyle w:val="ListParagraph"/>
      </w:pPr>
      <w:r w:rsidRPr="00DD4E6E">
        <w:t xml:space="preserve">Where outcome indicators </w:t>
      </w:r>
      <w:r w:rsidR="00396654" w:rsidRPr="00DD4E6E">
        <w:t xml:space="preserve">are </w:t>
      </w:r>
      <w:r w:rsidRPr="00DD4E6E">
        <w:t>either not available, or not a meaningful measure, then process or output measures ca</w:t>
      </w:r>
      <w:r w:rsidR="003D0035" w:rsidRPr="00DD4E6E">
        <w:t>n be a better option, provided t</w:t>
      </w:r>
      <w:r w:rsidRPr="00DD4E6E">
        <w:t>here is evidence to indicate that the processes and/or outputs being measured will, in time, contribute to the achievement of the outcome that is sought.</w:t>
      </w:r>
    </w:p>
    <w:p w:rsidR="00EC1083" w:rsidRPr="00DD4E6E" w:rsidRDefault="00EC1083" w:rsidP="002D4D3E">
      <w:pPr>
        <w:pStyle w:val="ListParagraph"/>
        <w:numPr>
          <w:ilvl w:val="0"/>
          <w:numId w:val="38"/>
        </w:numPr>
      </w:pPr>
      <w:r w:rsidRPr="00DD4E6E">
        <w:t>Interventions that (according to robust evidence) are likely to take several years to realise a health outcome (</w:t>
      </w:r>
      <w:r w:rsidR="001069CC" w:rsidRPr="00DD4E6E">
        <w:t>e.g.</w:t>
      </w:r>
      <w:r w:rsidRPr="00DD4E6E">
        <w:t xml:space="preserve"> preventive health) might be better assessed through processes or outputs.</w:t>
      </w:r>
    </w:p>
    <w:p w:rsidR="00EC1083" w:rsidRPr="00DD4E6E" w:rsidRDefault="00EC1083" w:rsidP="002D4D3E">
      <w:pPr>
        <w:pStyle w:val="ListParagraph"/>
      </w:pPr>
      <w:r w:rsidRPr="00DD4E6E">
        <w:t xml:space="preserve">Administrative data sets such as the </w:t>
      </w:r>
      <w:r w:rsidR="00F93171" w:rsidRPr="00DD4E6E">
        <w:t>Medicare Benefits Schedule (</w:t>
      </w:r>
      <w:r w:rsidRPr="00DD4E6E">
        <w:t>MBS</w:t>
      </w:r>
      <w:r w:rsidR="00F93171" w:rsidRPr="00DD4E6E">
        <w:t>)</w:t>
      </w:r>
      <w:r w:rsidRPr="00DD4E6E">
        <w:t xml:space="preserve"> or</w:t>
      </w:r>
      <w:r w:rsidR="00F93171" w:rsidRPr="00DD4E6E">
        <w:t xml:space="preserve"> Pharmaceutical Benefits Scheme</w:t>
      </w:r>
      <w:r w:rsidRPr="00DD4E6E">
        <w:t xml:space="preserve"> </w:t>
      </w:r>
      <w:r w:rsidR="00F93171" w:rsidRPr="00DD4E6E">
        <w:t>(</w:t>
      </w:r>
      <w:r w:rsidRPr="00DD4E6E">
        <w:t>PBS</w:t>
      </w:r>
      <w:r w:rsidR="00F93171" w:rsidRPr="00DD4E6E">
        <w:t>)</w:t>
      </w:r>
      <w:r w:rsidRPr="00DD4E6E">
        <w:t xml:space="preserve"> could contri</w:t>
      </w:r>
      <w:r w:rsidR="008D1032" w:rsidRPr="00DD4E6E">
        <w:t>bute to an appropriate measure.</w:t>
      </w:r>
      <w:r w:rsidRPr="00DD4E6E">
        <w:t xml:space="preserve"> A number of the indicators available from national data sets use the MBS as a data source, however PHNs may identify MBS and/or PBS based indicators, not included on this list, which may be better suited to assess the relevant local activity.</w:t>
      </w:r>
    </w:p>
    <w:p w:rsidR="00EC1083" w:rsidRPr="00DD4E6E" w:rsidRDefault="00EC1083" w:rsidP="002D4D3E">
      <w:pPr>
        <w:pStyle w:val="ListParagraph"/>
      </w:pPr>
      <w:r w:rsidRPr="00DD4E6E">
        <w:t>As well as relating to specific local priorities, local indicators will also relate to:</w:t>
      </w:r>
    </w:p>
    <w:p w:rsidR="00622096" w:rsidRPr="00DD4E6E" w:rsidRDefault="00EC1083" w:rsidP="002D4D3E">
      <w:pPr>
        <w:pStyle w:val="ListParagraph"/>
        <w:numPr>
          <w:ilvl w:val="0"/>
          <w:numId w:val="38"/>
        </w:numPr>
      </w:pPr>
      <w:r w:rsidRPr="00DD4E6E">
        <w:t>PHN objectives; and/or</w:t>
      </w:r>
      <w:r w:rsidR="002A08F7" w:rsidRPr="00DD4E6E">
        <w:t xml:space="preserve"> </w:t>
      </w:r>
    </w:p>
    <w:p w:rsidR="00EC1083" w:rsidRPr="00DD4E6E" w:rsidRDefault="00EC1083" w:rsidP="002D4D3E">
      <w:pPr>
        <w:pStyle w:val="ListParagraph"/>
        <w:numPr>
          <w:ilvl w:val="0"/>
          <w:numId w:val="38"/>
        </w:numPr>
      </w:pPr>
      <w:r w:rsidRPr="00DD4E6E">
        <w:t>national priority areas; and/or</w:t>
      </w:r>
    </w:p>
    <w:p w:rsidR="00EC1083" w:rsidRPr="00DD4E6E" w:rsidRDefault="00EC1083" w:rsidP="002D4D3E">
      <w:pPr>
        <w:pStyle w:val="ListParagraph"/>
        <w:numPr>
          <w:ilvl w:val="0"/>
          <w:numId w:val="38"/>
        </w:numPr>
      </w:pPr>
      <w:proofErr w:type="gramStart"/>
      <w:r w:rsidRPr="00DD4E6E">
        <w:t>a</w:t>
      </w:r>
      <w:proofErr w:type="gramEnd"/>
      <w:r w:rsidRPr="00DD4E6E">
        <w:t xml:space="preserve"> national headline indicator.</w:t>
      </w:r>
    </w:p>
    <w:p w:rsidR="00EC1083" w:rsidRPr="00DD4E6E" w:rsidRDefault="00EC1083" w:rsidP="002D4D3E">
      <w:pPr>
        <w:pStyle w:val="ListParagraph"/>
      </w:pPr>
      <w:r w:rsidRPr="00DD4E6E">
        <w:t xml:space="preserve">Performance targets will be negotiated so as to demonstrate continuous improvement across multiple years.  </w:t>
      </w:r>
    </w:p>
    <w:p w:rsidR="00EC1083" w:rsidRPr="00DD4E6E" w:rsidRDefault="00EC1083" w:rsidP="002D4D3E">
      <w:pPr>
        <w:pStyle w:val="ListParagraph"/>
      </w:pPr>
      <w:r w:rsidRPr="00DD4E6E">
        <w:t>Local indicators and targets will b</w:t>
      </w:r>
      <w:r w:rsidR="003D0035" w:rsidRPr="00DD4E6E">
        <w:t>e reviewed and revised annually in subsequent</w:t>
      </w:r>
      <w:r w:rsidR="00EB2E55" w:rsidRPr="00DD4E6E">
        <w:t> </w:t>
      </w:r>
      <w:r w:rsidR="005B0E9B" w:rsidRPr="00DD4E6E">
        <w:t>p</w:t>
      </w:r>
      <w:r w:rsidR="003D0035" w:rsidRPr="00DD4E6E">
        <w:t>lans.</w:t>
      </w:r>
    </w:p>
    <w:p w:rsidR="00EB2E55" w:rsidRPr="00DD4E6E" w:rsidRDefault="00EB2E55">
      <w:pPr>
        <w:spacing w:line="240" w:lineRule="auto"/>
        <w:jc w:val="left"/>
      </w:pPr>
      <w:r w:rsidRPr="00DD4E6E">
        <w:br w:type="page"/>
      </w:r>
    </w:p>
    <w:p w:rsidR="00EC1083" w:rsidRPr="00DD4E6E" w:rsidRDefault="00EC1083" w:rsidP="002D4D3E">
      <w:pPr>
        <w:pStyle w:val="ListParagraph"/>
      </w:pPr>
      <w:r w:rsidRPr="00DD4E6E">
        <w:lastRenderedPageBreak/>
        <w:t>Where a priority targets a sub-region e.g. to meet a need in a certain town or region, regional-speci</w:t>
      </w:r>
      <w:r w:rsidR="003D0035" w:rsidRPr="00DD4E6E">
        <w:t xml:space="preserve">fic indicators will be required, </w:t>
      </w:r>
      <w:r w:rsidRPr="00DD4E6E">
        <w:t>ideally at the S</w:t>
      </w:r>
      <w:r w:rsidR="003D0035" w:rsidRPr="00DD4E6E">
        <w:t>tatistical Area Level</w:t>
      </w:r>
      <w:r w:rsidR="00EB2E55" w:rsidRPr="00DD4E6E">
        <w:t> </w:t>
      </w:r>
      <w:r w:rsidR="003D0035" w:rsidRPr="00DD4E6E">
        <w:t>3</w:t>
      </w:r>
      <w:r w:rsidR="00EB2E55" w:rsidRPr="00DD4E6E">
        <w:t> </w:t>
      </w:r>
      <w:r w:rsidR="003D0035" w:rsidRPr="00DD4E6E">
        <w:t>(SA3</w:t>
      </w:r>
      <w:r w:rsidRPr="00DD4E6E">
        <w:t>).</w:t>
      </w:r>
    </w:p>
    <w:p w:rsidR="00EC1083" w:rsidRPr="00DD4E6E" w:rsidRDefault="00EC1083" w:rsidP="002D4D3E">
      <w:pPr>
        <w:pStyle w:val="ListParagraph"/>
      </w:pPr>
      <w:r w:rsidRPr="00DD4E6E">
        <w:t>PHNs are likely to require more specific and detailed performance information of the agencies from which they commis</w:t>
      </w:r>
      <w:r w:rsidR="008D1032" w:rsidRPr="00DD4E6E">
        <w:t xml:space="preserve">sion activity. </w:t>
      </w:r>
      <w:r w:rsidRPr="00DD4E6E">
        <w:t xml:space="preserve">PHNs will need </w:t>
      </w:r>
      <w:r w:rsidR="001069CC" w:rsidRPr="00DD4E6E">
        <w:t>to maintain</w:t>
      </w:r>
      <w:r w:rsidRPr="00DD4E6E">
        <w:t xml:space="preserve"> a ‘line of sight’ between indicators in their contracts with commissioned agencies, and their own local indicators selected as part of the Framework. </w:t>
      </w:r>
    </w:p>
    <w:p w:rsidR="005048CB" w:rsidRPr="00DD4E6E" w:rsidRDefault="005048CB" w:rsidP="005048CB">
      <w:r w:rsidRPr="00DD4E6E">
        <w:t>Joint planning on performance information with LHNs may also help</w:t>
      </w:r>
      <w:r w:rsidR="00A444E4" w:rsidRPr="00DD4E6E">
        <w:t xml:space="preserve"> to</w:t>
      </w:r>
      <w:r w:rsidRPr="00DD4E6E">
        <w:t xml:space="preserve"> establish a consistent approach, particularly in relation to common priorities such as chronic disease.</w:t>
      </w:r>
    </w:p>
    <w:p w:rsidR="005048CB" w:rsidRDefault="005048CB">
      <w:pPr>
        <w:spacing w:line="240" w:lineRule="auto"/>
        <w:jc w:val="left"/>
        <w:rPr>
          <w:rFonts w:cs="Arial"/>
          <w:bCs/>
          <w:caps/>
          <w:color w:val="003D69"/>
          <w:kern w:val="28"/>
          <w:sz w:val="36"/>
          <w:szCs w:val="32"/>
          <w:lang w:val="en-AU"/>
        </w:rPr>
      </w:pPr>
      <w:bookmarkStart w:id="25" w:name="_Toc445194108"/>
      <w:bookmarkStart w:id="26" w:name="_Toc444513149"/>
      <w:r w:rsidRPr="00DD4E6E">
        <w:rPr>
          <w:lang w:val="en-AU"/>
        </w:rPr>
        <w:br w:type="page"/>
      </w:r>
    </w:p>
    <w:p w:rsidR="006A1158" w:rsidRDefault="001110E5" w:rsidP="006A1158">
      <w:pPr>
        <w:pStyle w:val="Heading1"/>
        <w:rPr>
          <w:lang w:val="en-AU"/>
        </w:rPr>
      </w:pPr>
      <w:bookmarkStart w:id="27" w:name="_Toc458775173"/>
      <w:r>
        <w:rPr>
          <w:lang w:val="en-AU"/>
        </w:rPr>
        <w:lastRenderedPageBreak/>
        <w:t xml:space="preserve">3. </w:t>
      </w:r>
      <w:r w:rsidR="007E7989">
        <w:rPr>
          <w:lang w:val="en-AU"/>
        </w:rPr>
        <w:t xml:space="preserve">PHN </w:t>
      </w:r>
      <w:r w:rsidR="00645206">
        <w:rPr>
          <w:lang w:val="en-AU"/>
        </w:rPr>
        <w:t>P</w:t>
      </w:r>
      <w:r w:rsidR="006A1158">
        <w:rPr>
          <w:lang w:val="en-AU"/>
        </w:rPr>
        <w:t>lanning for commissioning 2016-18</w:t>
      </w:r>
      <w:bookmarkEnd w:id="25"/>
      <w:bookmarkEnd w:id="27"/>
    </w:p>
    <w:p w:rsidR="00A76E84" w:rsidRDefault="001110E5" w:rsidP="00A76E84">
      <w:pPr>
        <w:pStyle w:val="Heading2"/>
        <w:rPr>
          <w:lang w:val="en-AU"/>
        </w:rPr>
      </w:pPr>
      <w:bookmarkStart w:id="28" w:name="_Toc445194110"/>
      <w:bookmarkStart w:id="29" w:name="_Toc458775174"/>
      <w:r>
        <w:rPr>
          <w:lang w:val="en-AU"/>
        </w:rPr>
        <w:t xml:space="preserve">3.1 </w:t>
      </w:r>
      <w:r w:rsidR="0086041E">
        <w:rPr>
          <w:lang w:val="en-AU"/>
        </w:rPr>
        <w:t>Overview</w:t>
      </w:r>
      <w:bookmarkEnd w:id="26"/>
      <w:bookmarkEnd w:id="28"/>
      <w:bookmarkEnd w:id="29"/>
    </w:p>
    <w:p w:rsidR="00A76E84" w:rsidRPr="00DD4E6E" w:rsidRDefault="00A76E84" w:rsidP="00CE0171">
      <w:r w:rsidRPr="00DD4E6E">
        <w:t xml:space="preserve">The template for the </w:t>
      </w:r>
      <w:r w:rsidR="005B0E9B" w:rsidRPr="00DD4E6E">
        <w:t>p</w:t>
      </w:r>
      <w:r w:rsidRPr="00DD4E6E">
        <w:t xml:space="preserve">lan has at its core a set of tables, in Word format. Each table asks for information on the nature of the </w:t>
      </w:r>
      <w:r w:rsidR="001110E5" w:rsidRPr="00DD4E6E">
        <w:t>'</w:t>
      </w:r>
      <w:r w:rsidRPr="00DD4E6E">
        <w:t>activity</w:t>
      </w:r>
      <w:r w:rsidR="001110E5" w:rsidRPr="00DD4E6E">
        <w:t>'</w:t>
      </w:r>
      <w:r w:rsidR="00F0645F" w:rsidRPr="00DD4E6E">
        <w:t xml:space="preserve"> – including the </w:t>
      </w:r>
      <w:r w:rsidRPr="00DD4E6E">
        <w:t xml:space="preserve">degree of collaboration with other parties, duration and coverage, commissioning approach, performance measurement and </w:t>
      </w:r>
      <w:r w:rsidR="00234A7B" w:rsidRPr="00DD4E6E">
        <w:t xml:space="preserve">planned expenditure. </w:t>
      </w:r>
      <w:r w:rsidR="00BF31CE" w:rsidRPr="00DD4E6E">
        <w:t xml:space="preserve">Figure </w:t>
      </w:r>
      <w:r w:rsidR="00036425" w:rsidRPr="00DD4E6E">
        <w:t>3</w:t>
      </w:r>
      <w:r w:rsidR="00BF31CE" w:rsidRPr="00DD4E6E">
        <w:t>.</w:t>
      </w:r>
      <w:r w:rsidR="00036425" w:rsidRPr="00DD4E6E">
        <w:t>1</w:t>
      </w:r>
      <w:r w:rsidR="00BF31CE" w:rsidRPr="00DD4E6E">
        <w:t xml:space="preserve"> below sets out the</w:t>
      </w:r>
      <w:r w:rsidR="00F0645F" w:rsidRPr="00DD4E6E">
        <w:t xml:space="preserve"> three steps </w:t>
      </w:r>
      <w:r w:rsidR="001110E5" w:rsidRPr="00DD4E6E">
        <w:t xml:space="preserve">or stages </w:t>
      </w:r>
      <w:r w:rsidR="00F0645F" w:rsidRPr="00DD4E6E">
        <w:t>in developing the plan</w:t>
      </w:r>
      <w:r w:rsidR="001110E5" w:rsidRPr="00DD4E6E">
        <w:t>:</w:t>
      </w:r>
      <w:r w:rsidR="00F0645F" w:rsidRPr="00DD4E6E">
        <w:t xml:space="preserve"> firstly</w:t>
      </w:r>
      <w:r w:rsidR="001110E5" w:rsidRPr="00DD4E6E">
        <w:t>,</w:t>
      </w:r>
      <w:r w:rsidR="00F0645F" w:rsidRPr="00DD4E6E">
        <w:t xml:space="preserve"> the descriptions of individual activities that might be included in the plan</w:t>
      </w:r>
      <w:r w:rsidR="001110E5" w:rsidRPr="00DD4E6E">
        <w:t>;</w:t>
      </w:r>
      <w:r w:rsidR="00F0645F" w:rsidRPr="00DD4E6E">
        <w:t xml:space="preserve"> secondly</w:t>
      </w:r>
      <w:r w:rsidR="001110E5" w:rsidRPr="00DD4E6E">
        <w:t>,</w:t>
      </w:r>
      <w:r w:rsidR="00F0645F" w:rsidRPr="00DD4E6E">
        <w:t xml:space="preserve"> a process for </w:t>
      </w:r>
      <w:proofErr w:type="spellStart"/>
      <w:r w:rsidR="00F0645F" w:rsidRPr="00DD4E6E">
        <w:t>prioritisation</w:t>
      </w:r>
      <w:proofErr w:type="spellEnd"/>
      <w:r w:rsidR="00F0645F" w:rsidRPr="00DD4E6E">
        <w:t xml:space="preserve"> and selection</w:t>
      </w:r>
      <w:r w:rsidR="001110E5" w:rsidRPr="00DD4E6E">
        <w:t>;</w:t>
      </w:r>
      <w:r w:rsidR="00F0645F" w:rsidRPr="00DD4E6E">
        <w:t xml:space="preserve"> and thirdly</w:t>
      </w:r>
      <w:r w:rsidR="001110E5" w:rsidRPr="00DD4E6E">
        <w:t>,</w:t>
      </w:r>
      <w:r w:rsidR="00F0645F" w:rsidRPr="00DD4E6E">
        <w:t xml:space="preserve"> reviewing and </w:t>
      </w:r>
      <w:proofErr w:type="spellStart"/>
      <w:r w:rsidR="008638DB" w:rsidRPr="00DD4E6E">
        <w:t>finalising</w:t>
      </w:r>
      <w:proofErr w:type="spellEnd"/>
      <w:r w:rsidR="00F0645F" w:rsidRPr="00DD4E6E">
        <w:t xml:space="preserve"> the plan in its entirety. </w:t>
      </w:r>
    </w:p>
    <w:p w:rsidR="00206A8C" w:rsidRPr="00DD4E6E" w:rsidRDefault="00206A8C" w:rsidP="008D1032">
      <w:pPr>
        <w:jc w:val="left"/>
      </w:pPr>
    </w:p>
    <w:p w:rsidR="00206A8C" w:rsidRPr="00DD4E6E" w:rsidRDefault="001110E5" w:rsidP="008D1032">
      <w:pPr>
        <w:jc w:val="left"/>
      </w:pPr>
      <w:r w:rsidRPr="00DD4E6E">
        <w:t xml:space="preserve">Figure </w:t>
      </w:r>
      <w:r w:rsidR="00036425" w:rsidRPr="00DD4E6E">
        <w:t>3</w:t>
      </w:r>
      <w:r w:rsidRPr="00DD4E6E">
        <w:t>.</w:t>
      </w:r>
      <w:r w:rsidR="00036425" w:rsidRPr="00DD4E6E">
        <w:t>1</w:t>
      </w:r>
      <w:r w:rsidR="008B1EFE" w:rsidRPr="00DD4E6E">
        <w:t>: Key steps in developing the Activity Work Plan</w:t>
      </w:r>
    </w:p>
    <w:p w:rsidR="00FF3BA2" w:rsidRPr="00DD4E6E" w:rsidRDefault="00A76E84" w:rsidP="00A76E84">
      <w:pPr>
        <w:rPr>
          <w:lang w:val="en-AU"/>
        </w:rPr>
      </w:pPr>
      <w:r w:rsidRPr="00DD4E6E">
        <w:rPr>
          <w:noProof/>
          <w:lang w:val="en-AU" w:eastAsia="en-AU"/>
        </w:rPr>
        <w:drawing>
          <wp:inline distT="0" distB="0" distL="0" distR="0" wp14:anchorId="24AAD869" wp14:editId="493CEDC4">
            <wp:extent cx="5274310" cy="3297555"/>
            <wp:effectExtent l="0" t="0" r="2540" b="0"/>
            <wp:docPr id="3" name="Picture 3" descr="This figure outlines three key steps in developing the Activity Work Plan, and more detailed descriptions of the steps: 1. Developing a set of potential activities – the purpose of this step is to translate the findings of the Needs Assessment and other priorities into a “long list” of possible activities. Activities should be described in the format outlined in the template; 2. Prioritising and choosing activities – the purpose of this step is to take the “long list” of potential activities and undertake a robust prioritisation process to decide which will be included in the Activity Work Plan; and 3.  Reviewing and ratifying the plan as a whole – the purpose of this step is to review the entire plan for balance and fit, and prepare the documentation in the format of the Activity Work Plan template." title="Figure 3.1: Key steps in developing the Activity Work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28 at 9.36.09 PM.png"/>
                    <pic:cNvPicPr/>
                  </pic:nvPicPr>
                  <pic:blipFill>
                    <a:blip r:embed="rId22">
                      <a:extLst>
                        <a:ext uri="{28A0092B-C50C-407E-A947-70E740481C1C}">
                          <a14:useLocalDpi xmlns:a14="http://schemas.microsoft.com/office/drawing/2010/main" val="0"/>
                        </a:ext>
                      </a:extLst>
                    </a:blip>
                    <a:stretch>
                      <a:fillRect/>
                    </a:stretch>
                  </pic:blipFill>
                  <pic:spPr>
                    <a:xfrm>
                      <a:off x="0" y="0"/>
                      <a:ext cx="5274310" cy="3297555"/>
                    </a:xfrm>
                    <a:prstGeom prst="rect">
                      <a:avLst/>
                    </a:prstGeom>
                    <a:ln>
                      <a:noFill/>
                    </a:ln>
                  </pic:spPr>
                </pic:pic>
              </a:graphicData>
            </a:graphic>
          </wp:inline>
        </w:drawing>
      </w:r>
    </w:p>
    <w:p w:rsidR="00FF3BA2" w:rsidRPr="00DD4E6E" w:rsidRDefault="00FF3BA2" w:rsidP="00FF3BA2">
      <w:pPr>
        <w:spacing w:line="240" w:lineRule="auto"/>
        <w:jc w:val="left"/>
        <w:rPr>
          <w:lang w:val="en-AU"/>
        </w:rPr>
      </w:pPr>
    </w:p>
    <w:p w:rsidR="00435FB8" w:rsidRPr="00DD4E6E" w:rsidRDefault="00435FB8" w:rsidP="00FF3BA2">
      <w:pPr>
        <w:spacing w:line="240" w:lineRule="auto"/>
        <w:jc w:val="left"/>
        <w:rPr>
          <w:lang w:val="en-AU"/>
        </w:rPr>
      </w:pPr>
      <w:r w:rsidRPr="00DD4E6E">
        <w:rPr>
          <w:lang w:val="en-AU"/>
        </w:rPr>
        <w:t xml:space="preserve">The key </w:t>
      </w:r>
      <w:proofErr w:type="gramStart"/>
      <w:r w:rsidRPr="00DD4E6E">
        <w:rPr>
          <w:lang w:val="en-AU"/>
        </w:rPr>
        <w:t>steps for each of these three stages is</w:t>
      </w:r>
      <w:proofErr w:type="gramEnd"/>
      <w:r w:rsidRPr="00DD4E6E">
        <w:rPr>
          <w:lang w:val="en-AU"/>
        </w:rPr>
        <w:t xml:space="preserve"> further detailed below, and the accompanying compendium of planning resources</w:t>
      </w:r>
      <w:r w:rsidR="00F93171" w:rsidRPr="00DD4E6E">
        <w:rPr>
          <w:lang w:val="en-AU"/>
        </w:rPr>
        <w:t xml:space="preserve"> (</w:t>
      </w:r>
      <w:r w:rsidR="00F93171" w:rsidRPr="00EA3018">
        <w:rPr>
          <w:i/>
          <w:lang w:val="en-AU"/>
        </w:rPr>
        <w:t>PHN planning in a commissioning environment – Resources</w:t>
      </w:r>
      <w:r w:rsidR="00F93171" w:rsidRPr="00DD4E6E">
        <w:rPr>
          <w:lang w:val="en-AU"/>
        </w:rPr>
        <w:t>)</w:t>
      </w:r>
      <w:r w:rsidRPr="00DD4E6E">
        <w:rPr>
          <w:lang w:val="en-AU"/>
        </w:rPr>
        <w:t xml:space="preserve"> is structured around these stages.</w:t>
      </w:r>
    </w:p>
    <w:p w:rsidR="00FF3BA2" w:rsidRDefault="00FF3BA2" w:rsidP="0086041E">
      <w:pPr>
        <w:spacing w:line="240" w:lineRule="auto"/>
        <w:jc w:val="left"/>
        <w:rPr>
          <w:rFonts w:ascii="Calibri Light" w:hAnsi="Calibri Light" w:cs="Arial"/>
          <w:bCs/>
          <w:snapToGrid w:val="0"/>
          <w:color w:val="1F497D" w:themeColor="text2"/>
          <w:sz w:val="20"/>
          <w:szCs w:val="20"/>
          <w:lang w:val="en-AU"/>
        </w:rPr>
      </w:pPr>
      <w:r>
        <w:rPr>
          <w:rFonts w:ascii="Calibri Light" w:hAnsi="Calibri Light"/>
          <w:b/>
          <w:szCs w:val="20"/>
        </w:rPr>
        <w:br w:type="page"/>
      </w:r>
    </w:p>
    <w:p w:rsidR="00CE2315" w:rsidRPr="00CE2315" w:rsidRDefault="00C06B48" w:rsidP="00CE2315">
      <w:pPr>
        <w:pStyle w:val="Heading2"/>
      </w:pPr>
      <w:bookmarkStart w:id="30" w:name="_Toc458775175"/>
      <w:r>
        <w:lastRenderedPageBreak/>
        <w:t xml:space="preserve">3.2 </w:t>
      </w:r>
      <w:r w:rsidR="008B1EFE">
        <w:t xml:space="preserve">Stage 1: </w:t>
      </w:r>
      <w:r w:rsidR="00CE2315">
        <w:t xml:space="preserve">Developing </w:t>
      </w:r>
      <w:r w:rsidR="00A30581">
        <w:t xml:space="preserve">a set of </w:t>
      </w:r>
      <w:r w:rsidR="00AD4487" w:rsidRPr="00AD4487">
        <w:t>potential activities</w:t>
      </w:r>
      <w:bookmarkEnd w:id="30"/>
    </w:p>
    <w:p w:rsidR="00BD530E" w:rsidRPr="00DD4E6E" w:rsidRDefault="00BD530E" w:rsidP="00B06CD6">
      <w:pPr>
        <w:jc w:val="left"/>
      </w:pPr>
    </w:p>
    <w:p w:rsidR="00B06CD6" w:rsidRPr="00DD4E6E" w:rsidRDefault="00B06CD6" w:rsidP="00B06CD6">
      <w:pPr>
        <w:jc w:val="left"/>
      </w:pPr>
      <w:r w:rsidRPr="00DD4E6E">
        <w:t>Figure 3.2: Key steps in developing a set of potential activities</w:t>
      </w:r>
    </w:p>
    <w:p w:rsidR="00B77FD9" w:rsidRPr="00DD4E6E" w:rsidRDefault="00B77FD9" w:rsidP="00B77FD9"/>
    <w:p w:rsidR="00431B6F" w:rsidRPr="00DD4E6E" w:rsidRDefault="00CE2315" w:rsidP="00431B6F">
      <w:pPr>
        <w:rPr>
          <w:lang w:val="en-AU"/>
        </w:rPr>
      </w:pPr>
      <w:r w:rsidRPr="00DD4E6E">
        <w:rPr>
          <w:noProof/>
          <w:lang w:val="en-AU" w:eastAsia="en-AU"/>
        </w:rPr>
        <w:drawing>
          <wp:inline distT="0" distB="0" distL="0" distR="0" wp14:anchorId="417A45D4" wp14:editId="0AD5B6C0">
            <wp:extent cx="5274310" cy="3070860"/>
            <wp:effectExtent l="0" t="0" r="2540" b="0"/>
            <wp:docPr id="12" name="Picture 12" descr="This figure outlines five key steps in developing a set of potential activities: 1.  Define the level at which the proposed activity is described; 2. Describe the activity in a manner sufficient for consideration for decision makers; 3.  Develop a high level 'business case' for each proposal;  4.  Ensure proposals demonstrate an understanding of market capability and constraints; and 5.  Identify any co-dependencies with other potential activities." title="Figure 3.2: Key steps in developing a set of potential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28 at 8.51.26 AM.png"/>
                    <pic:cNvPicPr/>
                  </pic:nvPicPr>
                  <pic:blipFill>
                    <a:blip r:embed="rId23">
                      <a:extLst>
                        <a:ext uri="{28A0092B-C50C-407E-A947-70E740481C1C}">
                          <a14:useLocalDpi xmlns:a14="http://schemas.microsoft.com/office/drawing/2010/main"/>
                        </a:ext>
                      </a:extLst>
                    </a:blip>
                    <a:stretch>
                      <a:fillRect/>
                    </a:stretch>
                  </pic:blipFill>
                  <pic:spPr>
                    <a:xfrm>
                      <a:off x="0" y="0"/>
                      <a:ext cx="5274310" cy="3070860"/>
                    </a:xfrm>
                    <a:prstGeom prst="rect">
                      <a:avLst/>
                    </a:prstGeom>
                  </pic:spPr>
                </pic:pic>
              </a:graphicData>
            </a:graphic>
          </wp:inline>
        </w:drawing>
      </w:r>
    </w:p>
    <w:p w:rsidR="00B31C50" w:rsidRPr="00DD4E6E" w:rsidRDefault="008E0577" w:rsidP="00AD5722">
      <w:r w:rsidRPr="00DD4E6E">
        <w:t xml:space="preserve">Key considerations in </w:t>
      </w:r>
      <w:proofErr w:type="gramStart"/>
      <w:r w:rsidRPr="00DD4E6E">
        <w:t>progressing</w:t>
      </w:r>
      <w:proofErr w:type="gramEnd"/>
      <w:r w:rsidRPr="00DD4E6E">
        <w:t xml:space="preserve"> these steps include:</w:t>
      </w:r>
    </w:p>
    <w:p w:rsidR="00912140" w:rsidRPr="00DD4E6E" w:rsidRDefault="00912140" w:rsidP="0087034D">
      <w:pPr>
        <w:spacing w:line="240" w:lineRule="auto"/>
        <w:jc w:val="left"/>
        <w:rPr>
          <w:lang w:val="en-AU"/>
        </w:rPr>
      </w:pPr>
    </w:p>
    <w:p w:rsidR="00912140" w:rsidRPr="00DD4E6E" w:rsidRDefault="0087034D" w:rsidP="002D4D3E">
      <w:pPr>
        <w:pStyle w:val="ListParagraph"/>
      </w:pPr>
      <w:r w:rsidRPr="00DD4E6E">
        <w:t xml:space="preserve">Potential activities </w:t>
      </w:r>
      <w:r w:rsidR="008E0577" w:rsidRPr="00DD4E6E">
        <w:t xml:space="preserve">should </w:t>
      </w:r>
      <w:r w:rsidRPr="00DD4E6E">
        <w:t>relate to the PHN objective</w:t>
      </w:r>
      <w:r w:rsidR="00912140" w:rsidRPr="00DD4E6E">
        <w:t>s</w:t>
      </w:r>
      <w:r w:rsidRPr="00DD4E6E">
        <w:t xml:space="preserve">. </w:t>
      </w:r>
    </w:p>
    <w:p w:rsidR="00912140" w:rsidRPr="00DD4E6E" w:rsidRDefault="0087034D" w:rsidP="002D4D3E">
      <w:pPr>
        <w:pStyle w:val="ListParagraph"/>
      </w:pPr>
      <w:r w:rsidRPr="00DD4E6E">
        <w:t xml:space="preserve">Potential activities </w:t>
      </w:r>
      <w:r w:rsidR="008E0577" w:rsidRPr="00DD4E6E">
        <w:t xml:space="preserve">must </w:t>
      </w:r>
      <w:r w:rsidRPr="00DD4E6E">
        <w:t>reflect the outcome of the needs assessment.</w:t>
      </w:r>
    </w:p>
    <w:p w:rsidR="00912140" w:rsidRPr="00DD4E6E" w:rsidRDefault="00436953" w:rsidP="002D4D3E">
      <w:pPr>
        <w:pStyle w:val="ListParagraph"/>
      </w:pPr>
      <w:r w:rsidRPr="00DD4E6E">
        <w:t>All p</w:t>
      </w:r>
      <w:r w:rsidR="0087034D" w:rsidRPr="00DD4E6E">
        <w:t>otential activities are described in a consistent and comparable manner.</w:t>
      </w:r>
      <w:r w:rsidRPr="00DD4E6E">
        <w:t xml:space="preserve"> (See </w:t>
      </w:r>
      <w:r w:rsidR="00D21042" w:rsidRPr="00DD4E6E">
        <w:t xml:space="preserve">Appendix </w:t>
      </w:r>
      <w:r w:rsidRPr="00DD4E6E">
        <w:t xml:space="preserve">2 for examples of activity descriptions used by </w:t>
      </w:r>
      <w:r w:rsidR="00611399" w:rsidRPr="00DD4E6E">
        <w:t xml:space="preserve">the former </w:t>
      </w:r>
      <w:r w:rsidRPr="00DD4E6E">
        <w:t>Medicare Locals.)</w:t>
      </w:r>
    </w:p>
    <w:p w:rsidR="00D4735D" w:rsidRPr="00DD4E6E" w:rsidRDefault="00D4735D" w:rsidP="002D4D3E">
      <w:pPr>
        <w:pStyle w:val="ListParagraph"/>
      </w:pPr>
      <w:r w:rsidRPr="00DD4E6E">
        <w:t>In most cases the activity is to be wholly or pa</w:t>
      </w:r>
      <w:r w:rsidR="008D1032" w:rsidRPr="00DD4E6E">
        <w:t xml:space="preserve">rtly commissioned. </w:t>
      </w:r>
      <w:r w:rsidRPr="00DD4E6E">
        <w:t xml:space="preserve">If not, the activity </w:t>
      </w:r>
      <w:r w:rsidR="00611399" w:rsidRPr="00DD4E6E">
        <w:t xml:space="preserve">should </w:t>
      </w:r>
      <w:r w:rsidRPr="00DD4E6E">
        <w:t>clearly describe instances where that is not the case</w:t>
      </w:r>
      <w:r w:rsidR="00A7028E">
        <w:rPr>
          <w:i/>
        </w:rPr>
        <w:t xml:space="preserve"> </w:t>
      </w:r>
      <w:r w:rsidR="00A7028E" w:rsidRPr="00DD4E6E">
        <w:t>and provide a supporting rationale</w:t>
      </w:r>
      <w:r w:rsidRPr="00DD4E6E">
        <w:t>.</w:t>
      </w:r>
    </w:p>
    <w:p w:rsidR="00D21042" w:rsidRPr="00DD4E6E" w:rsidRDefault="00912140" w:rsidP="002D4D3E">
      <w:pPr>
        <w:pStyle w:val="ListParagraph"/>
      </w:pPr>
      <w:r w:rsidRPr="00DD4E6E">
        <w:t>P</w:t>
      </w:r>
      <w:r w:rsidR="001B78A7" w:rsidRPr="00DD4E6E">
        <w:t xml:space="preserve">erformance information </w:t>
      </w:r>
      <w:r w:rsidRPr="00DD4E6E">
        <w:t>is i</w:t>
      </w:r>
      <w:r w:rsidR="001B78A7" w:rsidRPr="00DD4E6E">
        <w:t xml:space="preserve">n line with the </w:t>
      </w:r>
      <w:r w:rsidRPr="00DD4E6E">
        <w:t xml:space="preserve">guidance provided in the </w:t>
      </w:r>
      <w:r w:rsidR="00A30581" w:rsidRPr="00DD4E6E">
        <w:t>PHN </w:t>
      </w:r>
      <w:r w:rsidR="001B78A7" w:rsidRPr="00DD4E6E">
        <w:t>Performanc</w:t>
      </w:r>
      <w:r w:rsidRPr="00DD4E6E">
        <w:t>e</w:t>
      </w:r>
      <w:r w:rsidR="00A30581" w:rsidRPr="00DD4E6E">
        <w:t> </w:t>
      </w:r>
      <w:r w:rsidRPr="00DD4E6E">
        <w:t>Framework.</w:t>
      </w:r>
      <w:r w:rsidR="008D1032" w:rsidRPr="00DD4E6E">
        <w:t xml:space="preserve"> </w:t>
      </w:r>
      <w:r w:rsidR="00D4735D" w:rsidRPr="00DD4E6E">
        <w:t xml:space="preserve">It is acknowledged that </w:t>
      </w:r>
      <w:r w:rsidR="003208C0" w:rsidRPr="00DD4E6E">
        <w:t>some performance indicators proposed in the plan m</w:t>
      </w:r>
      <w:r w:rsidR="008E0577" w:rsidRPr="00DD4E6E">
        <w:t>a</w:t>
      </w:r>
      <w:r w:rsidR="003208C0" w:rsidRPr="00DD4E6E">
        <w:t>y need to be modified on the basis of the PHN’s experience when implementing the activity.</w:t>
      </w:r>
    </w:p>
    <w:p w:rsidR="001B78A7" w:rsidRPr="00DD4E6E" w:rsidRDefault="00D21042" w:rsidP="002D4D3E">
      <w:pPr>
        <w:pStyle w:val="ListParagraph"/>
      </w:pPr>
      <w:r w:rsidRPr="00DD4E6E">
        <w:t>Careful consideration of health services funded or provided by States and Territories, and active discussion with LHNs or their equivalents. PHNs are commissioning into an existing environment, and collaboration will be important in ensuring that funding is leveraged and utilised to achieve optimal outcomes.</w:t>
      </w:r>
    </w:p>
    <w:p w:rsidR="00ED63FA" w:rsidRPr="00DD4E6E" w:rsidRDefault="00ED63FA" w:rsidP="00ED63FA">
      <w:pPr>
        <w:spacing w:after="240" w:line="240" w:lineRule="auto"/>
        <w:jc w:val="left"/>
      </w:pPr>
    </w:p>
    <w:p w:rsidR="006458BD" w:rsidRPr="00DD4E6E" w:rsidRDefault="006458BD" w:rsidP="00117E57">
      <w:pPr>
        <w:spacing w:line="240" w:lineRule="auto"/>
        <w:jc w:val="left"/>
        <w:rPr>
          <w:lang w:val="en-AU"/>
        </w:rPr>
      </w:pPr>
    </w:p>
    <w:p w:rsidR="006458BD" w:rsidRPr="00D228A6" w:rsidRDefault="00C06B48" w:rsidP="0086041E">
      <w:pPr>
        <w:pStyle w:val="Heading2"/>
      </w:pPr>
      <w:bookmarkStart w:id="31" w:name="_Toc458775176"/>
      <w:r>
        <w:lastRenderedPageBreak/>
        <w:t xml:space="preserve">3.3 </w:t>
      </w:r>
      <w:r w:rsidR="008B1EFE">
        <w:t xml:space="preserve">Stage 2: </w:t>
      </w:r>
      <w:r w:rsidR="00A76E84">
        <w:t>Priorit</w:t>
      </w:r>
      <w:r w:rsidR="00504D0E">
        <w:t>y setting and</w:t>
      </w:r>
      <w:r w:rsidR="00A76E84">
        <w:t xml:space="preserve"> choosing activities</w:t>
      </w:r>
      <w:bookmarkEnd w:id="31"/>
    </w:p>
    <w:p w:rsidR="00BD530E" w:rsidRPr="00DD4E6E" w:rsidRDefault="00BD530E" w:rsidP="00B06CD6">
      <w:pPr>
        <w:jc w:val="left"/>
      </w:pPr>
    </w:p>
    <w:p w:rsidR="00B06CD6" w:rsidRPr="00DD4E6E" w:rsidRDefault="00B06CD6" w:rsidP="00B06CD6">
      <w:pPr>
        <w:jc w:val="left"/>
      </w:pPr>
      <w:r w:rsidRPr="00DD4E6E">
        <w:t>Figure 3.3: Key steps in priority setting and choosing activities</w:t>
      </w:r>
    </w:p>
    <w:p w:rsidR="00B77FD9" w:rsidRPr="00DD4E6E" w:rsidRDefault="00B77FD9" w:rsidP="00750437">
      <w:pPr>
        <w:rPr>
          <w:lang w:val="en-AU"/>
        </w:rPr>
      </w:pPr>
    </w:p>
    <w:p w:rsidR="00B77FD9" w:rsidRPr="00DD4E6E" w:rsidRDefault="00D27738" w:rsidP="00750437">
      <w:pPr>
        <w:rPr>
          <w:lang w:val="en-AU"/>
        </w:rPr>
      </w:pPr>
      <w:r w:rsidRPr="00DD4E6E">
        <w:rPr>
          <w:noProof/>
          <w:lang w:val="en-AU" w:eastAsia="en-AU"/>
        </w:rPr>
        <w:drawing>
          <wp:inline distT="0" distB="0" distL="0" distR="0" wp14:anchorId="43D0AA55" wp14:editId="37235CC4">
            <wp:extent cx="5274310" cy="2983865"/>
            <wp:effectExtent l="0" t="0" r="2540" b="6985"/>
            <wp:docPr id="13" name="Picture 13" descr="This figure outlines five key steps in priority setting and choosing activities: 1. Develop criteria for priority setting and decision making; 2. Employ methods for rating activities against the criteria to inform prioritisation; 3.  Assess implications of current services against future plans; 4. Review decisions in light of broader implications; and 5. Ensure that commissioning strategy for each activity is understood by decision makers." title="Figure 3.3: Key steps in priority setting and choos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28 at 8.56.55 AM.png"/>
                    <pic:cNvPicPr/>
                  </pic:nvPicPr>
                  <pic:blipFill>
                    <a:blip r:embed="rId24">
                      <a:extLst>
                        <a:ext uri="{28A0092B-C50C-407E-A947-70E740481C1C}">
                          <a14:useLocalDpi xmlns:a14="http://schemas.microsoft.com/office/drawing/2010/main"/>
                        </a:ext>
                      </a:extLst>
                    </a:blip>
                    <a:stretch>
                      <a:fillRect/>
                    </a:stretch>
                  </pic:blipFill>
                  <pic:spPr>
                    <a:xfrm>
                      <a:off x="0" y="0"/>
                      <a:ext cx="5274310" cy="2983865"/>
                    </a:xfrm>
                    <a:prstGeom prst="rect">
                      <a:avLst/>
                    </a:prstGeom>
                  </pic:spPr>
                </pic:pic>
              </a:graphicData>
            </a:graphic>
          </wp:inline>
        </w:drawing>
      </w:r>
    </w:p>
    <w:p w:rsidR="00B77FD9" w:rsidRPr="00DD4E6E" w:rsidRDefault="00B77FD9" w:rsidP="00750437">
      <w:pPr>
        <w:rPr>
          <w:lang w:val="en-AU"/>
        </w:rPr>
      </w:pPr>
    </w:p>
    <w:p w:rsidR="008E0577" w:rsidRPr="00DD4E6E" w:rsidRDefault="008E0577" w:rsidP="008D1032">
      <w:pPr>
        <w:jc w:val="left"/>
      </w:pPr>
      <w:r w:rsidRPr="00DD4E6E">
        <w:t xml:space="preserve">Key considerations in </w:t>
      </w:r>
      <w:proofErr w:type="gramStart"/>
      <w:r w:rsidRPr="00DD4E6E">
        <w:t>progressing</w:t>
      </w:r>
      <w:proofErr w:type="gramEnd"/>
      <w:r w:rsidRPr="00DD4E6E">
        <w:t xml:space="preserve"> these steps include:</w:t>
      </w:r>
    </w:p>
    <w:p w:rsidR="001B78A7" w:rsidRPr="00DD4E6E" w:rsidRDefault="001B78A7" w:rsidP="008D1032">
      <w:pPr>
        <w:spacing w:line="240" w:lineRule="auto"/>
        <w:jc w:val="left"/>
        <w:rPr>
          <w:lang w:val="en-AU"/>
        </w:rPr>
      </w:pPr>
    </w:p>
    <w:p w:rsidR="00912140" w:rsidRPr="00DD4E6E" w:rsidRDefault="00912140" w:rsidP="002D4D3E">
      <w:pPr>
        <w:pStyle w:val="ListParagraph"/>
      </w:pPr>
      <w:r w:rsidRPr="00DD4E6E">
        <w:t>Priority setting and decision making is transparent and</w:t>
      </w:r>
      <w:r w:rsidR="00FF099A" w:rsidRPr="00DD4E6E">
        <w:t>,</w:t>
      </w:r>
      <w:r w:rsidRPr="00DD4E6E">
        <w:t xml:space="preserve"> </w:t>
      </w:r>
      <w:r w:rsidR="00EE7D40" w:rsidRPr="00DD4E6E">
        <w:t>where appropriate</w:t>
      </w:r>
      <w:r w:rsidR="00FF099A" w:rsidRPr="00DD4E6E">
        <w:t>,</w:t>
      </w:r>
      <w:r w:rsidR="00EE7D40" w:rsidRPr="00DD4E6E">
        <w:t xml:space="preserve"> </w:t>
      </w:r>
      <w:r w:rsidRPr="00DD4E6E">
        <w:t>supported by tools</w:t>
      </w:r>
      <w:r w:rsidR="008E0577" w:rsidRPr="00DD4E6E">
        <w:t xml:space="preserve"> and evidence</w:t>
      </w:r>
      <w:r w:rsidRPr="00DD4E6E">
        <w:t>.</w:t>
      </w:r>
    </w:p>
    <w:p w:rsidR="006C5605" w:rsidRPr="00DD4E6E" w:rsidRDefault="00912140" w:rsidP="002D4D3E">
      <w:pPr>
        <w:pStyle w:val="ListParagraph"/>
      </w:pPr>
      <w:r w:rsidRPr="00DD4E6E">
        <w:t>The</w:t>
      </w:r>
      <w:r w:rsidR="006C5605" w:rsidRPr="00DD4E6E">
        <w:t xml:space="preserve"> prioritised li</w:t>
      </w:r>
      <w:r w:rsidR="00D27738" w:rsidRPr="00DD4E6E">
        <w:t>s</w:t>
      </w:r>
      <w:r w:rsidRPr="00DD4E6E">
        <w:t>t of activities reflect</w:t>
      </w:r>
      <w:r w:rsidR="008E0577" w:rsidRPr="00DD4E6E">
        <w:t>s</w:t>
      </w:r>
      <w:r w:rsidRPr="00DD4E6E">
        <w:t xml:space="preserve"> the outcomes of the needs assessment.</w:t>
      </w:r>
    </w:p>
    <w:p w:rsidR="006C5605" w:rsidRPr="00DD4E6E" w:rsidRDefault="00912140" w:rsidP="002D4D3E">
      <w:pPr>
        <w:pStyle w:val="ListParagraph"/>
      </w:pPr>
      <w:r w:rsidRPr="00DD4E6E">
        <w:t>The prioritised list shows an understanding</w:t>
      </w:r>
      <w:r w:rsidR="006C5605" w:rsidRPr="00DD4E6E">
        <w:t xml:space="preserve"> of th</w:t>
      </w:r>
      <w:r w:rsidR="00D4735D" w:rsidRPr="00DD4E6E">
        <w:t>e need to commission. Where the activity involves decommissioning</w:t>
      </w:r>
      <w:r w:rsidR="00184DF1" w:rsidRPr="00DD4E6E">
        <w:t>,</w:t>
      </w:r>
      <w:r w:rsidR="00D4735D" w:rsidRPr="00DD4E6E">
        <w:t xml:space="preserve"> this is </w:t>
      </w:r>
      <w:r w:rsidR="003208C0" w:rsidRPr="00DD4E6E">
        <w:t>understood and documented, and consideration is given to the needs of those involved.</w:t>
      </w:r>
    </w:p>
    <w:p w:rsidR="001B78A7" w:rsidRPr="00DD4E6E" w:rsidRDefault="00EE7D40" w:rsidP="002D4D3E">
      <w:pPr>
        <w:pStyle w:val="ListParagraph"/>
      </w:pPr>
      <w:r w:rsidRPr="00DD4E6E">
        <w:t>In cases w</w:t>
      </w:r>
      <w:r w:rsidR="00912140" w:rsidRPr="00DD4E6E">
        <w:t xml:space="preserve">here </w:t>
      </w:r>
      <w:r w:rsidR="001B78A7" w:rsidRPr="00DD4E6E">
        <w:t>priorit</w:t>
      </w:r>
      <w:r w:rsidR="00912140" w:rsidRPr="00DD4E6E">
        <w:t xml:space="preserve">ies, options and opportunities </w:t>
      </w:r>
      <w:r w:rsidR="001B78A7" w:rsidRPr="00DD4E6E">
        <w:t xml:space="preserve">that emerged from the needs </w:t>
      </w:r>
      <w:r w:rsidR="00BF605A" w:rsidRPr="00DD4E6E">
        <w:t xml:space="preserve">assessment </w:t>
      </w:r>
      <w:r w:rsidR="001B78A7" w:rsidRPr="00DD4E6E">
        <w:t>are not being cons</w:t>
      </w:r>
      <w:r w:rsidR="00912140" w:rsidRPr="00DD4E6E">
        <w:t>idered,</w:t>
      </w:r>
      <w:r w:rsidR="001B78A7" w:rsidRPr="00DD4E6E">
        <w:t xml:space="preserve"> the PHN </w:t>
      </w:r>
      <w:r w:rsidRPr="00DD4E6E">
        <w:t xml:space="preserve">should </w:t>
      </w:r>
      <w:r w:rsidR="00BF605A" w:rsidRPr="00DD4E6E">
        <w:t xml:space="preserve">be </w:t>
      </w:r>
      <w:r w:rsidR="001B78A7" w:rsidRPr="00DD4E6E">
        <w:t>confident as to the reasons why</w:t>
      </w:r>
      <w:r w:rsidRPr="00DD4E6E">
        <w:t>, and be able to explain this to a range of stakeholders</w:t>
      </w:r>
      <w:r w:rsidR="008D1032" w:rsidRPr="00DD4E6E">
        <w:t xml:space="preserve">. </w:t>
      </w:r>
      <w:r w:rsidR="00912140" w:rsidRPr="00DD4E6E">
        <w:t>(For example, other agencies may be the most appropriate</w:t>
      </w:r>
      <w:r w:rsidRPr="00DD4E6E">
        <w:t xml:space="preserve"> bodies to commission/deliver</w:t>
      </w:r>
      <w:r w:rsidR="00454C75" w:rsidRPr="00DD4E6E">
        <w:t xml:space="preserve"> </w:t>
      </w:r>
      <w:r w:rsidRPr="00DD4E6E">
        <w:t>these services</w:t>
      </w:r>
      <w:r w:rsidR="001B78A7" w:rsidRPr="00DD4E6E">
        <w:t xml:space="preserve">, or </w:t>
      </w:r>
      <w:r w:rsidR="00912140" w:rsidRPr="00DD4E6E">
        <w:t xml:space="preserve">there </w:t>
      </w:r>
      <w:r w:rsidR="001069CC" w:rsidRPr="00DD4E6E">
        <w:t>is a lack</w:t>
      </w:r>
      <w:r w:rsidR="001B78A7" w:rsidRPr="00DD4E6E">
        <w:t xml:space="preserve"> of alignment with the PHN objectives</w:t>
      </w:r>
      <w:r w:rsidR="00436953" w:rsidRPr="00DD4E6E">
        <w:t>.</w:t>
      </w:r>
      <w:r w:rsidR="001B78A7" w:rsidRPr="00DD4E6E">
        <w:t>)</w:t>
      </w:r>
    </w:p>
    <w:p w:rsidR="0071147B" w:rsidRDefault="0071147B">
      <w:pPr>
        <w:spacing w:line="240" w:lineRule="auto"/>
        <w:jc w:val="left"/>
        <w:rPr>
          <w:rFonts w:cs="Arial"/>
          <w:b/>
          <w:bCs/>
          <w:iCs/>
          <w:color w:val="003D69"/>
          <w:sz w:val="32"/>
          <w:szCs w:val="28"/>
        </w:rPr>
      </w:pPr>
      <w:r>
        <w:rPr>
          <w:rFonts w:cs="Arial"/>
          <w:b/>
          <w:bCs/>
          <w:iCs/>
          <w:color w:val="003D69"/>
          <w:sz w:val="32"/>
          <w:szCs w:val="28"/>
        </w:rPr>
        <w:br w:type="page"/>
      </w:r>
    </w:p>
    <w:p w:rsidR="006458BD" w:rsidRDefault="004A170A" w:rsidP="0086041E">
      <w:pPr>
        <w:pStyle w:val="Heading2"/>
      </w:pPr>
      <w:bookmarkStart w:id="32" w:name="_Toc458775177"/>
      <w:r>
        <w:lastRenderedPageBreak/>
        <w:t>3.4</w:t>
      </w:r>
      <w:r w:rsidR="00BF31CE">
        <w:t xml:space="preserve"> </w:t>
      </w:r>
      <w:r w:rsidR="008B1EFE">
        <w:t xml:space="preserve">Stage 3: </w:t>
      </w:r>
      <w:r w:rsidR="006458BD">
        <w:t xml:space="preserve">Reviewing and </w:t>
      </w:r>
      <w:r w:rsidR="000457B6">
        <w:t>ratifying</w:t>
      </w:r>
      <w:r w:rsidR="006458BD">
        <w:t xml:space="preserve"> the plan</w:t>
      </w:r>
      <w:r w:rsidR="00A76E84">
        <w:t xml:space="preserve"> as a whole</w:t>
      </w:r>
      <w:bookmarkEnd w:id="32"/>
    </w:p>
    <w:p w:rsidR="00BD530E" w:rsidRPr="00DD4E6E" w:rsidRDefault="00BD530E" w:rsidP="00BD530E">
      <w:pPr>
        <w:jc w:val="left"/>
      </w:pPr>
    </w:p>
    <w:p w:rsidR="00BD530E" w:rsidRPr="00DD4E6E" w:rsidRDefault="00BD530E" w:rsidP="00BD530E">
      <w:pPr>
        <w:jc w:val="left"/>
      </w:pPr>
      <w:r w:rsidRPr="00DD4E6E">
        <w:t>Figure 3.4: Key steps in reviewing and ratifying the plan</w:t>
      </w:r>
    </w:p>
    <w:p w:rsidR="00BD530E" w:rsidRPr="00DD4E6E" w:rsidRDefault="00BD530E" w:rsidP="0099055B"/>
    <w:p w:rsidR="001D6F42" w:rsidRPr="00DD4E6E" w:rsidRDefault="001D6F42" w:rsidP="001D6F42">
      <w:r w:rsidRPr="00DD4E6E">
        <w:rPr>
          <w:noProof/>
          <w:lang w:val="en-AU" w:eastAsia="en-AU"/>
        </w:rPr>
        <w:drawing>
          <wp:inline distT="0" distB="0" distL="0" distR="0" wp14:anchorId="62AA9588" wp14:editId="45376370">
            <wp:extent cx="5274310" cy="3257563"/>
            <wp:effectExtent l="0" t="0" r="2540" b="0"/>
            <wp:docPr id="17" name="Picture 17" descr="This figure outlines five key steps in reviewing and ratifying the plan, these are: 1. Review the plan for balance and focus; 2. Complete activity plan template; 3. Formally ratify the plan; 4. Initiate approaches to market; and 5. Communicate with stakeholders and communities." title="Figure 3.4: Key steps in reviewing and ratifying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3257563"/>
                    </a:xfrm>
                    <a:prstGeom prst="rect">
                      <a:avLst/>
                    </a:prstGeom>
                  </pic:spPr>
                </pic:pic>
              </a:graphicData>
            </a:graphic>
          </wp:inline>
        </w:drawing>
      </w:r>
    </w:p>
    <w:p w:rsidR="00494AC4" w:rsidRPr="00DD4E6E" w:rsidRDefault="00494AC4" w:rsidP="00494AC4"/>
    <w:p w:rsidR="00A25B94" w:rsidRPr="00DD4E6E" w:rsidRDefault="00A25B94" w:rsidP="001B78A7">
      <w:pPr>
        <w:spacing w:line="240" w:lineRule="auto"/>
        <w:jc w:val="left"/>
        <w:rPr>
          <w:lang w:val="en-AU"/>
        </w:rPr>
      </w:pPr>
    </w:p>
    <w:p w:rsidR="00C20ED9" w:rsidRPr="00DD4E6E" w:rsidRDefault="008E0577" w:rsidP="008D1032">
      <w:pPr>
        <w:jc w:val="left"/>
        <w:rPr>
          <w:bCs/>
          <w:lang w:val="en-AU"/>
        </w:rPr>
      </w:pPr>
      <w:r w:rsidRPr="00DD4E6E">
        <w:rPr>
          <w:bCs/>
          <w:lang w:val="en-AU"/>
        </w:rPr>
        <w:t>PHNs should ensure that t</w:t>
      </w:r>
      <w:r w:rsidR="00C20ED9" w:rsidRPr="00DD4E6E">
        <w:rPr>
          <w:bCs/>
          <w:lang w:val="en-AU"/>
        </w:rPr>
        <w:t>he final plan:</w:t>
      </w:r>
    </w:p>
    <w:p w:rsidR="008D1032" w:rsidRPr="00DD4E6E" w:rsidRDefault="008D1032" w:rsidP="008D1032">
      <w:pPr>
        <w:jc w:val="left"/>
        <w:rPr>
          <w:bCs/>
          <w:lang w:val="en-AU"/>
        </w:rPr>
      </w:pPr>
    </w:p>
    <w:p w:rsidR="00C20ED9" w:rsidRPr="00DD4E6E" w:rsidRDefault="00C84D73" w:rsidP="002D4D3E">
      <w:pPr>
        <w:pStyle w:val="ListParagraph"/>
      </w:pPr>
      <w:r w:rsidRPr="00DD4E6E">
        <w:t>C</w:t>
      </w:r>
      <w:r w:rsidR="00A77841" w:rsidRPr="00DD4E6E">
        <w:t>learly relates to the PHN objectives and reflects the outcomes of the needs assessment</w:t>
      </w:r>
      <w:r w:rsidRPr="00DD4E6E">
        <w:t>.</w:t>
      </w:r>
    </w:p>
    <w:p w:rsidR="00C20ED9" w:rsidRPr="00DD4E6E" w:rsidRDefault="00C84D73" w:rsidP="002D4D3E">
      <w:pPr>
        <w:pStyle w:val="ListParagraph"/>
      </w:pPr>
      <w:r w:rsidRPr="00DD4E6E">
        <w:t>I</w:t>
      </w:r>
      <w:r w:rsidR="00A77841" w:rsidRPr="00DD4E6E">
        <w:t>s balanced in order to achieve activity across a broad range of primary health care</w:t>
      </w:r>
      <w:r w:rsidRPr="00DD4E6E">
        <w:t>.</w:t>
      </w:r>
    </w:p>
    <w:p w:rsidR="00C20ED9" w:rsidRPr="00DD4E6E" w:rsidRDefault="00C84D73" w:rsidP="002D4D3E">
      <w:pPr>
        <w:pStyle w:val="ListParagraph"/>
      </w:pPr>
      <w:r w:rsidRPr="00DD4E6E">
        <w:t>S</w:t>
      </w:r>
      <w:r w:rsidR="00C20ED9" w:rsidRPr="00DD4E6E">
        <w:t>hows a level of coordination and (where possible) integration between different activit</w:t>
      </w:r>
      <w:r w:rsidR="00A7028E" w:rsidRPr="00DD4E6E">
        <w:t>i</w:t>
      </w:r>
      <w:r w:rsidR="00C20ED9" w:rsidRPr="00DD4E6E">
        <w:t>es</w:t>
      </w:r>
      <w:r w:rsidR="00BF605A" w:rsidRPr="00DD4E6E">
        <w:t>,</w:t>
      </w:r>
      <w:r w:rsidR="008E0577" w:rsidRPr="00DD4E6E">
        <w:t xml:space="preserve"> and that dependencies between activities are recognised and capable of being coordinated</w:t>
      </w:r>
      <w:r w:rsidRPr="00DD4E6E">
        <w:t>.</w:t>
      </w:r>
    </w:p>
    <w:p w:rsidR="00C20ED9" w:rsidRPr="00DD4E6E" w:rsidRDefault="00C84D73" w:rsidP="002D4D3E">
      <w:pPr>
        <w:pStyle w:val="ListParagraph"/>
      </w:pPr>
      <w:r w:rsidRPr="00DD4E6E">
        <w:t>D</w:t>
      </w:r>
      <w:r w:rsidR="00C20ED9" w:rsidRPr="00DD4E6E">
        <w:t xml:space="preserve">emonstrates </w:t>
      </w:r>
      <w:r w:rsidR="00A77841" w:rsidRPr="00DD4E6E">
        <w:t xml:space="preserve">an awareness </w:t>
      </w:r>
      <w:r w:rsidR="00C20ED9" w:rsidRPr="00DD4E6E">
        <w:t>of the market</w:t>
      </w:r>
      <w:r w:rsidR="008E0577" w:rsidRPr="00DD4E6E">
        <w:t>, now and in the future</w:t>
      </w:r>
      <w:r w:rsidRPr="00DD4E6E">
        <w:t>.</w:t>
      </w:r>
    </w:p>
    <w:p w:rsidR="008E0577" w:rsidRPr="00DD4E6E" w:rsidRDefault="00C84D73" w:rsidP="002D4D3E">
      <w:pPr>
        <w:pStyle w:val="ListParagraph"/>
      </w:pPr>
      <w:r w:rsidRPr="00DD4E6E">
        <w:t>E</w:t>
      </w:r>
      <w:r w:rsidR="00D4735D" w:rsidRPr="00DD4E6E">
        <w:t>ncourages the involvement of others in service design and, where appropriate, in procurement processes</w:t>
      </w:r>
      <w:r w:rsidRPr="00DD4E6E">
        <w:t>.</w:t>
      </w:r>
    </w:p>
    <w:p w:rsidR="006C5605" w:rsidRPr="00DD4E6E" w:rsidRDefault="00C84D73" w:rsidP="002D4D3E">
      <w:pPr>
        <w:pStyle w:val="ListParagraph"/>
      </w:pPr>
      <w:r w:rsidRPr="00DD4E6E">
        <w:t>I</w:t>
      </w:r>
      <w:r w:rsidR="008E0577" w:rsidRPr="00DD4E6E">
        <w:t>dentifies new areas of focus and those planned for decommissioning</w:t>
      </w:r>
      <w:r w:rsidR="006C5605" w:rsidRPr="00DD4E6E">
        <w:t>.</w:t>
      </w:r>
    </w:p>
    <w:p w:rsidR="004D3347" w:rsidRPr="00DD4E6E" w:rsidRDefault="004D3347" w:rsidP="001B78A7">
      <w:pPr>
        <w:spacing w:line="240" w:lineRule="auto"/>
        <w:jc w:val="left"/>
        <w:rPr>
          <w:lang w:val="en-AU"/>
        </w:rPr>
      </w:pPr>
    </w:p>
    <w:p w:rsidR="00117E57" w:rsidRDefault="00117E57">
      <w:pPr>
        <w:spacing w:line="240" w:lineRule="auto"/>
        <w:jc w:val="left"/>
        <w:rPr>
          <w:rFonts w:cs="Arial"/>
          <w:bCs/>
          <w:caps/>
          <w:color w:val="003D69"/>
          <w:kern w:val="28"/>
          <w:sz w:val="36"/>
          <w:szCs w:val="32"/>
          <w:lang w:val="en-AU"/>
        </w:rPr>
      </w:pPr>
      <w:r w:rsidRPr="00DD4E6E">
        <w:rPr>
          <w:lang w:val="en-AU"/>
        </w:rPr>
        <w:br w:type="page"/>
      </w:r>
    </w:p>
    <w:p w:rsidR="00DD0F04" w:rsidRDefault="006B1447" w:rsidP="0099055B">
      <w:pPr>
        <w:pStyle w:val="Heading1"/>
        <w:spacing w:after="240"/>
        <w:rPr>
          <w:lang w:val="en-AU"/>
        </w:rPr>
      </w:pPr>
      <w:bookmarkStart w:id="33" w:name="_Toc445194112"/>
      <w:bookmarkStart w:id="34" w:name="_Toc458775178"/>
      <w:bookmarkEnd w:id="7"/>
      <w:r>
        <w:rPr>
          <w:lang w:val="en-AU"/>
        </w:rPr>
        <w:lastRenderedPageBreak/>
        <w:t xml:space="preserve">APPENDIX </w:t>
      </w:r>
      <w:r w:rsidR="00C84D73">
        <w:rPr>
          <w:lang w:val="en-AU"/>
        </w:rPr>
        <w:t>I</w:t>
      </w:r>
      <w:r w:rsidR="00645206">
        <w:rPr>
          <w:lang w:val="en-AU"/>
        </w:rPr>
        <w:t>. Activity W</w:t>
      </w:r>
      <w:r w:rsidR="00DD0F04">
        <w:rPr>
          <w:lang w:val="en-AU"/>
        </w:rPr>
        <w:t xml:space="preserve">orkplan </w:t>
      </w:r>
      <w:bookmarkEnd w:id="33"/>
      <w:r w:rsidR="0089153C">
        <w:rPr>
          <w:lang w:val="en-AU"/>
        </w:rPr>
        <w:t>CHECKLIS</w:t>
      </w:r>
      <w:r w:rsidR="00436953">
        <w:rPr>
          <w:lang w:val="en-AU"/>
        </w:rPr>
        <w:t>T</w:t>
      </w:r>
      <w:bookmarkEnd w:id="34"/>
    </w:p>
    <w:p w:rsidR="0089153C" w:rsidRPr="00DD4E6E" w:rsidRDefault="0089153C">
      <w:pPr>
        <w:spacing w:line="240" w:lineRule="auto"/>
        <w:jc w:val="left"/>
        <w:rPr>
          <w:lang w:val="en-AU"/>
        </w:rPr>
      </w:pPr>
    </w:p>
    <w:tbl>
      <w:tblPr>
        <w:tblStyle w:val="TableGrid"/>
        <w:tblW w:w="5000" w:type="pct"/>
        <w:tblLook w:val="04A0" w:firstRow="1" w:lastRow="0" w:firstColumn="1" w:lastColumn="0" w:noHBand="0" w:noVBand="1"/>
        <w:tblCaption w:val="Appendix 1: Activity Workplan Checklist"/>
      </w:tblPr>
      <w:tblGrid>
        <w:gridCol w:w="7810"/>
        <w:gridCol w:w="712"/>
      </w:tblGrid>
      <w:tr w:rsidR="0089153C" w:rsidRPr="00DD4E6E" w:rsidTr="00070C7E">
        <w:trPr>
          <w:cantSplit/>
          <w:tblHeader/>
        </w:trPr>
        <w:tc>
          <w:tcPr>
            <w:tcW w:w="4582" w:type="pct"/>
            <w:tcBorders>
              <w:top w:val="single" w:sz="4" w:space="0" w:color="003D69"/>
              <w:left w:val="single" w:sz="4" w:space="0" w:color="003D69"/>
              <w:bottom w:val="single" w:sz="4" w:space="0" w:color="003D69"/>
              <w:right w:val="single" w:sz="4" w:space="0" w:color="003D69"/>
            </w:tcBorders>
            <w:shd w:val="clear" w:color="auto" w:fill="17365D" w:themeFill="text2" w:themeFillShade="BF"/>
          </w:tcPr>
          <w:p w:rsidR="0089153C" w:rsidRPr="00F10A98" w:rsidRDefault="0089153C" w:rsidP="00DD4E6E">
            <w:pPr>
              <w:rPr>
                <w:b/>
                <w:color w:val="FFFFFF" w:themeColor="background1"/>
                <w:sz w:val="20"/>
                <w:szCs w:val="20"/>
                <w:lang w:val="en-AU"/>
              </w:rPr>
            </w:pPr>
            <w:r w:rsidRPr="00B25ADB">
              <w:rPr>
                <w:rFonts w:asciiTheme="minorHAnsi" w:eastAsiaTheme="minorHAnsi" w:hAnsiTheme="minorHAnsi" w:cstheme="minorBidi"/>
                <w:b/>
                <w:color w:val="FFFFFF" w:themeColor="background1"/>
                <w:szCs w:val="22"/>
                <w:lang w:val="en-AU"/>
              </w:rPr>
              <w:t>Requirement</w:t>
            </w:r>
          </w:p>
        </w:tc>
        <w:tc>
          <w:tcPr>
            <w:tcW w:w="418" w:type="pct"/>
            <w:tcBorders>
              <w:top w:val="single" w:sz="4" w:space="0" w:color="003D69"/>
              <w:left w:val="single" w:sz="4" w:space="0" w:color="003D69"/>
              <w:bottom w:val="single" w:sz="4" w:space="0" w:color="003D69"/>
              <w:right w:val="single" w:sz="4" w:space="0" w:color="003D69"/>
            </w:tcBorders>
            <w:shd w:val="clear" w:color="auto" w:fill="17365D" w:themeFill="text2" w:themeFillShade="BF"/>
          </w:tcPr>
          <w:p w:rsidR="0089153C" w:rsidRPr="00F10A98" w:rsidRDefault="0089153C" w:rsidP="0087034D">
            <w:pPr>
              <w:jc w:val="center"/>
              <w:rPr>
                <w:b/>
                <w:color w:val="FFFFFF" w:themeColor="background1"/>
                <w:sz w:val="20"/>
                <w:szCs w:val="20"/>
                <w:lang w:val="en-AU"/>
              </w:rPr>
            </w:pPr>
            <w:r w:rsidRPr="00F10A98">
              <w:rPr>
                <w:b/>
                <w:color w:val="FFFFFF" w:themeColor="background1"/>
                <w:sz w:val="20"/>
                <w:szCs w:val="20"/>
                <w:lang w:val="en-AU"/>
              </w:rPr>
              <w:sym w:font="Wingdings" w:char="F0FC"/>
            </w:r>
          </w:p>
        </w:tc>
      </w:tr>
      <w:tr w:rsidR="0089153C" w:rsidRPr="00DD4E6E" w:rsidTr="00070C7E">
        <w:trPr>
          <w:cantSplit/>
        </w:trPr>
        <w:tc>
          <w:tcPr>
            <w:tcW w:w="4582" w:type="pct"/>
            <w:tcBorders>
              <w:top w:val="single" w:sz="4" w:space="0" w:color="003D69"/>
            </w:tcBorders>
            <w:vAlign w:val="bottom"/>
          </w:tcPr>
          <w:p w:rsidR="003208C0" w:rsidRPr="00EB2E55" w:rsidRDefault="0089153C" w:rsidP="00EB2E55">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 xml:space="preserve">Governance structures have been put in place to oversee and lead the </w:t>
            </w:r>
            <w:r w:rsidR="00D4735D" w:rsidRPr="00EB2E55">
              <w:rPr>
                <w:rFonts w:asciiTheme="minorHAnsi" w:eastAsiaTheme="minorHAnsi" w:hAnsiTheme="minorHAnsi" w:cstheme="minorBidi"/>
                <w:bCs/>
                <w:szCs w:val="22"/>
                <w:lang w:val="en-AU"/>
              </w:rPr>
              <w:t>planning</w:t>
            </w:r>
            <w:r w:rsidR="00EB2E55">
              <w:rPr>
                <w:rFonts w:asciiTheme="minorHAnsi" w:eastAsiaTheme="minorHAnsi" w:hAnsiTheme="minorHAnsi" w:cstheme="minorBidi"/>
                <w:bCs/>
                <w:szCs w:val="22"/>
                <w:lang w:val="en-AU"/>
              </w:rPr>
              <w:t> </w:t>
            </w:r>
            <w:r w:rsidRPr="00EB2E55">
              <w:rPr>
                <w:rFonts w:asciiTheme="minorHAnsi" w:eastAsiaTheme="minorHAnsi" w:hAnsiTheme="minorHAnsi" w:cstheme="minorBidi"/>
                <w:bCs/>
                <w:szCs w:val="22"/>
                <w:lang w:val="en-AU"/>
              </w:rPr>
              <w:t>process.</w:t>
            </w:r>
          </w:p>
        </w:tc>
        <w:tc>
          <w:tcPr>
            <w:tcW w:w="418" w:type="pct"/>
            <w:tcBorders>
              <w:top w:val="single" w:sz="4" w:space="0" w:color="003D69"/>
            </w:tcBorders>
          </w:tcPr>
          <w:p w:rsidR="0089153C" w:rsidRPr="00EB2E55" w:rsidRDefault="0089153C" w:rsidP="00DD4E6E">
            <w:pPr>
              <w:spacing w:line="276" w:lineRule="auto"/>
              <w:jc w:val="center"/>
              <w:rPr>
                <w:szCs w:val="22"/>
                <w:lang w:val="en-AU"/>
              </w:rPr>
            </w:pPr>
          </w:p>
        </w:tc>
      </w:tr>
      <w:tr w:rsidR="00D4735D" w:rsidRPr="00DD4E6E" w:rsidTr="00070C7E">
        <w:trPr>
          <w:cantSplit/>
        </w:trPr>
        <w:tc>
          <w:tcPr>
            <w:tcW w:w="4582" w:type="pct"/>
            <w:vAlign w:val="bottom"/>
          </w:tcPr>
          <w:p w:rsidR="003208C0" w:rsidRPr="00EB2E55" w:rsidRDefault="00D4735D" w:rsidP="00EA3018">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 xml:space="preserve">The plan is based on the outcomes of the needs assessment and </w:t>
            </w:r>
            <w:r w:rsidR="00BF605A" w:rsidRPr="00EB2E55">
              <w:rPr>
                <w:rFonts w:asciiTheme="minorHAnsi" w:eastAsiaTheme="minorHAnsi" w:hAnsiTheme="minorHAnsi" w:cstheme="minorBidi"/>
                <w:bCs/>
                <w:szCs w:val="22"/>
                <w:lang w:val="en-AU"/>
              </w:rPr>
              <w:t xml:space="preserve">is </w:t>
            </w:r>
            <w:r w:rsidRPr="00EB2E55">
              <w:rPr>
                <w:rFonts w:asciiTheme="minorHAnsi" w:eastAsiaTheme="minorHAnsi" w:hAnsiTheme="minorHAnsi" w:cstheme="minorBidi"/>
                <w:bCs/>
                <w:szCs w:val="22"/>
                <w:lang w:val="en-AU"/>
              </w:rPr>
              <w:t>consistent with the PHN objectives.</w:t>
            </w:r>
          </w:p>
        </w:tc>
        <w:tc>
          <w:tcPr>
            <w:tcW w:w="418" w:type="pct"/>
          </w:tcPr>
          <w:p w:rsidR="00D4735D" w:rsidRPr="00EB2E55" w:rsidRDefault="00D4735D" w:rsidP="00DD4E6E">
            <w:pPr>
              <w:spacing w:line="276" w:lineRule="auto"/>
              <w:jc w:val="center"/>
              <w:rPr>
                <w:szCs w:val="22"/>
                <w:lang w:val="en-AU"/>
              </w:rPr>
            </w:pPr>
          </w:p>
        </w:tc>
      </w:tr>
      <w:tr w:rsidR="0089153C" w:rsidRPr="00DD4E6E" w:rsidTr="00070C7E">
        <w:trPr>
          <w:cantSplit/>
        </w:trPr>
        <w:tc>
          <w:tcPr>
            <w:tcW w:w="4582" w:type="pct"/>
            <w:vAlign w:val="bottom"/>
          </w:tcPr>
          <w:p w:rsidR="003208C0" w:rsidRPr="00EB2E55" w:rsidRDefault="0089153C" w:rsidP="00EA3018">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 xml:space="preserve">Opportunities for collaboration and partnership in the </w:t>
            </w:r>
            <w:r w:rsidR="00D4735D" w:rsidRPr="00EB2E55">
              <w:rPr>
                <w:rFonts w:asciiTheme="minorHAnsi" w:eastAsiaTheme="minorHAnsi" w:hAnsiTheme="minorHAnsi" w:cstheme="minorBidi"/>
                <w:bCs/>
                <w:szCs w:val="22"/>
                <w:lang w:val="en-AU"/>
              </w:rPr>
              <w:t>devel</w:t>
            </w:r>
            <w:r w:rsidRPr="00EB2E55">
              <w:rPr>
                <w:rFonts w:asciiTheme="minorHAnsi" w:eastAsiaTheme="minorHAnsi" w:hAnsiTheme="minorHAnsi" w:cstheme="minorBidi"/>
                <w:bCs/>
                <w:szCs w:val="22"/>
                <w:lang w:val="en-AU"/>
              </w:rPr>
              <w:t xml:space="preserve">opment of the </w:t>
            </w:r>
            <w:r w:rsidR="00D4735D" w:rsidRPr="00EB2E55">
              <w:rPr>
                <w:rFonts w:asciiTheme="minorHAnsi" w:eastAsiaTheme="minorHAnsi" w:hAnsiTheme="minorHAnsi" w:cstheme="minorBidi"/>
                <w:bCs/>
                <w:szCs w:val="22"/>
                <w:lang w:val="en-AU"/>
              </w:rPr>
              <w:t xml:space="preserve">plan </w:t>
            </w:r>
            <w:r w:rsidR="00A7028E" w:rsidRPr="00EB2E55">
              <w:rPr>
                <w:rFonts w:asciiTheme="minorHAnsi" w:eastAsiaTheme="minorHAnsi" w:hAnsiTheme="minorHAnsi" w:cstheme="minorBidi"/>
                <w:bCs/>
                <w:szCs w:val="22"/>
                <w:lang w:val="en-AU"/>
              </w:rPr>
              <w:t xml:space="preserve">have </w:t>
            </w:r>
            <w:r w:rsidRPr="00EB2E55">
              <w:rPr>
                <w:rFonts w:asciiTheme="minorHAnsi" w:eastAsiaTheme="minorHAnsi" w:hAnsiTheme="minorHAnsi" w:cstheme="minorBidi"/>
                <w:bCs/>
                <w:szCs w:val="22"/>
                <w:lang w:val="en-AU"/>
              </w:rPr>
              <w:t>been identified.</w:t>
            </w:r>
          </w:p>
        </w:tc>
        <w:tc>
          <w:tcPr>
            <w:tcW w:w="418" w:type="pct"/>
          </w:tcPr>
          <w:p w:rsidR="0089153C" w:rsidRPr="00EB2E55" w:rsidRDefault="0089153C" w:rsidP="00DD4E6E">
            <w:pPr>
              <w:spacing w:line="276" w:lineRule="auto"/>
              <w:jc w:val="center"/>
              <w:rPr>
                <w:szCs w:val="22"/>
                <w:lang w:val="en-AU"/>
              </w:rPr>
            </w:pPr>
          </w:p>
        </w:tc>
      </w:tr>
      <w:tr w:rsidR="0089153C" w:rsidRPr="00DD4E6E" w:rsidTr="00070C7E">
        <w:trPr>
          <w:cantSplit/>
        </w:trPr>
        <w:tc>
          <w:tcPr>
            <w:tcW w:w="4582" w:type="pct"/>
            <w:vAlign w:val="bottom"/>
          </w:tcPr>
          <w:p w:rsidR="003208C0" w:rsidRPr="00EB2E55" w:rsidRDefault="00D4735D" w:rsidP="00EA3018">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 xml:space="preserve">The validity </w:t>
            </w:r>
            <w:r w:rsidR="003208C0" w:rsidRPr="00EB2E55">
              <w:rPr>
                <w:rFonts w:asciiTheme="minorHAnsi" w:eastAsiaTheme="minorHAnsi" w:hAnsiTheme="minorHAnsi" w:cstheme="minorBidi"/>
                <w:bCs/>
                <w:szCs w:val="22"/>
                <w:lang w:val="en-AU"/>
              </w:rPr>
              <w:t xml:space="preserve">and appropriateness </w:t>
            </w:r>
            <w:r w:rsidRPr="00EB2E55">
              <w:rPr>
                <w:rFonts w:asciiTheme="minorHAnsi" w:eastAsiaTheme="minorHAnsi" w:hAnsiTheme="minorHAnsi" w:cstheme="minorBidi"/>
                <w:bCs/>
                <w:szCs w:val="22"/>
                <w:lang w:val="en-AU"/>
              </w:rPr>
              <w:t xml:space="preserve">of proposed performance </w:t>
            </w:r>
            <w:r w:rsidR="0089153C" w:rsidRPr="00EB2E55">
              <w:rPr>
                <w:rFonts w:asciiTheme="minorHAnsi" w:eastAsiaTheme="minorHAnsi" w:hAnsiTheme="minorHAnsi" w:cstheme="minorBidi"/>
                <w:bCs/>
                <w:szCs w:val="22"/>
                <w:lang w:val="en-AU"/>
              </w:rPr>
              <w:t>information has been verified.</w:t>
            </w:r>
          </w:p>
        </w:tc>
        <w:tc>
          <w:tcPr>
            <w:tcW w:w="418" w:type="pct"/>
          </w:tcPr>
          <w:p w:rsidR="0089153C" w:rsidRPr="00EB2E55" w:rsidRDefault="0089153C" w:rsidP="00DD4E6E">
            <w:pPr>
              <w:spacing w:line="276" w:lineRule="auto"/>
              <w:jc w:val="center"/>
              <w:rPr>
                <w:szCs w:val="22"/>
                <w:lang w:val="en-AU"/>
              </w:rPr>
            </w:pPr>
          </w:p>
        </w:tc>
      </w:tr>
      <w:tr w:rsidR="0089153C" w:rsidRPr="00DD4E6E" w:rsidTr="00070C7E">
        <w:trPr>
          <w:cantSplit/>
        </w:trPr>
        <w:tc>
          <w:tcPr>
            <w:tcW w:w="4582" w:type="pct"/>
            <w:vAlign w:val="bottom"/>
          </w:tcPr>
          <w:p w:rsidR="003208C0" w:rsidRPr="00EB2E55" w:rsidRDefault="003208C0" w:rsidP="00EA3018">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All possible p</w:t>
            </w:r>
            <w:r w:rsidR="00D4735D" w:rsidRPr="00EB2E55">
              <w:rPr>
                <w:rFonts w:asciiTheme="minorHAnsi" w:eastAsiaTheme="minorHAnsi" w:hAnsiTheme="minorHAnsi" w:cstheme="minorBidi"/>
                <w:bCs/>
                <w:szCs w:val="22"/>
                <w:lang w:val="en-AU"/>
              </w:rPr>
              <w:t xml:space="preserve">otential </w:t>
            </w:r>
            <w:r w:rsidRPr="00EB2E55">
              <w:rPr>
                <w:rFonts w:asciiTheme="minorHAnsi" w:eastAsiaTheme="minorHAnsi" w:hAnsiTheme="minorHAnsi" w:cstheme="minorBidi"/>
                <w:bCs/>
                <w:szCs w:val="22"/>
                <w:lang w:val="en-AU"/>
              </w:rPr>
              <w:t xml:space="preserve">providers </w:t>
            </w:r>
            <w:r w:rsidR="0089153C" w:rsidRPr="00EB2E55">
              <w:rPr>
                <w:rFonts w:asciiTheme="minorHAnsi" w:eastAsiaTheme="minorHAnsi" w:hAnsiTheme="minorHAnsi" w:cstheme="minorBidi"/>
                <w:bCs/>
                <w:szCs w:val="22"/>
                <w:lang w:val="en-AU"/>
              </w:rPr>
              <w:t>have been defined and identified</w:t>
            </w:r>
            <w:r w:rsidRPr="00EB2E55">
              <w:rPr>
                <w:rFonts w:asciiTheme="minorHAnsi" w:eastAsiaTheme="minorHAnsi" w:hAnsiTheme="minorHAnsi" w:cstheme="minorBidi"/>
                <w:bCs/>
                <w:szCs w:val="22"/>
                <w:lang w:val="en-AU"/>
              </w:rPr>
              <w:t xml:space="preserve">.  This includes </w:t>
            </w:r>
            <w:r w:rsidR="0089153C" w:rsidRPr="00EB2E55">
              <w:rPr>
                <w:rFonts w:asciiTheme="minorHAnsi" w:eastAsiaTheme="minorHAnsi" w:hAnsiTheme="minorHAnsi" w:cstheme="minorBidi"/>
                <w:bCs/>
                <w:szCs w:val="22"/>
                <w:lang w:val="en-AU"/>
              </w:rPr>
              <w:t>service providers and stakeholders that m</w:t>
            </w:r>
            <w:r w:rsidRPr="00EB2E55">
              <w:rPr>
                <w:rFonts w:asciiTheme="minorHAnsi" w:eastAsiaTheme="minorHAnsi" w:hAnsiTheme="minorHAnsi" w:cstheme="minorBidi"/>
                <w:bCs/>
                <w:szCs w:val="22"/>
                <w:lang w:val="en-AU"/>
              </w:rPr>
              <w:t>ay fall outside the PHN region.</w:t>
            </w:r>
          </w:p>
        </w:tc>
        <w:tc>
          <w:tcPr>
            <w:tcW w:w="418" w:type="pct"/>
          </w:tcPr>
          <w:p w:rsidR="0089153C" w:rsidRPr="00EB2E55" w:rsidRDefault="0089153C" w:rsidP="00DD4E6E">
            <w:pPr>
              <w:spacing w:line="276" w:lineRule="auto"/>
              <w:jc w:val="center"/>
              <w:rPr>
                <w:szCs w:val="22"/>
                <w:lang w:val="en-AU"/>
              </w:rPr>
            </w:pPr>
          </w:p>
        </w:tc>
      </w:tr>
      <w:tr w:rsidR="0089153C" w:rsidRPr="00DD4E6E" w:rsidTr="00070C7E">
        <w:trPr>
          <w:cantSplit/>
        </w:trPr>
        <w:tc>
          <w:tcPr>
            <w:tcW w:w="4582" w:type="pct"/>
            <w:vAlign w:val="bottom"/>
          </w:tcPr>
          <w:p w:rsidR="003208C0" w:rsidRPr="00EB2E55" w:rsidRDefault="0089153C" w:rsidP="00EA3018">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 xml:space="preserve">The PHN has the human and physical resources and skills </w:t>
            </w:r>
            <w:r w:rsidR="003208C0" w:rsidRPr="00EB2E55">
              <w:rPr>
                <w:rFonts w:asciiTheme="minorHAnsi" w:eastAsiaTheme="minorHAnsi" w:hAnsiTheme="minorHAnsi" w:cstheme="minorBidi"/>
                <w:bCs/>
                <w:szCs w:val="22"/>
                <w:lang w:val="en-AU"/>
              </w:rPr>
              <w:t xml:space="preserve">required to undertake the activities identified in the plan. </w:t>
            </w:r>
            <w:r w:rsidRPr="00EB2E55">
              <w:rPr>
                <w:rFonts w:asciiTheme="minorHAnsi" w:eastAsiaTheme="minorHAnsi" w:hAnsiTheme="minorHAnsi" w:cstheme="minorBidi"/>
                <w:bCs/>
                <w:szCs w:val="22"/>
                <w:lang w:val="en-AU"/>
              </w:rPr>
              <w:t>Where there</w:t>
            </w:r>
            <w:r w:rsidR="003208C0" w:rsidRPr="00EB2E55">
              <w:rPr>
                <w:rFonts w:asciiTheme="minorHAnsi" w:eastAsiaTheme="minorHAnsi" w:hAnsiTheme="minorHAnsi" w:cstheme="minorBidi"/>
                <w:bCs/>
                <w:szCs w:val="22"/>
                <w:lang w:val="en-AU"/>
              </w:rPr>
              <w:t xml:space="preserve"> are deficits, steps have been proposed </w:t>
            </w:r>
            <w:r w:rsidRPr="00EB2E55">
              <w:rPr>
                <w:rFonts w:asciiTheme="minorHAnsi" w:eastAsiaTheme="minorHAnsi" w:hAnsiTheme="minorHAnsi" w:cstheme="minorBidi"/>
                <w:bCs/>
                <w:szCs w:val="22"/>
                <w:lang w:val="en-AU"/>
              </w:rPr>
              <w:t>to address these.</w:t>
            </w:r>
          </w:p>
        </w:tc>
        <w:tc>
          <w:tcPr>
            <w:tcW w:w="418" w:type="pct"/>
          </w:tcPr>
          <w:p w:rsidR="0089153C" w:rsidRPr="00EB2E55" w:rsidRDefault="0089153C" w:rsidP="00DD4E6E">
            <w:pPr>
              <w:spacing w:line="276" w:lineRule="auto"/>
              <w:jc w:val="center"/>
              <w:rPr>
                <w:szCs w:val="22"/>
                <w:lang w:val="en-AU"/>
              </w:rPr>
            </w:pPr>
          </w:p>
        </w:tc>
      </w:tr>
      <w:tr w:rsidR="0089153C" w:rsidRPr="00DD4E6E" w:rsidTr="00070C7E">
        <w:trPr>
          <w:cantSplit/>
        </w:trPr>
        <w:tc>
          <w:tcPr>
            <w:tcW w:w="4582" w:type="pct"/>
            <w:vAlign w:val="bottom"/>
          </w:tcPr>
          <w:p w:rsidR="003208C0" w:rsidRPr="00EB2E55" w:rsidRDefault="0089153C" w:rsidP="00EA3018">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 xml:space="preserve">Formal processes and timeframes (such as a Project Plan) are in place for </w:t>
            </w:r>
            <w:r w:rsidR="003208C0" w:rsidRPr="00EB2E55">
              <w:rPr>
                <w:rFonts w:asciiTheme="minorHAnsi" w:eastAsiaTheme="minorHAnsi" w:hAnsiTheme="minorHAnsi" w:cstheme="minorBidi"/>
                <w:bCs/>
                <w:szCs w:val="22"/>
                <w:lang w:val="en-AU"/>
              </w:rPr>
              <w:t>implementing the plan</w:t>
            </w:r>
            <w:r w:rsidRPr="00EB2E55">
              <w:rPr>
                <w:rFonts w:asciiTheme="minorHAnsi" w:eastAsiaTheme="minorHAnsi" w:hAnsiTheme="minorHAnsi" w:cstheme="minorBidi"/>
                <w:bCs/>
                <w:szCs w:val="22"/>
                <w:lang w:val="en-AU"/>
              </w:rPr>
              <w:t>.</w:t>
            </w:r>
          </w:p>
        </w:tc>
        <w:tc>
          <w:tcPr>
            <w:tcW w:w="418" w:type="pct"/>
          </w:tcPr>
          <w:p w:rsidR="0089153C" w:rsidRPr="00EB2E55" w:rsidRDefault="0089153C" w:rsidP="00DD4E6E">
            <w:pPr>
              <w:spacing w:line="276" w:lineRule="auto"/>
              <w:jc w:val="center"/>
              <w:rPr>
                <w:szCs w:val="22"/>
                <w:lang w:val="en-AU"/>
              </w:rPr>
            </w:pPr>
          </w:p>
        </w:tc>
      </w:tr>
      <w:tr w:rsidR="0089153C" w:rsidRPr="00DD4E6E" w:rsidTr="00070C7E">
        <w:trPr>
          <w:cantSplit/>
        </w:trPr>
        <w:tc>
          <w:tcPr>
            <w:tcW w:w="4582" w:type="pct"/>
            <w:vAlign w:val="bottom"/>
          </w:tcPr>
          <w:p w:rsidR="003208C0" w:rsidRPr="00EB2E55" w:rsidRDefault="0089153C" w:rsidP="00EA3018">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The PHN is able to provide further evidence to the depart</w:t>
            </w:r>
            <w:r w:rsidR="003208C0" w:rsidRPr="00EB2E55">
              <w:rPr>
                <w:rFonts w:asciiTheme="minorHAnsi" w:eastAsiaTheme="minorHAnsi" w:hAnsiTheme="minorHAnsi" w:cstheme="minorBidi"/>
                <w:bCs/>
                <w:szCs w:val="22"/>
                <w:lang w:val="en-AU"/>
              </w:rPr>
              <w:t>ment about any of the proposed activities if requested</w:t>
            </w:r>
            <w:r w:rsidRPr="00EB2E55">
              <w:rPr>
                <w:rFonts w:asciiTheme="minorHAnsi" w:eastAsiaTheme="minorHAnsi" w:hAnsiTheme="minorHAnsi" w:cstheme="minorBidi"/>
                <w:bCs/>
                <w:szCs w:val="22"/>
                <w:lang w:val="en-AU"/>
              </w:rPr>
              <w:t>.</w:t>
            </w:r>
          </w:p>
        </w:tc>
        <w:tc>
          <w:tcPr>
            <w:tcW w:w="418" w:type="pct"/>
          </w:tcPr>
          <w:p w:rsidR="0089153C" w:rsidRPr="00EB2E55" w:rsidRDefault="0089153C" w:rsidP="00DD4E6E">
            <w:pPr>
              <w:spacing w:line="276" w:lineRule="auto"/>
              <w:jc w:val="center"/>
              <w:rPr>
                <w:szCs w:val="22"/>
                <w:lang w:val="en-AU"/>
              </w:rPr>
            </w:pPr>
          </w:p>
        </w:tc>
      </w:tr>
      <w:tr w:rsidR="0089153C" w:rsidRPr="00DD4E6E" w:rsidTr="00070C7E">
        <w:trPr>
          <w:cantSplit/>
        </w:trPr>
        <w:tc>
          <w:tcPr>
            <w:tcW w:w="4582" w:type="pct"/>
            <w:vAlign w:val="bottom"/>
          </w:tcPr>
          <w:p w:rsidR="003208C0" w:rsidRPr="00EB2E55" w:rsidRDefault="003208C0" w:rsidP="00EA3018">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 xml:space="preserve">The plan clearly </w:t>
            </w:r>
            <w:r w:rsidR="001069CC" w:rsidRPr="00EB2E55">
              <w:rPr>
                <w:rFonts w:asciiTheme="minorHAnsi" w:eastAsiaTheme="minorHAnsi" w:hAnsiTheme="minorHAnsi" w:cstheme="minorBidi"/>
                <w:bCs/>
                <w:szCs w:val="22"/>
                <w:lang w:val="en-AU"/>
              </w:rPr>
              <w:t>identifies</w:t>
            </w:r>
            <w:r w:rsidRPr="00EB2E55">
              <w:rPr>
                <w:rFonts w:asciiTheme="minorHAnsi" w:eastAsiaTheme="minorHAnsi" w:hAnsiTheme="minorHAnsi" w:cstheme="minorBidi"/>
                <w:bCs/>
                <w:szCs w:val="22"/>
                <w:lang w:val="en-AU"/>
              </w:rPr>
              <w:t xml:space="preserve"> where an activity is targeted to specific g</w:t>
            </w:r>
            <w:r w:rsidR="0089153C" w:rsidRPr="00EB2E55">
              <w:rPr>
                <w:rFonts w:asciiTheme="minorHAnsi" w:eastAsiaTheme="minorHAnsi" w:hAnsiTheme="minorHAnsi" w:cstheme="minorBidi"/>
                <w:bCs/>
                <w:szCs w:val="22"/>
                <w:lang w:val="en-AU"/>
              </w:rPr>
              <w:t xml:space="preserve">eographical regions </w:t>
            </w:r>
            <w:r w:rsidRPr="00EB2E55">
              <w:rPr>
                <w:rFonts w:asciiTheme="minorHAnsi" w:eastAsiaTheme="minorHAnsi" w:hAnsiTheme="minorHAnsi" w:cstheme="minorBidi"/>
                <w:bCs/>
                <w:szCs w:val="22"/>
                <w:lang w:val="en-AU"/>
              </w:rPr>
              <w:t>or locations within the PHN.</w:t>
            </w:r>
          </w:p>
        </w:tc>
        <w:tc>
          <w:tcPr>
            <w:tcW w:w="418" w:type="pct"/>
          </w:tcPr>
          <w:p w:rsidR="0089153C" w:rsidRPr="00EB2E55" w:rsidRDefault="0089153C" w:rsidP="00DD4E6E">
            <w:pPr>
              <w:spacing w:line="276" w:lineRule="auto"/>
              <w:jc w:val="center"/>
              <w:rPr>
                <w:szCs w:val="22"/>
                <w:lang w:val="en-AU"/>
              </w:rPr>
            </w:pPr>
          </w:p>
        </w:tc>
      </w:tr>
      <w:tr w:rsidR="0089153C" w:rsidRPr="00DD4E6E" w:rsidTr="00070C7E">
        <w:trPr>
          <w:cantSplit/>
        </w:trPr>
        <w:tc>
          <w:tcPr>
            <w:tcW w:w="4582" w:type="pct"/>
            <w:vAlign w:val="bottom"/>
          </w:tcPr>
          <w:p w:rsidR="003208C0" w:rsidRPr="00EB2E55" w:rsidRDefault="003208C0" w:rsidP="00EA3018">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 xml:space="preserve">There are mechanisms in place to publish and disseminate the </w:t>
            </w:r>
            <w:r w:rsidR="001069CC" w:rsidRPr="00EB2E55">
              <w:rPr>
                <w:rFonts w:asciiTheme="minorHAnsi" w:eastAsiaTheme="minorHAnsi" w:hAnsiTheme="minorHAnsi" w:cstheme="minorBidi"/>
                <w:bCs/>
                <w:szCs w:val="22"/>
                <w:lang w:val="en-AU"/>
              </w:rPr>
              <w:t>plan</w:t>
            </w:r>
            <w:r w:rsidRPr="00EB2E55">
              <w:rPr>
                <w:rFonts w:asciiTheme="minorHAnsi" w:eastAsiaTheme="minorHAnsi" w:hAnsiTheme="minorHAnsi" w:cstheme="minorBidi"/>
                <w:bCs/>
                <w:szCs w:val="22"/>
                <w:lang w:val="en-AU"/>
              </w:rPr>
              <w:t xml:space="preserve"> and to communicate</w:t>
            </w:r>
            <w:r w:rsidR="0089153C" w:rsidRPr="00EB2E55">
              <w:rPr>
                <w:rFonts w:asciiTheme="minorHAnsi" w:eastAsiaTheme="minorHAnsi" w:hAnsiTheme="minorHAnsi" w:cstheme="minorBidi"/>
                <w:bCs/>
                <w:szCs w:val="22"/>
                <w:lang w:val="en-AU"/>
              </w:rPr>
              <w:t xml:space="preserve"> to participants and key stakeholders </w:t>
            </w:r>
            <w:r w:rsidRPr="00EB2E55">
              <w:rPr>
                <w:rFonts w:asciiTheme="minorHAnsi" w:eastAsiaTheme="minorHAnsi" w:hAnsiTheme="minorHAnsi" w:cstheme="minorBidi"/>
                <w:bCs/>
                <w:szCs w:val="22"/>
                <w:lang w:val="en-AU"/>
              </w:rPr>
              <w:t xml:space="preserve">who were involved in the </w:t>
            </w:r>
            <w:r w:rsidR="001069CC" w:rsidRPr="00EB2E55">
              <w:rPr>
                <w:rFonts w:asciiTheme="minorHAnsi" w:eastAsiaTheme="minorHAnsi" w:hAnsiTheme="minorHAnsi" w:cstheme="minorBidi"/>
                <w:bCs/>
                <w:szCs w:val="22"/>
                <w:lang w:val="en-AU"/>
              </w:rPr>
              <w:t>preceding</w:t>
            </w:r>
            <w:r w:rsidRPr="00EB2E55">
              <w:rPr>
                <w:rFonts w:asciiTheme="minorHAnsi" w:eastAsiaTheme="minorHAnsi" w:hAnsiTheme="minorHAnsi" w:cstheme="minorBidi"/>
                <w:bCs/>
                <w:szCs w:val="22"/>
                <w:lang w:val="en-AU"/>
              </w:rPr>
              <w:t xml:space="preserve"> needs assessment process.</w:t>
            </w:r>
          </w:p>
        </w:tc>
        <w:tc>
          <w:tcPr>
            <w:tcW w:w="418" w:type="pct"/>
          </w:tcPr>
          <w:p w:rsidR="0089153C" w:rsidRPr="00EB2E55" w:rsidRDefault="0089153C" w:rsidP="00DD4E6E">
            <w:pPr>
              <w:spacing w:line="276" w:lineRule="auto"/>
              <w:jc w:val="center"/>
              <w:rPr>
                <w:szCs w:val="22"/>
                <w:lang w:val="en-AU"/>
              </w:rPr>
            </w:pPr>
          </w:p>
        </w:tc>
      </w:tr>
      <w:tr w:rsidR="0089153C" w:rsidRPr="00DD4E6E" w:rsidTr="00070C7E">
        <w:trPr>
          <w:cantSplit/>
        </w:trPr>
        <w:tc>
          <w:tcPr>
            <w:tcW w:w="4582" w:type="pct"/>
            <w:vAlign w:val="bottom"/>
          </w:tcPr>
          <w:p w:rsidR="003208C0" w:rsidRPr="00EB2E55" w:rsidRDefault="0089153C" w:rsidP="00EA3018">
            <w:pPr>
              <w:spacing w:line="276" w:lineRule="auto"/>
              <w:jc w:val="left"/>
              <w:rPr>
                <w:rFonts w:asciiTheme="minorHAnsi" w:eastAsiaTheme="minorHAnsi" w:hAnsiTheme="minorHAnsi" w:cstheme="minorBidi"/>
                <w:bCs/>
                <w:szCs w:val="22"/>
                <w:lang w:val="en-AU"/>
              </w:rPr>
            </w:pPr>
            <w:r w:rsidRPr="00EB2E55">
              <w:rPr>
                <w:rFonts w:asciiTheme="minorHAnsi" w:eastAsiaTheme="minorHAnsi" w:hAnsiTheme="minorHAnsi" w:cstheme="minorBidi"/>
                <w:bCs/>
                <w:szCs w:val="22"/>
                <w:lang w:val="en-AU"/>
              </w:rPr>
              <w:t xml:space="preserve">There are mechanisms for </w:t>
            </w:r>
            <w:r w:rsidR="005E5BA7" w:rsidRPr="00EB2E55">
              <w:rPr>
                <w:rFonts w:asciiTheme="minorHAnsi" w:eastAsiaTheme="minorHAnsi" w:hAnsiTheme="minorHAnsi" w:cstheme="minorBidi"/>
                <w:bCs/>
                <w:szCs w:val="22"/>
                <w:lang w:val="en-AU"/>
              </w:rPr>
              <w:t>ongoing monitoring and evaluation of individual activities and the plan as a whole.</w:t>
            </w:r>
          </w:p>
        </w:tc>
        <w:tc>
          <w:tcPr>
            <w:tcW w:w="418" w:type="pct"/>
          </w:tcPr>
          <w:p w:rsidR="0089153C" w:rsidRPr="00EB2E55" w:rsidRDefault="0089153C" w:rsidP="00DD4E6E">
            <w:pPr>
              <w:spacing w:line="276" w:lineRule="auto"/>
              <w:jc w:val="center"/>
              <w:rPr>
                <w:szCs w:val="22"/>
                <w:lang w:val="en-AU"/>
              </w:rPr>
            </w:pPr>
          </w:p>
        </w:tc>
      </w:tr>
    </w:tbl>
    <w:p w:rsidR="001D174F" w:rsidRPr="00DD4E6E" w:rsidRDefault="001D174F">
      <w:pPr>
        <w:spacing w:line="240" w:lineRule="auto"/>
        <w:jc w:val="left"/>
        <w:rPr>
          <w:lang w:val="en-AU"/>
        </w:rPr>
      </w:pPr>
    </w:p>
    <w:p w:rsidR="0089153C" w:rsidRDefault="0089153C">
      <w:pPr>
        <w:spacing w:line="240" w:lineRule="auto"/>
        <w:jc w:val="left"/>
        <w:rPr>
          <w:rStyle w:val="IntenseReference"/>
          <w:rFonts w:cs="Arial"/>
          <w:b w:val="0"/>
          <w:i w:val="0"/>
          <w:caps/>
          <w:smallCaps w:val="0"/>
          <w:color w:val="003D69"/>
          <w:spacing w:val="0"/>
          <w:kern w:val="28"/>
          <w:sz w:val="36"/>
          <w:szCs w:val="32"/>
        </w:rPr>
      </w:pPr>
      <w:r w:rsidRPr="00DD4E6E">
        <w:rPr>
          <w:rStyle w:val="IntenseReference"/>
          <w:b w:val="0"/>
          <w:bCs w:val="0"/>
          <w:i w:val="0"/>
          <w:smallCaps w:val="0"/>
          <w:color w:val="003D69"/>
          <w:spacing w:val="0"/>
        </w:rPr>
        <w:br w:type="page"/>
      </w:r>
    </w:p>
    <w:p w:rsidR="001D174F" w:rsidRDefault="006B1447" w:rsidP="001D174F">
      <w:pPr>
        <w:pStyle w:val="Heading1"/>
        <w:rPr>
          <w:rStyle w:val="IntenseReference"/>
          <w:b w:val="0"/>
          <w:bCs/>
          <w:i w:val="0"/>
          <w:smallCaps w:val="0"/>
          <w:color w:val="003D69"/>
          <w:spacing w:val="0"/>
        </w:rPr>
      </w:pPr>
      <w:bookmarkStart w:id="35" w:name="_Toc458775179"/>
      <w:proofErr w:type="gramStart"/>
      <w:r>
        <w:rPr>
          <w:rStyle w:val="IntenseReference"/>
          <w:b w:val="0"/>
          <w:bCs/>
          <w:i w:val="0"/>
          <w:smallCaps w:val="0"/>
          <w:color w:val="003D69"/>
          <w:spacing w:val="0"/>
        </w:rPr>
        <w:lastRenderedPageBreak/>
        <w:t xml:space="preserve">APPENDIX </w:t>
      </w:r>
      <w:r w:rsidR="00C84D73">
        <w:rPr>
          <w:rStyle w:val="IntenseReference"/>
          <w:b w:val="0"/>
          <w:bCs/>
          <w:i w:val="0"/>
          <w:smallCaps w:val="0"/>
          <w:color w:val="003D69"/>
          <w:spacing w:val="0"/>
        </w:rPr>
        <w:t>II</w:t>
      </w:r>
      <w:r w:rsidR="001D174F">
        <w:rPr>
          <w:rStyle w:val="IntenseReference"/>
          <w:b w:val="0"/>
          <w:bCs/>
          <w:i w:val="0"/>
          <w:smallCaps w:val="0"/>
          <w:color w:val="003D69"/>
          <w:spacing w:val="0"/>
        </w:rPr>
        <w:t>.</w:t>
      </w:r>
      <w:proofErr w:type="gramEnd"/>
      <w:r w:rsidR="001D174F">
        <w:rPr>
          <w:rStyle w:val="IntenseReference"/>
          <w:b w:val="0"/>
          <w:bCs/>
          <w:i w:val="0"/>
          <w:smallCaps w:val="0"/>
          <w:color w:val="003D69"/>
          <w:spacing w:val="0"/>
        </w:rPr>
        <w:t xml:space="preserve"> Examples of activity headings</w:t>
      </w:r>
      <w:bookmarkEnd w:id="35"/>
    </w:p>
    <w:p w:rsidR="001D174F" w:rsidRPr="00DD4E6E" w:rsidRDefault="001D174F" w:rsidP="001D174F">
      <w:pPr>
        <w:rPr>
          <w:rStyle w:val="IntenseReference"/>
          <w:b w:val="0"/>
          <w:bCs w:val="0"/>
          <w:i w:val="0"/>
          <w:smallCaps w:val="0"/>
          <w:color w:val="003D69"/>
          <w:spacing w:val="0"/>
        </w:rPr>
      </w:pPr>
      <w:r w:rsidRPr="00DD4E6E">
        <w:rPr>
          <w:rStyle w:val="IntenseReference"/>
          <w:b w:val="0"/>
          <w:bCs w:val="0"/>
          <w:i w:val="0"/>
          <w:smallCaps w:val="0"/>
          <w:color w:val="003D69"/>
          <w:spacing w:val="0"/>
        </w:rPr>
        <w:t xml:space="preserve">These are examples of </w:t>
      </w:r>
      <w:r w:rsidR="001069CC" w:rsidRPr="00DD4E6E">
        <w:rPr>
          <w:rStyle w:val="IntenseReference"/>
          <w:b w:val="0"/>
          <w:bCs w:val="0"/>
          <w:i w:val="0"/>
          <w:smallCaps w:val="0"/>
          <w:color w:val="003D69"/>
          <w:spacing w:val="0"/>
        </w:rPr>
        <w:t>activity</w:t>
      </w:r>
      <w:r w:rsidRPr="00DD4E6E">
        <w:rPr>
          <w:rStyle w:val="IntenseReference"/>
          <w:b w:val="0"/>
          <w:bCs w:val="0"/>
          <w:i w:val="0"/>
          <w:smallCaps w:val="0"/>
          <w:color w:val="003D69"/>
          <w:spacing w:val="0"/>
        </w:rPr>
        <w:t xml:space="preserve"> headings used in previous Medicare Local plans: the intention is to provide examples of the level </w:t>
      </w:r>
      <w:r w:rsidR="008910D8" w:rsidRPr="00DD4E6E">
        <w:rPr>
          <w:rStyle w:val="IntenseReference"/>
          <w:b w:val="0"/>
          <w:bCs w:val="0"/>
          <w:i w:val="0"/>
          <w:smallCaps w:val="0"/>
          <w:color w:val="003D69"/>
          <w:spacing w:val="0"/>
        </w:rPr>
        <w:t xml:space="preserve">and manner </w:t>
      </w:r>
      <w:r w:rsidRPr="00DD4E6E">
        <w:rPr>
          <w:rStyle w:val="IntenseReference"/>
          <w:b w:val="0"/>
          <w:bCs w:val="0"/>
          <w:i w:val="0"/>
          <w:smallCaps w:val="0"/>
          <w:color w:val="003D69"/>
          <w:spacing w:val="0"/>
        </w:rPr>
        <w:t>at which</w:t>
      </w:r>
      <w:r w:rsidR="008910D8" w:rsidRPr="00DD4E6E">
        <w:rPr>
          <w:rStyle w:val="IntenseReference"/>
          <w:b w:val="0"/>
          <w:bCs w:val="0"/>
          <w:i w:val="0"/>
          <w:smallCaps w:val="0"/>
          <w:color w:val="003D69"/>
          <w:spacing w:val="0"/>
        </w:rPr>
        <w:t xml:space="preserve"> the activity is described, </w:t>
      </w:r>
      <w:r w:rsidRPr="00DD4E6E">
        <w:rPr>
          <w:rStyle w:val="IntenseReference"/>
          <w:b w:val="0"/>
          <w:bCs w:val="0"/>
          <w:i w:val="0"/>
          <w:smallCaps w:val="0"/>
          <w:color w:val="003D69"/>
          <w:spacing w:val="0"/>
        </w:rPr>
        <w:t xml:space="preserve">not the </w:t>
      </w:r>
      <w:r>
        <w:rPr>
          <w:rStyle w:val="IntenseReference"/>
          <w:b w:val="0"/>
          <w:bCs w:val="0"/>
          <w:smallCaps w:val="0"/>
          <w:color w:val="003D69"/>
          <w:spacing w:val="0"/>
        </w:rPr>
        <w:t>content.</w:t>
      </w:r>
      <w:r w:rsidR="006C5605" w:rsidRPr="00DD4E6E">
        <w:rPr>
          <w:rStyle w:val="IntenseReference"/>
          <w:b w:val="0"/>
          <w:bCs w:val="0"/>
          <w:i w:val="0"/>
          <w:smallCaps w:val="0"/>
          <w:color w:val="003D69"/>
          <w:spacing w:val="0"/>
        </w:rPr>
        <w:t xml:space="preserve"> Some activity descriptions</w:t>
      </w:r>
      <w:r w:rsidRPr="00DD4E6E">
        <w:rPr>
          <w:rStyle w:val="IntenseReference"/>
          <w:b w:val="0"/>
          <w:bCs w:val="0"/>
          <w:i w:val="0"/>
          <w:smallCaps w:val="0"/>
          <w:color w:val="003D69"/>
          <w:spacing w:val="0"/>
        </w:rPr>
        <w:t xml:space="preserve"> </w:t>
      </w:r>
      <w:r w:rsidR="001069CC" w:rsidRPr="00DD4E6E">
        <w:rPr>
          <w:rStyle w:val="IntenseReference"/>
          <w:b w:val="0"/>
          <w:bCs w:val="0"/>
          <w:i w:val="0"/>
          <w:smallCaps w:val="0"/>
          <w:color w:val="003D69"/>
          <w:spacing w:val="0"/>
        </w:rPr>
        <w:t>have</w:t>
      </w:r>
      <w:r w:rsidRPr="00DD4E6E">
        <w:rPr>
          <w:rStyle w:val="IntenseReference"/>
          <w:b w:val="0"/>
          <w:bCs w:val="0"/>
          <w:i w:val="0"/>
          <w:smallCaps w:val="0"/>
          <w:color w:val="003D69"/>
          <w:spacing w:val="0"/>
        </w:rPr>
        <w:t xml:space="preserve"> been edited but all retain their original intent.</w:t>
      </w:r>
    </w:p>
    <w:p w:rsidR="001D174F" w:rsidRPr="00DD4E6E" w:rsidRDefault="001D174F" w:rsidP="001D174F">
      <w:pPr>
        <w:rPr>
          <w:rStyle w:val="IntenseReference"/>
          <w:b w:val="0"/>
          <w:bCs w:val="0"/>
          <w:i w:val="0"/>
          <w:smallCaps w:val="0"/>
          <w:color w:val="003D69"/>
          <w:spacing w:val="0"/>
        </w:rPr>
      </w:pPr>
    </w:p>
    <w:tbl>
      <w:tblPr>
        <w:tblStyle w:val="TableGrid"/>
        <w:tblW w:w="5000" w:type="pct"/>
        <w:tblLook w:val="04A0" w:firstRow="1" w:lastRow="0" w:firstColumn="1" w:lastColumn="0" w:noHBand="0" w:noVBand="1"/>
        <w:tblCaption w:val="Appendix II: Examples of activity headings"/>
      </w:tblPr>
      <w:tblGrid>
        <w:gridCol w:w="8522"/>
      </w:tblGrid>
      <w:tr w:rsidR="001D174F" w:rsidRPr="00DD4E6E" w:rsidTr="00EA30E7">
        <w:trPr>
          <w:tblHeader/>
        </w:trPr>
        <w:tc>
          <w:tcPr>
            <w:tcW w:w="5000" w:type="pct"/>
            <w:shd w:val="clear" w:color="auto" w:fill="003D69"/>
          </w:tcPr>
          <w:p w:rsidR="001D174F" w:rsidRPr="00EB2E55" w:rsidRDefault="001D174F" w:rsidP="00447C69">
            <w:pPr>
              <w:rPr>
                <w:rFonts w:asciiTheme="minorHAnsi" w:hAnsiTheme="minorHAnsi"/>
                <w:b/>
                <w:szCs w:val="22"/>
                <w:lang w:val="en-AU"/>
              </w:rPr>
            </w:pPr>
            <w:r w:rsidRPr="00EB2E55">
              <w:rPr>
                <w:rFonts w:asciiTheme="minorHAnsi" w:hAnsiTheme="minorHAnsi"/>
                <w:b/>
                <w:szCs w:val="22"/>
                <w:lang w:val="en-AU"/>
              </w:rPr>
              <w:t>Examples of the level of activity headings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Aged care and palliative care</w:t>
            </w:r>
          </w:p>
        </w:tc>
      </w:tr>
      <w:tr w:rsidR="009D3D45" w:rsidRPr="00DD4E6E" w:rsidTr="00EA30E7">
        <w:tc>
          <w:tcPr>
            <w:tcW w:w="5000" w:type="pct"/>
          </w:tcPr>
          <w:p w:rsidR="009D3D45" w:rsidRPr="00EB2E55" w:rsidRDefault="009D3D45" w:rsidP="00896845">
            <w:pPr>
              <w:rPr>
                <w:rFonts w:asciiTheme="minorHAnsi" w:hAnsiTheme="minorHAnsi"/>
                <w:szCs w:val="22"/>
                <w:lang w:val="en-AU"/>
              </w:rPr>
            </w:pPr>
            <w:r w:rsidRPr="00EB2E55">
              <w:rPr>
                <w:rFonts w:asciiTheme="minorHAnsi" w:hAnsiTheme="minorHAnsi"/>
                <w:szCs w:val="22"/>
                <w:lang w:val="en-AU"/>
              </w:rPr>
              <w:t>Cancer service integration</w:t>
            </w:r>
          </w:p>
        </w:tc>
      </w:tr>
      <w:tr w:rsidR="009D3D45" w:rsidRPr="00DD4E6E" w:rsidTr="00EA30E7">
        <w:tc>
          <w:tcPr>
            <w:tcW w:w="5000" w:type="pct"/>
          </w:tcPr>
          <w:p w:rsidR="009D3D45" w:rsidRPr="00EB2E55" w:rsidRDefault="009D3D45" w:rsidP="006C5605">
            <w:pPr>
              <w:rPr>
                <w:rFonts w:asciiTheme="minorHAnsi" w:hAnsiTheme="minorHAnsi"/>
                <w:szCs w:val="22"/>
                <w:lang w:val="en-AU"/>
              </w:rPr>
            </w:pPr>
            <w:r w:rsidRPr="00EB2E55">
              <w:rPr>
                <w:rFonts w:asciiTheme="minorHAnsi" w:hAnsiTheme="minorHAnsi"/>
                <w:szCs w:val="22"/>
                <w:lang w:val="en-AU"/>
              </w:rPr>
              <w:t xml:space="preserve">Child, youth and family </w:t>
            </w:r>
          </w:p>
        </w:tc>
      </w:tr>
      <w:tr w:rsidR="009D3D45" w:rsidRPr="00DD4E6E" w:rsidTr="00EA30E7">
        <w:tc>
          <w:tcPr>
            <w:tcW w:w="5000" w:type="pct"/>
          </w:tcPr>
          <w:p w:rsidR="009D3D45" w:rsidRPr="00EB2E55" w:rsidRDefault="009D3D45" w:rsidP="00B74BA9">
            <w:pPr>
              <w:rPr>
                <w:rFonts w:asciiTheme="minorHAnsi" w:hAnsiTheme="minorHAnsi"/>
                <w:szCs w:val="22"/>
                <w:lang w:val="en-AU"/>
              </w:rPr>
            </w:pPr>
            <w:r w:rsidRPr="00EB2E55">
              <w:rPr>
                <w:rFonts w:asciiTheme="minorHAnsi" w:hAnsiTheme="minorHAnsi"/>
                <w:szCs w:val="22"/>
                <w:lang w:val="en-AU"/>
              </w:rPr>
              <w:t>Chronic disease management</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Chronic disease pathways</w:t>
            </w:r>
          </w:p>
        </w:tc>
      </w:tr>
      <w:tr w:rsidR="009D3D45" w:rsidRPr="00DD4E6E" w:rsidTr="00EA30E7">
        <w:tc>
          <w:tcPr>
            <w:tcW w:w="5000" w:type="pct"/>
          </w:tcPr>
          <w:p w:rsidR="009D3D45" w:rsidRPr="00EB2E55" w:rsidRDefault="009D3D45" w:rsidP="006C5605">
            <w:pPr>
              <w:rPr>
                <w:rFonts w:asciiTheme="minorHAnsi" w:hAnsiTheme="minorHAnsi"/>
                <w:szCs w:val="22"/>
                <w:lang w:val="en-AU"/>
              </w:rPr>
            </w:pPr>
            <w:r w:rsidRPr="00EB2E55">
              <w:rPr>
                <w:rFonts w:asciiTheme="minorHAnsi" w:hAnsiTheme="minorHAnsi"/>
                <w:szCs w:val="22"/>
                <w:lang w:val="en-AU"/>
              </w:rPr>
              <w:t xml:space="preserve">Chronic disease risk factors </w:t>
            </w:r>
          </w:p>
        </w:tc>
      </w:tr>
      <w:tr w:rsidR="009D3D45" w:rsidRPr="00DD4E6E" w:rsidTr="00EA30E7">
        <w:tc>
          <w:tcPr>
            <w:tcW w:w="5000" w:type="pct"/>
          </w:tcPr>
          <w:p w:rsidR="009D3D45" w:rsidRPr="00EB2E55" w:rsidRDefault="009D3D45" w:rsidP="00A7028E">
            <w:pPr>
              <w:rPr>
                <w:rFonts w:asciiTheme="minorHAnsi" w:hAnsiTheme="minorHAnsi"/>
                <w:szCs w:val="22"/>
                <w:lang w:val="en-AU"/>
              </w:rPr>
            </w:pPr>
            <w:r w:rsidRPr="00EB2E55">
              <w:rPr>
                <w:rFonts w:asciiTheme="minorHAnsi" w:hAnsiTheme="minorHAnsi"/>
                <w:szCs w:val="22"/>
                <w:lang w:val="en-AU"/>
              </w:rPr>
              <w:t>Collaborations to improve the health journey for older people with complex health needs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 xml:space="preserve">Collaborative approaches to address low levels of health literacy </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Community Health promotion and consumer and provider literacy gap improvement</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Community Mental Health</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Coordinated and integrated care in chronic disease management</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Developing patient-</w:t>
            </w:r>
            <w:r w:rsidR="001069CC" w:rsidRPr="00EB2E55">
              <w:rPr>
                <w:rFonts w:asciiTheme="minorHAnsi" w:hAnsiTheme="minorHAnsi"/>
                <w:szCs w:val="22"/>
                <w:lang w:val="en-AU"/>
              </w:rPr>
              <w:t>centred</w:t>
            </w:r>
            <w:r w:rsidRPr="00EB2E55">
              <w:rPr>
                <w:rFonts w:asciiTheme="minorHAnsi" w:hAnsiTheme="minorHAnsi"/>
                <w:szCs w:val="22"/>
                <w:lang w:val="en-AU"/>
              </w:rPr>
              <w:t xml:space="preserve"> and integrated models of service </w:t>
            </w:r>
          </w:p>
        </w:tc>
      </w:tr>
      <w:tr w:rsidR="009D3D45" w:rsidRPr="00DD4E6E" w:rsidTr="00EA30E7">
        <w:tc>
          <w:tcPr>
            <w:tcW w:w="5000" w:type="pct"/>
          </w:tcPr>
          <w:p w:rsidR="009D3D45" w:rsidRPr="00EB2E55" w:rsidRDefault="009D3D45" w:rsidP="00896845">
            <w:pPr>
              <w:rPr>
                <w:rFonts w:asciiTheme="minorHAnsi" w:hAnsiTheme="minorHAnsi"/>
                <w:szCs w:val="22"/>
                <w:lang w:val="en-AU"/>
              </w:rPr>
            </w:pPr>
            <w:r w:rsidRPr="00EB2E55">
              <w:rPr>
                <w:rFonts w:asciiTheme="minorHAnsi" w:hAnsiTheme="minorHAnsi"/>
                <w:szCs w:val="22"/>
                <w:lang w:val="en-AU"/>
              </w:rPr>
              <w:t>Early intervention and prevention services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 xml:space="preserve">Ensure local primary health care services are inclusive and accessible </w:t>
            </w:r>
          </w:p>
        </w:tc>
      </w:tr>
      <w:tr w:rsidR="009D3D45" w:rsidRPr="00DD4E6E" w:rsidTr="00EA30E7">
        <w:tc>
          <w:tcPr>
            <w:tcW w:w="5000" w:type="pct"/>
          </w:tcPr>
          <w:p w:rsidR="009D3D45" w:rsidRPr="00EB2E55" w:rsidRDefault="009D3D45" w:rsidP="00896845">
            <w:pPr>
              <w:rPr>
                <w:rFonts w:asciiTheme="minorHAnsi" w:hAnsiTheme="minorHAnsi"/>
                <w:szCs w:val="22"/>
                <w:lang w:val="en-AU"/>
              </w:rPr>
            </w:pPr>
            <w:r w:rsidRPr="00EB2E55">
              <w:rPr>
                <w:rFonts w:asciiTheme="minorHAnsi" w:hAnsiTheme="minorHAnsi"/>
                <w:szCs w:val="22"/>
                <w:lang w:val="en-AU"/>
              </w:rPr>
              <w:t>Health pathways</w:t>
            </w:r>
          </w:p>
        </w:tc>
      </w:tr>
      <w:tr w:rsidR="009D3D45" w:rsidRPr="00DD4E6E" w:rsidTr="00EA30E7">
        <w:tc>
          <w:tcPr>
            <w:tcW w:w="5000" w:type="pct"/>
          </w:tcPr>
          <w:p w:rsidR="009D3D45" w:rsidRPr="00EB2E55" w:rsidRDefault="009D3D45" w:rsidP="00896845">
            <w:pPr>
              <w:rPr>
                <w:rFonts w:asciiTheme="minorHAnsi" w:hAnsiTheme="minorHAnsi"/>
                <w:szCs w:val="22"/>
                <w:lang w:val="en-AU"/>
              </w:rPr>
            </w:pPr>
            <w:r w:rsidRPr="00EB2E55">
              <w:rPr>
                <w:rFonts w:asciiTheme="minorHAnsi" w:hAnsiTheme="minorHAnsi"/>
                <w:szCs w:val="22"/>
                <w:lang w:val="en-AU"/>
              </w:rPr>
              <w:t>Health promotion, prevention and early intervention</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Healthy lifestyle programs and targeted health promotion activities for high risk populations</w:t>
            </w:r>
          </w:p>
        </w:tc>
      </w:tr>
      <w:tr w:rsidR="009D3D45" w:rsidRPr="00DD4E6E" w:rsidTr="00EA30E7">
        <w:tc>
          <w:tcPr>
            <w:tcW w:w="5000" w:type="pct"/>
          </w:tcPr>
          <w:p w:rsidR="009D3D45" w:rsidRPr="00EB2E55" w:rsidRDefault="009D3D45" w:rsidP="006C5605">
            <w:pPr>
              <w:rPr>
                <w:rFonts w:asciiTheme="minorHAnsi" w:hAnsiTheme="minorHAnsi"/>
                <w:szCs w:val="22"/>
                <w:lang w:val="en-AU"/>
              </w:rPr>
            </w:pPr>
            <w:r w:rsidRPr="00EB2E55">
              <w:rPr>
                <w:rFonts w:asciiTheme="minorHAnsi" w:hAnsiTheme="minorHAnsi"/>
                <w:szCs w:val="22"/>
                <w:lang w:val="en-AU"/>
              </w:rPr>
              <w:t>Immunisation</w:t>
            </w:r>
          </w:p>
        </w:tc>
      </w:tr>
      <w:tr w:rsidR="009D3D45" w:rsidRPr="00DD4E6E" w:rsidTr="00EA30E7">
        <w:tc>
          <w:tcPr>
            <w:tcW w:w="5000" w:type="pct"/>
          </w:tcPr>
          <w:p w:rsidR="009D3D45" w:rsidRPr="00EB2E55" w:rsidRDefault="009D3D45" w:rsidP="00EA3018">
            <w:pPr>
              <w:rPr>
                <w:rFonts w:asciiTheme="minorHAnsi" w:hAnsiTheme="minorHAnsi"/>
                <w:szCs w:val="22"/>
                <w:lang w:val="en-AU"/>
              </w:rPr>
            </w:pPr>
            <w:r w:rsidRPr="00EB2E55">
              <w:rPr>
                <w:rFonts w:asciiTheme="minorHAnsi" w:hAnsiTheme="minorHAnsi"/>
                <w:szCs w:val="22"/>
                <w:lang w:val="en-AU"/>
              </w:rPr>
              <w:t>Improve access to health services in rural areas for young people</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Improve access to appropriate health services for people with a mental illness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Improve alcohol and prescription medication management</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Improve awareness of and capacity to address behavioural risk factors in community settings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 xml:space="preserve">Improve consumer and provider knowledge and awareness of available primary health care services </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Improve coordination of care through access to a range of specialist health services for rural patients</w:t>
            </w:r>
          </w:p>
        </w:tc>
      </w:tr>
      <w:tr w:rsidR="009D3D45" w:rsidRPr="00DD4E6E" w:rsidTr="00EA30E7">
        <w:tc>
          <w:tcPr>
            <w:tcW w:w="5000" w:type="pct"/>
          </w:tcPr>
          <w:p w:rsidR="009D3D45" w:rsidRPr="00EB2E55" w:rsidRDefault="009D3D45" w:rsidP="006C5605">
            <w:pPr>
              <w:rPr>
                <w:rFonts w:asciiTheme="minorHAnsi" w:hAnsiTheme="minorHAnsi"/>
                <w:szCs w:val="22"/>
                <w:lang w:val="en-AU"/>
              </w:rPr>
            </w:pPr>
            <w:r w:rsidRPr="00EB2E55">
              <w:rPr>
                <w:rFonts w:asciiTheme="minorHAnsi" w:hAnsiTheme="minorHAnsi"/>
                <w:szCs w:val="22"/>
                <w:lang w:val="en-AU"/>
              </w:rPr>
              <w:t>Improve health connections and performance</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 xml:space="preserve">Improve primary health clinicians response to low levels of health literacy </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Improve screening and management of behavioural risk factors in the primary care setting</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 xml:space="preserve">Improve the health status of older people </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Improve the management of chronic disease through the primary care setting</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Improved access for aged populations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Improved access for Culturally and Linguistically Diverse populations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Improving Aboriginal and Torres Strait Islander Health</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Increase access to Mental Health services</w:t>
            </w:r>
          </w:p>
        </w:tc>
      </w:tr>
      <w:tr w:rsidR="009D3D45" w:rsidRPr="00DD4E6E" w:rsidTr="00EA30E7">
        <w:tc>
          <w:tcPr>
            <w:tcW w:w="5000" w:type="pct"/>
          </w:tcPr>
          <w:p w:rsidR="009D3D45" w:rsidRPr="00EB2E55" w:rsidRDefault="009D3D45" w:rsidP="00EB2E55">
            <w:pPr>
              <w:keepNext/>
              <w:keepLines/>
              <w:rPr>
                <w:rFonts w:asciiTheme="minorHAnsi" w:hAnsiTheme="minorHAnsi"/>
                <w:szCs w:val="22"/>
                <w:lang w:val="en-AU"/>
              </w:rPr>
            </w:pPr>
            <w:r w:rsidRPr="00EB2E55">
              <w:rPr>
                <w:rFonts w:asciiTheme="minorHAnsi" w:hAnsiTheme="minorHAnsi"/>
                <w:szCs w:val="22"/>
                <w:lang w:val="en-AU"/>
              </w:rPr>
              <w:lastRenderedPageBreak/>
              <w:t>Increase access to primary health care services for Aboriginal and Torres Strait Islander</w:t>
            </w:r>
            <w:r w:rsidR="00EB2E55">
              <w:rPr>
                <w:rFonts w:asciiTheme="minorHAnsi" w:hAnsiTheme="minorHAnsi"/>
                <w:szCs w:val="22"/>
                <w:lang w:val="en-AU"/>
              </w:rPr>
              <w:t> </w:t>
            </w:r>
            <w:r w:rsidRPr="00EB2E55">
              <w:rPr>
                <w:rFonts w:asciiTheme="minorHAnsi" w:hAnsiTheme="minorHAnsi"/>
                <w:szCs w:val="22"/>
                <w:lang w:val="en-AU"/>
              </w:rPr>
              <w:t>People</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Increase accessibility and availability of primary health services in rural areas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 xml:space="preserve">Integrated care </w:t>
            </w:r>
            <w:r w:rsidR="005B0E9B" w:rsidRPr="00EB2E55">
              <w:rPr>
                <w:rFonts w:asciiTheme="minorHAnsi" w:hAnsiTheme="minorHAnsi"/>
                <w:szCs w:val="22"/>
                <w:lang w:val="en-AU"/>
              </w:rPr>
              <w:t>–</w:t>
            </w:r>
            <w:r w:rsidRPr="00EB2E55">
              <w:rPr>
                <w:rFonts w:asciiTheme="minorHAnsi" w:hAnsiTheme="minorHAnsi"/>
                <w:szCs w:val="22"/>
                <w:lang w:val="en-AU"/>
              </w:rPr>
              <w:t xml:space="preserve"> model of integrated care</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Integrated care – holistic care</w:t>
            </w:r>
          </w:p>
        </w:tc>
      </w:tr>
      <w:tr w:rsidR="009D3D45" w:rsidRPr="00DD4E6E" w:rsidTr="00EA30E7">
        <w:tc>
          <w:tcPr>
            <w:tcW w:w="5000" w:type="pct"/>
          </w:tcPr>
          <w:p w:rsidR="009D3D45" w:rsidRPr="00EB2E55" w:rsidRDefault="009D3D45" w:rsidP="00896845">
            <w:pPr>
              <w:rPr>
                <w:rFonts w:asciiTheme="minorHAnsi" w:hAnsiTheme="minorHAnsi"/>
                <w:szCs w:val="22"/>
                <w:lang w:val="en-AU"/>
              </w:rPr>
            </w:pPr>
            <w:r w:rsidRPr="00EB2E55">
              <w:rPr>
                <w:rFonts w:asciiTheme="minorHAnsi" w:hAnsiTheme="minorHAnsi"/>
                <w:szCs w:val="22"/>
                <w:lang w:val="en-AU"/>
              </w:rPr>
              <w:t>Integrated care – referral pathways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Integrated health care and shared governance arrangements</w:t>
            </w:r>
          </w:p>
        </w:tc>
      </w:tr>
      <w:tr w:rsidR="009D3D45" w:rsidRPr="00DD4E6E" w:rsidTr="00EA30E7">
        <w:tc>
          <w:tcPr>
            <w:tcW w:w="5000" w:type="pct"/>
          </w:tcPr>
          <w:p w:rsidR="009D3D45" w:rsidRPr="00EB2E55" w:rsidRDefault="009D3D45" w:rsidP="00896845">
            <w:pPr>
              <w:rPr>
                <w:rFonts w:asciiTheme="minorHAnsi" w:hAnsiTheme="minorHAnsi"/>
                <w:szCs w:val="22"/>
                <w:lang w:val="en-AU"/>
              </w:rPr>
            </w:pPr>
            <w:r w:rsidRPr="00EB2E55">
              <w:rPr>
                <w:rFonts w:asciiTheme="minorHAnsi" w:hAnsiTheme="minorHAnsi"/>
                <w:szCs w:val="22"/>
                <w:lang w:val="en-AU"/>
              </w:rPr>
              <w:t>Integrated planning and stakeholder engagement</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 xml:space="preserve">Integration – Aboriginal </w:t>
            </w:r>
            <w:r w:rsidR="0020642E" w:rsidRPr="00EB2E55">
              <w:rPr>
                <w:rFonts w:asciiTheme="minorHAnsi" w:hAnsiTheme="minorHAnsi"/>
                <w:szCs w:val="22"/>
                <w:lang w:val="en-AU"/>
              </w:rPr>
              <w:t xml:space="preserve">and Torres Strait Islander </w:t>
            </w:r>
            <w:r w:rsidRPr="00EB2E55">
              <w:rPr>
                <w:rFonts w:asciiTheme="minorHAnsi" w:hAnsiTheme="minorHAnsi"/>
                <w:szCs w:val="22"/>
                <w:lang w:val="en-AU"/>
              </w:rPr>
              <w:t>health</w:t>
            </w:r>
          </w:p>
        </w:tc>
      </w:tr>
      <w:tr w:rsidR="009D3D45" w:rsidRPr="00DD4E6E" w:rsidTr="00EA30E7">
        <w:tc>
          <w:tcPr>
            <w:tcW w:w="5000" w:type="pct"/>
          </w:tcPr>
          <w:p w:rsidR="009D3D45" w:rsidRPr="00EB2E55" w:rsidRDefault="009D3D45" w:rsidP="00EA3018">
            <w:pPr>
              <w:rPr>
                <w:rFonts w:asciiTheme="minorHAnsi" w:hAnsiTheme="minorHAnsi"/>
                <w:szCs w:val="22"/>
                <w:lang w:val="en-AU"/>
              </w:rPr>
            </w:pPr>
            <w:r w:rsidRPr="00EB2E55">
              <w:rPr>
                <w:rFonts w:asciiTheme="minorHAnsi" w:hAnsiTheme="minorHAnsi"/>
                <w:szCs w:val="22"/>
                <w:lang w:val="en-AU"/>
              </w:rPr>
              <w:t xml:space="preserve">Integration – </w:t>
            </w:r>
            <w:r w:rsidR="005B0E9B" w:rsidRPr="00EB2E55">
              <w:rPr>
                <w:rFonts w:asciiTheme="minorHAnsi" w:hAnsiTheme="minorHAnsi"/>
                <w:szCs w:val="22"/>
                <w:lang w:val="en-AU"/>
              </w:rPr>
              <w:t>c</w:t>
            </w:r>
            <w:r w:rsidR="008910D8" w:rsidRPr="00EB2E55">
              <w:rPr>
                <w:rFonts w:asciiTheme="minorHAnsi" w:hAnsiTheme="minorHAnsi"/>
                <w:szCs w:val="22"/>
                <w:lang w:val="en-AU"/>
              </w:rPr>
              <w:t>hro</w:t>
            </w:r>
            <w:r w:rsidR="00A7028E" w:rsidRPr="00EB2E55">
              <w:rPr>
                <w:rFonts w:asciiTheme="minorHAnsi" w:hAnsiTheme="minorHAnsi"/>
                <w:szCs w:val="22"/>
                <w:lang w:val="en-AU"/>
              </w:rPr>
              <w:t xml:space="preserve">nic disease </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Investigate and implement innovative models of care to improve the patient journey</w:t>
            </w:r>
          </w:p>
        </w:tc>
      </w:tr>
      <w:tr w:rsidR="009D3D45" w:rsidRPr="00DD4E6E" w:rsidTr="00EA30E7">
        <w:tc>
          <w:tcPr>
            <w:tcW w:w="5000" w:type="pct"/>
          </w:tcPr>
          <w:p w:rsidR="009D3D45" w:rsidRPr="00EB2E55" w:rsidRDefault="009D3D45" w:rsidP="00896845">
            <w:pPr>
              <w:rPr>
                <w:rFonts w:asciiTheme="minorHAnsi" w:hAnsiTheme="minorHAnsi"/>
                <w:szCs w:val="22"/>
                <w:lang w:val="en-AU"/>
              </w:rPr>
            </w:pPr>
            <w:r w:rsidRPr="00EB2E55">
              <w:rPr>
                <w:rFonts w:asciiTheme="minorHAnsi" w:hAnsiTheme="minorHAnsi"/>
                <w:szCs w:val="22"/>
                <w:lang w:val="en-AU"/>
              </w:rPr>
              <w:t>Lifestyle and risk factors programs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Maternal and Child Health</w:t>
            </w:r>
          </w:p>
        </w:tc>
      </w:tr>
      <w:tr w:rsidR="009D3D45" w:rsidRPr="00DD4E6E" w:rsidTr="00EA30E7">
        <w:tc>
          <w:tcPr>
            <w:tcW w:w="5000" w:type="pct"/>
          </w:tcPr>
          <w:p w:rsidR="009D3D45" w:rsidRPr="00EB2E55" w:rsidRDefault="009D3D45" w:rsidP="00EA3018">
            <w:pPr>
              <w:rPr>
                <w:rFonts w:asciiTheme="minorHAnsi" w:hAnsiTheme="minorHAnsi"/>
                <w:szCs w:val="22"/>
                <w:lang w:val="en-AU"/>
              </w:rPr>
            </w:pPr>
            <w:r w:rsidRPr="00EB2E55">
              <w:rPr>
                <w:rFonts w:asciiTheme="minorHAnsi" w:hAnsiTheme="minorHAnsi"/>
                <w:szCs w:val="22"/>
                <w:lang w:val="en-AU"/>
              </w:rPr>
              <w:t xml:space="preserve">Mental </w:t>
            </w:r>
            <w:r w:rsidR="005B0E9B" w:rsidRPr="00EB2E55">
              <w:rPr>
                <w:rFonts w:asciiTheme="minorHAnsi" w:hAnsiTheme="minorHAnsi"/>
                <w:szCs w:val="22"/>
                <w:lang w:val="en-AU"/>
              </w:rPr>
              <w:t>h</w:t>
            </w:r>
            <w:r w:rsidRPr="00EB2E55">
              <w:rPr>
                <w:rFonts w:asciiTheme="minorHAnsi" w:hAnsiTheme="minorHAnsi"/>
                <w:szCs w:val="22"/>
                <w:lang w:val="en-AU"/>
              </w:rPr>
              <w:t>ealth coordination</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 xml:space="preserve">Mental health support </w:t>
            </w:r>
            <w:r w:rsidR="001069CC" w:rsidRPr="00EB2E55">
              <w:rPr>
                <w:rFonts w:asciiTheme="minorHAnsi" w:hAnsiTheme="minorHAnsi"/>
                <w:szCs w:val="22"/>
                <w:lang w:val="en-AU"/>
              </w:rPr>
              <w:t>and</w:t>
            </w:r>
            <w:r w:rsidRPr="00EB2E55">
              <w:rPr>
                <w:rFonts w:asciiTheme="minorHAnsi" w:hAnsiTheme="minorHAnsi"/>
                <w:szCs w:val="22"/>
                <w:lang w:val="en-AU"/>
              </w:rPr>
              <w:t xml:space="preserve"> integration – capability, capacity and quality improvement</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Population health and prevention – child wellness</w:t>
            </w:r>
          </w:p>
        </w:tc>
      </w:tr>
      <w:tr w:rsidR="009D3D45" w:rsidRPr="00DD4E6E" w:rsidTr="00EA30E7">
        <w:tc>
          <w:tcPr>
            <w:tcW w:w="5000" w:type="pct"/>
          </w:tcPr>
          <w:p w:rsidR="009D3D45" w:rsidRPr="00EB2E55" w:rsidRDefault="009D3D45" w:rsidP="00896845">
            <w:pPr>
              <w:rPr>
                <w:rFonts w:asciiTheme="minorHAnsi" w:hAnsiTheme="minorHAnsi"/>
                <w:szCs w:val="22"/>
                <w:lang w:val="en-AU"/>
              </w:rPr>
            </w:pPr>
            <w:r w:rsidRPr="00EB2E55">
              <w:rPr>
                <w:rFonts w:asciiTheme="minorHAnsi" w:hAnsiTheme="minorHAnsi"/>
                <w:szCs w:val="22"/>
                <w:lang w:val="en-AU"/>
              </w:rPr>
              <w:t>Population health and prevention – diabetes prevention and screening</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Pregnancy and the early years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Residential Aged Care Facilities – capability, capacity and quality improvement</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Sexual health –</w:t>
            </w:r>
            <w:r w:rsidR="00A7028E" w:rsidRPr="00EB2E55">
              <w:rPr>
                <w:rFonts w:asciiTheme="minorHAnsi" w:hAnsiTheme="minorHAnsi"/>
                <w:szCs w:val="22"/>
                <w:lang w:val="en-AU"/>
              </w:rPr>
              <w:t xml:space="preserve"> </w:t>
            </w:r>
            <w:r w:rsidRPr="00EB2E55">
              <w:rPr>
                <w:rFonts w:asciiTheme="minorHAnsi" w:hAnsiTheme="minorHAnsi"/>
                <w:szCs w:val="22"/>
                <w:lang w:val="en-AU"/>
              </w:rPr>
              <w:t>coordinated approach to primary care, education and prevention for STIs and BBVs</w:t>
            </w:r>
          </w:p>
        </w:tc>
      </w:tr>
      <w:tr w:rsidR="009D3D45" w:rsidRPr="00DD4E6E" w:rsidTr="00EA30E7">
        <w:tc>
          <w:tcPr>
            <w:tcW w:w="5000" w:type="pct"/>
          </w:tcPr>
          <w:p w:rsidR="009D3D45" w:rsidRPr="00EB2E55" w:rsidRDefault="009D3D45" w:rsidP="00447C69">
            <w:pPr>
              <w:rPr>
                <w:rFonts w:asciiTheme="minorHAnsi" w:hAnsiTheme="minorHAnsi"/>
                <w:szCs w:val="22"/>
                <w:lang w:val="en-AU"/>
              </w:rPr>
            </w:pPr>
            <w:r w:rsidRPr="00EB2E55">
              <w:rPr>
                <w:rFonts w:asciiTheme="minorHAnsi" w:hAnsiTheme="minorHAnsi"/>
                <w:szCs w:val="22"/>
                <w:lang w:val="en-AU"/>
              </w:rPr>
              <w:t>Youth service support</w:t>
            </w:r>
          </w:p>
        </w:tc>
      </w:tr>
    </w:tbl>
    <w:p w:rsidR="00FF2FC5" w:rsidRDefault="00FF2FC5">
      <w:pPr>
        <w:spacing w:line="240" w:lineRule="auto"/>
        <w:jc w:val="left"/>
        <w:rPr>
          <w:rStyle w:val="IntenseReference"/>
          <w:rFonts w:cs="Arial"/>
          <w:b w:val="0"/>
          <w:i w:val="0"/>
          <w:caps/>
          <w:smallCaps w:val="0"/>
          <w:color w:val="003D69"/>
          <w:spacing w:val="0"/>
          <w:kern w:val="28"/>
          <w:sz w:val="36"/>
          <w:szCs w:val="32"/>
        </w:rPr>
      </w:pPr>
      <w:r w:rsidRPr="00DD4E6E">
        <w:rPr>
          <w:rStyle w:val="IntenseReference"/>
          <w:b w:val="0"/>
          <w:bCs w:val="0"/>
          <w:i w:val="0"/>
          <w:smallCaps w:val="0"/>
          <w:color w:val="003D69"/>
          <w:spacing w:val="0"/>
        </w:rPr>
        <w:br w:type="page"/>
      </w:r>
    </w:p>
    <w:p w:rsidR="00003743" w:rsidRPr="008C3C0C" w:rsidRDefault="00893721" w:rsidP="008C3C0C">
      <w:pPr>
        <w:pStyle w:val="Heading1"/>
        <w:rPr>
          <w:rStyle w:val="IntenseReference"/>
          <w:b w:val="0"/>
          <w:bCs/>
          <w:i w:val="0"/>
          <w:smallCaps w:val="0"/>
          <w:color w:val="003D69"/>
          <w:spacing w:val="0"/>
        </w:rPr>
      </w:pPr>
      <w:bookmarkStart w:id="36" w:name="_Toc445194113"/>
      <w:bookmarkStart w:id="37" w:name="_Toc458775180"/>
      <w:r w:rsidRPr="008C3C0C">
        <w:rPr>
          <w:rStyle w:val="IntenseReference"/>
          <w:b w:val="0"/>
          <w:bCs/>
          <w:i w:val="0"/>
          <w:smallCaps w:val="0"/>
          <w:color w:val="003D69"/>
          <w:spacing w:val="0"/>
        </w:rPr>
        <w:lastRenderedPageBreak/>
        <w:t>Endn</w:t>
      </w:r>
      <w:r w:rsidRPr="008C3C0C">
        <w:t>o</w:t>
      </w:r>
      <w:r w:rsidRPr="008C3C0C">
        <w:rPr>
          <w:rStyle w:val="IntenseReference"/>
          <w:b w:val="0"/>
          <w:bCs/>
          <w:i w:val="0"/>
          <w:smallCaps w:val="0"/>
          <w:color w:val="003D69"/>
          <w:spacing w:val="0"/>
        </w:rPr>
        <w:t>tes</w:t>
      </w:r>
      <w:bookmarkEnd w:id="36"/>
      <w:bookmarkEnd w:id="37"/>
    </w:p>
    <w:sectPr w:rsidR="00003743" w:rsidRPr="008C3C0C" w:rsidSect="005965EF">
      <w:headerReference w:type="even" r:id="rId26"/>
      <w:headerReference w:type="default" r:id="rId27"/>
      <w:footerReference w:type="default" r:id="rId28"/>
      <w:headerReference w:type="first" r:id="rId29"/>
      <w:endnotePr>
        <w:numFmt w:val="decimal"/>
      </w:endnotePr>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CE9" w:rsidRDefault="00031CE9" w:rsidP="00893721">
      <w:pPr>
        <w:spacing w:line="240" w:lineRule="auto"/>
      </w:pPr>
      <w:r>
        <w:separator/>
      </w:r>
    </w:p>
  </w:endnote>
  <w:endnote w:type="continuationSeparator" w:id="0">
    <w:p w:rsidR="00031CE9" w:rsidRDefault="00031CE9" w:rsidP="00893721">
      <w:pPr>
        <w:spacing w:line="240" w:lineRule="auto"/>
      </w:pPr>
      <w:r>
        <w:continuationSeparator/>
      </w:r>
    </w:p>
  </w:endnote>
  <w:endnote w:id="1">
    <w:p w:rsidR="004A170A" w:rsidRPr="00EB2E55" w:rsidRDefault="004A170A">
      <w:pPr>
        <w:pStyle w:val="EndnoteText"/>
        <w:rPr>
          <w:sz w:val="22"/>
          <w:szCs w:val="22"/>
          <w:lang w:val="en-AU"/>
        </w:rPr>
      </w:pPr>
      <w:r w:rsidRPr="00EB2E55">
        <w:rPr>
          <w:rStyle w:val="EndnoteReference"/>
          <w:sz w:val="22"/>
          <w:szCs w:val="22"/>
        </w:rPr>
        <w:endnoteRef/>
      </w:r>
      <w:r w:rsidRPr="00EB2E55">
        <w:rPr>
          <w:sz w:val="22"/>
          <w:szCs w:val="22"/>
        </w:rPr>
        <w:t xml:space="preserve"> </w:t>
      </w:r>
      <w:r w:rsidRPr="00EB2E55">
        <w:rPr>
          <w:rFonts w:asciiTheme="minorHAnsi" w:hAnsiTheme="minorHAnsi"/>
          <w:sz w:val="22"/>
          <w:szCs w:val="22"/>
        </w:rPr>
        <w:t xml:space="preserve">The </w:t>
      </w:r>
      <w:hyperlink r:id="rId1" w:history="1">
        <w:r w:rsidRPr="00C57742">
          <w:rPr>
            <w:rStyle w:val="Hyperlink"/>
            <w:rFonts w:asciiTheme="minorHAnsi" w:hAnsiTheme="minorHAnsi"/>
            <w:sz w:val="22"/>
            <w:szCs w:val="22"/>
          </w:rPr>
          <w:t>PHN Needs Assessment Guide</w:t>
        </w:r>
      </w:hyperlink>
      <w:r w:rsidRPr="00EB2E55">
        <w:rPr>
          <w:rFonts w:asciiTheme="minorHAnsi" w:hAnsiTheme="minorHAnsi"/>
          <w:sz w:val="22"/>
          <w:szCs w:val="22"/>
        </w:rPr>
        <w:t xml:space="preserve"> is available on the Department’s </w:t>
      </w:r>
      <w:r w:rsidRPr="00C57742">
        <w:rPr>
          <w:rFonts w:asciiTheme="minorHAnsi" w:hAnsiTheme="minorHAnsi"/>
          <w:sz w:val="22"/>
          <w:szCs w:val="22"/>
        </w:rPr>
        <w:t>PHN website</w:t>
      </w:r>
      <w:r w:rsidRPr="00EB2E55">
        <w:rPr>
          <w:rFonts w:asciiTheme="minorHAnsi" w:hAnsiTheme="minorHAnsi"/>
          <w:sz w:val="22"/>
          <w:szCs w:val="22"/>
        </w:rPr>
        <w:t xml:space="preserve">, under the Tools and Resources tab. </w:t>
      </w:r>
    </w:p>
    <w:p w:rsidR="004A170A" w:rsidRPr="00EB2E55" w:rsidRDefault="004A170A">
      <w:pPr>
        <w:pStyle w:val="EndnoteText"/>
        <w:rPr>
          <w:sz w:val="22"/>
          <w:szCs w:val="22"/>
          <w:lang w:val="en-AU"/>
        </w:rPr>
      </w:pPr>
    </w:p>
  </w:endnote>
  <w:endnote w:id="2">
    <w:p w:rsidR="00AC1BCA" w:rsidRDefault="004A170A" w:rsidP="00D820CD">
      <w:pPr>
        <w:pStyle w:val="EndnoteText"/>
        <w:jc w:val="left"/>
        <w:rPr>
          <w:rFonts w:asciiTheme="minorHAnsi" w:hAnsiTheme="minorHAnsi"/>
          <w:sz w:val="22"/>
          <w:szCs w:val="22"/>
          <w:lang w:val="en-AU"/>
        </w:rPr>
      </w:pPr>
      <w:r w:rsidRPr="00EB2E55">
        <w:rPr>
          <w:rStyle w:val="EndnoteReference"/>
          <w:rFonts w:asciiTheme="minorHAnsi" w:hAnsiTheme="minorHAnsi"/>
          <w:sz w:val="22"/>
          <w:szCs w:val="22"/>
        </w:rPr>
        <w:endnoteRef/>
      </w:r>
      <w:r w:rsidRPr="00EB2E55">
        <w:rPr>
          <w:rFonts w:asciiTheme="minorHAnsi" w:hAnsiTheme="minorHAnsi"/>
          <w:sz w:val="22"/>
          <w:szCs w:val="22"/>
        </w:rPr>
        <w:t xml:space="preserve"> </w:t>
      </w:r>
      <w:proofErr w:type="gramStart"/>
      <w:r w:rsidRPr="00EB2E55">
        <w:rPr>
          <w:rFonts w:asciiTheme="minorHAnsi" w:hAnsiTheme="minorHAnsi"/>
          <w:sz w:val="22"/>
          <w:szCs w:val="22"/>
        </w:rPr>
        <w:t>Australian Government Department of Health.</w:t>
      </w:r>
      <w:proofErr w:type="gramEnd"/>
      <w:r w:rsidRPr="00EB2E55">
        <w:rPr>
          <w:rFonts w:asciiTheme="minorHAnsi" w:hAnsiTheme="minorHAnsi"/>
          <w:sz w:val="22"/>
          <w:szCs w:val="22"/>
        </w:rPr>
        <w:t xml:space="preserve"> </w:t>
      </w:r>
      <w:hyperlink r:id="rId2" w:history="1">
        <w:r w:rsidRPr="00C57742">
          <w:rPr>
            <w:rStyle w:val="Hyperlink"/>
            <w:rFonts w:asciiTheme="minorHAnsi" w:hAnsiTheme="minorHAnsi"/>
            <w:i/>
            <w:sz w:val="22"/>
            <w:szCs w:val="22"/>
            <w:lang w:val="en-AU"/>
          </w:rPr>
          <w:t xml:space="preserve">Primary Health Networks Grant Programme Guidelines </w:t>
        </w:r>
        <w:r w:rsidRPr="00C57742">
          <w:rPr>
            <w:rStyle w:val="Hyperlink"/>
            <w:i/>
            <w:sz w:val="22"/>
            <w:szCs w:val="22"/>
            <w:lang w:val="en-AU"/>
          </w:rPr>
          <w:t>February 2016 – Version 1.2</w:t>
        </w:r>
      </w:hyperlink>
      <w:r w:rsidRPr="00EB2E55">
        <w:rPr>
          <w:rFonts w:asciiTheme="minorHAnsi" w:hAnsiTheme="minorHAnsi"/>
          <w:sz w:val="22"/>
          <w:szCs w:val="22"/>
          <w:lang w:val="en-AU"/>
        </w:rPr>
        <w:t xml:space="preserve">. </w:t>
      </w:r>
      <w:proofErr w:type="gramStart"/>
      <w:r w:rsidRPr="00EB2E55">
        <w:rPr>
          <w:rFonts w:asciiTheme="minorHAnsi" w:hAnsiTheme="minorHAnsi"/>
          <w:sz w:val="22"/>
          <w:szCs w:val="22"/>
          <w:lang w:val="en-AU"/>
        </w:rPr>
        <w:t>Section 1.7.</w:t>
      </w:r>
      <w:proofErr w:type="gramEnd"/>
      <w:r w:rsidR="00AC1BCA">
        <w:rPr>
          <w:rFonts w:asciiTheme="minorHAnsi" w:hAnsiTheme="minorHAnsi"/>
          <w:sz w:val="22"/>
          <w:szCs w:val="22"/>
          <w:lang w:val="en-AU"/>
        </w:rPr>
        <w:t xml:space="preserve"> </w:t>
      </w:r>
      <w:proofErr w:type="gramStart"/>
      <w:r w:rsidR="00AC1BCA">
        <w:rPr>
          <w:rFonts w:asciiTheme="minorHAnsi" w:hAnsiTheme="minorHAnsi"/>
          <w:sz w:val="22"/>
          <w:szCs w:val="22"/>
          <w:lang w:val="en-AU"/>
        </w:rPr>
        <w:t xml:space="preserve">Available on the </w:t>
      </w:r>
      <w:r w:rsidR="00AC1BCA" w:rsidRPr="00C57742">
        <w:rPr>
          <w:rFonts w:asciiTheme="minorHAnsi" w:hAnsiTheme="minorHAnsi"/>
          <w:sz w:val="22"/>
          <w:szCs w:val="22"/>
          <w:lang w:val="en-AU"/>
        </w:rPr>
        <w:t>PHN website</w:t>
      </w:r>
      <w:r w:rsidR="00AC1BCA">
        <w:rPr>
          <w:rFonts w:asciiTheme="minorHAnsi" w:hAnsiTheme="minorHAnsi"/>
          <w:sz w:val="22"/>
          <w:szCs w:val="22"/>
          <w:lang w:val="en-AU"/>
        </w:rPr>
        <w:t>.</w:t>
      </w:r>
      <w:proofErr w:type="gramEnd"/>
    </w:p>
    <w:p w:rsidR="00AC1BCA" w:rsidRPr="00EB2E55" w:rsidRDefault="00AC1BCA" w:rsidP="00D820CD">
      <w:pPr>
        <w:pStyle w:val="EndnoteText"/>
        <w:jc w:val="left"/>
        <w:rPr>
          <w:rFonts w:asciiTheme="minorHAnsi" w:hAnsiTheme="minorHAnsi"/>
          <w:sz w:val="22"/>
          <w:szCs w:val="22"/>
        </w:rPr>
      </w:pPr>
    </w:p>
  </w:endnote>
  <w:endnote w:id="3">
    <w:p w:rsidR="004A170A" w:rsidRPr="00EB2E55" w:rsidRDefault="004A170A" w:rsidP="00693255">
      <w:pPr>
        <w:pStyle w:val="EndnoteText"/>
        <w:jc w:val="left"/>
        <w:rPr>
          <w:rFonts w:asciiTheme="minorHAnsi" w:hAnsiTheme="minorHAnsi"/>
          <w:sz w:val="22"/>
          <w:szCs w:val="22"/>
          <w:lang w:val="en-AU"/>
        </w:rPr>
      </w:pPr>
      <w:r w:rsidRPr="00EB2E55">
        <w:rPr>
          <w:rStyle w:val="EndnoteReference"/>
          <w:rFonts w:asciiTheme="minorHAnsi" w:hAnsiTheme="minorHAnsi"/>
          <w:sz w:val="22"/>
          <w:szCs w:val="22"/>
        </w:rPr>
        <w:endnoteRef/>
      </w:r>
      <w:r w:rsidRPr="00EB2E55">
        <w:rPr>
          <w:rFonts w:asciiTheme="minorHAnsi" w:hAnsiTheme="minorHAnsi"/>
          <w:sz w:val="22"/>
          <w:szCs w:val="22"/>
        </w:rPr>
        <w:t xml:space="preserve"> </w:t>
      </w:r>
      <w:r w:rsidRPr="00EB2E55">
        <w:rPr>
          <w:rFonts w:asciiTheme="minorHAnsi" w:hAnsiTheme="minorHAnsi"/>
          <w:sz w:val="22"/>
          <w:szCs w:val="22"/>
          <w:lang w:val="en-AU"/>
        </w:rPr>
        <w:t xml:space="preserve">The commissioning cycle is most commonly presented in a diagram. This diagram is based largely on that </w:t>
      </w:r>
      <w:r w:rsidRPr="00EB2E55">
        <w:rPr>
          <w:rFonts w:asciiTheme="minorHAnsi" w:hAnsiTheme="minorHAnsi"/>
          <w:sz w:val="22"/>
          <w:szCs w:val="22"/>
        </w:rPr>
        <w:t>developed by the NHS Information Centre</w:t>
      </w:r>
      <w:r w:rsidRPr="00EB2E55">
        <w:rPr>
          <w:rFonts w:asciiTheme="minorHAnsi" w:hAnsiTheme="minorHAnsi"/>
          <w:sz w:val="22"/>
          <w:szCs w:val="22"/>
          <w:lang w:val="en-AU"/>
        </w:rPr>
        <w:t xml:space="preserve"> and used </w:t>
      </w:r>
      <w:r w:rsidRPr="00EB2E55">
        <w:rPr>
          <w:rFonts w:asciiTheme="minorHAnsi" w:hAnsiTheme="minorHAnsi"/>
          <w:sz w:val="22"/>
          <w:szCs w:val="22"/>
        </w:rPr>
        <w:t>to support World Class Commissioning between 2000 and 2010.</w:t>
      </w:r>
      <w:r w:rsidR="00651D71">
        <w:rPr>
          <w:rFonts w:asciiTheme="minorHAnsi" w:hAnsiTheme="minorHAnsi"/>
          <w:sz w:val="22"/>
          <w:szCs w:val="22"/>
        </w:rPr>
        <w:t xml:space="preserve"> See </w:t>
      </w:r>
      <w:proofErr w:type="gramStart"/>
      <w:r w:rsidR="00651D71">
        <w:rPr>
          <w:rFonts w:asciiTheme="minorHAnsi" w:hAnsiTheme="minorHAnsi"/>
          <w:sz w:val="22"/>
          <w:szCs w:val="22"/>
        </w:rPr>
        <w:t xml:space="preserve">the </w:t>
      </w:r>
      <w:r>
        <w:rPr>
          <w:rFonts w:asciiTheme="minorHAnsi" w:hAnsiTheme="minorHAnsi"/>
          <w:sz w:val="22"/>
          <w:szCs w:val="22"/>
        </w:rPr>
        <w:t xml:space="preserve"> </w:t>
      </w:r>
      <w:proofErr w:type="gramEnd"/>
      <w:r>
        <w:fldChar w:fldCharType="begin"/>
      </w:r>
      <w:r w:rsidR="00651D71">
        <w:instrText>HYPERLINK "http://webarchive.nationalarchives.gov.uk/20090122034729/ic.nhs.uk/commissioning"</w:instrText>
      </w:r>
      <w:r>
        <w:fldChar w:fldCharType="separate"/>
      </w:r>
      <w:r w:rsidR="00651D71">
        <w:rPr>
          <w:rStyle w:val="Hyperlink"/>
          <w:rFonts w:asciiTheme="minorHAnsi" w:hAnsiTheme="minorHAnsi"/>
          <w:sz w:val="22"/>
          <w:szCs w:val="22"/>
          <w:lang w:val="en-AU"/>
        </w:rPr>
        <w:t>NHS Information Centre archive</w:t>
      </w:r>
      <w:r>
        <w:rPr>
          <w:rStyle w:val="Hyperlink"/>
          <w:rFonts w:asciiTheme="minorHAnsi" w:hAnsiTheme="minorHAnsi"/>
          <w:sz w:val="22"/>
          <w:szCs w:val="22"/>
          <w:lang w:val="en-AU"/>
        </w:rPr>
        <w:fldChar w:fldCharType="end"/>
      </w:r>
      <w:r w:rsidR="00651D71">
        <w:rPr>
          <w:rFonts w:asciiTheme="minorHAnsi" w:hAnsiTheme="minorHAnsi"/>
          <w:sz w:val="22"/>
          <w:szCs w:val="22"/>
          <w:lang w:val="en-AU"/>
        </w:rPr>
        <w:t xml:space="preserve"> a</w:t>
      </w:r>
      <w:r w:rsidRPr="00EB2E55">
        <w:rPr>
          <w:rFonts w:asciiTheme="minorHAnsi" w:hAnsiTheme="minorHAnsi"/>
          <w:sz w:val="22"/>
          <w:szCs w:val="22"/>
          <w:lang w:val="en-AU"/>
        </w:rPr>
        <w:t xml:space="preserve">nd </w:t>
      </w:r>
      <w:hyperlink r:id="rId3" w:history="1">
        <w:r w:rsidR="00651D71">
          <w:rPr>
            <w:rStyle w:val="Hyperlink"/>
            <w:rFonts w:asciiTheme="minorHAnsi" w:hAnsiTheme="minorHAnsi"/>
            <w:sz w:val="22"/>
            <w:szCs w:val="22"/>
            <w:lang w:val="en-AU"/>
          </w:rPr>
          <w:t>Commissioning Handbook for Librarians</w:t>
        </w:r>
      </w:hyperlink>
      <w:r w:rsidR="00651D71">
        <w:rPr>
          <w:rFonts w:asciiTheme="minorHAnsi" w:hAnsiTheme="minorHAnsi"/>
          <w:sz w:val="22"/>
          <w:szCs w:val="22"/>
          <w:lang w:val="en-AU"/>
        </w:rPr>
        <w:t xml:space="preserve">. </w:t>
      </w:r>
      <w:r w:rsidRPr="00EB2E55">
        <w:rPr>
          <w:rFonts w:asciiTheme="minorHAnsi" w:hAnsiTheme="minorHAnsi"/>
          <w:sz w:val="22"/>
          <w:szCs w:val="22"/>
          <w:lang w:val="en-AU"/>
        </w:rPr>
        <w:t>Another model that is used extensively, with variations, was developed by the Institute for Public Care (IPC).</w:t>
      </w:r>
      <w:r>
        <w:rPr>
          <w:rFonts w:asciiTheme="minorHAnsi" w:hAnsiTheme="minorHAnsi"/>
          <w:sz w:val="22"/>
          <w:szCs w:val="22"/>
          <w:lang w:val="en-AU"/>
        </w:rPr>
        <w:t xml:space="preserve"> </w:t>
      </w:r>
      <w:r w:rsidRPr="00EB2E55">
        <w:rPr>
          <w:rFonts w:asciiTheme="minorHAnsi" w:hAnsiTheme="minorHAnsi"/>
          <w:sz w:val="22"/>
          <w:szCs w:val="22"/>
          <w:lang w:val="en-AU"/>
        </w:rPr>
        <w:t xml:space="preserve">First developed in 2003 and since adapted by a number of different agencies, the IPC cycle shows the relationship between strategic commissioning (the outer circle) and procurement, contracting and purchasing (the inner circle). </w:t>
      </w:r>
      <w:r w:rsidRPr="00EB2E55">
        <w:rPr>
          <w:rFonts w:asciiTheme="minorHAnsi" w:hAnsiTheme="minorHAnsi" w:cs="Arial"/>
          <w:bCs/>
          <w:sz w:val="22"/>
          <w:szCs w:val="22"/>
          <w:lang w:val="en-AU"/>
        </w:rPr>
        <w:t>This model follows the 4 step Plan-Do-Study-Act cycle first developed by Deming and used as the basis for many quality control and continuous improvement programs.</w:t>
      </w:r>
      <w:r>
        <w:rPr>
          <w:rFonts w:asciiTheme="minorHAnsi" w:hAnsiTheme="minorHAnsi" w:cs="Arial"/>
          <w:bCs/>
          <w:sz w:val="22"/>
          <w:szCs w:val="22"/>
          <w:lang w:val="en-AU"/>
        </w:rPr>
        <w:t xml:space="preserve"> </w:t>
      </w:r>
      <w:r w:rsidRPr="00EB2E55">
        <w:rPr>
          <w:rFonts w:asciiTheme="minorHAnsi" w:hAnsiTheme="minorHAnsi" w:cs="Arial"/>
          <w:bCs/>
          <w:sz w:val="22"/>
          <w:szCs w:val="22"/>
          <w:lang w:val="en-AU"/>
        </w:rPr>
        <w:t xml:space="preserve">See: </w:t>
      </w:r>
      <w:r w:rsidRPr="00EB2E55">
        <w:rPr>
          <w:rFonts w:asciiTheme="minorHAnsi" w:hAnsiTheme="minorHAnsi"/>
          <w:bCs/>
          <w:sz w:val="22"/>
          <w:szCs w:val="22"/>
        </w:rPr>
        <w:t xml:space="preserve">Institute of Public Care. </w:t>
      </w:r>
      <w:proofErr w:type="gramStart"/>
      <w:r w:rsidRPr="00EB2E55">
        <w:rPr>
          <w:rFonts w:asciiTheme="minorHAnsi" w:hAnsiTheme="minorHAnsi"/>
          <w:bCs/>
          <w:i/>
          <w:sz w:val="22"/>
          <w:szCs w:val="22"/>
        </w:rPr>
        <w:t>Commissioning for Health and Social Care</w:t>
      </w:r>
      <w:r w:rsidRPr="00EB2E55">
        <w:rPr>
          <w:rFonts w:asciiTheme="minorHAnsi" w:hAnsiTheme="minorHAnsi"/>
          <w:bCs/>
          <w:sz w:val="22"/>
          <w:szCs w:val="22"/>
        </w:rPr>
        <w:t>.</w:t>
      </w:r>
      <w:proofErr w:type="gramEnd"/>
      <w:r w:rsidRPr="00EB2E55">
        <w:rPr>
          <w:rFonts w:asciiTheme="minorHAnsi" w:hAnsiTheme="minorHAnsi"/>
          <w:bCs/>
          <w:sz w:val="22"/>
          <w:szCs w:val="22"/>
        </w:rPr>
        <w:t xml:space="preserve"> </w:t>
      </w:r>
      <w:proofErr w:type="gramStart"/>
      <w:r w:rsidRPr="00EB2E55">
        <w:rPr>
          <w:rFonts w:asciiTheme="minorHAnsi" w:hAnsiTheme="minorHAnsi"/>
          <w:bCs/>
          <w:sz w:val="22"/>
          <w:szCs w:val="22"/>
        </w:rPr>
        <w:t>Oxford Brookes University 2014, pp.11-13.</w:t>
      </w:r>
      <w:proofErr w:type="gramEnd"/>
      <w:r w:rsidRPr="00EB2E55">
        <w:rPr>
          <w:rFonts w:asciiTheme="minorHAnsi" w:hAnsiTheme="minorHAnsi"/>
          <w:sz w:val="22"/>
          <w:szCs w:val="22"/>
        </w:rPr>
        <w:t xml:space="preserve"> </w:t>
      </w:r>
      <w:proofErr w:type="spellStart"/>
      <w:r w:rsidRPr="00EB2E55">
        <w:rPr>
          <w:rFonts w:asciiTheme="minorHAnsi" w:hAnsiTheme="minorHAnsi"/>
          <w:sz w:val="22"/>
          <w:szCs w:val="22"/>
        </w:rPr>
        <w:t>Bovaird</w:t>
      </w:r>
      <w:proofErr w:type="spellEnd"/>
      <w:r w:rsidRPr="00EB2E55">
        <w:rPr>
          <w:rFonts w:asciiTheme="minorHAnsi" w:hAnsiTheme="minorHAnsi"/>
          <w:sz w:val="22"/>
          <w:szCs w:val="22"/>
        </w:rPr>
        <w:t xml:space="preserve"> T et al. </w:t>
      </w:r>
      <w:r w:rsidRPr="00EB2E55">
        <w:rPr>
          <w:rFonts w:asciiTheme="minorHAnsi" w:hAnsiTheme="minorHAnsi"/>
          <w:bCs/>
          <w:i/>
          <w:sz w:val="22"/>
          <w:szCs w:val="22"/>
        </w:rPr>
        <w:t>Commissioning across government: review of evidence</w:t>
      </w:r>
      <w:r w:rsidRPr="00EB2E55">
        <w:rPr>
          <w:rFonts w:asciiTheme="minorHAnsi" w:hAnsiTheme="minorHAnsi"/>
          <w:bCs/>
          <w:sz w:val="22"/>
          <w:szCs w:val="22"/>
        </w:rPr>
        <w:t xml:space="preserve">. Third Sector Research Centre Research Report 86: for the UK National Audit Office. </w:t>
      </w:r>
      <w:proofErr w:type="gramStart"/>
      <w:r w:rsidRPr="00EB2E55">
        <w:rPr>
          <w:rFonts w:asciiTheme="minorHAnsi" w:hAnsiTheme="minorHAnsi"/>
          <w:bCs/>
          <w:sz w:val="22"/>
          <w:szCs w:val="22"/>
        </w:rPr>
        <w:t>August 2012, pp.48-49.</w:t>
      </w:r>
      <w:proofErr w:type="gramEnd"/>
    </w:p>
    <w:p w:rsidR="004A170A" w:rsidRPr="00EB2E55" w:rsidRDefault="004A170A" w:rsidP="00693255">
      <w:pPr>
        <w:pStyle w:val="EndnoteText"/>
        <w:jc w:val="left"/>
        <w:rPr>
          <w:rFonts w:asciiTheme="minorHAnsi" w:hAnsiTheme="minorHAnsi"/>
          <w:sz w:val="22"/>
          <w:szCs w:val="22"/>
        </w:rPr>
      </w:pPr>
    </w:p>
  </w:endnote>
  <w:endnote w:id="4">
    <w:p w:rsidR="004A170A" w:rsidRPr="00EB2E55" w:rsidRDefault="004A170A" w:rsidP="00693255">
      <w:pPr>
        <w:autoSpaceDE w:val="0"/>
        <w:autoSpaceDN w:val="0"/>
        <w:adjustRightInd w:val="0"/>
        <w:jc w:val="left"/>
        <w:rPr>
          <w:rFonts w:asciiTheme="minorHAnsi" w:hAnsiTheme="minorHAnsi"/>
          <w:szCs w:val="22"/>
          <w:lang w:val="en-AU"/>
        </w:rPr>
      </w:pPr>
      <w:r w:rsidRPr="00EB2E55">
        <w:rPr>
          <w:rStyle w:val="EndnoteReference"/>
          <w:rFonts w:asciiTheme="minorHAnsi" w:hAnsiTheme="minorHAnsi"/>
          <w:szCs w:val="22"/>
        </w:rPr>
        <w:endnoteRef/>
      </w:r>
      <w:r w:rsidRPr="00EB2E55">
        <w:rPr>
          <w:rFonts w:asciiTheme="minorHAnsi" w:hAnsiTheme="minorHAnsi"/>
          <w:szCs w:val="22"/>
        </w:rPr>
        <w:t xml:space="preserve"> </w:t>
      </w:r>
      <w:r w:rsidRPr="00EB2E55">
        <w:rPr>
          <w:rFonts w:asciiTheme="minorHAnsi" w:hAnsiTheme="minorHAnsi"/>
          <w:szCs w:val="22"/>
          <w:lang w:val="en-AU"/>
        </w:rPr>
        <w:t xml:space="preserve">Smith J, Curry N, Mays N, Dixon J. </w:t>
      </w:r>
      <w:r w:rsidRPr="00EB2E55">
        <w:rPr>
          <w:rFonts w:asciiTheme="minorHAnsi" w:hAnsiTheme="minorHAnsi"/>
          <w:i/>
          <w:szCs w:val="22"/>
          <w:lang w:val="en-AU"/>
        </w:rPr>
        <w:t>Where next for commissioning in the England NHS?</w:t>
      </w:r>
      <w:r w:rsidRPr="00EB2E55">
        <w:rPr>
          <w:rFonts w:asciiTheme="minorHAnsi" w:hAnsiTheme="minorHAnsi"/>
          <w:szCs w:val="22"/>
          <w:lang w:val="en-AU"/>
        </w:rPr>
        <w:t xml:space="preserve"> </w:t>
      </w:r>
      <w:proofErr w:type="gramStart"/>
      <w:r w:rsidRPr="00EB2E55">
        <w:rPr>
          <w:rFonts w:asciiTheme="minorHAnsi" w:hAnsiTheme="minorHAnsi"/>
          <w:szCs w:val="22"/>
          <w:lang w:val="en-AU"/>
        </w:rPr>
        <w:t>The Nuffield Trust and the King’s Fund 2010, p.12.</w:t>
      </w:r>
      <w:proofErr w:type="gramEnd"/>
      <w:r>
        <w:rPr>
          <w:rFonts w:asciiTheme="minorHAnsi" w:hAnsiTheme="minorHAnsi"/>
          <w:szCs w:val="22"/>
          <w:lang w:val="en-AU"/>
        </w:rPr>
        <w:t xml:space="preserve"> </w:t>
      </w:r>
      <w:r w:rsidRPr="00EB2E55">
        <w:rPr>
          <w:rFonts w:asciiTheme="minorHAnsi" w:hAnsiTheme="minorHAnsi"/>
          <w:szCs w:val="22"/>
          <w:lang w:val="en-AU"/>
        </w:rPr>
        <w:t xml:space="preserve">Also see </w:t>
      </w:r>
      <w:proofErr w:type="spellStart"/>
      <w:r w:rsidRPr="00EB2E55">
        <w:rPr>
          <w:rFonts w:asciiTheme="minorHAnsi" w:hAnsiTheme="minorHAnsi"/>
          <w:bCs/>
          <w:szCs w:val="22"/>
          <w:lang w:val="en-AU"/>
        </w:rPr>
        <w:t>Øvretveit</w:t>
      </w:r>
      <w:proofErr w:type="spellEnd"/>
      <w:r w:rsidRPr="00EB2E55">
        <w:rPr>
          <w:rFonts w:asciiTheme="minorHAnsi" w:hAnsiTheme="minorHAnsi"/>
          <w:szCs w:val="22"/>
          <w:lang w:val="en-AU"/>
        </w:rPr>
        <w:t xml:space="preserve"> J. </w:t>
      </w:r>
      <w:r w:rsidRPr="00EB2E55">
        <w:rPr>
          <w:rFonts w:asciiTheme="minorHAnsi" w:hAnsiTheme="minorHAnsi"/>
          <w:i/>
          <w:szCs w:val="22"/>
          <w:lang w:val="en-AU"/>
        </w:rPr>
        <w:t>Purchasing for health: a multidisciplinary introduction to the theory and practice of health purchasing</w:t>
      </w:r>
      <w:r w:rsidRPr="00EB2E55">
        <w:rPr>
          <w:rFonts w:asciiTheme="minorHAnsi" w:hAnsiTheme="minorHAnsi"/>
          <w:szCs w:val="22"/>
          <w:lang w:val="en-AU"/>
        </w:rPr>
        <w:t xml:space="preserve">. </w:t>
      </w:r>
      <w:proofErr w:type="gramStart"/>
      <w:r w:rsidRPr="00EB2E55">
        <w:rPr>
          <w:rFonts w:asciiTheme="minorHAnsi" w:hAnsiTheme="minorHAnsi"/>
          <w:szCs w:val="22"/>
          <w:lang w:val="en-AU"/>
        </w:rPr>
        <w:t>Open University Press 1995.</w:t>
      </w:r>
      <w:proofErr w:type="gramEnd"/>
    </w:p>
    <w:p w:rsidR="004A170A" w:rsidRPr="00EB2E55" w:rsidRDefault="004A170A" w:rsidP="00693255">
      <w:pPr>
        <w:autoSpaceDE w:val="0"/>
        <w:autoSpaceDN w:val="0"/>
        <w:adjustRightInd w:val="0"/>
        <w:jc w:val="left"/>
        <w:rPr>
          <w:rFonts w:asciiTheme="minorHAnsi" w:hAnsiTheme="minorHAnsi" w:cs="BerkeleyStd-Book"/>
          <w:color w:val="231F20"/>
          <w:szCs w:val="22"/>
          <w:lang w:val="en-AU" w:eastAsia="en-AU"/>
        </w:rPr>
      </w:pPr>
    </w:p>
  </w:endnote>
  <w:endnote w:id="5">
    <w:p w:rsidR="004A170A" w:rsidRPr="00EB2E55" w:rsidRDefault="004A170A" w:rsidP="002D7D68">
      <w:pPr>
        <w:rPr>
          <w:szCs w:val="22"/>
          <w:lang w:val="en-AU"/>
        </w:rPr>
      </w:pPr>
      <w:r w:rsidRPr="00CE2866">
        <w:rPr>
          <w:rStyle w:val="EndnoteReference"/>
          <w:szCs w:val="22"/>
        </w:rPr>
        <w:endnoteRef/>
      </w:r>
      <w:r w:rsidRPr="00CE2866">
        <w:rPr>
          <w:szCs w:val="22"/>
        </w:rPr>
        <w:t xml:space="preserve"> </w:t>
      </w:r>
      <w:proofErr w:type="gramStart"/>
      <w:r w:rsidRPr="00EB2E55">
        <w:rPr>
          <w:szCs w:val="22"/>
        </w:rPr>
        <w:t>Australian Government Department of Health.</w:t>
      </w:r>
      <w:proofErr w:type="gramEnd"/>
      <w:r w:rsidRPr="00EB2E55">
        <w:rPr>
          <w:szCs w:val="22"/>
        </w:rPr>
        <w:t xml:space="preserve"> </w:t>
      </w:r>
      <w:r w:rsidRPr="00EB2E55">
        <w:rPr>
          <w:i/>
          <w:szCs w:val="22"/>
          <w:lang w:val="en-AU"/>
        </w:rPr>
        <w:t>Primary Health Networks Grant Programme Guidelines</w:t>
      </w:r>
      <w:r w:rsidRPr="00EB2E55">
        <w:rPr>
          <w:szCs w:val="22"/>
          <w:lang w:val="en-AU"/>
        </w:rPr>
        <w:t xml:space="preserve"> </w:t>
      </w:r>
      <w:r w:rsidRPr="00EB2E55">
        <w:rPr>
          <w:i/>
          <w:szCs w:val="22"/>
          <w:lang w:val="en-AU"/>
        </w:rPr>
        <w:t>February 2016 – Version 1.2</w:t>
      </w:r>
      <w:r w:rsidRPr="00EB2E55">
        <w:rPr>
          <w:szCs w:val="22"/>
          <w:lang w:val="en-AU"/>
        </w:rPr>
        <w:t>.p.10.</w:t>
      </w:r>
    </w:p>
    <w:p w:rsidR="004A170A" w:rsidRPr="00EB2E55" w:rsidRDefault="004A170A" w:rsidP="002D7D68">
      <w:pPr>
        <w:pStyle w:val="EndnoteText"/>
        <w:jc w:val="left"/>
        <w:rPr>
          <w:rFonts w:asciiTheme="minorHAnsi" w:hAnsiTheme="minorHAnsi"/>
          <w:sz w:val="22"/>
          <w:szCs w:val="22"/>
          <w:lang w:val="en-AU"/>
        </w:rPr>
      </w:pPr>
    </w:p>
    <w:p w:rsidR="004A170A" w:rsidRPr="00EB2E55" w:rsidRDefault="004A170A" w:rsidP="002D7D68">
      <w:pPr>
        <w:pStyle w:val="EndnoteText"/>
        <w:ind w:left="720"/>
        <w:rPr>
          <w:rFonts w:asciiTheme="minorHAnsi" w:hAnsiTheme="minorHAnsi"/>
          <w:bCs/>
          <w:sz w:val="22"/>
          <w:szCs w:val="22"/>
          <w:lang w:val="en-AU"/>
        </w:rPr>
      </w:pPr>
      <w:r w:rsidRPr="00EB2E55">
        <w:rPr>
          <w:rFonts w:asciiTheme="minorHAnsi" w:hAnsiTheme="minorHAnsi"/>
          <w:bCs/>
          <w:sz w:val="22"/>
          <w:szCs w:val="22"/>
          <w:lang w:val="en-AU"/>
        </w:rPr>
        <w:t>Unlike purchasing models, in the context of the PHN Programme, commissioning is characterised by a strategic approach to procurement that is informed by the baseline needs assessment and associated market analysis undertaken in 2015-16. Commissioning will enable a more holistic approach in which PHNs can plan and contract medical and health care services that are appropriate and relevant to the needs of their communities. Commissioning is further characterised by ongoing assessment to monitor the quality of services and ensure that relevant contractual standards are fulfilled. It is expected that PHN commissioning capabilities will continue to develop over time.</w:t>
      </w:r>
    </w:p>
    <w:p w:rsidR="004A170A" w:rsidRPr="00EB2E55" w:rsidRDefault="004A170A" w:rsidP="002D7D68">
      <w:pPr>
        <w:pStyle w:val="EndnoteText"/>
        <w:rPr>
          <w:sz w:val="22"/>
          <w:szCs w:val="22"/>
        </w:rPr>
      </w:pPr>
    </w:p>
  </w:endnote>
  <w:endnote w:id="6">
    <w:p w:rsidR="004A170A" w:rsidRPr="00EB2E55" w:rsidRDefault="004A170A" w:rsidP="00615B63">
      <w:pPr>
        <w:pStyle w:val="EndnoteText"/>
        <w:rPr>
          <w:sz w:val="22"/>
          <w:szCs w:val="22"/>
        </w:rPr>
      </w:pPr>
      <w:r w:rsidRPr="00EB2E55">
        <w:rPr>
          <w:rStyle w:val="EndnoteReference"/>
          <w:sz w:val="22"/>
          <w:szCs w:val="22"/>
        </w:rPr>
        <w:endnoteRef/>
      </w:r>
      <w:r w:rsidRPr="00EB2E55">
        <w:rPr>
          <w:sz w:val="22"/>
          <w:szCs w:val="22"/>
        </w:rPr>
        <w:t xml:space="preserve"> Some examples and possible resources on health planning include:</w:t>
      </w:r>
    </w:p>
    <w:p w:rsidR="004A170A" w:rsidRPr="00EB2E55" w:rsidRDefault="004A170A" w:rsidP="008E2F70">
      <w:pPr>
        <w:pStyle w:val="EndnoteText"/>
        <w:jc w:val="left"/>
        <w:rPr>
          <w:sz w:val="22"/>
          <w:szCs w:val="22"/>
        </w:rPr>
      </w:pPr>
    </w:p>
    <w:p w:rsidR="004A170A" w:rsidRDefault="004A170A" w:rsidP="00CA201D">
      <w:pPr>
        <w:pStyle w:val="Endnotedotpoint"/>
        <w:rPr>
          <w:sz w:val="22"/>
          <w:szCs w:val="22"/>
        </w:rPr>
      </w:pPr>
      <w:r w:rsidRPr="00EB2E55">
        <w:rPr>
          <w:sz w:val="22"/>
          <w:szCs w:val="22"/>
        </w:rPr>
        <w:t>World Health Organization.</w:t>
      </w:r>
      <w:r>
        <w:rPr>
          <w:sz w:val="22"/>
          <w:szCs w:val="22"/>
        </w:rPr>
        <w:t xml:space="preserve"> </w:t>
      </w:r>
      <w:hyperlink r:id="rId4" w:history="1">
        <w:r w:rsidRPr="00651D71">
          <w:rPr>
            <w:rStyle w:val="Hyperlink"/>
            <w:sz w:val="22"/>
            <w:szCs w:val="22"/>
          </w:rPr>
          <w:t>National Health Planning Tools</w:t>
        </w:r>
      </w:hyperlink>
      <w:r w:rsidRPr="00EB2E55">
        <w:rPr>
          <w:sz w:val="22"/>
          <w:szCs w:val="22"/>
        </w:rPr>
        <w:t>.</w:t>
      </w:r>
    </w:p>
    <w:p w:rsidR="004A170A" w:rsidRPr="00EB2E55" w:rsidRDefault="004A170A" w:rsidP="002D4D3E">
      <w:pPr>
        <w:pStyle w:val="Endnotedotpoint"/>
        <w:rPr>
          <w:sz w:val="22"/>
          <w:szCs w:val="22"/>
        </w:rPr>
      </w:pPr>
      <w:r w:rsidRPr="00EB2E55">
        <w:rPr>
          <w:sz w:val="22"/>
          <w:szCs w:val="22"/>
        </w:rPr>
        <w:t xml:space="preserve">Australian Indigenous </w:t>
      </w:r>
      <w:proofErr w:type="spellStart"/>
      <w:r w:rsidRPr="00EB2E55">
        <w:rPr>
          <w:sz w:val="22"/>
          <w:szCs w:val="22"/>
        </w:rPr>
        <w:t>HealthInfonet</w:t>
      </w:r>
      <w:proofErr w:type="spellEnd"/>
      <w:r w:rsidRPr="00EB2E55">
        <w:rPr>
          <w:sz w:val="22"/>
          <w:szCs w:val="22"/>
        </w:rPr>
        <w:t xml:space="preserve"> portal. </w:t>
      </w:r>
      <w:hyperlink r:id="rId5" w:history="1">
        <w:r w:rsidRPr="00651D71">
          <w:rPr>
            <w:rStyle w:val="Hyperlink"/>
            <w:sz w:val="22"/>
            <w:szCs w:val="22"/>
          </w:rPr>
          <w:t>Health planning and evaluation tools</w:t>
        </w:r>
      </w:hyperlink>
      <w:r w:rsidRPr="00EB2E55">
        <w:rPr>
          <w:sz w:val="22"/>
          <w:szCs w:val="22"/>
        </w:rPr>
        <w:t>.</w:t>
      </w:r>
    </w:p>
    <w:p w:rsidR="004A170A" w:rsidRDefault="004A170A" w:rsidP="00CA201D">
      <w:pPr>
        <w:pStyle w:val="Endnotedotpoint"/>
        <w:rPr>
          <w:sz w:val="22"/>
          <w:szCs w:val="22"/>
        </w:rPr>
      </w:pPr>
      <w:r w:rsidRPr="00EB2E55">
        <w:rPr>
          <w:sz w:val="22"/>
          <w:szCs w:val="22"/>
        </w:rPr>
        <w:t xml:space="preserve">Australian College of Health Services Management </w:t>
      </w:r>
      <w:hyperlink r:id="rId6" w:history="1">
        <w:r w:rsidRPr="00651D71">
          <w:rPr>
            <w:rStyle w:val="Hyperlink"/>
            <w:sz w:val="22"/>
            <w:szCs w:val="22"/>
          </w:rPr>
          <w:t>Reading Lists</w:t>
        </w:r>
      </w:hyperlink>
    </w:p>
    <w:p w:rsidR="004A170A" w:rsidRDefault="004A170A" w:rsidP="00CA201D">
      <w:pPr>
        <w:pStyle w:val="Endnotedotpoint"/>
        <w:rPr>
          <w:sz w:val="22"/>
          <w:szCs w:val="22"/>
        </w:rPr>
      </w:pPr>
      <w:r w:rsidRPr="00EB2E55">
        <w:rPr>
          <w:sz w:val="22"/>
          <w:szCs w:val="22"/>
        </w:rPr>
        <w:t xml:space="preserve">The Victorian Department of Health and Human Services – Hume Region. </w:t>
      </w:r>
      <w:hyperlink r:id="rId7" w:history="1">
        <w:r w:rsidRPr="00882EB5">
          <w:rPr>
            <w:rStyle w:val="Hyperlink"/>
            <w:sz w:val="22"/>
            <w:szCs w:val="22"/>
          </w:rPr>
          <w:t>Health Planning Toolkit</w:t>
        </w:r>
      </w:hyperlink>
      <w:r w:rsidRPr="00EB2E55">
        <w:rPr>
          <w:sz w:val="22"/>
          <w:szCs w:val="22"/>
        </w:rPr>
        <w:t>.</w:t>
      </w:r>
    </w:p>
    <w:p w:rsidR="004A170A" w:rsidRPr="00EB2E55" w:rsidRDefault="004A170A" w:rsidP="002D4D3E">
      <w:pPr>
        <w:pStyle w:val="Endnotedotpoint"/>
        <w:rPr>
          <w:sz w:val="22"/>
          <w:szCs w:val="22"/>
        </w:rPr>
      </w:pPr>
      <w:r w:rsidRPr="00EB2E55">
        <w:rPr>
          <w:sz w:val="22"/>
          <w:szCs w:val="22"/>
        </w:rPr>
        <w:t xml:space="preserve">Queensland Health – </w:t>
      </w:r>
      <w:hyperlink r:id="rId8" w:history="1">
        <w:r w:rsidRPr="00882EB5">
          <w:rPr>
            <w:rStyle w:val="Hyperlink"/>
            <w:sz w:val="22"/>
            <w:szCs w:val="22"/>
          </w:rPr>
          <w:t>Guide to Health Service Planning 2015</w:t>
        </w:r>
      </w:hyperlink>
      <w:r w:rsidRPr="00EB2E55">
        <w:rPr>
          <w:sz w:val="22"/>
          <w:szCs w:val="22"/>
        </w:rPr>
        <w:t>. A common guideline for integrated health service planning in Queensland.</w:t>
      </w:r>
    </w:p>
    <w:p w:rsidR="004A170A" w:rsidRPr="00EB2E55" w:rsidRDefault="004A170A" w:rsidP="002D4D3E">
      <w:pPr>
        <w:pStyle w:val="Endnotedotpoint"/>
        <w:rPr>
          <w:sz w:val="22"/>
          <w:szCs w:val="22"/>
        </w:rPr>
      </w:pPr>
      <w:r w:rsidRPr="00EB2E55">
        <w:rPr>
          <w:sz w:val="22"/>
          <w:szCs w:val="22"/>
        </w:rPr>
        <w:t xml:space="preserve">South West Sydney LHD. </w:t>
      </w:r>
      <w:hyperlink r:id="rId9" w:history="1">
        <w:r w:rsidRPr="00882EB5">
          <w:rPr>
            <w:rStyle w:val="Hyperlink"/>
            <w:sz w:val="22"/>
            <w:szCs w:val="22"/>
          </w:rPr>
          <w:t>Health Service Planning: a guide for professionals and managers</w:t>
        </w:r>
      </w:hyperlink>
      <w:r w:rsidRPr="00EB2E55">
        <w:rPr>
          <w:sz w:val="22"/>
          <w:szCs w:val="22"/>
        </w:rPr>
        <w:t>.</w:t>
      </w:r>
    </w:p>
    <w:p w:rsidR="004A170A" w:rsidRPr="00EB2E55" w:rsidRDefault="004A170A" w:rsidP="00CA201D">
      <w:pPr>
        <w:pStyle w:val="Endnotedotpoint"/>
        <w:numPr>
          <w:ilvl w:val="0"/>
          <w:numId w:val="0"/>
        </w:numPr>
        <w:rPr>
          <w:sz w:val="22"/>
          <w:szCs w:val="22"/>
        </w:rPr>
      </w:pPr>
    </w:p>
    <w:p w:rsidR="004A170A" w:rsidRPr="00EB2E55" w:rsidRDefault="004A170A" w:rsidP="00207F1B">
      <w:pPr>
        <w:pStyle w:val="EndnoteText"/>
        <w:rPr>
          <w:bCs/>
          <w:sz w:val="22"/>
          <w:szCs w:val="22"/>
          <w:lang w:val="en-AU"/>
        </w:rPr>
      </w:pPr>
      <w:r w:rsidRPr="00EB2E55">
        <w:rPr>
          <w:sz w:val="22"/>
          <w:szCs w:val="22"/>
          <w:lang w:val="en-AU"/>
        </w:rPr>
        <w:t xml:space="preserve">Recent thinking about planning and commissioning in NHS England can be found in </w:t>
      </w:r>
      <w:hyperlink r:id="rId10" w:history="1">
        <w:r w:rsidRPr="00882EB5">
          <w:rPr>
            <w:rStyle w:val="Hyperlink"/>
            <w:bCs/>
            <w:i/>
            <w:sz w:val="22"/>
            <w:szCs w:val="22"/>
            <w:lang w:val="en-AU"/>
          </w:rPr>
          <w:t>Delivering the Forward View: NHS planning guidance 2016/17 – 2020/21</w:t>
        </w:r>
      </w:hyperlink>
      <w:r w:rsidRPr="00EB2E55">
        <w:rPr>
          <w:bCs/>
          <w:sz w:val="22"/>
          <w:szCs w:val="22"/>
          <w:lang w:val="en-AU"/>
        </w:rPr>
        <w:t xml:space="preserve">. </w:t>
      </w:r>
      <w:proofErr w:type="gramStart"/>
      <w:r w:rsidRPr="00EB2E55">
        <w:rPr>
          <w:bCs/>
          <w:sz w:val="22"/>
          <w:szCs w:val="22"/>
          <w:lang w:val="en-AU"/>
        </w:rPr>
        <w:t>Gateway Ref. 04437.</w:t>
      </w:r>
      <w:proofErr w:type="gramEnd"/>
      <w:r>
        <w:fldChar w:fldCharType="begin"/>
      </w:r>
      <w:r w:rsidR="00882EB5">
        <w:instrText>HYPERLINK "https://www.england.nhs.uk/ourwork/futurenhs/deliver-forward-view/"</w:instrText>
      </w:r>
      <w:r>
        <w:fldChar w:fldCharType="end"/>
      </w:r>
      <w:r w:rsidRPr="00EB2E55">
        <w:rPr>
          <w:bCs/>
          <w:sz w:val="22"/>
          <w:szCs w:val="22"/>
          <w:lang w:val="en-AU"/>
        </w:rPr>
        <w:t xml:space="preserve"> This document looks at place-based planning and the development of ‘Local Health System Sustainability and Transformation Plans’ which are:</w:t>
      </w:r>
    </w:p>
    <w:p w:rsidR="004A170A" w:rsidRPr="00EB2E55" w:rsidRDefault="004A170A" w:rsidP="00207F1B">
      <w:pPr>
        <w:pStyle w:val="EndnoteText"/>
        <w:rPr>
          <w:bCs/>
          <w:sz w:val="22"/>
          <w:szCs w:val="22"/>
          <w:lang w:val="en-AU"/>
        </w:rPr>
      </w:pPr>
    </w:p>
    <w:p w:rsidR="004A170A" w:rsidRPr="00EB2E55" w:rsidRDefault="004A170A" w:rsidP="00207F1B">
      <w:pPr>
        <w:pStyle w:val="EndnoteText"/>
        <w:ind w:left="720"/>
        <w:rPr>
          <w:bCs/>
          <w:sz w:val="22"/>
          <w:szCs w:val="22"/>
          <w:lang w:val="en-AU"/>
        </w:rPr>
      </w:pPr>
      <w:proofErr w:type="gramStart"/>
      <w:r w:rsidRPr="00EB2E55">
        <w:rPr>
          <w:bCs/>
          <w:sz w:val="22"/>
          <w:szCs w:val="22"/>
          <w:lang w:val="en-AU"/>
        </w:rPr>
        <w:t>a</w:t>
      </w:r>
      <w:proofErr w:type="gramEnd"/>
      <w:r w:rsidRPr="00EB2E55">
        <w:rPr>
          <w:bCs/>
          <w:sz w:val="22"/>
          <w:szCs w:val="22"/>
          <w:lang w:val="en-AU"/>
        </w:rPr>
        <w:t xml:space="preserve"> holistic pursuit of the triple aim – better health, transformed quality of care delivery, and sustainable finances…</w:t>
      </w:r>
      <w:r w:rsidRPr="00EB2E55">
        <w:rPr>
          <w:rFonts w:ascii="Frutiger-Light" w:hAnsi="Frutiger-Light" w:cs="Frutiger-Light"/>
          <w:sz w:val="22"/>
          <w:szCs w:val="22"/>
          <w:lang w:val="en-AU" w:eastAsia="en-AU"/>
        </w:rPr>
        <w:t xml:space="preserve"> </w:t>
      </w:r>
      <w:r w:rsidRPr="00EB2E55">
        <w:rPr>
          <w:bCs/>
          <w:sz w:val="22"/>
          <w:szCs w:val="22"/>
          <w:lang w:val="en-AU"/>
        </w:rPr>
        <w:t>We are asking local systems first to focus on creating an overall local vision, and the three overarching questions:</w:t>
      </w:r>
    </w:p>
    <w:p w:rsidR="004A170A" w:rsidRPr="00EB2E55" w:rsidRDefault="004A170A" w:rsidP="00AE419C">
      <w:pPr>
        <w:pStyle w:val="EndnoteText"/>
        <w:numPr>
          <w:ilvl w:val="0"/>
          <w:numId w:val="10"/>
        </w:numPr>
        <w:spacing w:line="240" w:lineRule="auto"/>
        <w:ind w:left="1077" w:hanging="357"/>
        <w:rPr>
          <w:bCs/>
          <w:sz w:val="22"/>
          <w:szCs w:val="22"/>
          <w:lang w:val="en-AU"/>
        </w:rPr>
      </w:pPr>
      <w:r w:rsidRPr="00EB2E55">
        <w:rPr>
          <w:bCs/>
          <w:sz w:val="22"/>
          <w:szCs w:val="22"/>
          <w:lang w:val="en-AU"/>
        </w:rPr>
        <w:t>How will you close the health and wellbeing gap?</w:t>
      </w:r>
    </w:p>
    <w:p w:rsidR="004A170A" w:rsidRPr="00EB2E55" w:rsidRDefault="004A170A" w:rsidP="00AE419C">
      <w:pPr>
        <w:pStyle w:val="EndnoteText"/>
        <w:numPr>
          <w:ilvl w:val="0"/>
          <w:numId w:val="10"/>
        </w:numPr>
        <w:spacing w:line="240" w:lineRule="auto"/>
        <w:ind w:left="1077" w:hanging="357"/>
        <w:rPr>
          <w:bCs/>
          <w:sz w:val="22"/>
          <w:szCs w:val="22"/>
          <w:lang w:val="en-AU"/>
        </w:rPr>
      </w:pPr>
      <w:r w:rsidRPr="00EB2E55">
        <w:rPr>
          <w:bCs/>
          <w:sz w:val="22"/>
          <w:szCs w:val="22"/>
          <w:lang w:val="en-AU"/>
        </w:rPr>
        <w:t>How will you drive transformation to close the care and quality gap? and</w:t>
      </w:r>
    </w:p>
    <w:p w:rsidR="004A170A" w:rsidRPr="00EB2E55" w:rsidRDefault="004A170A" w:rsidP="00AE419C">
      <w:pPr>
        <w:pStyle w:val="EndnoteText"/>
        <w:numPr>
          <w:ilvl w:val="0"/>
          <w:numId w:val="10"/>
        </w:numPr>
        <w:spacing w:line="240" w:lineRule="auto"/>
        <w:ind w:left="1077" w:hanging="357"/>
        <w:rPr>
          <w:bCs/>
          <w:sz w:val="22"/>
          <w:szCs w:val="22"/>
          <w:lang w:val="en-AU"/>
        </w:rPr>
      </w:pPr>
      <w:r w:rsidRPr="00EB2E55">
        <w:rPr>
          <w:bCs/>
          <w:sz w:val="22"/>
          <w:szCs w:val="22"/>
          <w:lang w:val="en-AU"/>
        </w:rPr>
        <w:t>How will you close the finance and efficiency gap?</w:t>
      </w:r>
    </w:p>
    <w:p w:rsidR="004A170A" w:rsidRPr="00EB2E55" w:rsidRDefault="004A170A" w:rsidP="00615B63">
      <w:pPr>
        <w:pStyle w:val="EndnoteText"/>
        <w:rPr>
          <w:sz w:val="22"/>
          <w:szCs w:val="22"/>
          <w:lang w:val="en-AU"/>
        </w:rPr>
      </w:pPr>
    </w:p>
  </w:endnote>
  <w:endnote w:id="7">
    <w:p w:rsidR="004A170A" w:rsidRPr="00EB2E55" w:rsidRDefault="004A170A" w:rsidP="004336F1">
      <w:pPr>
        <w:jc w:val="left"/>
        <w:rPr>
          <w:rFonts w:asciiTheme="minorHAnsi" w:hAnsiTheme="minorHAnsi"/>
          <w:bCs/>
          <w:szCs w:val="22"/>
          <w:lang w:val="en-AU"/>
        </w:rPr>
      </w:pPr>
      <w:r w:rsidRPr="00EB2E55">
        <w:rPr>
          <w:rStyle w:val="EndnoteReference"/>
          <w:szCs w:val="22"/>
        </w:rPr>
        <w:endnoteRef/>
      </w:r>
      <w:r w:rsidRPr="00EB2E55">
        <w:rPr>
          <w:szCs w:val="22"/>
        </w:rPr>
        <w:t xml:space="preserve"> </w:t>
      </w:r>
      <w:proofErr w:type="gramStart"/>
      <w:r w:rsidRPr="00EB2E55">
        <w:rPr>
          <w:szCs w:val="22"/>
        </w:rPr>
        <w:t>AICD.</w:t>
      </w:r>
      <w:proofErr w:type="gramEnd"/>
      <w:r w:rsidRPr="00EB2E55">
        <w:rPr>
          <w:szCs w:val="22"/>
        </w:rPr>
        <w:t xml:space="preserve"> </w:t>
      </w:r>
      <w:r w:rsidRPr="00EB2E55">
        <w:rPr>
          <w:i/>
          <w:szCs w:val="22"/>
        </w:rPr>
        <w:t>Good governance principles and guidance for Not-for-Profit Organisations.</w:t>
      </w:r>
      <w:r w:rsidRPr="00EB2E55">
        <w:rPr>
          <w:szCs w:val="22"/>
        </w:rPr>
        <w:t xml:space="preserve"> </w:t>
      </w:r>
      <w:proofErr w:type="gramStart"/>
      <w:r w:rsidRPr="00EB2E55">
        <w:rPr>
          <w:rFonts w:asciiTheme="minorHAnsi" w:hAnsiTheme="minorHAnsi"/>
          <w:bCs/>
          <w:szCs w:val="22"/>
          <w:lang w:val="en-AU"/>
        </w:rPr>
        <w:t>Australian Institute of Company Directors 2013.</w:t>
      </w:r>
      <w:proofErr w:type="gramEnd"/>
      <w:r w:rsidRPr="00EB2E55">
        <w:rPr>
          <w:rFonts w:asciiTheme="minorHAnsi" w:hAnsiTheme="minorHAnsi"/>
          <w:bCs/>
          <w:szCs w:val="22"/>
          <w:lang w:val="en-AU"/>
        </w:rPr>
        <w:t xml:space="preserve"> </w:t>
      </w:r>
      <w:proofErr w:type="gramStart"/>
      <w:r w:rsidRPr="00EB2E55">
        <w:rPr>
          <w:rFonts w:asciiTheme="minorHAnsi" w:hAnsiTheme="minorHAnsi"/>
          <w:bCs/>
          <w:szCs w:val="22"/>
          <w:lang w:val="en-AU"/>
        </w:rPr>
        <w:t>p.29.</w:t>
      </w:r>
      <w:proofErr w:type="gramEnd"/>
    </w:p>
    <w:p w:rsidR="004A170A" w:rsidRPr="00EB2E55" w:rsidRDefault="004A170A" w:rsidP="004336F1">
      <w:pPr>
        <w:rPr>
          <w:rFonts w:asciiTheme="minorHAnsi" w:hAnsiTheme="minorHAnsi"/>
          <w:bCs/>
          <w:szCs w:val="22"/>
          <w:lang w:val="en-AU"/>
        </w:rPr>
      </w:pPr>
    </w:p>
    <w:p w:rsidR="004A170A" w:rsidRPr="00EB2E55" w:rsidRDefault="004A170A" w:rsidP="004336F1">
      <w:pPr>
        <w:ind w:left="720"/>
        <w:rPr>
          <w:szCs w:val="22"/>
          <w:lang w:val="en-AU"/>
        </w:rPr>
      </w:pPr>
      <w:r w:rsidRPr="00EB2E55">
        <w:rPr>
          <w:szCs w:val="22"/>
          <w:lang w:val="en-AU"/>
        </w:rPr>
        <w:t xml:space="preserve">Once an organisation has decided on its purpose and related strategies, it is common practice as part of a strategic planning process to choose measures or indicators that enable the board to track progress i.e. the key performance indicators (KPIs) to measure the organisation’s performance on execution of its strategy and achievement of its purpose. In this regard, boards need to consider, with regard to the purpose of the NFP, which performance indicators are most appropriate in the organisation’s circumstances (e.g. activities undertaken, grantor requirements, </w:t>
      </w:r>
      <w:proofErr w:type="spellStart"/>
      <w:r w:rsidRPr="00EB2E55">
        <w:rPr>
          <w:szCs w:val="22"/>
          <w:lang w:val="en-AU"/>
        </w:rPr>
        <w:t>etc</w:t>
      </w:r>
      <w:proofErr w:type="spellEnd"/>
      <w:r w:rsidRPr="00EB2E55">
        <w:rPr>
          <w:szCs w:val="22"/>
          <w:lang w:val="en-AU"/>
        </w:rPr>
        <w:t>), and which indicators should be chosen for measurement purposes. Obviously, it is very important for boards to ensure the metrics adopted are capable of being measured and understood.</w:t>
      </w:r>
    </w:p>
    <w:p w:rsidR="004A170A" w:rsidRPr="00EB2E55" w:rsidRDefault="004A170A" w:rsidP="004336F1">
      <w:pPr>
        <w:pStyle w:val="EndnoteText"/>
        <w:rPr>
          <w:sz w:val="22"/>
          <w:szCs w:val="22"/>
          <w:lang w:val="en-AU"/>
        </w:rPr>
      </w:pPr>
    </w:p>
  </w:endnote>
  <w:endnote w:id="8">
    <w:p w:rsidR="004A170A" w:rsidRPr="00EB2E55" w:rsidRDefault="004A170A" w:rsidP="007D4775">
      <w:pPr>
        <w:pStyle w:val="EndnoteText"/>
        <w:jc w:val="left"/>
        <w:rPr>
          <w:sz w:val="22"/>
          <w:szCs w:val="22"/>
          <w:lang w:val="en-AU"/>
        </w:rPr>
      </w:pPr>
      <w:r w:rsidRPr="00EB2E55">
        <w:rPr>
          <w:rStyle w:val="EndnoteReference"/>
          <w:sz w:val="22"/>
          <w:szCs w:val="22"/>
        </w:rPr>
        <w:endnoteRef/>
      </w:r>
      <w:r w:rsidRPr="00EB2E55">
        <w:rPr>
          <w:sz w:val="22"/>
          <w:szCs w:val="22"/>
        </w:rPr>
        <w:t xml:space="preserve"> </w:t>
      </w:r>
      <w:proofErr w:type="spellStart"/>
      <w:r w:rsidRPr="00EB2E55">
        <w:rPr>
          <w:sz w:val="22"/>
          <w:szCs w:val="22"/>
          <w:lang w:val="en-AU"/>
        </w:rPr>
        <w:t>Duckett</w:t>
      </w:r>
      <w:proofErr w:type="spellEnd"/>
      <w:r w:rsidRPr="00EB2E55">
        <w:rPr>
          <w:sz w:val="22"/>
          <w:szCs w:val="22"/>
          <w:lang w:val="en-AU"/>
        </w:rPr>
        <w:t xml:space="preserve"> S, </w:t>
      </w:r>
      <w:r w:rsidRPr="00EB2E55">
        <w:rPr>
          <w:sz w:val="22"/>
          <w:szCs w:val="22"/>
          <w:lang w:val="en-AU" w:eastAsia="en-AU"/>
        </w:rPr>
        <w:t xml:space="preserve">Beaumont M, Bell G, Gunn J, Murphy A, </w:t>
      </w:r>
      <w:proofErr w:type="gramStart"/>
      <w:r w:rsidRPr="00EB2E55">
        <w:rPr>
          <w:sz w:val="22"/>
          <w:szCs w:val="22"/>
          <w:lang w:val="en-AU" w:eastAsia="en-AU"/>
        </w:rPr>
        <w:t>Wilson</w:t>
      </w:r>
      <w:proofErr w:type="gramEnd"/>
      <w:r w:rsidRPr="00EB2E55">
        <w:rPr>
          <w:sz w:val="22"/>
          <w:szCs w:val="22"/>
          <w:lang w:val="en-AU" w:eastAsia="en-AU"/>
        </w:rPr>
        <w:t xml:space="preserve"> R, Crowley T. </w:t>
      </w:r>
      <w:hyperlink r:id="rId11" w:history="1">
        <w:r w:rsidRPr="00AC1BCA">
          <w:rPr>
            <w:rStyle w:val="Hyperlink"/>
            <w:rFonts w:asciiTheme="minorHAnsi" w:hAnsiTheme="minorHAnsi"/>
            <w:bCs/>
            <w:i/>
            <w:sz w:val="22"/>
            <w:szCs w:val="22"/>
            <w:lang w:val="en-AU"/>
          </w:rPr>
          <w:t>Leading change in primary care: Boards of primary health networks can help improve the Australian health care system</w:t>
        </w:r>
      </w:hyperlink>
      <w:r w:rsidRPr="00EB2E55">
        <w:rPr>
          <w:rFonts w:asciiTheme="minorHAnsi" w:hAnsiTheme="minorHAnsi"/>
          <w:bCs/>
          <w:i/>
          <w:sz w:val="22"/>
          <w:szCs w:val="22"/>
          <w:lang w:val="en-AU"/>
        </w:rPr>
        <w:t xml:space="preserve">. </w:t>
      </w:r>
      <w:proofErr w:type="gramStart"/>
      <w:r w:rsidRPr="00EB2E55">
        <w:rPr>
          <w:rFonts w:asciiTheme="minorHAnsi" w:hAnsiTheme="minorHAnsi"/>
          <w:bCs/>
          <w:sz w:val="22"/>
          <w:szCs w:val="22"/>
          <w:lang w:val="en-AU"/>
        </w:rPr>
        <w:t>Copyright by authors.</w:t>
      </w:r>
      <w:proofErr w:type="gramEnd"/>
      <w:r w:rsidRPr="00EB2E55">
        <w:rPr>
          <w:rFonts w:asciiTheme="minorHAnsi" w:hAnsiTheme="minorHAnsi"/>
          <w:bCs/>
          <w:sz w:val="22"/>
          <w:szCs w:val="22"/>
          <w:lang w:val="en-AU"/>
        </w:rPr>
        <w:t xml:space="preserve"> 2015. </w:t>
      </w:r>
      <w:r w:rsidRPr="00EB2E55">
        <w:rPr>
          <w:sz w:val="22"/>
          <w:szCs w:val="22"/>
          <w:lang w:val="en-AU"/>
        </w:rPr>
        <w:t>Chapter 4 in particular. This extract continues to say:</w:t>
      </w:r>
    </w:p>
    <w:p w:rsidR="004A170A" w:rsidRPr="00EB2E55" w:rsidRDefault="004A170A" w:rsidP="007D4775">
      <w:pPr>
        <w:pStyle w:val="EndnoteText"/>
        <w:rPr>
          <w:sz w:val="22"/>
          <w:szCs w:val="22"/>
          <w:lang w:val="en-AU"/>
        </w:rPr>
      </w:pPr>
    </w:p>
    <w:p w:rsidR="004A170A" w:rsidRPr="00EB2E55" w:rsidRDefault="004A170A" w:rsidP="007D4775">
      <w:pPr>
        <w:pStyle w:val="EndnoteText"/>
        <w:ind w:left="720"/>
        <w:rPr>
          <w:sz w:val="22"/>
          <w:szCs w:val="22"/>
          <w:lang w:val="en-AU" w:eastAsia="en-AU"/>
        </w:rPr>
      </w:pPr>
      <w:r w:rsidRPr="00EB2E55">
        <w:rPr>
          <w:sz w:val="22"/>
          <w:szCs w:val="22"/>
          <w:lang w:val="en-AU" w:eastAsia="en-AU"/>
        </w:rPr>
        <w:t xml:space="preserve">Contracts should, ideally, specify key attributes of the product including volume, quality and price. Whilst the PHN executive will be primarily responsible for the writing and signing of individual commissioning contracts, the board must play a role in determining the general </w:t>
      </w:r>
      <w:r w:rsidRPr="00EB2E55">
        <w:rPr>
          <w:rFonts w:ascii="MinionPro-Regular" w:hAnsi="MinionPro-Regular" w:cs="MinionPro-Regular"/>
          <w:sz w:val="22"/>
          <w:szCs w:val="22"/>
          <w:lang w:val="en-AU" w:eastAsia="en-AU"/>
        </w:rPr>
        <w:t>‘</w:t>
      </w:r>
      <w:r w:rsidRPr="00EB2E55">
        <w:rPr>
          <w:sz w:val="22"/>
          <w:szCs w:val="22"/>
          <w:lang w:val="en-AU" w:eastAsia="en-AU"/>
        </w:rPr>
        <w:t>flavour</w:t>
      </w:r>
      <w:r w:rsidRPr="00EB2E55">
        <w:rPr>
          <w:rFonts w:ascii="MinionPro-Regular" w:hAnsi="MinionPro-Regular" w:cs="MinionPro-Regular"/>
          <w:sz w:val="22"/>
          <w:szCs w:val="22"/>
          <w:lang w:val="en-AU" w:eastAsia="en-AU"/>
        </w:rPr>
        <w:t xml:space="preserve">’ </w:t>
      </w:r>
      <w:r w:rsidRPr="00EB2E55">
        <w:rPr>
          <w:sz w:val="22"/>
          <w:szCs w:val="22"/>
          <w:lang w:val="en-AU" w:eastAsia="en-AU"/>
        </w:rPr>
        <w:t>of the PHN</w:t>
      </w:r>
      <w:r w:rsidRPr="00EB2E55">
        <w:rPr>
          <w:rFonts w:ascii="MinionPro-Regular" w:hAnsi="MinionPro-Regular" w:cs="MinionPro-Regular"/>
          <w:sz w:val="22"/>
          <w:szCs w:val="22"/>
          <w:lang w:val="en-AU" w:eastAsia="en-AU"/>
        </w:rPr>
        <w:t>’</w:t>
      </w:r>
      <w:r w:rsidRPr="00EB2E55">
        <w:rPr>
          <w:sz w:val="22"/>
          <w:szCs w:val="22"/>
          <w:lang w:val="en-AU" w:eastAsia="en-AU"/>
        </w:rPr>
        <w:t>s portfolio of projects… the commissioning process provides PHNs with an opportunity to pursue their broader interests, as PHNs have the power to use their funding to alter the commissioning specifications with particular objectives in mind. It will be important, then, for the board to be clear about what these overall objectives are, and how the PHN</w:t>
      </w:r>
      <w:r w:rsidRPr="00EB2E55">
        <w:rPr>
          <w:rFonts w:ascii="MinionPro-Regular" w:hAnsi="MinionPro-Regular" w:cs="MinionPro-Regular"/>
          <w:sz w:val="22"/>
          <w:szCs w:val="22"/>
          <w:lang w:val="en-AU" w:eastAsia="en-AU"/>
        </w:rPr>
        <w:t>’</w:t>
      </w:r>
      <w:r w:rsidRPr="00EB2E55">
        <w:rPr>
          <w:sz w:val="22"/>
          <w:szCs w:val="22"/>
          <w:lang w:val="en-AU" w:eastAsia="en-AU"/>
        </w:rPr>
        <w:t>s overall commissioning strategy might be best tailored towards achieving them.</w:t>
      </w:r>
    </w:p>
    <w:p w:rsidR="004A170A" w:rsidRPr="00EB2E55" w:rsidRDefault="004A170A" w:rsidP="00F1205D">
      <w:pPr>
        <w:pStyle w:val="EndnoteText"/>
        <w:jc w:val="left"/>
        <w:rPr>
          <w:sz w:val="22"/>
          <w:szCs w:val="22"/>
          <w:lang w:val="en-AU"/>
        </w:rPr>
      </w:pPr>
    </w:p>
  </w:endnote>
  <w:endnote w:id="9">
    <w:p w:rsidR="004A170A" w:rsidRPr="00EB2E55" w:rsidRDefault="004A170A" w:rsidP="00A110E0">
      <w:pPr>
        <w:pStyle w:val="EndnoteText"/>
        <w:jc w:val="left"/>
        <w:rPr>
          <w:sz w:val="22"/>
          <w:szCs w:val="22"/>
          <w:lang w:val="en-AU"/>
        </w:rPr>
      </w:pPr>
      <w:r w:rsidRPr="00EB2E55">
        <w:rPr>
          <w:rStyle w:val="EndnoteReference"/>
          <w:sz w:val="22"/>
          <w:szCs w:val="22"/>
        </w:rPr>
        <w:endnoteRef/>
      </w:r>
      <w:r w:rsidRPr="00EB2E55">
        <w:rPr>
          <w:sz w:val="22"/>
          <w:szCs w:val="22"/>
        </w:rPr>
        <w:t xml:space="preserve"> </w:t>
      </w:r>
      <w:proofErr w:type="gramStart"/>
      <w:r w:rsidRPr="00EB2E55">
        <w:rPr>
          <w:sz w:val="22"/>
          <w:szCs w:val="22"/>
        </w:rPr>
        <w:t>Australian Government Department of Health.</w:t>
      </w:r>
      <w:proofErr w:type="gramEnd"/>
      <w:r w:rsidRPr="00EB2E55">
        <w:rPr>
          <w:sz w:val="22"/>
          <w:szCs w:val="22"/>
        </w:rPr>
        <w:t xml:space="preserve"> </w:t>
      </w:r>
      <w:hyperlink r:id="rId12" w:history="1">
        <w:r w:rsidRPr="00C57742">
          <w:rPr>
            <w:rStyle w:val="Hyperlink"/>
            <w:i/>
            <w:sz w:val="22"/>
            <w:szCs w:val="22"/>
            <w:lang w:val="en-AU"/>
          </w:rPr>
          <w:t>Primary Health Networks Grant Programme Guidelines</w:t>
        </w:r>
        <w:r w:rsidRPr="00C57742">
          <w:rPr>
            <w:rStyle w:val="Hyperlink"/>
            <w:sz w:val="22"/>
            <w:szCs w:val="22"/>
            <w:lang w:val="en-AU"/>
          </w:rPr>
          <w:t xml:space="preserve"> </w:t>
        </w:r>
        <w:r w:rsidRPr="00C57742">
          <w:rPr>
            <w:rStyle w:val="Hyperlink"/>
            <w:i/>
            <w:sz w:val="22"/>
            <w:szCs w:val="22"/>
            <w:lang w:val="en-AU"/>
          </w:rPr>
          <w:t>February 2016 – Version 1.2</w:t>
        </w:r>
      </w:hyperlink>
      <w:r w:rsidRPr="00EB2E55">
        <w:rPr>
          <w:sz w:val="22"/>
          <w:szCs w:val="22"/>
          <w:lang w:val="en-AU"/>
        </w:rPr>
        <w:t>.</w:t>
      </w:r>
      <w:r w:rsidR="00CE568E">
        <w:rPr>
          <w:sz w:val="22"/>
          <w:szCs w:val="22"/>
          <w:lang w:val="en-AU"/>
        </w:rPr>
        <w:t xml:space="preserve"> </w:t>
      </w:r>
      <w:proofErr w:type="gramStart"/>
      <w:r w:rsidR="00CE568E">
        <w:rPr>
          <w:sz w:val="22"/>
          <w:szCs w:val="22"/>
          <w:lang w:val="en-AU"/>
        </w:rPr>
        <w:t xml:space="preserve">Available at the </w:t>
      </w:r>
      <w:r w:rsidR="00CE568E" w:rsidRPr="00C57742">
        <w:rPr>
          <w:sz w:val="22"/>
          <w:szCs w:val="22"/>
          <w:lang w:val="en-AU"/>
        </w:rPr>
        <w:t>PHN website</w:t>
      </w:r>
      <w:r w:rsidR="00CE568E">
        <w:rPr>
          <w:sz w:val="22"/>
          <w:szCs w:val="22"/>
          <w:lang w:val="en-AU"/>
        </w:rPr>
        <w:t>.</w:t>
      </w:r>
      <w:proofErr w:type="gramEnd"/>
      <w:r w:rsidRPr="00EB2E55">
        <w:rPr>
          <w:sz w:val="22"/>
          <w:szCs w:val="22"/>
          <w:lang w:val="en-AU"/>
        </w:rPr>
        <w:t xml:space="preserve"> </w:t>
      </w:r>
    </w:p>
    <w:p w:rsidR="004A170A" w:rsidRPr="00EB2E55" w:rsidRDefault="004A170A" w:rsidP="00A110E0">
      <w:pPr>
        <w:pStyle w:val="EndnoteText"/>
        <w:jc w:val="left"/>
        <w:rPr>
          <w:sz w:val="22"/>
          <w:szCs w:val="22"/>
          <w:lang w:val="en-AU"/>
        </w:rPr>
      </w:pPr>
    </w:p>
  </w:endnote>
  <w:endnote w:id="10">
    <w:p w:rsidR="00CE568E" w:rsidRPr="00EB2E55" w:rsidRDefault="004A170A" w:rsidP="00F1205D">
      <w:pPr>
        <w:pStyle w:val="EndnoteText"/>
        <w:jc w:val="left"/>
        <w:rPr>
          <w:sz w:val="22"/>
          <w:szCs w:val="22"/>
          <w:lang w:val="en-AU"/>
        </w:rPr>
      </w:pPr>
      <w:r w:rsidRPr="00EB2E55">
        <w:rPr>
          <w:rStyle w:val="EndnoteReference"/>
          <w:sz w:val="22"/>
          <w:szCs w:val="22"/>
        </w:rPr>
        <w:endnoteRef/>
      </w:r>
      <w:r w:rsidRPr="00EB2E55">
        <w:rPr>
          <w:sz w:val="22"/>
          <w:szCs w:val="22"/>
        </w:rPr>
        <w:t xml:space="preserve"> </w:t>
      </w:r>
      <w:hyperlink r:id="rId13" w:history="1">
        <w:r w:rsidRPr="00C57742">
          <w:rPr>
            <w:rStyle w:val="Hyperlink"/>
            <w:sz w:val="22"/>
            <w:szCs w:val="22"/>
          </w:rPr>
          <w:t xml:space="preserve">PHN </w:t>
        </w:r>
        <w:r w:rsidRPr="00C57742">
          <w:rPr>
            <w:rStyle w:val="Hyperlink"/>
            <w:sz w:val="22"/>
            <w:szCs w:val="22"/>
            <w:lang w:val="en-AU"/>
          </w:rPr>
          <w:t>Needs Assessment Guide</w:t>
        </w:r>
      </w:hyperlink>
      <w:r w:rsidRPr="00EB2E55">
        <w:rPr>
          <w:sz w:val="22"/>
          <w:szCs w:val="22"/>
          <w:lang w:val="en-AU"/>
        </w:rPr>
        <w:t xml:space="preserve">. </w:t>
      </w:r>
      <w:proofErr w:type="gramStart"/>
      <w:r w:rsidRPr="00EB2E55">
        <w:rPr>
          <w:sz w:val="22"/>
          <w:szCs w:val="22"/>
          <w:lang w:val="en-AU"/>
        </w:rPr>
        <w:t>p.22</w:t>
      </w:r>
      <w:proofErr w:type="gramEnd"/>
      <w:r w:rsidRPr="00EB2E55">
        <w:rPr>
          <w:sz w:val="22"/>
          <w:szCs w:val="22"/>
          <w:lang w:val="en-AU"/>
        </w:rPr>
        <w:t xml:space="preserve">. </w:t>
      </w:r>
      <w:r w:rsidRPr="00EB2E55">
        <w:rPr>
          <w:rFonts w:asciiTheme="minorHAnsi" w:hAnsiTheme="minorHAnsi"/>
          <w:sz w:val="22"/>
          <w:szCs w:val="22"/>
        </w:rPr>
        <w:t xml:space="preserve">The Needs Assessment Guide is available on the Department’s </w:t>
      </w:r>
      <w:r w:rsidRPr="00C57742">
        <w:rPr>
          <w:rFonts w:asciiTheme="minorHAnsi" w:hAnsiTheme="minorHAnsi"/>
          <w:sz w:val="22"/>
          <w:szCs w:val="22"/>
        </w:rPr>
        <w:t>PHN website</w:t>
      </w:r>
      <w:r w:rsidRPr="00EB2E55">
        <w:rPr>
          <w:rFonts w:asciiTheme="minorHAnsi" w:hAnsiTheme="minorHAnsi"/>
          <w:sz w:val="22"/>
          <w:szCs w:val="22"/>
        </w:rPr>
        <w:t>, under the Tools and Resources tab.</w:t>
      </w:r>
    </w:p>
  </w:endnote>
  <w:endnote w:id="11">
    <w:p w:rsidR="00AC1BCA" w:rsidRDefault="00AC1BCA" w:rsidP="000C7B82">
      <w:pPr>
        <w:jc w:val="left"/>
        <w:rPr>
          <w:szCs w:val="22"/>
        </w:rPr>
      </w:pPr>
    </w:p>
    <w:p w:rsidR="004A170A" w:rsidRPr="00C57742" w:rsidRDefault="004A170A" w:rsidP="000C7B82">
      <w:pPr>
        <w:jc w:val="left"/>
        <w:rPr>
          <w:szCs w:val="22"/>
        </w:rPr>
      </w:pPr>
      <w:r w:rsidRPr="000D1050">
        <w:rPr>
          <w:rStyle w:val="EndnoteReference"/>
          <w:szCs w:val="22"/>
        </w:rPr>
        <w:endnoteRef/>
      </w:r>
      <w:r w:rsidRPr="000D1050">
        <w:rPr>
          <w:szCs w:val="22"/>
        </w:rPr>
        <w:t xml:space="preserve"> </w:t>
      </w:r>
      <w:proofErr w:type="gramStart"/>
      <w:r w:rsidRPr="000D1050">
        <w:rPr>
          <w:szCs w:val="22"/>
        </w:rPr>
        <w:t xml:space="preserve">The Hon </w:t>
      </w:r>
      <w:proofErr w:type="spellStart"/>
      <w:r w:rsidRPr="000D1050">
        <w:rPr>
          <w:szCs w:val="22"/>
        </w:rPr>
        <w:t>Sussan</w:t>
      </w:r>
      <w:proofErr w:type="spellEnd"/>
      <w:r w:rsidRPr="000D1050">
        <w:rPr>
          <w:szCs w:val="22"/>
        </w:rPr>
        <w:t xml:space="preserve"> Ley MP.</w:t>
      </w:r>
      <w:proofErr w:type="gramEnd"/>
      <w:r w:rsidRPr="000D1050">
        <w:rPr>
          <w:szCs w:val="22"/>
        </w:rPr>
        <w:t xml:space="preserve"> Media Release dated 11 April 2015. </w:t>
      </w:r>
      <w:hyperlink r:id="rId14" w:history="1">
        <w:r w:rsidRPr="00C57742">
          <w:rPr>
            <w:rStyle w:val="Hyperlink"/>
            <w:i/>
            <w:szCs w:val="22"/>
          </w:rPr>
          <w:t>New Primary Health Networks to deliver better local care</w:t>
        </w:r>
      </w:hyperlink>
      <w:r w:rsidRPr="000D1050">
        <w:rPr>
          <w:i/>
          <w:szCs w:val="22"/>
        </w:rPr>
        <w:t xml:space="preserve">. </w:t>
      </w:r>
      <w:proofErr w:type="gramStart"/>
      <w:r w:rsidRPr="000D1050">
        <w:rPr>
          <w:szCs w:val="22"/>
        </w:rPr>
        <w:t>Available at</w:t>
      </w:r>
      <w:r w:rsidR="00CE568E">
        <w:rPr>
          <w:szCs w:val="22"/>
        </w:rPr>
        <w:t xml:space="preserve"> the</w:t>
      </w:r>
      <w:r w:rsidRPr="000D1050">
        <w:rPr>
          <w:szCs w:val="22"/>
        </w:rPr>
        <w:t xml:space="preserve"> </w:t>
      </w:r>
      <w:r w:rsidRPr="00C57742">
        <w:rPr>
          <w:szCs w:val="22"/>
        </w:rPr>
        <w:t>PHN website</w:t>
      </w:r>
      <w:r w:rsidR="00CE568E" w:rsidRPr="00EB2E55">
        <w:rPr>
          <w:rFonts w:asciiTheme="minorHAnsi" w:hAnsiTheme="minorHAnsi"/>
          <w:szCs w:val="22"/>
        </w:rPr>
        <w:t>.</w:t>
      </w:r>
      <w:proofErr w:type="gramEnd"/>
      <w:r w:rsidRPr="00C57742">
        <w:rPr>
          <w:szCs w:val="22"/>
        </w:rPr>
        <w:t xml:space="preserve"> </w:t>
      </w:r>
    </w:p>
    <w:p w:rsidR="004A170A" w:rsidRPr="00EB2E55" w:rsidRDefault="004A170A">
      <w:pPr>
        <w:pStyle w:val="EndnoteText"/>
        <w:rPr>
          <w:sz w:val="22"/>
          <w:szCs w:val="22"/>
          <w:lang w:val="en-AU"/>
        </w:rPr>
      </w:pPr>
    </w:p>
  </w:endnote>
  <w:endnote w:id="12">
    <w:p w:rsidR="004A170A" w:rsidRPr="00EB2E55" w:rsidRDefault="004A170A" w:rsidP="00F1205D">
      <w:pPr>
        <w:pStyle w:val="EndnoteText"/>
        <w:jc w:val="left"/>
        <w:rPr>
          <w:sz w:val="22"/>
          <w:szCs w:val="22"/>
          <w:lang w:val="en-AU"/>
        </w:rPr>
      </w:pPr>
      <w:r w:rsidRPr="00EB2E55">
        <w:rPr>
          <w:rStyle w:val="EndnoteReference"/>
          <w:sz w:val="22"/>
          <w:szCs w:val="22"/>
        </w:rPr>
        <w:endnoteRef/>
      </w:r>
      <w:r w:rsidRPr="00EB2E55">
        <w:rPr>
          <w:sz w:val="22"/>
          <w:szCs w:val="22"/>
        </w:rPr>
        <w:t xml:space="preserve"> </w:t>
      </w:r>
      <w:proofErr w:type="gramStart"/>
      <w:r w:rsidRPr="00EB2E55">
        <w:rPr>
          <w:sz w:val="22"/>
          <w:szCs w:val="22"/>
          <w:lang w:val="en-AU"/>
        </w:rPr>
        <w:t>The King’s Fund and University of Melbourne, in alliance with PricewaterhouseCoopers.</w:t>
      </w:r>
      <w:proofErr w:type="gramEnd"/>
      <w:r w:rsidRPr="00EB2E55">
        <w:rPr>
          <w:sz w:val="22"/>
          <w:szCs w:val="22"/>
          <w:lang w:val="en-AU"/>
        </w:rPr>
        <w:t xml:space="preserve"> </w:t>
      </w:r>
      <w:r w:rsidRPr="00EB2E55">
        <w:rPr>
          <w:i/>
          <w:sz w:val="22"/>
          <w:szCs w:val="22"/>
          <w:lang w:val="en-AU"/>
        </w:rPr>
        <w:t>Challenges and lessons for good practice: Review of the history and development of health service commissioning</w:t>
      </w:r>
      <w:r w:rsidRPr="00EB2E55">
        <w:rPr>
          <w:sz w:val="22"/>
          <w:szCs w:val="22"/>
          <w:lang w:val="en-AU"/>
        </w:rPr>
        <w:t xml:space="preserve">. </w:t>
      </w:r>
      <w:proofErr w:type="gramStart"/>
      <w:r w:rsidRPr="00EB2E55">
        <w:rPr>
          <w:sz w:val="22"/>
          <w:szCs w:val="22"/>
          <w:lang w:val="en-AU"/>
        </w:rPr>
        <w:t>Prepared for the Australian Government Department of Health.</w:t>
      </w:r>
      <w:proofErr w:type="gramEnd"/>
      <w:r w:rsidRPr="00EB2E55">
        <w:rPr>
          <w:sz w:val="22"/>
          <w:szCs w:val="22"/>
          <w:lang w:val="en-AU"/>
        </w:rPr>
        <w:t xml:space="preserve"> 2016. Section 2.5. </w:t>
      </w:r>
      <w:proofErr w:type="gramStart"/>
      <w:r w:rsidRPr="00EB2E55">
        <w:rPr>
          <w:sz w:val="22"/>
          <w:szCs w:val="22"/>
          <w:lang w:val="en-AU"/>
        </w:rPr>
        <w:t>Leadership.</w:t>
      </w:r>
      <w:proofErr w:type="gramEnd"/>
    </w:p>
    <w:p w:rsidR="004A170A" w:rsidRPr="00EB2E55" w:rsidRDefault="004A170A" w:rsidP="00F1205D">
      <w:pPr>
        <w:pStyle w:val="EndnoteText"/>
        <w:jc w:val="left"/>
        <w:rPr>
          <w:sz w:val="22"/>
          <w:szCs w:val="22"/>
          <w:lang w:val="en-AU"/>
        </w:rPr>
      </w:pPr>
    </w:p>
  </w:endnote>
  <w:endnote w:id="13">
    <w:p w:rsidR="004A170A" w:rsidRPr="00EB2E55" w:rsidRDefault="004A170A" w:rsidP="008807F1">
      <w:pPr>
        <w:jc w:val="left"/>
        <w:rPr>
          <w:rFonts w:asciiTheme="minorHAnsi" w:hAnsiTheme="minorHAnsi"/>
          <w:bCs/>
          <w:szCs w:val="22"/>
          <w:lang w:val="en-AU"/>
        </w:rPr>
      </w:pPr>
      <w:r w:rsidRPr="00CE2866">
        <w:rPr>
          <w:rStyle w:val="EndnoteReference"/>
          <w:szCs w:val="22"/>
        </w:rPr>
        <w:endnoteRef/>
      </w:r>
      <w:r w:rsidRPr="00CE2866">
        <w:rPr>
          <w:szCs w:val="22"/>
        </w:rPr>
        <w:t xml:space="preserve"> </w:t>
      </w:r>
      <w:proofErr w:type="gramStart"/>
      <w:r w:rsidRPr="00EB2E55">
        <w:rPr>
          <w:szCs w:val="22"/>
          <w:lang w:val="en-AU"/>
        </w:rPr>
        <w:t>WHO.</w:t>
      </w:r>
      <w:proofErr w:type="gramEnd"/>
      <w:r w:rsidRPr="00EB2E55">
        <w:rPr>
          <w:szCs w:val="22"/>
          <w:lang w:val="en-AU"/>
        </w:rPr>
        <w:t xml:space="preserve"> </w:t>
      </w:r>
      <w:r w:rsidRPr="00EB2E55">
        <w:rPr>
          <w:rFonts w:asciiTheme="minorHAnsi" w:hAnsiTheme="minorHAnsi"/>
          <w:bCs/>
          <w:i/>
          <w:szCs w:val="22"/>
          <w:lang w:val="en-AU"/>
        </w:rPr>
        <w:t xml:space="preserve">Everybody’s business: strengthening health systems to improve health outcomes: </w:t>
      </w:r>
      <w:proofErr w:type="gramStart"/>
      <w:r w:rsidRPr="00EB2E55">
        <w:rPr>
          <w:rFonts w:asciiTheme="minorHAnsi" w:hAnsiTheme="minorHAnsi"/>
          <w:bCs/>
          <w:i/>
          <w:szCs w:val="22"/>
          <w:lang w:val="en-AU"/>
        </w:rPr>
        <w:t>WHO’s</w:t>
      </w:r>
      <w:proofErr w:type="gramEnd"/>
      <w:r w:rsidRPr="00EB2E55">
        <w:rPr>
          <w:rFonts w:asciiTheme="minorHAnsi" w:hAnsiTheme="minorHAnsi"/>
          <w:bCs/>
          <w:i/>
          <w:szCs w:val="22"/>
          <w:lang w:val="en-AU"/>
        </w:rPr>
        <w:t xml:space="preserve"> framework for action</w:t>
      </w:r>
      <w:r w:rsidRPr="00EB2E55">
        <w:rPr>
          <w:rFonts w:asciiTheme="minorHAnsi" w:hAnsiTheme="minorHAnsi"/>
          <w:bCs/>
          <w:szCs w:val="22"/>
          <w:lang w:val="en-AU"/>
        </w:rPr>
        <w:t xml:space="preserve">. </w:t>
      </w:r>
      <w:proofErr w:type="gramStart"/>
      <w:r w:rsidRPr="00EB2E55">
        <w:rPr>
          <w:rFonts w:asciiTheme="minorHAnsi" w:hAnsiTheme="minorHAnsi"/>
          <w:bCs/>
          <w:szCs w:val="22"/>
          <w:lang w:val="en-AU"/>
        </w:rPr>
        <w:t>World Health Organization 2007.</w:t>
      </w:r>
      <w:proofErr w:type="gramEnd"/>
      <w:r w:rsidRPr="00EB2E55">
        <w:rPr>
          <w:rFonts w:asciiTheme="minorHAnsi" w:hAnsiTheme="minorHAnsi"/>
          <w:bCs/>
          <w:szCs w:val="22"/>
          <w:lang w:val="en-AU"/>
        </w:rPr>
        <w:t xml:space="preserve"> pp.23-24. The WHO identifies the following as important elements of leadership and governance:</w:t>
      </w:r>
    </w:p>
    <w:p w:rsidR="004A170A" w:rsidRPr="00EB2E55" w:rsidRDefault="004A170A" w:rsidP="00246AFD">
      <w:pPr>
        <w:spacing w:line="240" w:lineRule="auto"/>
        <w:jc w:val="left"/>
        <w:rPr>
          <w:rFonts w:asciiTheme="minorHAnsi" w:hAnsiTheme="minorHAnsi"/>
          <w:bCs/>
          <w:szCs w:val="22"/>
          <w:lang w:val="en-AU"/>
        </w:rPr>
      </w:pPr>
    </w:p>
    <w:p w:rsidR="004A170A" w:rsidRPr="00EB2E55" w:rsidRDefault="004A170A" w:rsidP="002D4D3E">
      <w:pPr>
        <w:pStyle w:val="Endnotedotpoint"/>
        <w:rPr>
          <w:sz w:val="22"/>
          <w:szCs w:val="22"/>
        </w:rPr>
      </w:pPr>
      <w:r w:rsidRPr="00EB2E55">
        <w:rPr>
          <w:sz w:val="22"/>
          <w:szCs w:val="22"/>
        </w:rPr>
        <w:t>Policy guidance</w:t>
      </w:r>
    </w:p>
    <w:p w:rsidR="004A170A" w:rsidRPr="00EB2E55" w:rsidRDefault="004A170A" w:rsidP="002D4D3E">
      <w:pPr>
        <w:pStyle w:val="Endnotedotpoint"/>
        <w:rPr>
          <w:sz w:val="22"/>
          <w:szCs w:val="22"/>
        </w:rPr>
      </w:pPr>
      <w:r w:rsidRPr="00EB2E55">
        <w:rPr>
          <w:sz w:val="22"/>
          <w:szCs w:val="22"/>
        </w:rPr>
        <w:t>Intelligence and oversight</w:t>
      </w:r>
    </w:p>
    <w:p w:rsidR="004A170A" w:rsidRPr="00EB2E55" w:rsidRDefault="004A170A" w:rsidP="002D4D3E">
      <w:pPr>
        <w:pStyle w:val="Endnotedotpoint"/>
        <w:rPr>
          <w:sz w:val="22"/>
          <w:szCs w:val="22"/>
        </w:rPr>
      </w:pPr>
      <w:r w:rsidRPr="00EB2E55">
        <w:rPr>
          <w:sz w:val="22"/>
          <w:szCs w:val="22"/>
        </w:rPr>
        <w:t>Collaboration and coalition building</w:t>
      </w:r>
    </w:p>
    <w:p w:rsidR="004A170A" w:rsidRPr="00EB2E55" w:rsidRDefault="004A170A" w:rsidP="002D4D3E">
      <w:pPr>
        <w:pStyle w:val="Endnotedotpoint"/>
        <w:rPr>
          <w:sz w:val="22"/>
          <w:szCs w:val="22"/>
        </w:rPr>
      </w:pPr>
      <w:r w:rsidRPr="00EB2E55">
        <w:rPr>
          <w:sz w:val="22"/>
          <w:szCs w:val="22"/>
        </w:rPr>
        <w:t>Regulation (for PHNs, as in contract management)</w:t>
      </w:r>
    </w:p>
    <w:p w:rsidR="004A170A" w:rsidRPr="00EB2E55" w:rsidRDefault="004A170A" w:rsidP="002D4D3E">
      <w:pPr>
        <w:pStyle w:val="Endnotedotpoint"/>
        <w:rPr>
          <w:sz w:val="22"/>
          <w:szCs w:val="22"/>
        </w:rPr>
      </w:pPr>
      <w:r w:rsidRPr="00EB2E55">
        <w:rPr>
          <w:sz w:val="22"/>
          <w:szCs w:val="22"/>
        </w:rPr>
        <w:t>System design</w:t>
      </w:r>
    </w:p>
    <w:p w:rsidR="004A170A" w:rsidRPr="00EB2E55" w:rsidRDefault="004A170A" w:rsidP="002D4D3E">
      <w:pPr>
        <w:pStyle w:val="Endnotedotpoint"/>
        <w:rPr>
          <w:sz w:val="22"/>
          <w:szCs w:val="22"/>
        </w:rPr>
      </w:pPr>
      <w:r w:rsidRPr="00EB2E55">
        <w:rPr>
          <w:sz w:val="22"/>
          <w:szCs w:val="22"/>
        </w:rPr>
        <w:t>Accountability and transparency</w:t>
      </w:r>
    </w:p>
    <w:p w:rsidR="004A170A" w:rsidRPr="00EB2E55" w:rsidRDefault="004A170A">
      <w:pPr>
        <w:pStyle w:val="EndnoteText"/>
        <w:rPr>
          <w:sz w:val="22"/>
          <w:szCs w:val="22"/>
          <w:lang w:val="en-AU"/>
        </w:rPr>
      </w:pPr>
    </w:p>
  </w:endnote>
  <w:endnote w:id="14">
    <w:p w:rsidR="004A170A" w:rsidRPr="00EB2E55" w:rsidRDefault="004A170A" w:rsidP="00E26C6A">
      <w:pPr>
        <w:spacing w:line="240" w:lineRule="auto"/>
        <w:jc w:val="left"/>
        <w:rPr>
          <w:szCs w:val="22"/>
        </w:rPr>
      </w:pPr>
      <w:r w:rsidRPr="00EB2E55">
        <w:rPr>
          <w:rStyle w:val="EndnoteReference"/>
          <w:szCs w:val="22"/>
        </w:rPr>
        <w:endnoteRef/>
      </w:r>
      <w:r w:rsidRPr="00EB2E55">
        <w:rPr>
          <w:szCs w:val="22"/>
        </w:rPr>
        <w:t xml:space="preserve"> See the following:</w:t>
      </w:r>
    </w:p>
    <w:p w:rsidR="004A170A" w:rsidRPr="00EB2E55" w:rsidRDefault="004A170A" w:rsidP="00E26C6A">
      <w:pPr>
        <w:spacing w:line="240" w:lineRule="auto"/>
        <w:jc w:val="left"/>
        <w:rPr>
          <w:szCs w:val="22"/>
        </w:rPr>
      </w:pPr>
    </w:p>
    <w:p w:rsidR="004A170A" w:rsidRPr="00EB2E55" w:rsidRDefault="004A170A" w:rsidP="002D4D3E">
      <w:pPr>
        <w:pStyle w:val="Endnotedotpoint"/>
        <w:rPr>
          <w:sz w:val="22"/>
          <w:szCs w:val="22"/>
        </w:rPr>
      </w:pPr>
      <w:r w:rsidRPr="00EB2E55">
        <w:rPr>
          <w:sz w:val="22"/>
          <w:szCs w:val="22"/>
        </w:rPr>
        <w:t xml:space="preserve">Williams I, </w:t>
      </w:r>
      <w:proofErr w:type="spellStart"/>
      <w:r w:rsidRPr="00EB2E55">
        <w:rPr>
          <w:sz w:val="22"/>
          <w:szCs w:val="22"/>
        </w:rPr>
        <w:t>Bovaird</w:t>
      </w:r>
      <w:proofErr w:type="spellEnd"/>
      <w:r w:rsidRPr="00EB2E55">
        <w:rPr>
          <w:sz w:val="22"/>
          <w:szCs w:val="22"/>
        </w:rPr>
        <w:t xml:space="preserve"> T et al. </w:t>
      </w:r>
      <w:r w:rsidRPr="00EB2E55">
        <w:rPr>
          <w:i/>
          <w:sz w:val="22"/>
          <w:szCs w:val="22"/>
        </w:rPr>
        <w:t>Designing whole-systems commissioning: lessons from the English experience</w:t>
      </w:r>
      <w:r w:rsidRPr="00EB2E55">
        <w:rPr>
          <w:sz w:val="22"/>
          <w:szCs w:val="22"/>
        </w:rPr>
        <w:t>. Paper partially based on a report commissioned by the London Borough of Newham 2013.</w:t>
      </w:r>
    </w:p>
    <w:p w:rsidR="004A170A" w:rsidRPr="00EB2E55" w:rsidRDefault="004A170A" w:rsidP="002D4D3E">
      <w:pPr>
        <w:pStyle w:val="Endnotedotpoint"/>
        <w:rPr>
          <w:rFonts w:asciiTheme="minorHAnsi" w:hAnsiTheme="minorHAnsi"/>
          <w:bCs/>
          <w:sz w:val="22"/>
          <w:szCs w:val="22"/>
        </w:rPr>
      </w:pPr>
      <w:proofErr w:type="spellStart"/>
      <w:r w:rsidRPr="00EB2E55">
        <w:rPr>
          <w:sz w:val="22"/>
          <w:szCs w:val="22"/>
        </w:rPr>
        <w:t>Allcock</w:t>
      </w:r>
      <w:proofErr w:type="spellEnd"/>
      <w:r w:rsidRPr="00EB2E55">
        <w:rPr>
          <w:sz w:val="22"/>
          <w:szCs w:val="22"/>
        </w:rPr>
        <w:t xml:space="preserve"> C. </w:t>
      </w:r>
      <w:r w:rsidRPr="00EB2E55">
        <w:rPr>
          <w:i/>
          <w:sz w:val="22"/>
          <w:szCs w:val="22"/>
        </w:rPr>
        <w:t>Outcomes-based commissioning – much promise, but is it something CCGs can deliver on?</w:t>
      </w:r>
      <w:r>
        <w:rPr>
          <w:i/>
          <w:sz w:val="22"/>
          <w:szCs w:val="22"/>
        </w:rPr>
        <w:t xml:space="preserve"> </w:t>
      </w:r>
      <w:r w:rsidRPr="00EB2E55">
        <w:rPr>
          <w:sz w:val="22"/>
          <w:szCs w:val="22"/>
        </w:rPr>
        <w:t xml:space="preserve">The Health Foundation blog 24 Sept 2015: discussion of the recently released publication: </w:t>
      </w:r>
      <w:r w:rsidRPr="00EB2E55">
        <w:rPr>
          <w:rFonts w:asciiTheme="minorHAnsi" w:hAnsiTheme="minorHAnsi"/>
          <w:bCs/>
          <w:sz w:val="22"/>
          <w:szCs w:val="22"/>
        </w:rPr>
        <w:t xml:space="preserve">Taunt R, </w:t>
      </w:r>
      <w:proofErr w:type="spellStart"/>
      <w:r w:rsidRPr="00EB2E55">
        <w:rPr>
          <w:rFonts w:asciiTheme="minorHAnsi" w:hAnsiTheme="minorHAnsi"/>
          <w:bCs/>
          <w:sz w:val="22"/>
          <w:szCs w:val="22"/>
        </w:rPr>
        <w:t>Allcock</w:t>
      </w:r>
      <w:proofErr w:type="spellEnd"/>
      <w:r w:rsidRPr="00EB2E55">
        <w:rPr>
          <w:rFonts w:asciiTheme="minorHAnsi" w:hAnsiTheme="minorHAnsi"/>
          <w:bCs/>
          <w:sz w:val="22"/>
          <w:szCs w:val="22"/>
        </w:rPr>
        <w:t xml:space="preserve"> C, </w:t>
      </w:r>
      <w:proofErr w:type="gramStart"/>
      <w:r w:rsidRPr="00EB2E55">
        <w:rPr>
          <w:rFonts w:asciiTheme="minorHAnsi" w:hAnsiTheme="minorHAnsi"/>
          <w:bCs/>
          <w:sz w:val="22"/>
          <w:szCs w:val="22"/>
        </w:rPr>
        <w:t>Lockwood</w:t>
      </w:r>
      <w:proofErr w:type="gramEnd"/>
      <w:r w:rsidRPr="00EB2E55">
        <w:rPr>
          <w:rFonts w:asciiTheme="minorHAnsi" w:hAnsiTheme="minorHAnsi"/>
          <w:bCs/>
          <w:sz w:val="22"/>
          <w:szCs w:val="22"/>
        </w:rPr>
        <w:t xml:space="preserve"> A. </w:t>
      </w:r>
      <w:r w:rsidRPr="00EB2E55">
        <w:rPr>
          <w:rFonts w:asciiTheme="minorHAnsi" w:hAnsiTheme="minorHAnsi"/>
          <w:bCs/>
          <w:i/>
          <w:sz w:val="22"/>
          <w:szCs w:val="22"/>
        </w:rPr>
        <w:t>Need to nurture: outcomes based commissioning in the NHS.</w:t>
      </w:r>
      <w:r w:rsidRPr="00EB2E55">
        <w:rPr>
          <w:rFonts w:asciiTheme="minorHAnsi" w:hAnsiTheme="minorHAnsi"/>
          <w:bCs/>
          <w:sz w:val="22"/>
          <w:szCs w:val="22"/>
        </w:rPr>
        <w:t xml:space="preserve"> The Health Foundation 2015.</w:t>
      </w:r>
    </w:p>
    <w:p w:rsidR="004A170A" w:rsidRPr="00EB2E55" w:rsidRDefault="004A170A" w:rsidP="00375106">
      <w:pPr>
        <w:pStyle w:val="EndnoteText"/>
        <w:jc w:val="left"/>
        <w:rPr>
          <w:rFonts w:asciiTheme="minorHAnsi" w:hAnsiTheme="minorHAnsi"/>
          <w:bCs/>
          <w:sz w:val="22"/>
          <w:szCs w:val="22"/>
          <w:lang w:val="en-AU"/>
        </w:rPr>
      </w:pPr>
    </w:p>
    <w:p w:rsidR="004A170A" w:rsidRPr="00EB2E55" w:rsidRDefault="004A170A" w:rsidP="002D4D3E">
      <w:pPr>
        <w:pStyle w:val="Endnotedotpoint"/>
        <w:rPr>
          <w:sz w:val="22"/>
          <w:szCs w:val="22"/>
        </w:rPr>
      </w:pPr>
      <w:r w:rsidRPr="00EB2E55">
        <w:rPr>
          <w:sz w:val="22"/>
          <w:szCs w:val="22"/>
        </w:rPr>
        <w:t>NHS.</w:t>
      </w:r>
      <w:r>
        <w:rPr>
          <w:sz w:val="22"/>
          <w:szCs w:val="22"/>
        </w:rPr>
        <w:t xml:space="preserve"> </w:t>
      </w:r>
      <w:r w:rsidRPr="00EB2E55">
        <w:rPr>
          <w:sz w:val="22"/>
          <w:szCs w:val="22"/>
        </w:rPr>
        <w:t>World Class Commissioning Competencies.</w:t>
      </w:r>
      <w:r>
        <w:rPr>
          <w:sz w:val="22"/>
          <w:szCs w:val="22"/>
        </w:rPr>
        <w:t xml:space="preserve"> </w:t>
      </w:r>
      <w:r w:rsidRPr="00EB2E55">
        <w:rPr>
          <w:sz w:val="22"/>
          <w:szCs w:val="22"/>
        </w:rPr>
        <w:t>Available from: http://webarchive.nationalarchives.gov.uk/+/www.dh.gov.uk/en/Managingyourorganisation/Commissioning/Worldclasscommissioning/DH_083204</w:t>
      </w:r>
    </w:p>
    <w:p w:rsidR="004A170A" w:rsidRPr="00EB2E55" w:rsidRDefault="004A170A" w:rsidP="00375106">
      <w:pPr>
        <w:pStyle w:val="EndnoteText"/>
        <w:jc w:val="left"/>
        <w:rPr>
          <w:sz w:val="22"/>
          <w:szCs w:val="22"/>
          <w:lang w:eastAsia="en-AU"/>
        </w:rPr>
      </w:pPr>
    </w:p>
    <w:p w:rsidR="004A170A" w:rsidRPr="00EB2E55" w:rsidRDefault="004A170A" w:rsidP="00EA3018">
      <w:pPr>
        <w:pStyle w:val="Endnotedotpoint"/>
        <w:jc w:val="left"/>
        <w:rPr>
          <w:sz w:val="22"/>
          <w:szCs w:val="22"/>
          <w:lang w:eastAsia="en-AU"/>
        </w:rPr>
      </w:pPr>
      <w:proofErr w:type="spellStart"/>
      <w:r w:rsidRPr="00EB2E55">
        <w:rPr>
          <w:sz w:val="22"/>
          <w:szCs w:val="22"/>
          <w:lang w:eastAsia="en-AU"/>
        </w:rPr>
        <w:t>Woodin</w:t>
      </w:r>
      <w:proofErr w:type="spellEnd"/>
      <w:r w:rsidRPr="00EB2E55">
        <w:rPr>
          <w:sz w:val="22"/>
          <w:szCs w:val="22"/>
          <w:lang w:eastAsia="en-AU"/>
        </w:rPr>
        <w:t xml:space="preserve"> J, Wade E. </w:t>
      </w:r>
      <w:r w:rsidRPr="00EB2E55">
        <w:rPr>
          <w:i/>
          <w:sz w:val="22"/>
          <w:szCs w:val="22"/>
          <w:lang w:eastAsia="en-AU"/>
        </w:rPr>
        <w:t>Towards world class commissioning competency</w:t>
      </w:r>
      <w:r w:rsidRPr="00EB2E55">
        <w:rPr>
          <w:sz w:val="22"/>
          <w:szCs w:val="22"/>
          <w:lang w:eastAsia="en-AU"/>
        </w:rPr>
        <w:t xml:space="preserve">. Health Services Management Centre School of Public Policy. University of Birmingham 2007. pp.10-14. </w:t>
      </w:r>
      <w:proofErr w:type="spellStart"/>
      <w:r w:rsidRPr="00EB2E55">
        <w:rPr>
          <w:sz w:val="22"/>
          <w:szCs w:val="22"/>
          <w:lang w:eastAsia="en-AU"/>
        </w:rPr>
        <w:t>Woodin</w:t>
      </w:r>
      <w:proofErr w:type="spellEnd"/>
      <w:r w:rsidRPr="00EB2E55">
        <w:rPr>
          <w:sz w:val="22"/>
          <w:szCs w:val="22"/>
          <w:lang w:eastAsia="en-AU"/>
        </w:rPr>
        <w:t xml:space="preserve"> and Wade noted that:</w:t>
      </w:r>
      <w:r w:rsidRPr="00EB2E55">
        <w:rPr>
          <w:sz w:val="22"/>
          <w:szCs w:val="22"/>
          <w:lang w:eastAsia="en-AU"/>
        </w:rPr>
        <w:br/>
      </w:r>
    </w:p>
    <w:p w:rsidR="004A170A" w:rsidRPr="00EB2E55" w:rsidRDefault="004A170A" w:rsidP="00375106">
      <w:pPr>
        <w:pStyle w:val="EndnoteText"/>
        <w:ind w:left="720"/>
        <w:jc w:val="left"/>
        <w:rPr>
          <w:sz w:val="22"/>
          <w:szCs w:val="22"/>
          <w:lang w:eastAsia="en-AU"/>
        </w:rPr>
      </w:pPr>
      <w:proofErr w:type="gramStart"/>
      <w:r w:rsidRPr="00EB2E55">
        <w:rPr>
          <w:bCs/>
          <w:sz w:val="22"/>
          <w:szCs w:val="22"/>
          <w:lang w:val="en-AU" w:eastAsia="en-AU"/>
        </w:rPr>
        <w:t>a</w:t>
      </w:r>
      <w:proofErr w:type="gramEnd"/>
      <w:r w:rsidRPr="00EB2E55">
        <w:rPr>
          <w:bCs/>
          <w:sz w:val="22"/>
          <w:szCs w:val="22"/>
          <w:lang w:val="en-AU" w:eastAsia="en-AU"/>
        </w:rPr>
        <w:t xml:space="preserve"> meaningful definition of competency must take into account organisational, contextual and behavioural factors, and not focus entirely on the knowledge, skills and capabilities of individuals, or particular groups of managers and clinicians.</w:t>
      </w:r>
    </w:p>
    <w:p w:rsidR="004A170A" w:rsidRPr="00EB2E55" w:rsidRDefault="004A170A" w:rsidP="00E26C6A">
      <w:pPr>
        <w:spacing w:line="240" w:lineRule="auto"/>
        <w:jc w:val="left"/>
        <w:rPr>
          <w:rFonts w:asciiTheme="minorHAnsi" w:hAnsiTheme="minorHAnsi"/>
          <w:szCs w:val="22"/>
        </w:rPr>
      </w:pPr>
    </w:p>
    <w:p w:rsidR="004A170A" w:rsidRPr="00EB2E55" w:rsidRDefault="004A170A" w:rsidP="002D4D3E">
      <w:pPr>
        <w:pStyle w:val="Endnotedotpoint"/>
        <w:rPr>
          <w:sz w:val="22"/>
          <w:szCs w:val="22"/>
        </w:rPr>
      </w:pPr>
      <w:r w:rsidRPr="00EB2E55">
        <w:rPr>
          <w:sz w:val="22"/>
          <w:szCs w:val="22"/>
        </w:rPr>
        <w:t xml:space="preserve">Dickinson H. Commissioning public services evidence review: lessons for Australian public services. Melbourne School of Government 2015. </w:t>
      </w:r>
      <w:proofErr w:type="gramStart"/>
      <w:r w:rsidRPr="00EB2E55">
        <w:rPr>
          <w:sz w:val="22"/>
          <w:szCs w:val="22"/>
        </w:rPr>
        <w:t>p.17</w:t>
      </w:r>
      <w:proofErr w:type="gramEnd"/>
      <w:r w:rsidRPr="00EB2E55">
        <w:rPr>
          <w:sz w:val="22"/>
          <w:szCs w:val="22"/>
        </w:rPr>
        <w:t>. Standards developed by the University of Birmingham. Commissioning for better outcomes: a route map.</w:t>
      </w:r>
      <w:r>
        <w:rPr>
          <w:sz w:val="22"/>
          <w:szCs w:val="22"/>
        </w:rPr>
        <w:t xml:space="preserve"> </w:t>
      </w:r>
      <w:r w:rsidRPr="00EB2E55">
        <w:rPr>
          <w:sz w:val="22"/>
          <w:szCs w:val="22"/>
        </w:rPr>
        <w:t>University of Birmingham, Local Governments Association and Department of Health. ‘Competency’ can be understood at both the individual and organisational level, where it might be more appropriate to talk in terms of standards.</w:t>
      </w:r>
    </w:p>
    <w:p w:rsidR="004A170A" w:rsidRPr="00EB2E55" w:rsidRDefault="004A170A" w:rsidP="00E26C6A">
      <w:pPr>
        <w:pStyle w:val="EndnoteText"/>
        <w:jc w:val="left"/>
        <w:rPr>
          <w:sz w:val="22"/>
          <w:szCs w:val="22"/>
          <w:lang w:val="en-AU"/>
        </w:rPr>
      </w:pPr>
    </w:p>
  </w:endnote>
  <w:endnote w:id="15">
    <w:p w:rsidR="004A170A" w:rsidRPr="00EB2E55" w:rsidRDefault="004A170A">
      <w:pPr>
        <w:pStyle w:val="EndnoteText"/>
        <w:rPr>
          <w:rFonts w:asciiTheme="minorHAnsi" w:hAnsiTheme="minorHAnsi"/>
          <w:bCs/>
          <w:sz w:val="22"/>
          <w:szCs w:val="22"/>
          <w:lang w:val="en-AU"/>
        </w:rPr>
      </w:pPr>
      <w:r w:rsidRPr="00EB2E55">
        <w:rPr>
          <w:rStyle w:val="EndnoteReference"/>
          <w:sz w:val="22"/>
          <w:szCs w:val="22"/>
        </w:rPr>
        <w:endnoteRef/>
      </w:r>
      <w:r w:rsidRPr="00EB2E55">
        <w:rPr>
          <w:sz w:val="22"/>
          <w:szCs w:val="22"/>
        </w:rPr>
        <w:t xml:space="preserve"> </w:t>
      </w:r>
      <w:proofErr w:type="spellStart"/>
      <w:r w:rsidRPr="00EB2E55">
        <w:rPr>
          <w:sz w:val="22"/>
          <w:szCs w:val="22"/>
          <w:lang w:val="en-AU"/>
        </w:rPr>
        <w:t>Duckett</w:t>
      </w:r>
      <w:proofErr w:type="spellEnd"/>
      <w:r w:rsidRPr="00EB2E55">
        <w:rPr>
          <w:sz w:val="22"/>
          <w:szCs w:val="22"/>
          <w:lang w:val="en-AU"/>
        </w:rPr>
        <w:t xml:space="preserve"> S, </w:t>
      </w:r>
      <w:r w:rsidRPr="00EB2E55">
        <w:rPr>
          <w:sz w:val="22"/>
          <w:szCs w:val="22"/>
          <w:lang w:val="en-AU" w:eastAsia="en-AU"/>
        </w:rPr>
        <w:t xml:space="preserve">Beaumont M, Bell G, Gunn J, Murphy A, </w:t>
      </w:r>
      <w:proofErr w:type="gramStart"/>
      <w:r w:rsidRPr="00EB2E55">
        <w:rPr>
          <w:sz w:val="22"/>
          <w:szCs w:val="22"/>
          <w:lang w:val="en-AU" w:eastAsia="en-AU"/>
        </w:rPr>
        <w:t>Wilson</w:t>
      </w:r>
      <w:proofErr w:type="gramEnd"/>
      <w:r w:rsidRPr="00EB2E55">
        <w:rPr>
          <w:sz w:val="22"/>
          <w:szCs w:val="22"/>
          <w:lang w:val="en-AU" w:eastAsia="en-AU"/>
        </w:rPr>
        <w:t xml:space="preserve"> R, Crowley T. </w:t>
      </w:r>
      <w:r w:rsidRPr="00EB2E55">
        <w:rPr>
          <w:rFonts w:asciiTheme="minorHAnsi" w:hAnsiTheme="minorHAnsi"/>
          <w:bCs/>
          <w:i/>
          <w:sz w:val="22"/>
          <w:szCs w:val="22"/>
          <w:lang w:val="en-AU"/>
        </w:rPr>
        <w:t xml:space="preserve">Leading change in primary care: Boards of primary health networks can help improve the Australian health care system. </w:t>
      </w:r>
      <w:proofErr w:type="gramStart"/>
      <w:r w:rsidRPr="00EB2E55">
        <w:rPr>
          <w:rFonts w:asciiTheme="minorHAnsi" w:hAnsiTheme="minorHAnsi"/>
          <w:bCs/>
          <w:sz w:val="22"/>
          <w:szCs w:val="22"/>
          <w:lang w:val="en-AU"/>
        </w:rPr>
        <w:t>Copyright by authors.</w:t>
      </w:r>
      <w:proofErr w:type="gramEnd"/>
      <w:r w:rsidR="00CE568E">
        <w:rPr>
          <w:rFonts w:asciiTheme="minorHAnsi" w:hAnsiTheme="minorHAnsi"/>
          <w:bCs/>
          <w:sz w:val="22"/>
          <w:szCs w:val="22"/>
          <w:lang w:val="en-AU"/>
        </w:rPr>
        <w:t xml:space="preserve"> Available at the </w:t>
      </w:r>
      <w:r>
        <w:rPr>
          <w:rFonts w:asciiTheme="minorHAnsi" w:hAnsiTheme="minorHAnsi"/>
          <w:bCs/>
          <w:sz w:val="22"/>
          <w:szCs w:val="22"/>
          <w:lang w:val="en-AU"/>
        </w:rPr>
        <w:t xml:space="preserve"> </w:t>
      </w:r>
      <w:hyperlink r:id="rId15" w:history="1">
        <w:r w:rsidR="00CE568E">
          <w:rPr>
            <w:rStyle w:val="Hyperlink"/>
            <w:sz w:val="22"/>
            <w:szCs w:val="22"/>
            <w:lang w:val="en-AU"/>
          </w:rPr>
          <w:t>AHHA website</w:t>
        </w:r>
      </w:hyperlink>
    </w:p>
    <w:p w:rsidR="004A170A" w:rsidRPr="00EB2E55" w:rsidRDefault="004A170A">
      <w:pPr>
        <w:pStyle w:val="EndnoteText"/>
        <w:rPr>
          <w:rFonts w:asciiTheme="minorHAnsi" w:hAnsiTheme="minorHAnsi"/>
          <w:bCs/>
          <w:sz w:val="22"/>
          <w:szCs w:val="22"/>
          <w:lang w:val="en-AU"/>
        </w:rPr>
      </w:pPr>
    </w:p>
  </w:endnote>
  <w:endnote w:id="16">
    <w:p w:rsidR="004A170A" w:rsidRPr="00EB2E55" w:rsidRDefault="004A170A" w:rsidP="00213422">
      <w:pPr>
        <w:jc w:val="left"/>
        <w:rPr>
          <w:rFonts w:asciiTheme="minorHAnsi" w:hAnsiTheme="minorHAnsi"/>
          <w:bCs/>
          <w:szCs w:val="22"/>
          <w:lang w:val="en-AU"/>
        </w:rPr>
      </w:pPr>
      <w:r w:rsidRPr="00EB2E55">
        <w:rPr>
          <w:rStyle w:val="EndnoteReference"/>
          <w:szCs w:val="22"/>
        </w:rPr>
        <w:endnoteRef/>
      </w:r>
      <w:r w:rsidRPr="00EB2E55">
        <w:rPr>
          <w:szCs w:val="22"/>
        </w:rPr>
        <w:t xml:space="preserve"> </w:t>
      </w:r>
      <w:r w:rsidRPr="00EB2E55">
        <w:rPr>
          <w:szCs w:val="22"/>
          <w:lang w:val="en-AU"/>
        </w:rPr>
        <w:t xml:space="preserve">Robinson S, Dickinson H, </w:t>
      </w:r>
      <w:proofErr w:type="spellStart"/>
      <w:r w:rsidRPr="00EB2E55">
        <w:rPr>
          <w:szCs w:val="22"/>
          <w:lang w:val="en-AU"/>
        </w:rPr>
        <w:t>Durrington</w:t>
      </w:r>
      <w:proofErr w:type="spellEnd"/>
      <w:r w:rsidRPr="00EB2E55">
        <w:rPr>
          <w:szCs w:val="22"/>
          <w:lang w:val="en-AU"/>
        </w:rPr>
        <w:t xml:space="preserve"> C. </w:t>
      </w:r>
      <w:r w:rsidRPr="00EB2E55">
        <w:rPr>
          <w:rFonts w:asciiTheme="minorHAnsi" w:hAnsiTheme="minorHAnsi"/>
          <w:bCs/>
          <w:i/>
          <w:szCs w:val="22"/>
          <w:lang w:val="en-AU"/>
        </w:rPr>
        <w:t xml:space="preserve">Something old, something new, something </w:t>
      </w:r>
      <w:proofErr w:type="gramStart"/>
      <w:r w:rsidRPr="00EB2E55">
        <w:rPr>
          <w:rFonts w:asciiTheme="minorHAnsi" w:hAnsiTheme="minorHAnsi"/>
          <w:bCs/>
          <w:i/>
          <w:szCs w:val="22"/>
          <w:lang w:val="en-AU"/>
        </w:rPr>
        <w:t>borrowed,</w:t>
      </w:r>
      <w:proofErr w:type="gramEnd"/>
      <w:r w:rsidRPr="00EB2E55">
        <w:rPr>
          <w:rFonts w:asciiTheme="minorHAnsi" w:hAnsiTheme="minorHAnsi"/>
          <w:bCs/>
          <w:i/>
          <w:szCs w:val="22"/>
          <w:lang w:val="en-AU"/>
        </w:rPr>
        <w:t xml:space="preserve"> something blue? </w:t>
      </w:r>
      <w:proofErr w:type="gramStart"/>
      <w:r w:rsidRPr="00EB2E55">
        <w:rPr>
          <w:rFonts w:asciiTheme="minorHAnsi" w:hAnsiTheme="minorHAnsi"/>
          <w:bCs/>
          <w:i/>
          <w:szCs w:val="22"/>
          <w:lang w:val="en-AU"/>
        </w:rPr>
        <w:t>Reviewing the evidence on commissioning and health services</w:t>
      </w:r>
      <w:r w:rsidRPr="00EB2E55">
        <w:rPr>
          <w:rFonts w:asciiTheme="minorHAnsi" w:hAnsiTheme="minorHAnsi"/>
          <w:bCs/>
          <w:szCs w:val="22"/>
          <w:lang w:val="en-AU"/>
        </w:rPr>
        <w:t>.</w:t>
      </w:r>
      <w:proofErr w:type="gramEnd"/>
      <w:r w:rsidRPr="00EB2E55">
        <w:rPr>
          <w:rFonts w:asciiTheme="minorHAnsi" w:hAnsiTheme="minorHAnsi"/>
          <w:bCs/>
          <w:szCs w:val="22"/>
          <w:lang w:val="en-AU"/>
        </w:rPr>
        <w:t xml:space="preserve"> Australian Journal of Primary Health 2016: 22: 1. </w:t>
      </w:r>
      <w:proofErr w:type="gramStart"/>
      <w:r w:rsidRPr="00EB2E55">
        <w:rPr>
          <w:rFonts w:asciiTheme="minorHAnsi" w:hAnsiTheme="minorHAnsi"/>
          <w:bCs/>
          <w:szCs w:val="22"/>
          <w:lang w:val="en-AU"/>
        </w:rPr>
        <w:t>p.12.</w:t>
      </w:r>
      <w:proofErr w:type="gramEnd"/>
    </w:p>
    <w:p w:rsidR="004A170A" w:rsidRPr="00EB2E55" w:rsidRDefault="004A170A" w:rsidP="00213422">
      <w:pPr>
        <w:pStyle w:val="EndnoteText"/>
        <w:rPr>
          <w:sz w:val="22"/>
          <w:szCs w:val="22"/>
          <w:lang w:val="en-AU"/>
        </w:rPr>
      </w:pPr>
    </w:p>
  </w:endnote>
  <w:endnote w:id="17">
    <w:p w:rsidR="004A170A" w:rsidRPr="00EB2E55" w:rsidRDefault="004A170A" w:rsidP="00D53F2D">
      <w:pPr>
        <w:pStyle w:val="EndnoteText"/>
        <w:jc w:val="left"/>
        <w:rPr>
          <w:sz w:val="22"/>
          <w:szCs w:val="22"/>
          <w:lang w:val="en-AU"/>
        </w:rPr>
      </w:pPr>
      <w:r w:rsidRPr="00EB2E55">
        <w:rPr>
          <w:rStyle w:val="EndnoteReference"/>
          <w:sz w:val="22"/>
          <w:szCs w:val="22"/>
        </w:rPr>
        <w:endnoteRef/>
      </w:r>
      <w:r w:rsidRPr="00EB2E55">
        <w:rPr>
          <w:sz w:val="22"/>
          <w:szCs w:val="22"/>
        </w:rPr>
        <w:t xml:space="preserve"> </w:t>
      </w:r>
      <w:proofErr w:type="gramStart"/>
      <w:r w:rsidRPr="00EB2E55">
        <w:rPr>
          <w:sz w:val="22"/>
          <w:szCs w:val="22"/>
          <w:lang w:val="en-AU"/>
        </w:rPr>
        <w:t>The King’s Fund and University of Melbourne, in alliance with PricewaterhouseCoopers.</w:t>
      </w:r>
      <w:proofErr w:type="gramEnd"/>
      <w:r w:rsidRPr="00EB2E55">
        <w:rPr>
          <w:sz w:val="22"/>
          <w:szCs w:val="22"/>
          <w:lang w:val="en-AU"/>
        </w:rPr>
        <w:t xml:space="preserve"> </w:t>
      </w:r>
      <w:r w:rsidRPr="00EB2E55">
        <w:rPr>
          <w:i/>
          <w:sz w:val="22"/>
          <w:szCs w:val="22"/>
          <w:lang w:val="en-AU"/>
        </w:rPr>
        <w:t>Challenges and lessons for good practice: Review of the history and development of health service commissioning</w:t>
      </w:r>
      <w:r w:rsidRPr="00EB2E55">
        <w:rPr>
          <w:sz w:val="22"/>
          <w:szCs w:val="22"/>
          <w:lang w:val="en-AU"/>
        </w:rPr>
        <w:t>.</w:t>
      </w:r>
      <w:r>
        <w:rPr>
          <w:sz w:val="22"/>
          <w:szCs w:val="22"/>
          <w:lang w:val="en-AU"/>
        </w:rPr>
        <w:t xml:space="preserve"> </w:t>
      </w:r>
      <w:proofErr w:type="gramStart"/>
      <w:r w:rsidRPr="00EB2E55">
        <w:rPr>
          <w:sz w:val="22"/>
          <w:szCs w:val="22"/>
          <w:lang w:val="en-AU"/>
        </w:rPr>
        <w:t>Prepared for the Australian Government Department of Health.</w:t>
      </w:r>
      <w:proofErr w:type="gramEnd"/>
      <w:r w:rsidRPr="00EB2E55">
        <w:rPr>
          <w:sz w:val="22"/>
          <w:szCs w:val="22"/>
          <w:lang w:val="en-AU"/>
        </w:rPr>
        <w:t xml:space="preserve"> 2016. Section 2.2.3. </w:t>
      </w:r>
      <w:proofErr w:type="gramStart"/>
      <w:r w:rsidRPr="00EB2E55">
        <w:rPr>
          <w:sz w:val="22"/>
          <w:szCs w:val="22"/>
          <w:lang w:val="en-AU"/>
        </w:rPr>
        <w:t>Contracting for quality.</w:t>
      </w:r>
      <w:proofErr w:type="gramEnd"/>
    </w:p>
    <w:p w:rsidR="004A170A" w:rsidRPr="00EB2E55" w:rsidRDefault="004A170A" w:rsidP="00D53F2D">
      <w:pPr>
        <w:pStyle w:val="EndnoteText"/>
        <w:jc w:val="left"/>
        <w:rPr>
          <w:sz w:val="22"/>
          <w:szCs w:val="22"/>
          <w:lang w:val="en-AU"/>
        </w:rPr>
      </w:pPr>
    </w:p>
  </w:endnote>
  <w:endnote w:id="18">
    <w:p w:rsidR="004A170A" w:rsidRPr="00EB2E55" w:rsidRDefault="004A170A" w:rsidP="00ED1091">
      <w:pPr>
        <w:pStyle w:val="EndnoteText"/>
        <w:jc w:val="left"/>
        <w:rPr>
          <w:rFonts w:asciiTheme="minorHAnsi" w:hAnsiTheme="minorHAnsi"/>
          <w:bCs/>
          <w:sz w:val="22"/>
          <w:szCs w:val="22"/>
          <w:lang w:val="en-AU"/>
        </w:rPr>
      </w:pPr>
      <w:r w:rsidRPr="00EB2E55">
        <w:rPr>
          <w:rStyle w:val="EndnoteReference"/>
          <w:sz w:val="22"/>
          <w:szCs w:val="22"/>
        </w:rPr>
        <w:endnoteRef/>
      </w:r>
      <w:r w:rsidRPr="00EB2E55">
        <w:rPr>
          <w:sz w:val="22"/>
          <w:szCs w:val="22"/>
        </w:rPr>
        <w:t xml:space="preserve"> See: Harper I, Anderson P, </w:t>
      </w:r>
      <w:proofErr w:type="spellStart"/>
      <w:r w:rsidRPr="00EB2E55">
        <w:rPr>
          <w:sz w:val="22"/>
          <w:szCs w:val="22"/>
        </w:rPr>
        <w:t>McCluskey</w:t>
      </w:r>
      <w:proofErr w:type="spellEnd"/>
      <w:r w:rsidRPr="00EB2E55">
        <w:rPr>
          <w:sz w:val="22"/>
          <w:szCs w:val="22"/>
        </w:rPr>
        <w:t xml:space="preserve"> S, </w:t>
      </w:r>
      <w:proofErr w:type="gramStart"/>
      <w:r w:rsidRPr="00EB2E55">
        <w:rPr>
          <w:sz w:val="22"/>
          <w:szCs w:val="22"/>
        </w:rPr>
        <w:t>O’Brien</w:t>
      </w:r>
      <w:proofErr w:type="gramEnd"/>
      <w:r w:rsidRPr="00EB2E55">
        <w:rPr>
          <w:sz w:val="22"/>
          <w:szCs w:val="22"/>
        </w:rPr>
        <w:t xml:space="preserve"> M. </w:t>
      </w:r>
      <w:r w:rsidRPr="00EB2E55">
        <w:rPr>
          <w:i/>
          <w:sz w:val="22"/>
          <w:szCs w:val="22"/>
        </w:rPr>
        <w:t>Competition Policy Review Final Report</w:t>
      </w:r>
      <w:r w:rsidRPr="00EB2E55">
        <w:rPr>
          <w:sz w:val="22"/>
          <w:szCs w:val="22"/>
        </w:rPr>
        <w:t xml:space="preserve">. Commonwealth of Australia 2015; and </w:t>
      </w:r>
      <w:proofErr w:type="spellStart"/>
      <w:r w:rsidRPr="00EB2E55">
        <w:rPr>
          <w:sz w:val="22"/>
          <w:szCs w:val="22"/>
        </w:rPr>
        <w:t>Sturgess</w:t>
      </w:r>
      <w:proofErr w:type="spellEnd"/>
      <w:r w:rsidRPr="00EB2E55">
        <w:rPr>
          <w:sz w:val="22"/>
          <w:szCs w:val="22"/>
        </w:rPr>
        <w:t xml:space="preserve"> G, Cummings L. </w:t>
      </w:r>
      <w:r w:rsidRPr="00EB2E55">
        <w:rPr>
          <w:rFonts w:asciiTheme="minorHAnsi" w:hAnsiTheme="minorHAnsi"/>
          <w:bCs/>
          <w:i/>
          <w:sz w:val="22"/>
          <w:szCs w:val="22"/>
          <w:lang w:val="en-AU"/>
        </w:rPr>
        <w:t>Payment by Outcome: A Commissioner’s Toolkit</w:t>
      </w:r>
      <w:r w:rsidRPr="00EB2E55">
        <w:rPr>
          <w:rFonts w:asciiTheme="minorHAnsi" w:hAnsiTheme="minorHAnsi"/>
          <w:bCs/>
          <w:sz w:val="22"/>
          <w:szCs w:val="22"/>
          <w:lang w:val="en-AU"/>
        </w:rPr>
        <w:t xml:space="preserve">. </w:t>
      </w:r>
      <w:proofErr w:type="gramStart"/>
      <w:r w:rsidRPr="00EB2E55">
        <w:rPr>
          <w:rFonts w:asciiTheme="minorHAnsi" w:hAnsiTheme="minorHAnsi"/>
          <w:bCs/>
          <w:sz w:val="22"/>
          <w:szCs w:val="22"/>
          <w:lang w:val="en-AU"/>
        </w:rPr>
        <w:t>2020 Public Services Trust 2011.</w:t>
      </w:r>
      <w:proofErr w:type="gramEnd"/>
    </w:p>
    <w:p w:rsidR="004A170A" w:rsidRPr="00EB2E55" w:rsidRDefault="004A170A" w:rsidP="00AC42F4">
      <w:pPr>
        <w:pStyle w:val="EndnoteText"/>
        <w:rPr>
          <w:rFonts w:asciiTheme="minorHAnsi" w:hAnsiTheme="minorHAnsi"/>
          <w:bCs/>
          <w:sz w:val="22"/>
          <w:szCs w:val="22"/>
          <w:lang w:val="en-AU"/>
        </w:rPr>
      </w:pPr>
    </w:p>
  </w:endnote>
  <w:endnote w:id="19">
    <w:p w:rsidR="004A170A" w:rsidRPr="00EB2E55" w:rsidRDefault="004A170A" w:rsidP="00F9495E">
      <w:pPr>
        <w:pStyle w:val="EndnoteText"/>
        <w:rPr>
          <w:bCs/>
          <w:sz w:val="22"/>
          <w:szCs w:val="22"/>
          <w:lang w:val="en-AU"/>
        </w:rPr>
      </w:pPr>
      <w:r w:rsidRPr="00EB2E55">
        <w:rPr>
          <w:rStyle w:val="EndnoteReference"/>
          <w:sz w:val="22"/>
          <w:szCs w:val="22"/>
        </w:rPr>
        <w:endnoteRef/>
      </w:r>
      <w:r w:rsidRPr="00EB2E55">
        <w:rPr>
          <w:sz w:val="22"/>
          <w:szCs w:val="22"/>
        </w:rPr>
        <w:t xml:space="preserve"> This is an adaption of a point made by </w:t>
      </w:r>
      <w:proofErr w:type="spellStart"/>
      <w:r w:rsidRPr="00EB2E55">
        <w:rPr>
          <w:sz w:val="22"/>
          <w:szCs w:val="22"/>
        </w:rPr>
        <w:t>Dawda</w:t>
      </w:r>
      <w:proofErr w:type="spellEnd"/>
      <w:r w:rsidRPr="00EB2E55">
        <w:rPr>
          <w:sz w:val="22"/>
          <w:szCs w:val="22"/>
        </w:rPr>
        <w:t xml:space="preserve"> </w:t>
      </w:r>
      <w:proofErr w:type="gramStart"/>
      <w:r w:rsidRPr="00EB2E55">
        <w:rPr>
          <w:sz w:val="22"/>
          <w:szCs w:val="22"/>
        </w:rPr>
        <w:t>P,</w:t>
      </w:r>
      <w:proofErr w:type="gramEnd"/>
      <w:r w:rsidRPr="00EB2E55">
        <w:rPr>
          <w:sz w:val="22"/>
          <w:szCs w:val="22"/>
        </w:rPr>
        <w:t xml:space="preserve"> True A, Wells L</w:t>
      </w:r>
      <w:r w:rsidRPr="00EB2E55">
        <w:rPr>
          <w:i/>
          <w:sz w:val="22"/>
          <w:szCs w:val="22"/>
        </w:rPr>
        <w:t xml:space="preserve">. </w:t>
      </w:r>
      <w:r w:rsidRPr="00EB2E55">
        <w:rPr>
          <w:bCs/>
          <w:i/>
          <w:sz w:val="22"/>
          <w:szCs w:val="22"/>
          <w:lang w:val="en-AU"/>
        </w:rPr>
        <w:t>Commissioning: perspectives from the ground.</w:t>
      </w:r>
      <w:r w:rsidRPr="00EB2E55">
        <w:rPr>
          <w:bCs/>
          <w:sz w:val="22"/>
          <w:szCs w:val="22"/>
          <w:lang w:val="en-AU"/>
        </w:rPr>
        <w:t xml:space="preserve"> Australian Journal of Primary Health 2016: 22: 1. p.6. The original wording is:</w:t>
      </w:r>
    </w:p>
    <w:p w:rsidR="004A170A" w:rsidRPr="00EB2E55" w:rsidRDefault="004A170A" w:rsidP="00B853F3">
      <w:pPr>
        <w:pStyle w:val="EndnoteText"/>
        <w:ind w:left="720"/>
        <w:rPr>
          <w:sz w:val="22"/>
          <w:szCs w:val="22"/>
        </w:rPr>
      </w:pPr>
    </w:p>
    <w:p w:rsidR="004A170A" w:rsidRPr="00EB2E55" w:rsidRDefault="004A170A" w:rsidP="00B853F3">
      <w:pPr>
        <w:pStyle w:val="EndnoteText"/>
        <w:ind w:left="720"/>
        <w:rPr>
          <w:bCs/>
          <w:sz w:val="22"/>
          <w:szCs w:val="22"/>
          <w:lang w:val="en-AU"/>
        </w:rPr>
      </w:pPr>
      <w:r w:rsidRPr="00EB2E55">
        <w:rPr>
          <w:sz w:val="22"/>
          <w:szCs w:val="22"/>
        </w:rPr>
        <w:t>It is our view that effective commissioning needs to focus even more on relational aspects, to first agree a shared purpose and then work towards achieving it.</w:t>
      </w:r>
    </w:p>
    <w:p w:rsidR="004A170A" w:rsidRPr="00EB2E55" w:rsidRDefault="004A170A" w:rsidP="00F9495E">
      <w:pPr>
        <w:pStyle w:val="EndnoteText"/>
        <w:rPr>
          <w:sz w:val="22"/>
          <w:szCs w:val="22"/>
          <w:lang w:val="en-AU"/>
        </w:rPr>
      </w:pPr>
    </w:p>
  </w:endnote>
  <w:endnote w:id="20">
    <w:p w:rsidR="004A170A" w:rsidRPr="00EB2E55" w:rsidRDefault="004A170A" w:rsidP="009D00C2">
      <w:pPr>
        <w:pStyle w:val="EndnoteText"/>
        <w:jc w:val="left"/>
        <w:rPr>
          <w:rFonts w:asciiTheme="minorHAnsi" w:hAnsiTheme="minorHAnsi" w:cs="Helvetica"/>
          <w:sz w:val="22"/>
          <w:szCs w:val="22"/>
          <w:shd w:val="clear" w:color="auto" w:fill="FFFFFF"/>
          <w:lang w:val="en-AU"/>
        </w:rPr>
      </w:pPr>
      <w:r w:rsidRPr="00EB2E55">
        <w:rPr>
          <w:rStyle w:val="EndnoteReference"/>
          <w:sz w:val="22"/>
          <w:szCs w:val="22"/>
        </w:rPr>
        <w:endnoteRef/>
      </w:r>
      <w:r w:rsidRPr="00EB2E55">
        <w:rPr>
          <w:sz w:val="22"/>
          <w:szCs w:val="22"/>
        </w:rPr>
        <w:t xml:space="preserve"> </w:t>
      </w:r>
      <w:proofErr w:type="spellStart"/>
      <w:r w:rsidRPr="00EB2E55">
        <w:rPr>
          <w:rStyle w:val="absnonlinkmetadata"/>
          <w:rFonts w:asciiTheme="minorHAnsi" w:hAnsiTheme="minorHAnsi" w:cs="Helvetica"/>
          <w:sz w:val="22"/>
          <w:szCs w:val="22"/>
          <w:shd w:val="clear" w:color="auto" w:fill="FFFFFF"/>
        </w:rPr>
        <w:t>Donabedian</w:t>
      </w:r>
      <w:proofErr w:type="spellEnd"/>
      <w:r w:rsidRPr="00EB2E55">
        <w:rPr>
          <w:rStyle w:val="absnonlinkmetadata"/>
          <w:rFonts w:asciiTheme="minorHAnsi" w:hAnsiTheme="minorHAnsi" w:cs="Helvetica"/>
          <w:sz w:val="22"/>
          <w:szCs w:val="22"/>
          <w:shd w:val="clear" w:color="auto" w:fill="FFFFFF"/>
        </w:rPr>
        <w:t xml:space="preserve"> A. </w:t>
      </w:r>
      <w:r w:rsidRPr="00EB2E55">
        <w:rPr>
          <w:rFonts w:asciiTheme="minorHAnsi" w:hAnsiTheme="minorHAnsi"/>
          <w:bCs/>
          <w:i/>
          <w:sz w:val="22"/>
          <w:szCs w:val="22"/>
          <w:lang w:val="en-AU"/>
        </w:rPr>
        <w:t>Evaluating the quality of medical care.</w:t>
      </w:r>
      <w:r w:rsidRPr="00EB2E55">
        <w:rPr>
          <w:rFonts w:asciiTheme="minorHAnsi" w:hAnsiTheme="minorHAnsi"/>
          <w:bCs/>
          <w:sz w:val="22"/>
          <w:szCs w:val="22"/>
          <w:lang w:val="en-AU"/>
        </w:rPr>
        <w:t xml:space="preserve"> Milbank Quarterly 1966: 44: 3 Pt 2. Reprinted 2005: 83: 4: 691-729, and </w:t>
      </w:r>
      <w:proofErr w:type="spellStart"/>
      <w:r w:rsidRPr="00EB2E55">
        <w:rPr>
          <w:sz w:val="22"/>
          <w:szCs w:val="22"/>
        </w:rPr>
        <w:t>Donabedian</w:t>
      </w:r>
      <w:proofErr w:type="spellEnd"/>
      <w:r w:rsidRPr="00EB2E55">
        <w:rPr>
          <w:sz w:val="22"/>
          <w:szCs w:val="22"/>
        </w:rPr>
        <w:t xml:space="preserve"> A. </w:t>
      </w:r>
      <w:r w:rsidRPr="00EB2E55">
        <w:rPr>
          <w:rFonts w:asciiTheme="minorHAnsi" w:hAnsiTheme="minorHAnsi"/>
          <w:bCs/>
          <w:i/>
          <w:sz w:val="22"/>
          <w:szCs w:val="22"/>
          <w:lang w:val="en-AU"/>
        </w:rPr>
        <w:t>The seven pillars of quality.</w:t>
      </w:r>
      <w:r w:rsidRPr="00EB2E55">
        <w:rPr>
          <w:rFonts w:asciiTheme="minorHAnsi" w:hAnsiTheme="minorHAnsi"/>
          <w:bCs/>
          <w:sz w:val="22"/>
          <w:szCs w:val="22"/>
          <w:lang w:val="en-AU"/>
        </w:rPr>
        <w:t xml:space="preserve"> </w:t>
      </w:r>
      <w:r w:rsidRPr="00EB2E55">
        <w:rPr>
          <w:rFonts w:asciiTheme="minorHAnsi" w:hAnsiTheme="minorHAnsi"/>
          <w:sz w:val="22"/>
          <w:szCs w:val="22"/>
          <w:shd w:val="clear" w:color="auto" w:fill="FFFFFF"/>
        </w:rPr>
        <w:t>Archives of Pathology and Laboratory Medicine</w:t>
      </w:r>
      <w:r w:rsidRPr="00EB2E55">
        <w:rPr>
          <w:rStyle w:val="apple-converted-space"/>
          <w:rFonts w:asciiTheme="minorHAnsi" w:hAnsiTheme="minorHAnsi" w:cs="Helvetica"/>
          <w:sz w:val="22"/>
          <w:szCs w:val="22"/>
          <w:shd w:val="clear" w:color="auto" w:fill="FFFFFF"/>
        </w:rPr>
        <w:t xml:space="preserve"> </w:t>
      </w:r>
      <w:r w:rsidRPr="00EB2E55">
        <w:rPr>
          <w:rStyle w:val="absnonlinkmetadata"/>
          <w:rFonts w:asciiTheme="minorHAnsi" w:hAnsiTheme="minorHAnsi" w:cs="Helvetica"/>
          <w:sz w:val="22"/>
          <w:szCs w:val="22"/>
          <w:shd w:val="clear" w:color="auto" w:fill="FFFFFF"/>
        </w:rPr>
        <w:t>1990:</w:t>
      </w:r>
      <w:r>
        <w:rPr>
          <w:rStyle w:val="absnonlinkmetadata"/>
          <w:rFonts w:asciiTheme="minorHAnsi" w:hAnsiTheme="minorHAnsi" w:cs="Helvetica"/>
          <w:sz w:val="22"/>
          <w:szCs w:val="22"/>
          <w:shd w:val="clear" w:color="auto" w:fill="FFFFFF"/>
        </w:rPr>
        <w:t xml:space="preserve"> </w:t>
      </w:r>
      <w:r w:rsidRPr="00EB2E55">
        <w:rPr>
          <w:rStyle w:val="absnonlinkmetadata"/>
          <w:rFonts w:asciiTheme="minorHAnsi" w:hAnsiTheme="minorHAnsi" w:cs="Helvetica"/>
          <w:sz w:val="22"/>
          <w:szCs w:val="22"/>
          <w:shd w:val="clear" w:color="auto" w:fill="FFFFFF"/>
        </w:rPr>
        <w:t>114: 11:1115-1118.</w:t>
      </w:r>
      <w:r>
        <w:rPr>
          <w:rStyle w:val="absnonlinkmetadata"/>
          <w:rFonts w:asciiTheme="minorHAnsi" w:hAnsiTheme="minorHAnsi" w:cs="Helvetica"/>
          <w:sz w:val="22"/>
          <w:szCs w:val="22"/>
          <w:shd w:val="clear" w:color="auto" w:fill="FFFFFF"/>
        </w:rPr>
        <w:t xml:space="preserve"> </w:t>
      </w:r>
      <w:proofErr w:type="spellStart"/>
      <w:r w:rsidRPr="00EB2E55">
        <w:rPr>
          <w:rFonts w:asciiTheme="minorHAnsi" w:hAnsiTheme="minorHAnsi" w:cs="Helvetica"/>
          <w:sz w:val="22"/>
          <w:szCs w:val="22"/>
          <w:shd w:val="clear" w:color="auto" w:fill="FFFFFF"/>
          <w:lang w:val="en-AU"/>
        </w:rPr>
        <w:t>Donabedian</w:t>
      </w:r>
      <w:proofErr w:type="spellEnd"/>
      <w:r w:rsidRPr="00EB2E55">
        <w:rPr>
          <w:rFonts w:asciiTheme="minorHAnsi" w:hAnsiTheme="minorHAnsi" w:cs="Helvetica"/>
          <w:sz w:val="22"/>
          <w:szCs w:val="22"/>
          <w:shd w:val="clear" w:color="auto" w:fill="FFFFFF"/>
          <w:lang w:val="en-AU"/>
        </w:rPr>
        <w:t xml:space="preserve"> argued that there are seven attributes of health care that define its quality and his </w:t>
      </w:r>
      <w:r w:rsidRPr="00EB2E55">
        <w:rPr>
          <w:rFonts w:asciiTheme="minorHAnsi" w:hAnsiTheme="minorHAnsi" w:cs="Helvetica"/>
          <w:sz w:val="22"/>
          <w:szCs w:val="22"/>
          <w:shd w:val="clear" w:color="auto" w:fill="FFFFFF"/>
        </w:rPr>
        <w:t>list of non-mutually exclusive attributes was:</w:t>
      </w:r>
    </w:p>
    <w:p w:rsidR="004A170A" w:rsidRPr="00EB2E55" w:rsidRDefault="004A170A" w:rsidP="009D00C2">
      <w:pPr>
        <w:pStyle w:val="EndnoteText"/>
        <w:jc w:val="left"/>
        <w:rPr>
          <w:rFonts w:asciiTheme="minorHAnsi" w:hAnsiTheme="minorHAnsi" w:cs="Helvetica"/>
          <w:sz w:val="22"/>
          <w:szCs w:val="22"/>
          <w:shd w:val="clear" w:color="auto" w:fill="FFFFFF"/>
        </w:rPr>
      </w:pPr>
    </w:p>
    <w:p w:rsidR="004A170A" w:rsidRPr="00EB2E55" w:rsidRDefault="004A170A" w:rsidP="0086041E">
      <w:pPr>
        <w:pStyle w:val="EndnoteText"/>
        <w:numPr>
          <w:ilvl w:val="0"/>
          <w:numId w:val="9"/>
        </w:numPr>
        <w:jc w:val="left"/>
        <w:rPr>
          <w:rFonts w:asciiTheme="minorHAnsi" w:hAnsiTheme="minorHAnsi" w:cs="Helvetica"/>
          <w:sz w:val="22"/>
          <w:szCs w:val="22"/>
          <w:shd w:val="clear" w:color="auto" w:fill="FFFFFF"/>
          <w:lang w:val="en-AU"/>
        </w:rPr>
      </w:pPr>
      <w:proofErr w:type="gramStart"/>
      <w:r w:rsidRPr="00EB2E55">
        <w:rPr>
          <w:rFonts w:asciiTheme="minorHAnsi" w:hAnsiTheme="minorHAnsi" w:cs="Helvetica"/>
          <w:i/>
          <w:sz w:val="22"/>
          <w:szCs w:val="22"/>
          <w:shd w:val="clear" w:color="auto" w:fill="FFFFFF"/>
        </w:rPr>
        <w:t>efficacy</w:t>
      </w:r>
      <w:proofErr w:type="gramEnd"/>
      <w:r w:rsidRPr="00EB2E55">
        <w:rPr>
          <w:rFonts w:asciiTheme="minorHAnsi" w:hAnsiTheme="minorHAnsi" w:cs="Helvetica"/>
          <w:i/>
          <w:sz w:val="22"/>
          <w:szCs w:val="22"/>
          <w:shd w:val="clear" w:color="auto" w:fill="FFFFFF"/>
        </w:rPr>
        <w:t>:</w:t>
      </w:r>
      <w:r w:rsidRPr="00EB2E55">
        <w:rPr>
          <w:rFonts w:asciiTheme="minorHAnsi" w:hAnsiTheme="minorHAnsi" w:cs="Helvetica"/>
          <w:sz w:val="22"/>
          <w:szCs w:val="22"/>
          <w:shd w:val="clear" w:color="auto" w:fill="FFFFFF"/>
        </w:rPr>
        <w:t xml:space="preserve"> the ability of care, at its best, to improve health.</w:t>
      </w:r>
    </w:p>
    <w:p w:rsidR="004A170A" w:rsidRPr="00EB2E55" w:rsidRDefault="004A170A" w:rsidP="0086041E">
      <w:pPr>
        <w:pStyle w:val="EndnoteText"/>
        <w:numPr>
          <w:ilvl w:val="0"/>
          <w:numId w:val="9"/>
        </w:numPr>
        <w:jc w:val="left"/>
        <w:rPr>
          <w:rFonts w:asciiTheme="minorHAnsi" w:hAnsiTheme="minorHAnsi" w:cs="Helvetica"/>
          <w:sz w:val="22"/>
          <w:szCs w:val="22"/>
          <w:shd w:val="clear" w:color="auto" w:fill="FFFFFF"/>
          <w:lang w:val="en-AU"/>
        </w:rPr>
      </w:pPr>
      <w:proofErr w:type="gramStart"/>
      <w:r w:rsidRPr="00EB2E55">
        <w:rPr>
          <w:rFonts w:asciiTheme="minorHAnsi" w:hAnsiTheme="minorHAnsi" w:cs="Helvetica"/>
          <w:i/>
          <w:sz w:val="22"/>
          <w:szCs w:val="22"/>
          <w:shd w:val="clear" w:color="auto" w:fill="FFFFFF"/>
        </w:rPr>
        <w:t>effectiveness</w:t>
      </w:r>
      <w:proofErr w:type="gramEnd"/>
      <w:r w:rsidRPr="00EB2E55">
        <w:rPr>
          <w:rFonts w:asciiTheme="minorHAnsi" w:hAnsiTheme="minorHAnsi" w:cs="Helvetica"/>
          <w:i/>
          <w:sz w:val="22"/>
          <w:szCs w:val="22"/>
          <w:shd w:val="clear" w:color="auto" w:fill="FFFFFF"/>
        </w:rPr>
        <w:t>:</w:t>
      </w:r>
      <w:r w:rsidRPr="00EB2E55">
        <w:rPr>
          <w:rFonts w:asciiTheme="minorHAnsi" w:hAnsiTheme="minorHAnsi" w:cs="Helvetica"/>
          <w:sz w:val="22"/>
          <w:szCs w:val="22"/>
          <w:shd w:val="clear" w:color="auto" w:fill="FFFFFF"/>
        </w:rPr>
        <w:t xml:space="preserve"> the degree to which attainable health improvements are realized.</w:t>
      </w:r>
    </w:p>
    <w:p w:rsidR="004A170A" w:rsidRPr="00EB2E55" w:rsidRDefault="004A170A" w:rsidP="0086041E">
      <w:pPr>
        <w:pStyle w:val="EndnoteText"/>
        <w:numPr>
          <w:ilvl w:val="0"/>
          <w:numId w:val="9"/>
        </w:numPr>
        <w:jc w:val="left"/>
        <w:rPr>
          <w:rFonts w:asciiTheme="minorHAnsi" w:hAnsiTheme="minorHAnsi" w:cs="Helvetica"/>
          <w:sz w:val="22"/>
          <w:szCs w:val="22"/>
          <w:shd w:val="clear" w:color="auto" w:fill="FFFFFF"/>
          <w:lang w:val="en-AU"/>
        </w:rPr>
      </w:pPr>
      <w:proofErr w:type="gramStart"/>
      <w:r w:rsidRPr="00EB2E55">
        <w:rPr>
          <w:rFonts w:asciiTheme="minorHAnsi" w:hAnsiTheme="minorHAnsi" w:cs="Helvetica"/>
          <w:i/>
          <w:sz w:val="22"/>
          <w:szCs w:val="22"/>
          <w:shd w:val="clear" w:color="auto" w:fill="FFFFFF"/>
        </w:rPr>
        <w:t>efficiency</w:t>
      </w:r>
      <w:proofErr w:type="gramEnd"/>
      <w:r w:rsidRPr="00EB2E55">
        <w:rPr>
          <w:rFonts w:asciiTheme="minorHAnsi" w:hAnsiTheme="minorHAnsi" w:cs="Helvetica"/>
          <w:i/>
          <w:sz w:val="22"/>
          <w:szCs w:val="22"/>
          <w:shd w:val="clear" w:color="auto" w:fill="FFFFFF"/>
        </w:rPr>
        <w:t>:</w:t>
      </w:r>
      <w:r w:rsidRPr="00EB2E55">
        <w:rPr>
          <w:rFonts w:asciiTheme="minorHAnsi" w:hAnsiTheme="minorHAnsi" w:cs="Helvetica"/>
          <w:sz w:val="22"/>
          <w:szCs w:val="22"/>
          <w:shd w:val="clear" w:color="auto" w:fill="FFFFFF"/>
        </w:rPr>
        <w:t xml:space="preserve"> the ability to obtain the greatest health improvement at the lowest cost.</w:t>
      </w:r>
    </w:p>
    <w:p w:rsidR="004A170A" w:rsidRPr="00EB2E55" w:rsidRDefault="004A170A" w:rsidP="0086041E">
      <w:pPr>
        <w:pStyle w:val="EndnoteText"/>
        <w:numPr>
          <w:ilvl w:val="0"/>
          <w:numId w:val="9"/>
        </w:numPr>
        <w:jc w:val="left"/>
        <w:rPr>
          <w:rFonts w:asciiTheme="minorHAnsi" w:hAnsiTheme="minorHAnsi" w:cs="Helvetica"/>
          <w:sz w:val="22"/>
          <w:szCs w:val="22"/>
          <w:shd w:val="clear" w:color="auto" w:fill="FFFFFF"/>
          <w:lang w:val="en-AU"/>
        </w:rPr>
      </w:pPr>
      <w:proofErr w:type="gramStart"/>
      <w:r w:rsidRPr="00EB2E55">
        <w:rPr>
          <w:rFonts w:asciiTheme="minorHAnsi" w:hAnsiTheme="minorHAnsi" w:cs="Helvetica"/>
          <w:i/>
          <w:sz w:val="22"/>
          <w:szCs w:val="22"/>
          <w:shd w:val="clear" w:color="auto" w:fill="FFFFFF"/>
        </w:rPr>
        <w:t>optimality</w:t>
      </w:r>
      <w:proofErr w:type="gramEnd"/>
      <w:r w:rsidRPr="00EB2E55">
        <w:rPr>
          <w:rFonts w:asciiTheme="minorHAnsi" w:hAnsiTheme="minorHAnsi" w:cs="Helvetica"/>
          <w:i/>
          <w:sz w:val="22"/>
          <w:szCs w:val="22"/>
          <w:shd w:val="clear" w:color="auto" w:fill="FFFFFF"/>
        </w:rPr>
        <w:t>:</w:t>
      </w:r>
      <w:r w:rsidRPr="00EB2E55">
        <w:rPr>
          <w:rFonts w:asciiTheme="minorHAnsi" w:hAnsiTheme="minorHAnsi" w:cs="Helvetica"/>
          <w:sz w:val="22"/>
          <w:szCs w:val="22"/>
          <w:shd w:val="clear" w:color="auto" w:fill="FFFFFF"/>
        </w:rPr>
        <w:t xml:space="preserve"> the most advantageous balancing of costs and benefits.</w:t>
      </w:r>
    </w:p>
    <w:p w:rsidR="004A170A" w:rsidRPr="00EB2E55" w:rsidRDefault="004A170A" w:rsidP="0086041E">
      <w:pPr>
        <w:pStyle w:val="EndnoteText"/>
        <w:numPr>
          <w:ilvl w:val="0"/>
          <w:numId w:val="9"/>
        </w:numPr>
        <w:jc w:val="left"/>
        <w:rPr>
          <w:rFonts w:asciiTheme="minorHAnsi" w:hAnsiTheme="minorHAnsi" w:cs="Helvetica"/>
          <w:sz w:val="22"/>
          <w:szCs w:val="22"/>
          <w:shd w:val="clear" w:color="auto" w:fill="FFFFFF"/>
          <w:lang w:val="en-AU"/>
        </w:rPr>
      </w:pPr>
      <w:proofErr w:type="gramStart"/>
      <w:r w:rsidRPr="00EB2E55">
        <w:rPr>
          <w:rFonts w:asciiTheme="minorHAnsi" w:hAnsiTheme="minorHAnsi" w:cs="Helvetica"/>
          <w:i/>
          <w:sz w:val="22"/>
          <w:szCs w:val="22"/>
          <w:shd w:val="clear" w:color="auto" w:fill="FFFFFF"/>
        </w:rPr>
        <w:t>acceptability</w:t>
      </w:r>
      <w:proofErr w:type="gramEnd"/>
      <w:r w:rsidRPr="00EB2E55">
        <w:rPr>
          <w:rFonts w:asciiTheme="minorHAnsi" w:hAnsiTheme="minorHAnsi" w:cs="Helvetica"/>
          <w:i/>
          <w:sz w:val="22"/>
          <w:szCs w:val="22"/>
          <w:shd w:val="clear" w:color="auto" w:fill="FFFFFF"/>
        </w:rPr>
        <w:t>:</w:t>
      </w:r>
      <w:r w:rsidRPr="00EB2E55">
        <w:rPr>
          <w:rFonts w:asciiTheme="minorHAnsi" w:hAnsiTheme="minorHAnsi" w:cs="Helvetica"/>
          <w:sz w:val="22"/>
          <w:szCs w:val="22"/>
          <w:shd w:val="clear" w:color="auto" w:fill="FFFFFF"/>
        </w:rPr>
        <w:t xml:space="preserve"> conformity to patient preferences regarding accessibility, the patient-practitioner relation, the amenities, the effects of care, and the cost of care.</w:t>
      </w:r>
    </w:p>
    <w:p w:rsidR="004A170A" w:rsidRPr="00EB2E55" w:rsidRDefault="004A170A" w:rsidP="0086041E">
      <w:pPr>
        <w:pStyle w:val="EndnoteText"/>
        <w:numPr>
          <w:ilvl w:val="0"/>
          <w:numId w:val="9"/>
        </w:numPr>
        <w:jc w:val="left"/>
        <w:rPr>
          <w:rFonts w:asciiTheme="minorHAnsi" w:hAnsiTheme="minorHAnsi" w:cs="Helvetica"/>
          <w:sz w:val="22"/>
          <w:szCs w:val="22"/>
          <w:shd w:val="clear" w:color="auto" w:fill="FFFFFF"/>
          <w:lang w:val="en-AU"/>
        </w:rPr>
      </w:pPr>
      <w:proofErr w:type="gramStart"/>
      <w:r w:rsidRPr="00EB2E55">
        <w:rPr>
          <w:rFonts w:asciiTheme="minorHAnsi" w:hAnsiTheme="minorHAnsi" w:cs="Helvetica"/>
          <w:i/>
          <w:sz w:val="22"/>
          <w:szCs w:val="22"/>
          <w:shd w:val="clear" w:color="auto" w:fill="FFFFFF"/>
        </w:rPr>
        <w:t>legitimacy</w:t>
      </w:r>
      <w:proofErr w:type="gramEnd"/>
      <w:r w:rsidRPr="00EB2E55">
        <w:rPr>
          <w:rFonts w:asciiTheme="minorHAnsi" w:hAnsiTheme="minorHAnsi" w:cs="Helvetica"/>
          <w:i/>
          <w:sz w:val="22"/>
          <w:szCs w:val="22"/>
          <w:shd w:val="clear" w:color="auto" w:fill="FFFFFF"/>
        </w:rPr>
        <w:t>:</w:t>
      </w:r>
      <w:r w:rsidRPr="00EB2E55">
        <w:rPr>
          <w:rFonts w:asciiTheme="minorHAnsi" w:hAnsiTheme="minorHAnsi" w:cs="Helvetica"/>
          <w:sz w:val="22"/>
          <w:szCs w:val="22"/>
          <w:shd w:val="clear" w:color="auto" w:fill="FFFFFF"/>
        </w:rPr>
        <w:t xml:space="preserve"> conformity to social preferences concerning all of the above.</w:t>
      </w:r>
    </w:p>
    <w:p w:rsidR="004A170A" w:rsidRPr="00EB2E55" w:rsidRDefault="004A170A" w:rsidP="0086041E">
      <w:pPr>
        <w:pStyle w:val="EndnoteText"/>
        <w:numPr>
          <w:ilvl w:val="0"/>
          <w:numId w:val="9"/>
        </w:numPr>
        <w:jc w:val="left"/>
        <w:rPr>
          <w:rFonts w:asciiTheme="minorHAnsi" w:hAnsiTheme="minorHAnsi" w:cs="Helvetica"/>
          <w:sz w:val="22"/>
          <w:szCs w:val="22"/>
          <w:shd w:val="clear" w:color="auto" w:fill="FFFFFF"/>
          <w:lang w:val="en-AU"/>
        </w:rPr>
      </w:pPr>
      <w:proofErr w:type="gramStart"/>
      <w:r w:rsidRPr="00EB2E55">
        <w:rPr>
          <w:rFonts w:asciiTheme="minorHAnsi" w:hAnsiTheme="minorHAnsi" w:cs="Helvetica"/>
          <w:i/>
          <w:sz w:val="22"/>
          <w:szCs w:val="22"/>
          <w:shd w:val="clear" w:color="auto" w:fill="FFFFFF"/>
        </w:rPr>
        <w:t>equity</w:t>
      </w:r>
      <w:proofErr w:type="gramEnd"/>
      <w:r w:rsidRPr="00EB2E55">
        <w:rPr>
          <w:rFonts w:asciiTheme="minorHAnsi" w:hAnsiTheme="minorHAnsi" w:cs="Helvetica"/>
          <w:i/>
          <w:sz w:val="22"/>
          <w:szCs w:val="22"/>
          <w:shd w:val="clear" w:color="auto" w:fill="FFFFFF"/>
        </w:rPr>
        <w:t>:</w:t>
      </w:r>
      <w:r w:rsidRPr="00EB2E55">
        <w:rPr>
          <w:rFonts w:asciiTheme="minorHAnsi" w:hAnsiTheme="minorHAnsi" w:cs="Helvetica"/>
          <w:sz w:val="22"/>
          <w:szCs w:val="22"/>
          <w:shd w:val="clear" w:color="auto" w:fill="FFFFFF"/>
        </w:rPr>
        <w:t xml:space="preserve"> fairness in the distribution of care and its effects on health.</w:t>
      </w:r>
    </w:p>
    <w:p w:rsidR="004A170A" w:rsidRPr="00EB2E55" w:rsidRDefault="004A170A" w:rsidP="009D00C2">
      <w:pPr>
        <w:pStyle w:val="EndnoteText"/>
        <w:jc w:val="left"/>
        <w:rPr>
          <w:sz w:val="22"/>
          <w:szCs w:val="22"/>
          <w:lang w:val="en-AU"/>
        </w:rPr>
      </w:pPr>
    </w:p>
  </w:endnote>
  <w:endnote w:id="21">
    <w:p w:rsidR="004A170A" w:rsidRPr="00EB2E55" w:rsidRDefault="004A170A" w:rsidP="009D00C2">
      <w:pPr>
        <w:pStyle w:val="EndnoteText"/>
        <w:jc w:val="left"/>
        <w:rPr>
          <w:sz w:val="22"/>
          <w:szCs w:val="22"/>
          <w:lang w:val="en-AU"/>
        </w:rPr>
      </w:pPr>
      <w:r w:rsidRPr="00EB2E55">
        <w:rPr>
          <w:rStyle w:val="EndnoteReference"/>
          <w:sz w:val="22"/>
          <w:szCs w:val="22"/>
        </w:rPr>
        <w:endnoteRef/>
      </w:r>
      <w:r w:rsidRPr="00EB2E55">
        <w:rPr>
          <w:sz w:val="22"/>
          <w:szCs w:val="22"/>
        </w:rPr>
        <w:t xml:space="preserve"> </w:t>
      </w:r>
      <w:proofErr w:type="gramStart"/>
      <w:r w:rsidRPr="00EB2E55">
        <w:rPr>
          <w:sz w:val="22"/>
          <w:szCs w:val="22"/>
          <w:lang w:val="en-AU"/>
        </w:rPr>
        <w:t>The King’s Fund and University of Melbourne, in alliance with PricewaterhouseCoopers.</w:t>
      </w:r>
      <w:proofErr w:type="gramEnd"/>
      <w:r w:rsidRPr="00EB2E55">
        <w:rPr>
          <w:sz w:val="22"/>
          <w:szCs w:val="22"/>
          <w:lang w:val="en-AU"/>
        </w:rPr>
        <w:t xml:space="preserve"> </w:t>
      </w:r>
      <w:r w:rsidRPr="00EB2E55">
        <w:rPr>
          <w:i/>
          <w:sz w:val="22"/>
          <w:szCs w:val="22"/>
          <w:lang w:val="en-AU"/>
        </w:rPr>
        <w:t>Challenges and lessons for good practice: Review of the history and development of health service commissioning</w:t>
      </w:r>
      <w:r w:rsidRPr="00EB2E55">
        <w:rPr>
          <w:sz w:val="22"/>
          <w:szCs w:val="22"/>
          <w:lang w:val="en-AU"/>
        </w:rPr>
        <w:t>.</w:t>
      </w:r>
      <w:r>
        <w:rPr>
          <w:sz w:val="22"/>
          <w:szCs w:val="22"/>
          <w:lang w:val="en-AU"/>
        </w:rPr>
        <w:t xml:space="preserve"> </w:t>
      </w:r>
      <w:proofErr w:type="gramStart"/>
      <w:r w:rsidRPr="00EB2E55">
        <w:rPr>
          <w:sz w:val="22"/>
          <w:szCs w:val="22"/>
          <w:lang w:val="en-AU"/>
        </w:rPr>
        <w:t>Prepared for the Australian Government Department of Health.</w:t>
      </w:r>
      <w:proofErr w:type="gramEnd"/>
      <w:r w:rsidRPr="00EB2E55">
        <w:rPr>
          <w:sz w:val="22"/>
          <w:szCs w:val="22"/>
          <w:lang w:val="en-AU"/>
        </w:rPr>
        <w:t xml:space="preserve"> 2016. Section 2.7. </w:t>
      </w:r>
      <w:proofErr w:type="gramStart"/>
      <w:r w:rsidRPr="00EB2E55">
        <w:rPr>
          <w:sz w:val="22"/>
          <w:szCs w:val="22"/>
          <w:lang w:val="en-AU"/>
        </w:rPr>
        <w:t>Priority setting and decision making.</w:t>
      </w:r>
      <w:proofErr w:type="gramEnd"/>
    </w:p>
    <w:p w:rsidR="004A170A" w:rsidRPr="00EB2E55" w:rsidRDefault="004A170A">
      <w:pPr>
        <w:pStyle w:val="EndnoteText"/>
        <w:rPr>
          <w:sz w:val="22"/>
          <w:szCs w:val="22"/>
          <w:lang w:val="en-AU"/>
        </w:rPr>
      </w:pPr>
    </w:p>
  </w:endnote>
  <w:endnote w:id="22">
    <w:p w:rsidR="004A170A" w:rsidRPr="00EB2E55" w:rsidRDefault="004A170A">
      <w:pPr>
        <w:pStyle w:val="EndnoteText"/>
        <w:rPr>
          <w:sz w:val="22"/>
          <w:szCs w:val="22"/>
          <w:lang w:val="en-AU"/>
        </w:rPr>
      </w:pPr>
      <w:r w:rsidRPr="00EB2E55">
        <w:rPr>
          <w:rStyle w:val="EndnoteReference"/>
          <w:sz w:val="22"/>
          <w:szCs w:val="22"/>
        </w:rPr>
        <w:endnoteRef/>
      </w:r>
      <w:r w:rsidRPr="00EB2E55">
        <w:rPr>
          <w:sz w:val="22"/>
          <w:szCs w:val="22"/>
        </w:rPr>
        <w:t xml:space="preserve"> </w:t>
      </w:r>
      <w:proofErr w:type="gramStart"/>
      <w:r w:rsidRPr="00EB2E55">
        <w:rPr>
          <w:sz w:val="22"/>
          <w:szCs w:val="22"/>
          <w:lang w:val="en-AU"/>
        </w:rPr>
        <w:t>The King’s Fund and University of Melbourne, in alliance with PricewaterhouseCoopers.</w:t>
      </w:r>
      <w:proofErr w:type="gramEnd"/>
      <w:r w:rsidRPr="00EB2E55">
        <w:rPr>
          <w:sz w:val="22"/>
          <w:szCs w:val="22"/>
          <w:lang w:val="en-AU"/>
        </w:rPr>
        <w:t xml:space="preserve"> </w:t>
      </w:r>
      <w:r w:rsidRPr="00EB2E55">
        <w:rPr>
          <w:i/>
          <w:sz w:val="22"/>
          <w:szCs w:val="22"/>
          <w:lang w:val="en-AU"/>
        </w:rPr>
        <w:t>Challenges and lessons for good practice: Review of the history and development of health service commissioning</w:t>
      </w:r>
      <w:r w:rsidRPr="00EB2E55">
        <w:rPr>
          <w:sz w:val="22"/>
          <w:szCs w:val="22"/>
          <w:lang w:val="en-AU"/>
        </w:rPr>
        <w:t>.</w:t>
      </w:r>
      <w:r>
        <w:rPr>
          <w:sz w:val="22"/>
          <w:szCs w:val="22"/>
          <w:lang w:val="en-AU"/>
        </w:rPr>
        <w:t xml:space="preserve"> </w:t>
      </w:r>
      <w:proofErr w:type="gramStart"/>
      <w:r w:rsidRPr="00EB2E55">
        <w:rPr>
          <w:sz w:val="22"/>
          <w:szCs w:val="22"/>
          <w:lang w:val="en-AU"/>
        </w:rPr>
        <w:t>Prepared for the Australian Government Department of Health.</w:t>
      </w:r>
      <w:proofErr w:type="gramEnd"/>
      <w:r w:rsidRPr="00EB2E55">
        <w:rPr>
          <w:sz w:val="22"/>
          <w:szCs w:val="22"/>
          <w:lang w:val="en-AU"/>
        </w:rPr>
        <w:t xml:space="preserve"> 2016.</w:t>
      </w:r>
    </w:p>
  </w:endnote>
  <w:endnote w:id="23">
    <w:p w:rsidR="004A170A" w:rsidRPr="00EB2E55" w:rsidRDefault="004A170A" w:rsidP="00B54244">
      <w:pPr>
        <w:pStyle w:val="EndnoteText"/>
        <w:jc w:val="left"/>
        <w:rPr>
          <w:sz w:val="22"/>
          <w:szCs w:val="22"/>
        </w:rPr>
      </w:pPr>
    </w:p>
    <w:p w:rsidR="004A170A" w:rsidRPr="00EB2E55" w:rsidRDefault="004A170A" w:rsidP="00B54244">
      <w:pPr>
        <w:pStyle w:val="EndnoteText"/>
        <w:jc w:val="left"/>
        <w:rPr>
          <w:sz w:val="22"/>
          <w:szCs w:val="22"/>
          <w:lang w:val="en-AU"/>
        </w:rPr>
      </w:pPr>
      <w:r w:rsidRPr="00EB2E55">
        <w:rPr>
          <w:rStyle w:val="EndnoteReference"/>
          <w:sz w:val="22"/>
          <w:szCs w:val="22"/>
        </w:rPr>
        <w:endnoteRef/>
      </w:r>
      <w:r w:rsidRPr="00EB2E55">
        <w:rPr>
          <w:sz w:val="22"/>
          <w:szCs w:val="22"/>
        </w:rPr>
        <w:t xml:space="preserve"> </w:t>
      </w:r>
      <w:proofErr w:type="gramStart"/>
      <w:r w:rsidRPr="00EB2E55">
        <w:rPr>
          <w:sz w:val="22"/>
          <w:szCs w:val="22"/>
          <w:lang w:val="en-AU"/>
        </w:rPr>
        <w:t>The King’s Fund and University of Melbourne, in alliance with PricewaterhouseCoopers.</w:t>
      </w:r>
      <w:proofErr w:type="gramEnd"/>
      <w:r w:rsidRPr="00EB2E55">
        <w:rPr>
          <w:sz w:val="22"/>
          <w:szCs w:val="22"/>
          <w:lang w:val="en-AU"/>
        </w:rPr>
        <w:t xml:space="preserve"> </w:t>
      </w:r>
      <w:r w:rsidRPr="00EB2E55">
        <w:rPr>
          <w:i/>
          <w:sz w:val="22"/>
          <w:szCs w:val="22"/>
          <w:lang w:val="en-AU"/>
        </w:rPr>
        <w:t>Challenges and lessons for good practice: Review of the history and development of health service commissioning</w:t>
      </w:r>
      <w:r w:rsidRPr="00EB2E55">
        <w:rPr>
          <w:sz w:val="22"/>
          <w:szCs w:val="22"/>
          <w:lang w:val="en-AU"/>
        </w:rPr>
        <w:t>.</w:t>
      </w:r>
      <w:r>
        <w:rPr>
          <w:sz w:val="22"/>
          <w:szCs w:val="22"/>
          <w:lang w:val="en-AU"/>
        </w:rPr>
        <w:t xml:space="preserve"> </w:t>
      </w:r>
      <w:proofErr w:type="gramStart"/>
      <w:r w:rsidRPr="00EB2E55">
        <w:rPr>
          <w:sz w:val="22"/>
          <w:szCs w:val="22"/>
          <w:lang w:val="en-AU"/>
        </w:rPr>
        <w:t>Prepared for the Australian Government Department of Health.</w:t>
      </w:r>
      <w:proofErr w:type="gramEnd"/>
      <w:r w:rsidRPr="00EB2E55">
        <w:rPr>
          <w:sz w:val="22"/>
          <w:szCs w:val="22"/>
          <w:lang w:val="en-AU"/>
        </w:rPr>
        <w:t xml:space="preserve"> 2016.</w:t>
      </w:r>
      <w:r>
        <w:rPr>
          <w:sz w:val="22"/>
          <w:szCs w:val="22"/>
          <w:lang w:val="en-AU"/>
        </w:rPr>
        <w:t xml:space="preserve"> </w:t>
      </w:r>
      <w:r w:rsidRPr="00EB2E55">
        <w:rPr>
          <w:sz w:val="22"/>
          <w:szCs w:val="22"/>
          <w:lang w:val="en-AU"/>
        </w:rPr>
        <w:t xml:space="preserve">Section 2.7. </w:t>
      </w:r>
      <w:proofErr w:type="gramStart"/>
      <w:r w:rsidRPr="00EB2E55">
        <w:rPr>
          <w:sz w:val="22"/>
          <w:szCs w:val="22"/>
          <w:lang w:val="en-AU"/>
        </w:rPr>
        <w:t>Priority setting and decision making.</w:t>
      </w:r>
      <w:proofErr w:type="gramEnd"/>
    </w:p>
    <w:p w:rsidR="004A170A" w:rsidRPr="00EB2E55" w:rsidRDefault="004A170A" w:rsidP="00B54244">
      <w:pPr>
        <w:pStyle w:val="EndnoteText"/>
        <w:jc w:val="left"/>
        <w:rPr>
          <w:sz w:val="22"/>
          <w:szCs w:val="22"/>
          <w:lang w:val="en-AU"/>
        </w:rPr>
      </w:pPr>
    </w:p>
  </w:endnote>
  <w:endnote w:id="24">
    <w:p w:rsidR="004A170A" w:rsidRPr="00EB2E55" w:rsidRDefault="004A170A" w:rsidP="00F7107C">
      <w:pPr>
        <w:pStyle w:val="EndnoteText"/>
        <w:jc w:val="left"/>
        <w:rPr>
          <w:bCs/>
          <w:sz w:val="22"/>
          <w:szCs w:val="22"/>
          <w:lang w:val="en-AU"/>
        </w:rPr>
      </w:pPr>
      <w:r w:rsidRPr="00EB2E55">
        <w:rPr>
          <w:rStyle w:val="EndnoteReference"/>
          <w:sz w:val="22"/>
          <w:szCs w:val="22"/>
        </w:rPr>
        <w:endnoteRef/>
      </w:r>
      <w:r w:rsidRPr="00EB2E55">
        <w:rPr>
          <w:sz w:val="22"/>
          <w:szCs w:val="22"/>
        </w:rPr>
        <w:t xml:space="preserve"> </w:t>
      </w:r>
      <w:proofErr w:type="gramStart"/>
      <w:r w:rsidRPr="00EB2E55">
        <w:rPr>
          <w:sz w:val="22"/>
          <w:szCs w:val="22"/>
          <w:lang w:val="en-AU"/>
        </w:rPr>
        <w:t>The King’s Fund and University of Melbourne, in alliance with PricewaterhouseCoopers.</w:t>
      </w:r>
      <w:proofErr w:type="gramEnd"/>
      <w:r w:rsidRPr="00EB2E55">
        <w:rPr>
          <w:sz w:val="22"/>
          <w:szCs w:val="22"/>
          <w:lang w:val="en-AU"/>
        </w:rPr>
        <w:t xml:space="preserve"> </w:t>
      </w:r>
      <w:r w:rsidRPr="00EB2E55">
        <w:rPr>
          <w:i/>
          <w:sz w:val="22"/>
          <w:szCs w:val="22"/>
          <w:lang w:val="en-AU"/>
        </w:rPr>
        <w:t>Challenges and lessons for good practice: Review of the history and development of health service commissioning</w:t>
      </w:r>
      <w:r w:rsidRPr="00EB2E55">
        <w:rPr>
          <w:sz w:val="22"/>
          <w:szCs w:val="22"/>
          <w:lang w:val="en-AU"/>
        </w:rPr>
        <w:t>.</w:t>
      </w:r>
      <w:r>
        <w:rPr>
          <w:sz w:val="22"/>
          <w:szCs w:val="22"/>
          <w:lang w:val="en-AU"/>
        </w:rPr>
        <w:t xml:space="preserve"> </w:t>
      </w:r>
      <w:proofErr w:type="gramStart"/>
      <w:r w:rsidRPr="00EB2E55">
        <w:rPr>
          <w:sz w:val="22"/>
          <w:szCs w:val="22"/>
          <w:lang w:val="en-AU"/>
        </w:rPr>
        <w:t>Prepared for the Australian Government Department of Health.</w:t>
      </w:r>
      <w:proofErr w:type="gramEnd"/>
      <w:r w:rsidRPr="00EB2E55">
        <w:rPr>
          <w:sz w:val="22"/>
          <w:szCs w:val="22"/>
          <w:lang w:val="en-AU"/>
        </w:rPr>
        <w:t xml:space="preserve"> 2016.</w:t>
      </w:r>
      <w:r>
        <w:rPr>
          <w:sz w:val="22"/>
          <w:szCs w:val="22"/>
          <w:lang w:val="en-AU"/>
        </w:rPr>
        <w:t xml:space="preserve"> </w:t>
      </w:r>
      <w:r w:rsidRPr="00EB2E55">
        <w:rPr>
          <w:sz w:val="22"/>
          <w:szCs w:val="22"/>
          <w:lang w:val="en-AU"/>
        </w:rPr>
        <w:t xml:space="preserve">Section 2.2.1 Figure 4. The following are the key questions commissioners should ask themselves drawn up by Monitor, the regulator of NHS services in England. See Monitor. </w:t>
      </w:r>
      <w:proofErr w:type="gramStart"/>
      <w:r w:rsidRPr="00EB2E55">
        <w:rPr>
          <w:bCs/>
          <w:i/>
          <w:sz w:val="22"/>
          <w:szCs w:val="22"/>
          <w:lang w:val="en-AU"/>
        </w:rPr>
        <w:t>Substantive guidance on the procurement, patient choice and competition regulations.</w:t>
      </w:r>
      <w:proofErr w:type="gramEnd"/>
      <w:r w:rsidRPr="00EB2E55">
        <w:rPr>
          <w:bCs/>
          <w:sz w:val="22"/>
          <w:szCs w:val="22"/>
          <w:lang w:val="en-AU"/>
        </w:rPr>
        <w:t xml:space="preserve"> 2013.</w:t>
      </w:r>
    </w:p>
    <w:p w:rsidR="004A170A" w:rsidRPr="00EB2E55" w:rsidRDefault="004A170A" w:rsidP="00F7107C">
      <w:pPr>
        <w:rPr>
          <w:szCs w:val="22"/>
          <w:lang w:val="en-AU"/>
        </w:rPr>
      </w:pPr>
    </w:p>
    <w:p w:rsidR="004A170A" w:rsidRPr="00EB2E55" w:rsidRDefault="004A170A" w:rsidP="00EA3018">
      <w:pPr>
        <w:pStyle w:val="EndnoteText"/>
        <w:numPr>
          <w:ilvl w:val="0"/>
          <w:numId w:val="10"/>
        </w:numPr>
        <w:spacing w:line="240" w:lineRule="auto"/>
        <w:ind w:left="1077" w:hanging="357"/>
        <w:rPr>
          <w:bCs/>
          <w:sz w:val="22"/>
          <w:szCs w:val="22"/>
          <w:lang w:val="en-AU"/>
        </w:rPr>
      </w:pPr>
      <w:r w:rsidRPr="00EB2E55">
        <w:rPr>
          <w:bCs/>
          <w:sz w:val="22"/>
          <w:szCs w:val="22"/>
          <w:lang w:val="en-AU"/>
        </w:rPr>
        <w:t>What are the needs of the health care service users we are responsible for? Are those needs currently being met? Have they changed since services were last reviewed? What level of engagement with the local community, patients and patient groups, clinicians and others should we undertake?</w:t>
      </w:r>
    </w:p>
    <w:p w:rsidR="004A170A" w:rsidRPr="00EB2E55" w:rsidRDefault="004A170A" w:rsidP="00EA3018">
      <w:pPr>
        <w:pStyle w:val="EndnoteText"/>
        <w:numPr>
          <w:ilvl w:val="0"/>
          <w:numId w:val="10"/>
        </w:numPr>
        <w:spacing w:line="240" w:lineRule="auto"/>
        <w:ind w:left="1077" w:hanging="357"/>
        <w:rPr>
          <w:bCs/>
          <w:sz w:val="22"/>
          <w:szCs w:val="22"/>
          <w:lang w:val="en-AU"/>
        </w:rPr>
      </w:pPr>
      <w:r w:rsidRPr="00EB2E55">
        <w:rPr>
          <w:bCs/>
          <w:sz w:val="22"/>
          <w:szCs w:val="22"/>
          <w:lang w:val="en-AU"/>
        </w:rPr>
        <w:t>How good are current services? How can we improve them?</w:t>
      </w:r>
    </w:p>
    <w:p w:rsidR="004A170A" w:rsidRPr="00EB2E55" w:rsidRDefault="004A170A" w:rsidP="00EA3018">
      <w:pPr>
        <w:pStyle w:val="EndnoteText"/>
        <w:numPr>
          <w:ilvl w:val="0"/>
          <w:numId w:val="10"/>
        </w:numPr>
        <w:spacing w:line="240" w:lineRule="auto"/>
        <w:ind w:left="1077" w:hanging="357"/>
        <w:rPr>
          <w:bCs/>
          <w:sz w:val="22"/>
          <w:szCs w:val="22"/>
          <w:lang w:val="en-AU"/>
        </w:rPr>
      </w:pPr>
      <w:r w:rsidRPr="00EB2E55">
        <w:rPr>
          <w:bCs/>
          <w:sz w:val="22"/>
          <w:szCs w:val="22"/>
          <w:lang w:val="en-AU"/>
        </w:rPr>
        <w:t>How can we make sure that the services are provided in a more joined-up way with other services so that they are seamless from the perspective of the patient? How can we get the professionals that are responsible for different elements of a patient’s care to work together more effectively for patients?</w:t>
      </w:r>
    </w:p>
    <w:p w:rsidR="004A170A" w:rsidRPr="00EB2E55" w:rsidRDefault="004A170A" w:rsidP="00EA3018">
      <w:pPr>
        <w:pStyle w:val="EndnoteText"/>
        <w:numPr>
          <w:ilvl w:val="0"/>
          <w:numId w:val="10"/>
        </w:numPr>
        <w:spacing w:line="240" w:lineRule="auto"/>
        <w:ind w:left="1077" w:hanging="357"/>
        <w:rPr>
          <w:bCs/>
          <w:sz w:val="22"/>
          <w:szCs w:val="22"/>
          <w:lang w:val="en-AU"/>
        </w:rPr>
      </w:pPr>
      <w:r w:rsidRPr="00EB2E55">
        <w:rPr>
          <w:bCs/>
          <w:sz w:val="22"/>
          <w:szCs w:val="22"/>
          <w:lang w:val="en-AU"/>
        </w:rPr>
        <w:t>Could services be improved by giving patients a choice of provider to go to and/or by enabling providers to compete to provide services?</w:t>
      </w:r>
    </w:p>
    <w:p w:rsidR="004A170A" w:rsidRPr="00EB2E55" w:rsidRDefault="004A170A" w:rsidP="000719BD">
      <w:pPr>
        <w:rPr>
          <w:szCs w:val="22"/>
          <w:lang w:val="en-AU"/>
        </w:rPr>
      </w:pPr>
    </w:p>
    <w:p w:rsidR="004A170A" w:rsidRPr="00EB2E55" w:rsidRDefault="004A170A" w:rsidP="00EA3018">
      <w:pPr>
        <w:pStyle w:val="EndnoteText"/>
        <w:numPr>
          <w:ilvl w:val="0"/>
          <w:numId w:val="10"/>
        </w:numPr>
        <w:spacing w:line="240" w:lineRule="auto"/>
        <w:ind w:left="1077" w:hanging="357"/>
        <w:rPr>
          <w:bCs/>
          <w:sz w:val="22"/>
          <w:szCs w:val="22"/>
          <w:lang w:val="en-AU"/>
        </w:rPr>
      </w:pPr>
      <w:r w:rsidRPr="00EB2E55">
        <w:rPr>
          <w:bCs/>
          <w:sz w:val="22"/>
          <w:szCs w:val="22"/>
          <w:lang w:val="en-AU"/>
        </w:rPr>
        <w:t>How can we identify the most capable provider or providers of the services? Is the current provider the only provider capable of providing the services?</w:t>
      </w:r>
    </w:p>
    <w:p w:rsidR="004A170A" w:rsidRPr="00EB2E55" w:rsidRDefault="004A170A" w:rsidP="00EA3018">
      <w:pPr>
        <w:pStyle w:val="EndnoteText"/>
        <w:numPr>
          <w:ilvl w:val="0"/>
          <w:numId w:val="10"/>
        </w:numPr>
        <w:spacing w:line="240" w:lineRule="auto"/>
        <w:ind w:left="1077" w:hanging="357"/>
        <w:rPr>
          <w:bCs/>
          <w:sz w:val="22"/>
          <w:szCs w:val="22"/>
          <w:lang w:val="en-AU"/>
        </w:rPr>
      </w:pPr>
      <w:r w:rsidRPr="00EB2E55">
        <w:rPr>
          <w:bCs/>
          <w:sz w:val="22"/>
          <w:szCs w:val="22"/>
          <w:lang w:val="en-AU"/>
        </w:rPr>
        <w:t>Are our actions transparent? Do people know what decisions we are taking and the reasons why we are taking them? Do we have appropriate records of our decisions?</w:t>
      </w:r>
    </w:p>
    <w:p w:rsidR="004A170A" w:rsidRPr="00EB2E55" w:rsidRDefault="004A170A" w:rsidP="00EA3018">
      <w:pPr>
        <w:pStyle w:val="EndnoteText"/>
        <w:numPr>
          <w:ilvl w:val="0"/>
          <w:numId w:val="10"/>
        </w:numPr>
        <w:spacing w:line="240" w:lineRule="auto"/>
        <w:ind w:left="1077" w:hanging="357"/>
        <w:rPr>
          <w:bCs/>
          <w:sz w:val="22"/>
          <w:szCs w:val="22"/>
          <w:lang w:val="en-AU"/>
        </w:rPr>
      </w:pPr>
      <w:r w:rsidRPr="00EB2E55">
        <w:rPr>
          <w:bCs/>
          <w:sz w:val="22"/>
          <w:szCs w:val="22"/>
          <w:lang w:val="en-AU"/>
        </w:rPr>
        <w:t>How can we make sure that providers have a fair opportunity to express their interest in providing services? What do we need to do to make sure that we do not discriminate against any providers?</w:t>
      </w:r>
    </w:p>
    <w:p w:rsidR="004A170A" w:rsidRPr="00EB2E55" w:rsidRDefault="004A170A" w:rsidP="00EA3018">
      <w:pPr>
        <w:pStyle w:val="EndnoteText"/>
        <w:numPr>
          <w:ilvl w:val="0"/>
          <w:numId w:val="10"/>
        </w:numPr>
        <w:spacing w:line="240" w:lineRule="auto"/>
        <w:ind w:left="1077" w:hanging="357"/>
        <w:rPr>
          <w:bCs/>
          <w:sz w:val="22"/>
          <w:szCs w:val="22"/>
          <w:lang w:val="en-AU"/>
        </w:rPr>
      </w:pPr>
      <w:r w:rsidRPr="00EB2E55">
        <w:rPr>
          <w:bCs/>
          <w:sz w:val="22"/>
          <w:szCs w:val="22"/>
          <w:lang w:val="en-AU"/>
        </w:rPr>
        <w:t>Are there any conflicts between the interests in commissioning the services and providing them? If so, how can we manage them to make sure that they do not affect or appear to affect the integrity of the award of any contract at a later point in time?</w:t>
      </w:r>
    </w:p>
    <w:p w:rsidR="004A170A" w:rsidRPr="00EB2E55" w:rsidRDefault="004A170A" w:rsidP="00EA3018">
      <w:pPr>
        <w:pStyle w:val="EndnoteText"/>
        <w:numPr>
          <w:ilvl w:val="0"/>
          <w:numId w:val="10"/>
        </w:numPr>
        <w:spacing w:line="240" w:lineRule="auto"/>
        <w:ind w:left="1077" w:hanging="357"/>
        <w:rPr>
          <w:bCs/>
          <w:sz w:val="22"/>
          <w:szCs w:val="22"/>
          <w:lang w:val="en-AU"/>
        </w:rPr>
      </w:pPr>
      <w:r w:rsidRPr="00EB2E55">
        <w:rPr>
          <w:bCs/>
          <w:sz w:val="22"/>
          <w:szCs w:val="22"/>
          <w:lang w:val="en-AU"/>
        </w:rPr>
        <w:t>Are our actions proportionate? Are they commensurate with the value, complexity and clinical risk associated with the provision of the services in question and consistent with our commissioning priorities?</w:t>
      </w:r>
    </w:p>
    <w:p w:rsidR="004A170A" w:rsidRPr="00EB2E55" w:rsidRDefault="004A170A" w:rsidP="00F7107C">
      <w:pPr>
        <w:pStyle w:val="EndnoteText"/>
        <w:rPr>
          <w:sz w:val="22"/>
          <w:szCs w:val="22"/>
          <w:lang w:val="en-AU"/>
        </w:rPr>
      </w:pPr>
    </w:p>
  </w:endnote>
  <w:endnote w:id="25">
    <w:p w:rsidR="004A170A" w:rsidRPr="00EB2E55" w:rsidRDefault="004A170A" w:rsidP="0070241D">
      <w:pPr>
        <w:pStyle w:val="EndnoteText"/>
        <w:jc w:val="left"/>
        <w:rPr>
          <w:sz w:val="22"/>
          <w:szCs w:val="22"/>
          <w:lang w:val="en-AU"/>
        </w:rPr>
      </w:pPr>
      <w:r w:rsidRPr="00EB2E55">
        <w:rPr>
          <w:rStyle w:val="EndnoteReference"/>
          <w:sz w:val="22"/>
          <w:szCs w:val="22"/>
        </w:rPr>
        <w:endnoteRef/>
      </w:r>
      <w:r w:rsidRPr="00EB2E55">
        <w:rPr>
          <w:sz w:val="22"/>
          <w:szCs w:val="22"/>
        </w:rPr>
        <w:t xml:space="preserve"> </w:t>
      </w:r>
      <w:r w:rsidRPr="00EB2E55">
        <w:rPr>
          <w:sz w:val="22"/>
          <w:szCs w:val="22"/>
          <w:lang w:val="en-AU"/>
        </w:rPr>
        <w:t xml:space="preserve">Robinson S et al. </w:t>
      </w:r>
      <w:r w:rsidRPr="00EB2E55">
        <w:rPr>
          <w:i/>
          <w:sz w:val="22"/>
          <w:szCs w:val="22"/>
          <w:lang w:val="en-AU"/>
        </w:rPr>
        <w:t>Priority-setting and rationing in healthcare: evidence from the English experience</w:t>
      </w:r>
      <w:r w:rsidRPr="00EB2E55">
        <w:rPr>
          <w:sz w:val="22"/>
          <w:szCs w:val="22"/>
          <w:lang w:val="en-AU"/>
        </w:rPr>
        <w:t>. Social Science and Medicine 2012: 75: 2386-2393. Also see:</w:t>
      </w:r>
    </w:p>
    <w:p w:rsidR="004A170A" w:rsidRPr="00EB2E55" w:rsidRDefault="004A170A" w:rsidP="005364C1">
      <w:pPr>
        <w:rPr>
          <w:szCs w:val="22"/>
          <w:lang w:val="en-AU"/>
        </w:rPr>
      </w:pPr>
    </w:p>
    <w:p w:rsidR="004A170A" w:rsidRPr="00EB2E55" w:rsidRDefault="004A170A" w:rsidP="005364C1">
      <w:pPr>
        <w:rPr>
          <w:szCs w:val="22"/>
          <w:lang w:val="en-AU"/>
        </w:rPr>
      </w:pPr>
      <w:r w:rsidRPr="00EB2E55">
        <w:rPr>
          <w:szCs w:val="22"/>
          <w:lang w:val="en-AU"/>
        </w:rPr>
        <w:t xml:space="preserve">Robinson S et al. </w:t>
      </w:r>
      <w:r w:rsidRPr="00EB2E55">
        <w:rPr>
          <w:i/>
          <w:szCs w:val="22"/>
          <w:lang w:val="en-AU"/>
        </w:rPr>
        <w:t>Setting priorities in health: the challenge of clinical commissioning</w:t>
      </w:r>
      <w:r w:rsidRPr="00EB2E55">
        <w:rPr>
          <w:szCs w:val="22"/>
          <w:lang w:val="en-AU"/>
        </w:rPr>
        <w:t>. A study of English primary care trusts. Nuffield Trust 2011.</w:t>
      </w:r>
    </w:p>
    <w:p w:rsidR="004A170A" w:rsidRPr="00EB2E55" w:rsidRDefault="004A170A" w:rsidP="005364C1">
      <w:pPr>
        <w:rPr>
          <w:rFonts w:asciiTheme="minorHAnsi" w:hAnsiTheme="minorHAnsi"/>
          <w:bCs/>
          <w:szCs w:val="22"/>
          <w:lang w:val="en-AU"/>
        </w:rPr>
      </w:pPr>
    </w:p>
    <w:p w:rsidR="004A170A" w:rsidRPr="00EB2E55" w:rsidRDefault="004A170A" w:rsidP="005364C1">
      <w:pPr>
        <w:rPr>
          <w:szCs w:val="22"/>
          <w:lang w:val="en-AU"/>
        </w:rPr>
      </w:pPr>
      <w:r w:rsidRPr="00EB2E55">
        <w:rPr>
          <w:rFonts w:asciiTheme="minorHAnsi" w:hAnsiTheme="minorHAnsi"/>
          <w:bCs/>
          <w:szCs w:val="22"/>
          <w:lang w:val="en-AU"/>
        </w:rPr>
        <w:t xml:space="preserve">Dickinson H, Freeman T, Robinson S, Williams I. </w:t>
      </w:r>
      <w:r w:rsidRPr="00EB2E55">
        <w:rPr>
          <w:i/>
          <w:szCs w:val="22"/>
        </w:rPr>
        <w:t>Resource scarcity and priority setting: from management to leadership in the rationing of health care?</w:t>
      </w:r>
      <w:r w:rsidRPr="00EB2E55">
        <w:rPr>
          <w:szCs w:val="22"/>
        </w:rPr>
        <w:t xml:space="preserve"> Public money and Management September 2011: 363-370.</w:t>
      </w:r>
    </w:p>
    <w:p w:rsidR="004A170A" w:rsidRPr="00EB2E55" w:rsidRDefault="004A170A" w:rsidP="005364C1">
      <w:pPr>
        <w:rPr>
          <w:szCs w:val="22"/>
          <w:lang w:val="en-AU"/>
        </w:rPr>
      </w:pPr>
    </w:p>
    <w:p w:rsidR="004A170A" w:rsidRPr="00EB2E55" w:rsidRDefault="004A170A" w:rsidP="005364C1">
      <w:pPr>
        <w:rPr>
          <w:szCs w:val="22"/>
          <w:lang w:val="en-AU"/>
        </w:rPr>
      </w:pPr>
      <w:r w:rsidRPr="00EB2E55">
        <w:rPr>
          <w:szCs w:val="22"/>
          <w:lang w:val="en-AU"/>
        </w:rPr>
        <w:t xml:space="preserve">McDonald J, </w:t>
      </w:r>
      <w:proofErr w:type="spellStart"/>
      <w:r w:rsidRPr="00EB2E55">
        <w:rPr>
          <w:szCs w:val="22"/>
          <w:lang w:val="en-AU"/>
        </w:rPr>
        <w:t>Ollerenshaw</w:t>
      </w:r>
      <w:proofErr w:type="spellEnd"/>
      <w:r w:rsidRPr="00EB2E55">
        <w:rPr>
          <w:szCs w:val="22"/>
          <w:lang w:val="en-AU"/>
        </w:rPr>
        <w:t xml:space="preserve"> A. </w:t>
      </w:r>
      <w:r w:rsidRPr="00EB2E55">
        <w:rPr>
          <w:i/>
          <w:szCs w:val="22"/>
          <w:lang w:val="en-AU"/>
        </w:rPr>
        <w:t>Priority setting in primary health care: a framework for local catchments</w:t>
      </w:r>
      <w:r w:rsidRPr="00EB2E55">
        <w:rPr>
          <w:szCs w:val="22"/>
          <w:lang w:val="en-AU"/>
        </w:rPr>
        <w:t>. Rural and Remote Health 2011: 11: 1714.</w:t>
      </w:r>
    </w:p>
    <w:p w:rsidR="004A170A" w:rsidRPr="00EB2E55" w:rsidRDefault="004A170A" w:rsidP="0070241D">
      <w:pPr>
        <w:pStyle w:val="EndnoteText"/>
        <w:rPr>
          <w:sz w:val="22"/>
          <w:szCs w:val="22"/>
          <w:lang w:val="en-AU"/>
        </w:rPr>
      </w:pPr>
    </w:p>
  </w:endnote>
  <w:endnote w:id="26">
    <w:p w:rsidR="004A170A" w:rsidRPr="00EB2E55" w:rsidRDefault="004A170A" w:rsidP="00D26145">
      <w:pPr>
        <w:pStyle w:val="EndnoteText"/>
        <w:rPr>
          <w:sz w:val="22"/>
          <w:szCs w:val="22"/>
        </w:rPr>
      </w:pPr>
      <w:r w:rsidRPr="00EB2E55">
        <w:rPr>
          <w:rStyle w:val="EndnoteReference"/>
          <w:sz w:val="22"/>
          <w:szCs w:val="22"/>
        </w:rPr>
        <w:endnoteRef/>
      </w:r>
      <w:r w:rsidRPr="00EB2E55">
        <w:rPr>
          <w:sz w:val="22"/>
          <w:szCs w:val="22"/>
        </w:rPr>
        <w:t xml:space="preserve"> </w:t>
      </w:r>
      <w:r w:rsidRPr="00EB2E55">
        <w:rPr>
          <w:sz w:val="22"/>
          <w:szCs w:val="22"/>
          <w:lang w:val="en-AU"/>
        </w:rPr>
        <w:t xml:space="preserve">Mooney G et al. </w:t>
      </w:r>
      <w:r w:rsidRPr="00EB2E55">
        <w:rPr>
          <w:i/>
          <w:sz w:val="22"/>
          <w:szCs w:val="22"/>
        </w:rPr>
        <w:t xml:space="preserve">Priority-setting methods to inform </w:t>
      </w:r>
      <w:proofErr w:type="spellStart"/>
      <w:r w:rsidRPr="00EB2E55">
        <w:rPr>
          <w:i/>
          <w:sz w:val="22"/>
          <w:szCs w:val="22"/>
        </w:rPr>
        <w:t>prioritisation</w:t>
      </w:r>
      <w:proofErr w:type="spellEnd"/>
      <w:r w:rsidRPr="00EB2E55">
        <w:rPr>
          <w:i/>
          <w:sz w:val="22"/>
          <w:szCs w:val="22"/>
        </w:rPr>
        <w:t>: a rapid review</w:t>
      </w:r>
      <w:r w:rsidRPr="00EB2E55">
        <w:rPr>
          <w:sz w:val="22"/>
          <w:szCs w:val="22"/>
        </w:rPr>
        <w:t>. An evidence check review brokered by the Sax Institute for the NSW Treasury and the Agency for Clinical Innovation 2012. This reviewed the following:</w:t>
      </w:r>
    </w:p>
    <w:p w:rsidR="004A170A" w:rsidRPr="00EB2E55" w:rsidRDefault="004A170A" w:rsidP="002D4D3E">
      <w:pPr>
        <w:pStyle w:val="Endnotedotpoint"/>
        <w:rPr>
          <w:rFonts w:cs="Verdana"/>
          <w:sz w:val="22"/>
          <w:szCs w:val="22"/>
          <w:lang w:eastAsia="en-AU"/>
        </w:rPr>
      </w:pPr>
      <w:r w:rsidRPr="00EB2E55">
        <w:rPr>
          <w:sz w:val="22"/>
          <w:szCs w:val="22"/>
          <w:lang w:eastAsia="en-AU"/>
        </w:rPr>
        <w:t>PBMA (including the associated use of option appraisal, multi-criteria decision analysis and multiple attribute analysis)</w:t>
      </w:r>
    </w:p>
    <w:p w:rsidR="004A170A" w:rsidRPr="00EB2E55" w:rsidRDefault="004A170A" w:rsidP="002D4D3E">
      <w:pPr>
        <w:pStyle w:val="Endnotedotpoint"/>
        <w:rPr>
          <w:rFonts w:cs="Verdana"/>
          <w:sz w:val="22"/>
          <w:szCs w:val="22"/>
          <w:lang w:eastAsia="en-AU"/>
        </w:rPr>
      </w:pPr>
      <w:r w:rsidRPr="00EB2E55">
        <w:rPr>
          <w:sz w:val="22"/>
          <w:szCs w:val="22"/>
          <w:lang w:eastAsia="en-AU"/>
        </w:rPr>
        <w:t>QALY league tables</w:t>
      </w:r>
    </w:p>
    <w:p w:rsidR="004A170A" w:rsidRPr="00EB2E55" w:rsidRDefault="004A170A" w:rsidP="002D4D3E">
      <w:pPr>
        <w:pStyle w:val="Endnotedotpoint"/>
        <w:rPr>
          <w:rFonts w:cs="Verdana"/>
          <w:sz w:val="22"/>
          <w:szCs w:val="22"/>
          <w:lang w:eastAsia="en-AU"/>
        </w:rPr>
      </w:pPr>
      <w:r w:rsidRPr="00EB2E55">
        <w:rPr>
          <w:sz w:val="22"/>
          <w:szCs w:val="22"/>
          <w:lang w:eastAsia="en-AU"/>
        </w:rPr>
        <w:t>Needs assessment, cost of illness and burden of disease</w:t>
      </w:r>
    </w:p>
    <w:p w:rsidR="004A170A" w:rsidRPr="00EB2E55" w:rsidRDefault="004A170A" w:rsidP="002D4D3E">
      <w:pPr>
        <w:pStyle w:val="Endnotedotpoint"/>
        <w:rPr>
          <w:sz w:val="22"/>
          <w:szCs w:val="22"/>
          <w:lang w:eastAsia="en-AU"/>
        </w:rPr>
      </w:pPr>
      <w:r w:rsidRPr="00EB2E55">
        <w:rPr>
          <w:sz w:val="22"/>
          <w:szCs w:val="22"/>
          <w:lang w:eastAsia="en-AU"/>
        </w:rPr>
        <w:t>Target setting</w:t>
      </w:r>
    </w:p>
    <w:p w:rsidR="004A170A" w:rsidRPr="00EB2E55" w:rsidRDefault="004A170A" w:rsidP="002D4D3E">
      <w:pPr>
        <w:pStyle w:val="Endnotedotpoint"/>
        <w:rPr>
          <w:rFonts w:cs="Verdana"/>
          <w:sz w:val="22"/>
          <w:szCs w:val="22"/>
          <w:lang w:eastAsia="en-AU"/>
        </w:rPr>
      </w:pPr>
      <w:r w:rsidRPr="00EB2E55">
        <w:rPr>
          <w:sz w:val="22"/>
          <w:szCs w:val="22"/>
          <w:lang w:eastAsia="en-AU"/>
        </w:rPr>
        <w:t>Core and ‘non-core’ services</w:t>
      </w:r>
    </w:p>
    <w:p w:rsidR="004A170A" w:rsidRPr="00EB2E55" w:rsidRDefault="004A170A" w:rsidP="002D4D3E">
      <w:pPr>
        <w:pStyle w:val="Endnotedotpoint"/>
        <w:rPr>
          <w:rFonts w:cs="Verdana"/>
          <w:sz w:val="22"/>
          <w:szCs w:val="22"/>
          <w:lang w:eastAsia="en-AU"/>
        </w:rPr>
      </w:pPr>
      <w:r w:rsidRPr="00EB2E55">
        <w:rPr>
          <w:sz w:val="22"/>
          <w:szCs w:val="22"/>
          <w:lang w:eastAsia="en-AU"/>
        </w:rPr>
        <w:t>Generalised cost effectiveness</w:t>
      </w:r>
    </w:p>
    <w:p w:rsidR="004A170A" w:rsidRPr="00EB2E55" w:rsidRDefault="004A170A" w:rsidP="002D4D3E">
      <w:pPr>
        <w:pStyle w:val="Endnotedotpoint"/>
        <w:rPr>
          <w:sz w:val="22"/>
          <w:szCs w:val="22"/>
          <w:lang w:eastAsia="en-AU"/>
        </w:rPr>
      </w:pPr>
      <w:r w:rsidRPr="00EB2E55">
        <w:rPr>
          <w:bCs/>
          <w:sz w:val="22"/>
          <w:szCs w:val="22"/>
          <w:lang w:eastAsia="en-AU"/>
        </w:rPr>
        <w:t>Other approaches (</w:t>
      </w:r>
      <w:r w:rsidRPr="00EB2E55">
        <w:rPr>
          <w:sz w:val="22"/>
          <w:szCs w:val="22"/>
        </w:rPr>
        <w:t xml:space="preserve">Accounting for reasonableness and </w:t>
      </w:r>
      <w:r w:rsidRPr="00EB2E55">
        <w:rPr>
          <w:sz w:val="22"/>
          <w:szCs w:val="22"/>
          <w:lang w:eastAsia="en-AU"/>
        </w:rPr>
        <w:t>Swedish priority setting</w:t>
      </w:r>
      <w:r w:rsidRPr="00EB2E55">
        <w:rPr>
          <w:sz w:val="22"/>
          <w:szCs w:val="22"/>
        </w:rPr>
        <w:t>)</w:t>
      </w:r>
    </w:p>
    <w:p w:rsidR="004A170A" w:rsidRPr="00EB2E55" w:rsidRDefault="004A170A">
      <w:pPr>
        <w:pStyle w:val="EndnoteText"/>
        <w:rPr>
          <w:sz w:val="22"/>
          <w:szCs w:val="22"/>
          <w:lang w:val="en-AU"/>
        </w:rPr>
      </w:pPr>
    </w:p>
  </w:endnote>
  <w:endnote w:id="27">
    <w:p w:rsidR="004A170A" w:rsidRPr="00EB2E55" w:rsidRDefault="004A170A">
      <w:pPr>
        <w:pStyle w:val="EndnoteText"/>
        <w:rPr>
          <w:rFonts w:asciiTheme="minorHAnsi" w:hAnsiTheme="minorHAnsi"/>
          <w:bCs/>
          <w:sz w:val="22"/>
          <w:szCs w:val="22"/>
          <w:lang w:val="en-AU"/>
        </w:rPr>
      </w:pPr>
      <w:r w:rsidRPr="00EB2E55">
        <w:rPr>
          <w:rStyle w:val="EndnoteReference"/>
          <w:sz w:val="22"/>
          <w:szCs w:val="22"/>
        </w:rPr>
        <w:endnoteRef/>
      </w:r>
      <w:r w:rsidRPr="00EB2E55">
        <w:rPr>
          <w:sz w:val="22"/>
          <w:szCs w:val="22"/>
        </w:rPr>
        <w:t xml:space="preserve"> Dickinson H. </w:t>
      </w:r>
      <w:r w:rsidRPr="00EB2E55">
        <w:rPr>
          <w:rFonts w:asciiTheme="minorHAnsi" w:hAnsiTheme="minorHAnsi"/>
          <w:bCs/>
          <w:i/>
          <w:sz w:val="22"/>
          <w:szCs w:val="22"/>
          <w:lang w:val="en-AU"/>
        </w:rPr>
        <w:t xml:space="preserve">Commissioning public services evidence review: lessons for Australian public services. </w:t>
      </w:r>
      <w:proofErr w:type="gramStart"/>
      <w:r w:rsidRPr="00EB2E55">
        <w:rPr>
          <w:rFonts w:asciiTheme="minorHAnsi" w:hAnsiTheme="minorHAnsi"/>
          <w:bCs/>
          <w:sz w:val="22"/>
          <w:szCs w:val="22"/>
          <w:lang w:val="en-AU"/>
        </w:rPr>
        <w:t>Melbourne School of Government 2015.</w:t>
      </w:r>
      <w:proofErr w:type="gramEnd"/>
      <w:r w:rsidRPr="00EB2E55">
        <w:rPr>
          <w:rFonts w:asciiTheme="minorHAnsi" w:hAnsiTheme="minorHAnsi"/>
          <w:bCs/>
          <w:sz w:val="22"/>
          <w:szCs w:val="22"/>
          <w:lang w:val="en-AU"/>
        </w:rPr>
        <w:t xml:space="preserve"> </w:t>
      </w:r>
      <w:proofErr w:type="gramStart"/>
      <w:r w:rsidRPr="00EB2E55">
        <w:rPr>
          <w:rFonts w:asciiTheme="minorHAnsi" w:hAnsiTheme="minorHAnsi"/>
          <w:bCs/>
          <w:sz w:val="22"/>
          <w:szCs w:val="22"/>
          <w:lang w:val="en-AU"/>
        </w:rPr>
        <w:t>p.15.</w:t>
      </w:r>
      <w:proofErr w:type="gramEnd"/>
    </w:p>
    <w:p w:rsidR="004A170A" w:rsidRPr="00EB2E55" w:rsidRDefault="004A170A">
      <w:pPr>
        <w:pStyle w:val="EndnoteText"/>
        <w:rPr>
          <w:rFonts w:asciiTheme="minorHAnsi" w:hAnsiTheme="minorHAnsi"/>
          <w:bCs/>
          <w:sz w:val="22"/>
          <w:szCs w:val="22"/>
          <w:lang w:val="en-AU"/>
        </w:rPr>
      </w:pPr>
    </w:p>
  </w:endnote>
  <w:endnote w:id="28">
    <w:p w:rsidR="004A170A" w:rsidRPr="00EB2E55" w:rsidRDefault="004A170A" w:rsidP="00B54244">
      <w:pPr>
        <w:pStyle w:val="EndnoteText"/>
        <w:jc w:val="left"/>
        <w:rPr>
          <w:sz w:val="22"/>
          <w:szCs w:val="22"/>
          <w:lang w:val="en-AU"/>
        </w:rPr>
      </w:pPr>
      <w:r w:rsidRPr="00EB2E55">
        <w:rPr>
          <w:rStyle w:val="EndnoteReference"/>
          <w:sz w:val="22"/>
          <w:szCs w:val="22"/>
        </w:rPr>
        <w:endnoteRef/>
      </w:r>
      <w:r w:rsidRPr="00EB2E55">
        <w:rPr>
          <w:sz w:val="22"/>
          <w:szCs w:val="22"/>
        </w:rPr>
        <w:t xml:space="preserve"> </w:t>
      </w:r>
      <w:proofErr w:type="gramStart"/>
      <w:r w:rsidRPr="00EB2E55">
        <w:rPr>
          <w:sz w:val="22"/>
          <w:szCs w:val="22"/>
          <w:lang w:val="en-AU"/>
        </w:rPr>
        <w:t>The King’s Fund and University of Melbourne, in alliance with PricewaterhouseCoopers.</w:t>
      </w:r>
      <w:proofErr w:type="gramEnd"/>
      <w:r w:rsidRPr="00EB2E55">
        <w:rPr>
          <w:sz w:val="22"/>
          <w:szCs w:val="22"/>
          <w:lang w:val="en-AU"/>
        </w:rPr>
        <w:t xml:space="preserve"> </w:t>
      </w:r>
      <w:r w:rsidRPr="00EB2E55">
        <w:rPr>
          <w:i/>
          <w:sz w:val="22"/>
          <w:szCs w:val="22"/>
          <w:lang w:val="en-AU"/>
        </w:rPr>
        <w:t>Challenges and lessons for good practice: Review of the history and development of health service commissioning</w:t>
      </w:r>
      <w:r w:rsidRPr="00EB2E55">
        <w:rPr>
          <w:sz w:val="22"/>
          <w:szCs w:val="22"/>
          <w:lang w:val="en-AU"/>
        </w:rPr>
        <w:t>.</w:t>
      </w:r>
      <w:r>
        <w:rPr>
          <w:sz w:val="22"/>
          <w:szCs w:val="22"/>
          <w:lang w:val="en-AU"/>
        </w:rPr>
        <w:t xml:space="preserve"> </w:t>
      </w:r>
      <w:proofErr w:type="gramStart"/>
      <w:r w:rsidRPr="00EB2E55">
        <w:rPr>
          <w:sz w:val="22"/>
          <w:szCs w:val="22"/>
          <w:lang w:val="en-AU"/>
        </w:rPr>
        <w:t>Prepared for the Australian Government Department of Health.</w:t>
      </w:r>
      <w:proofErr w:type="gramEnd"/>
      <w:r w:rsidRPr="00EB2E55">
        <w:rPr>
          <w:sz w:val="22"/>
          <w:szCs w:val="22"/>
          <w:lang w:val="en-AU"/>
        </w:rPr>
        <w:t xml:space="preserve"> </w:t>
      </w:r>
      <w:proofErr w:type="gramStart"/>
      <w:r w:rsidRPr="00EB2E55">
        <w:rPr>
          <w:sz w:val="22"/>
          <w:szCs w:val="22"/>
          <w:lang w:val="en-AU"/>
        </w:rPr>
        <w:t>2016 Section 2.7.5.</w:t>
      </w:r>
      <w:proofErr w:type="gramEnd"/>
      <w:r w:rsidRPr="00EB2E55">
        <w:rPr>
          <w:sz w:val="22"/>
          <w:szCs w:val="22"/>
          <w:lang w:val="en-AU"/>
        </w:rPr>
        <w:t xml:space="preserve"> </w:t>
      </w:r>
      <w:proofErr w:type="gramStart"/>
      <w:r w:rsidRPr="00EB2E55">
        <w:rPr>
          <w:sz w:val="22"/>
          <w:szCs w:val="22"/>
          <w:lang w:val="en-AU"/>
        </w:rPr>
        <w:t>Stakeholder engagement.</w:t>
      </w:r>
      <w:proofErr w:type="gramEnd"/>
    </w:p>
    <w:p w:rsidR="004A170A" w:rsidRPr="00EB2E55" w:rsidRDefault="004A170A">
      <w:pPr>
        <w:pStyle w:val="EndnoteText"/>
        <w:rPr>
          <w:sz w:val="22"/>
          <w:szCs w:val="22"/>
          <w:lang w:val="en-AU"/>
        </w:rPr>
      </w:pPr>
    </w:p>
  </w:endnote>
  <w:endnote w:id="29">
    <w:p w:rsidR="004A170A" w:rsidRPr="00EB2E55" w:rsidRDefault="004A170A" w:rsidP="00A82733">
      <w:pPr>
        <w:pStyle w:val="EndnoteText"/>
        <w:spacing w:line="240" w:lineRule="auto"/>
        <w:jc w:val="left"/>
        <w:rPr>
          <w:rStyle w:val="Hyperlink"/>
          <w:sz w:val="22"/>
          <w:szCs w:val="22"/>
          <w:lang w:val="en-AU"/>
        </w:rPr>
      </w:pPr>
      <w:r w:rsidRPr="00EB2E55">
        <w:rPr>
          <w:rStyle w:val="EndnoteReference"/>
          <w:sz w:val="22"/>
          <w:szCs w:val="22"/>
        </w:rPr>
        <w:endnoteRef/>
      </w:r>
      <w:r w:rsidRPr="00EB2E55">
        <w:rPr>
          <w:sz w:val="22"/>
          <w:szCs w:val="22"/>
        </w:rPr>
        <w:t xml:space="preserve"> </w:t>
      </w:r>
      <w:proofErr w:type="gramStart"/>
      <w:r w:rsidRPr="00EB2E55">
        <w:rPr>
          <w:sz w:val="22"/>
          <w:szCs w:val="22"/>
          <w:lang w:val="en-AU"/>
        </w:rPr>
        <w:t>UK National Audit Office.</w:t>
      </w:r>
      <w:proofErr w:type="gramEnd"/>
      <w:r w:rsidRPr="00EB2E55">
        <w:rPr>
          <w:sz w:val="22"/>
          <w:szCs w:val="22"/>
          <w:lang w:val="en-AU"/>
        </w:rPr>
        <w:t xml:space="preserve"> </w:t>
      </w:r>
      <w:hyperlink r:id="rId16" w:history="1">
        <w:r>
          <w:rPr>
            <w:rStyle w:val="Hyperlink"/>
            <w:sz w:val="22"/>
            <w:szCs w:val="22"/>
            <w:lang w:val="en-AU"/>
          </w:rPr>
          <w:t>Decommissionin</w:t>
        </w:r>
        <w:r w:rsidR="00CE568E">
          <w:rPr>
            <w:rStyle w:val="Hyperlink"/>
            <w:sz w:val="22"/>
            <w:szCs w:val="22"/>
            <w:lang w:val="en-AU"/>
          </w:rPr>
          <w:t>g Toolkit</w:t>
        </w:r>
      </w:hyperlink>
    </w:p>
    <w:p w:rsidR="004A170A" w:rsidRPr="00EB2E55" w:rsidRDefault="004A170A" w:rsidP="00A82733">
      <w:pPr>
        <w:pStyle w:val="EndnoteText"/>
        <w:spacing w:line="240" w:lineRule="auto"/>
        <w:jc w:val="left"/>
        <w:rPr>
          <w:sz w:val="22"/>
          <w:szCs w:val="22"/>
          <w:lang w:val="en-AU"/>
        </w:rPr>
      </w:pPr>
    </w:p>
  </w:endnote>
  <w:endnote w:id="30">
    <w:p w:rsidR="004A170A" w:rsidRPr="00EB2E55" w:rsidRDefault="004A170A" w:rsidP="00F93171">
      <w:pPr>
        <w:pStyle w:val="EndnoteText"/>
        <w:spacing w:line="240" w:lineRule="auto"/>
        <w:jc w:val="left"/>
        <w:rPr>
          <w:rStyle w:val="Hyperlink"/>
          <w:sz w:val="22"/>
          <w:szCs w:val="22"/>
          <w:lang w:val="en-AU"/>
        </w:rPr>
      </w:pPr>
      <w:r w:rsidRPr="00EB2E55">
        <w:rPr>
          <w:rStyle w:val="EndnoteReference"/>
          <w:sz w:val="22"/>
          <w:szCs w:val="22"/>
        </w:rPr>
        <w:endnoteRef/>
      </w:r>
      <w:r w:rsidRPr="00EB2E55">
        <w:rPr>
          <w:sz w:val="22"/>
          <w:szCs w:val="22"/>
        </w:rPr>
        <w:t xml:space="preserve"> </w:t>
      </w:r>
      <w:proofErr w:type="gramStart"/>
      <w:r w:rsidRPr="00EB2E55">
        <w:rPr>
          <w:rFonts w:asciiTheme="minorHAnsi" w:hAnsiTheme="minorHAnsi"/>
          <w:sz w:val="22"/>
          <w:szCs w:val="22"/>
        </w:rPr>
        <w:t>Australian Government Department of Health.</w:t>
      </w:r>
      <w:proofErr w:type="gramEnd"/>
      <w:r w:rsidRPr="00EB2E55">
        <w:rPr>
          <w:rFonts w:asciiTheme="minorHAnsi" w:hAnsiTheme="minorHAnsi"/>
          <w:sz w:val="22"/>
          <w:szCs w:val="22"/>
        </w:rPr>
        <w:t xml:space="preserve"> </w:t>
      </w:r>
      <w:r w:rsidRPr="00EB2E55">
        <w:rPr>
          <w:rFonts w:asciiTheme="minorHAnsi" w:hAnsiTheme="minorHAnsi"/>
          <w:i/>
          <w:sz w:val="22"/>
          <w:szCs w:val="22"/>
          <w:lang w:val="en-AU"/>
        </w:rPr>
        <w:t xml:space="preserve">Primary Health Networks Grant Programme Guidelines </w:t>
      </w:r>
      <w:r w:rsidRPr="00EB2E55">
        <w:rPr>
          <w:i/>
          <w:sz w:val="22"/>
          <w:szCs w:val="22"/>
          <w:lang w:val="en-AU"/>
        </w:rPr>
        <w:t>February 2016 – Version 1.2</w:t>
      </w:r>
      <w:r w:rsidRPr="00EB2E55">
        <w:rPr>
          <w:rFonts w:asciiTheme="minorHAnsi" w:hAnsiTheme="minorHAnsi"/>
          <w:sz w:val="22"/>
          <w:szCs w:val="22"/>
          <w:lang w:val="en-AU"/>
        </w:rPr>
        <w:t xml:space="preserve">. </w:t>
      </w:r>
      <w:proofErr w:type="gramStart"/>
      <w:r w:rsidRPr="00EB2E55">
        <w:rPr>
          <w:rFonts w:asciiTheme="minorHAnsi" w:hAnsiTheme="minorHAnsi"/>
          <w:sz w:val="22"/>
          <w:szCs w:val="22"/>
          <w:lang w:val="en-AU"/>
        </w:rPr>
        <w:t>Section 1.7.</w:t>
      </w:r>
      <w:proofErr w:type="gramEnd"/>
    </w:p>
    <w:p w:rsidR="004A170A" w:rsidRPr="00EB2E55" w:rsidRDefault="004A170A" w:rsidP="00F93171">
      <w:pPr>
        <w:pStyle w:val="EndnoteText"/>
        <w:spacing w:line="240" w:lineRule="auto"/>
        <w:jc w:val="left"/>
        <w:rPr>
          <w:sz w:val="22"/>
          <w:szCs w:val="22"/>
          <w:lang w:val="en-AU"/>
        </w:rPr>
      </w:pPr>
    </w:p>
  </w:endnote>
  <w:endnote w:id="31">
    <w:p w:rsidR="004A170A" w:rsidRPr="00EB2E55" w:rsidRDefault="004A170A">
      <w:pPr>
        <w:pStyle w:val="EndnoteText"/>
        <w:rPr>
          <w:rFonts w:asciiTheme="minorHAnsi" w:hAnsiTheme="minorHAnsi"/>
          <w:sz w:val="22"/>
          <w:szCs w:val="22"/>
          <w:lang w:val="en-AU"/>
        </w:rPr>
      </w:pPr>
      <w:r w:rsidRPr="00EB2E55">
        <w:rPr>
          <w:rStyle w:val="EndnoteReference"/>
          <w:sz w:val="22"/>
          <w:szCs w:val="22"/>
        </w:rPr>
        <w:endnoteRef/>
      </w:r>
      <w:r w:rsidRPr="00EB2E55">
        <w:rPr>
          <w:sz w:val="22"/>
          <w:szCs w:val="22"/>
        </w:rPr>
        <w:t xml:space="preserve"> </w:t>
      </w:r>
      <w:proofErr w:type="gramStart"/>
      <w:r w:rsidRPr="00EB2E55">
        <w:rPr>
          <w:rFonts w:asciiTheme="minorHAnsi" w:hAnsiTheme="minorHAnsi"/>
          <w:sz w:val="22"/>
          <w:szCs w:val="22"/>
        </w:rPr>
        <w:t>Australian Government Department of Health.</w:t>
      </w:r>
      <w:proofErr w:type="gramEnd"/>
      <w:r w:rsidRPr="00EB2E55">
        <w:rPr>
          <w:rFonts w:asciiTheme="minorHAnsi" w:hAnsiTheme="minorHAnsi"/>
          <w:sz w:val="22"/>
          <w:szCs w:val="22"/>
        </w:rPr>
        <w:t xml:space="preserve"> </w:t>
      </w:r>
      <w:hyperlink r:id="rId17" w:history="1">
        <w:r w:rsidRPr="00584DD0">
          <w:rPr>
            <w:rStyle w:val="Hyperlink"/>
            <w:rFonts w:asciiTheme="minorHAnsi" w:hAnsiTheme="minorHAnsi"/>
            <w:i/>
            <w:sz w:val="22"/>
            <w:szCs w:val="22"/>
            <w:lang w:val="en-AU"/>
          </w:rPr>
          <w:t xml:space="preserve">Primary Health Networks Grant Programme Guidelines </w:t>
        </w:r>
        <w:r w:rsidRPr="00584DD0">
          <w:rPr>
            <w:rStyle w:val="Hyperlink"/>
            <w:i/>
            <w:sz w:val="22"/>
            <w:szCs w:val="22"/>
            <w:lang w:val="en-AU"/>
          </w:rPr>
          <w:t>February 2016 – Version 1.2</w:t>
        </w:r>
      </w:hyperlink>
      <w:r w:rsidRPr="00EB2E55">
        <w:rPr>
          <w:rFonts w:asciiTheme="minorHAnsi" w:hAnsiTheme="minorHAnsi"/>
          <w:sz w:val="22"/>
          <w:szCs w:val="22"/>
          <w:lang w:val="en-AU"/>
        </w:rPr>
        <w:t xml:space="preserve">. </w:t>
      </w:r>
      <w:proofErr w:type="gramStart"/>
      <w:r w:rsidRPr="00EB2E55">
        <w:rPr>
          <w:rFonts w:asciiTheme="minorHAnsi" w:hAnsiTheme="minorHAnsi"/>
          <w:sz w:val="22"/>
          <w:szCs w:val="22"/>
          <w:lang w:val="en-AU"/>
        </w:rPr>
        <w:t>Section 1.7.</w:t>
      </w:r>
      <w:proofErr w:type="gramEnd"/>
    </w:p>
    <w:p w:rsidR="004A170A" w:rsidRPr="00E65A0E" w:rsidRDefault="004A170A">
      <w:pPr>
        <w:pStyle w:val="EndnoteText"/>
        <w:rPr>
          <w:lang w:val="en-A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Neo Sans Std">
    <w:altName w:val="Neo Sans Std"/>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BerkeleyStd-Book">
    <w:panose1 w:val="00000000000000000000"/>
    <w:charset w:val="00"/>
    <w:family w:val="roman"/>
    <w:notTrueType/>
    <w:pitch w:val="default"/>
    <w:sig w:usb0="00000003" w:usb1="00000000" w:usb2="00000000" w:usb3="00000000" w:csb0="00000001" w:csb1="00000000"/>
  </w:font>
  <w:font w:name="Frutiger-Light">
    <w:altName w:val="Cambria"/>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253" w:rsidRDefault="005552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42" w:rsidRDefault="00C57742">
    <w:pPr>
      <w:pStyle w:val="Footer"/>
      <w:jc w:val="center"/>
    </w:pPr>
  </w:p>
  <w:p w:rsidR="004A170A" w:rsidRPr="004F1ACF" w:rsidRDefault="004A170A" w:rsidP="004F1AC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253" w:rsidRDefault="005552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37842"/>
      <w:docPartObj>
        <w:docPartGallery w:val="Page Numbers (Bottom of Page)"/>
        <w:docPartUnique/>
      </w:docPartObj>
    </w:sdtPr>
    <w:sdtEndPr>
      <w:rPr>
        <w:noProof/>
      </w:rPr>
    </w:sdtEndPr>
    <w:sdtContent>
      <w:p w:rsidR="005965EF" w:rsidRDefault="005965EF">
        <w:pPr>
          <w:pStyle w:val="Footer"/>
          <w:jc w:val="center"/>
        </w:pPr>
        <w:r>
          <w:fldChar w:fldCharType="begin"/>
        </w:r>
        <w:r>
          <w:instrText xml:space="preserve"> PAGE   \* MERGEFORMAT </w:instrText>
        </w:r>
        <w:r>
          <w:fldChar w:fldCharType="separate"/>
        </w:r>
        <w:r w:rsidR="00AC2940">
          <w:rPr>
            <w:noProof/>
          </w:rPr>
          <w:t>ii</w:t>
        </w:r>
        <w:r>
          <w:rPr>
            <w:noProof/>
          </w:rPr>
          <w:fldChar w:fldCharType="end"/>
        </w:r>
      </w:p>
    </w:sdtContent>
  </w:sdt>
  <w:p w:rsidR="005965EF" w:rsidRPr="004F1ACF" w:rsidRDefault="005965EF" w:rsidP="004F1AC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362774"/>
      <w:docPartObj>
        <w:docPartGallery w:val="Page Numbers (Bottom of Page)"/>
        <w:docPartUnique/>
      </w:docPartObj>
    </w:sdtPr>
    <w:sdtEndPr>
      <w:rPr>
        <w:noProof/>
      </w:rPr>
    </w:sdtEndPr>
    <w:sdtContent>
      <w:p w:rsidR="005965EF" w:rsidRDefault="005965EF">
        <w:pPr>
          <w:pStyle w:val="Footer"/>
          <w:jc w:val="center"/>
        </w:pPr>
        <w:r>
          <w:fldChar w:fldCharType="begin"/>
        </w:r>
        <w:r>
          <w:instrText xml:space="preserve"> PAGE   \* MERGEFORMAT </w:instrText>
        </w:r>
        <w:r>
          <w:fldChar w:fldCharType="separate"/>
        </w:r>
        <w:r w:rsidR="00AC2940">
          <w:rPr>
            <w:noProof/>
          </w:rPr>
          <w:t>25</w:t>
        </w:r>
        <w:r>
          <w:rPr>
            <w:noProof/>
          </w:rPr>
          <w:fldChar w:fldCharType="end"/>
        </w:r>
      </w:p>
    </w:sdtContent>
  </w:sdt>
  <w:p w:rsidR="004A170A" w:rsidRPr="00D71535" w:rsidRDefault="004A170A" w:rsidP="00D715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CE9" w:rsidRDefault="00031CE9" w:rsidP="00893721">
      <w:pPr>
        <w:spacing w:line="240" w:lineRule="auto"/>
      </w:pPr>
      <w:r>
        <w:separator/>
      </w:r>
    </w:p>
  </w:footnote>
  <w:footnote w:type="continuationSeparator" w:id="0">
    <w:p w:rsidR="00031CE9" w:rsidRDefault="00031CE9" w:rsidP="008937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253" w:rsidRDefault="005552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253" w:rsidRDefault="005552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253" w:rsidRDefault="005552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0A" w:rsidRDefault="004A17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0A" w:rsidRDefault="004A17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70A" w:rsidRDefault="004A17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304E"/>
    <w:multiLevelType w:val="hybridMultilevel"/>
    <w:tmpl w:val="9D660374"/>
    <w:lvl w:ilvl="0" w:tplc="61A445DC">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17F1DFD"/>
    <w:multiLevelType w:val="hybridMultilevel"/>
    <w:tmpl w:val="369689A4"/>
    <w:lvl w:ilvl="0" w:tplc="04090003">
      <w:start w:val="1"/>
      <w:numFmt w:val="bullet"/>
      <w:lvlText w:val="o"/>
      <w:lvlJc w:val="left"/>
      <w:pPr>
        <w:ind w:left="1074" w:hanging="360"/>
      </w:pPr>
      <w:rPr>
        <w:rFonts w:ascii="Courier New" w:hAnsi="Courier New" w:hint="default"/>
      </w:rPr>
    </w:lvl>
    <w:lvl w:ilvl="1" w:tplc="04090003" w:tentative="1">
      <w:start w:val="1"/>
      <w:numFmt w:val="bullet"/>
      <w:lvlText w:val="o"/>
      <w:lvlJc w:val="left"/>
      <w:pPr>
        <w:ind w:left="1794" w:hanging="360"/>
      </w:pPr>
      <w:rPr>
        <w:rFonts w:ascii="Courier New" w:hAnsi="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
    <w:nsid w:val="0C9F6261"/>
    <w:multiLevelType w:val="hybridMultilevel"/>
    <w:tmpl w:val="F9B68088"/>
    <w:lvl w:ilvl="0" w:tplc="61A445D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5B0247"/>
    <w:multiLevelType w:val="hybridMultilevel"/>
    <w:tmpl w:val="0D8AA61A"/>
    <w:lvl w:ilvl="0" w:tplc="61A445D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C6257A"/>
    <w:multiLevelType w:val="hybridMultilevel"/>
    <w:tmpl w:val="F64C5A9A"/>
    <w:lvl w:ilvl="0" w:tplc="BC823670">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BC6D37"/>
    <w:multiLevelType w:val="hybridMultilevel"/>
    <w:tmpl w:val="39E4379E"/>
    <w:lvl w:ilvl="0" w:tplc="BC823670">
      <w:start w:val="1"/>
      <w:numFmt w:val="bullet"/>
      <w:lvlText w:val=""/>
      <w:lvlJc w:val="left"/>
      <w:pPr>
        <w:ind w:left="360" w:hanging="360"/>
      </w:pPr>
      <w:rPr>
        <w:rFonts w:ascii="Wingdings" w:hAnsi="Wingdings"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442816"/>
    <w:multiLevelType w:val="hybridMultilevel"/>
    <w:tmpl w:val="144C2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FF3645"/>
    <w:multiLevelType w:val="hybridMultilevel"/>
    <w:tmpl w:val="A768DD72"/>
    <w:lvl w:ilvl="0" w:tplc="215C0EC0">
      <w:start w:val="1"/>
      <w:numFmt w:val="bullet"/>
      <w:lvlText w:val=""/>
      <w:lvlJc w:val="left"/>
      <w:pPr>
        <w:ind w:left="360" w:hanging="360"/>
      </w:pPr>
      <w:rPr>
        <w:rFonts w:ascii="Wingdings" w:hAnsi="Wingdings" w:hint="default"/>
        <w:sz w:val="24"/>
        <w:szCs w:val="16"/>
      </w:rPr>
    </w:lvl>
    <w:lvl w:ilvl="1" w:tplc="8766D50E">
      <w:start w:val="1"/>
      <w:numFmt w:val="bullet"/>
      <w:lvlText w:val="o"/>
      <w:lvlJc w:val="left"/>
      <w:pPr>
        <w:ind w:left="1080" w:hanging="360"/>
      </w:pPr>
      <w:rPr>
        <w:rFonts w:ascii="Courier New" w:hAnsi="Courier New" w:hint="default"/>
      </w:rPr>
    </w:lvl>
    <w:lvl w:ilvl="2" w:tplc="E45E9912">
      <w:numFmt w:val="bullet"/>
      <w:lvlText w:val=""/>
      <w:lvlJc w:val="left"/>
      <w:pPr>
        <w:ind w:left="1800" w:hanging="360"/>
      </w:pPr>
      <w:rPr>
        <w:rFonts w:ascii="Symbol" w:eastAsia="Times New Roman" w:hAnsi="Symbol"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653428"/>
    <w:multiLevelType w:val="hybridMultilevel"/>
    <w:tmpl w:val="C12C5F94"/>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9">
    <w:nsid w:val="1C8A023E"/>
    <w:multiLevelType w:val="hybridMultilevel"/>
    <w:tmpl w:val="2D1E2F30"/>
    <w:lvl w:ilvl="0" w:tplc="CB749B7A">
      <w:start w:val="1"/>
      <w:numFmt w:val="bullet"/>
      <w:lvlText w:val=""/>
      <w:lvlJc w:val="left"/>
      <w:pPr>
        <w:ind w:left="360" w:hanging="360"/>
      </w:pPr>
      <w:rPr>
        <w:rFonts w:ascii="Wingdings" w:hAnsi="Wingdings" w:hint="default"/>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1237C53"/>
    <w:multiLevelType w:val="hybridMultilevel"/>
    <w:tmpl w:val="7C0A1204"/>
    <w:lvl w:ilvl="0" w:tplc="61A445D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7E1EC0"/>
    <w:multiLevelType w:val="hybridMultilevel"/>
    <w:tmpl w:val="CF20A938"/>
    <w:lvl w:ilvl="0" w:tplc="BC823670">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183612A"/>
    <w:multiLevelType w:val="hybridMultilevel"/>
    <w:tmpl w:val="8AE8827C"/>
    <w:lvl w:ilvl="0" w:tplc="6FDA7206">
      <w:start w:val="1"/>
      <w:numFmt w:val="bullet"/>
      <w:lvlText w:val="•"/>
      <w:lvlJc w:val="left"/>
      <w:pPr>
        <w:tabs>
          <w:tab w:val="num" w:pos="360"/>
        </w:tabs>
        <w:ind w:left="360" w:hanging="360"/>
      </w:pPr>
      <w:rPr>
        <w:rFonts w:ascii="Arial" w:hAnsi="Arial" w:hint="default"/>
      </w:rPr>
    </w:lvl>
    <w:lvl w:ilvl="1" w:tplc="EC52B6E4" w:tentative="1">
      <w:start w:val="1"/>
      <w:numFmt w:val="bullet"/>
      <w:lvlText w:val="•"/>
      <w:lvlJc w:val="left"/>
      <w:pPr>
        <w:tabs>
          <w:tab w:val="num" w:pos="1080"/>
        </w:tabs>
        <w:ind w:left="1080" w:hanging="360"/>
      </w:pPr>
      <w:rPr>
        <w:rFonts w:ascii="Arial" w:hAnsi="Arial" w:hint="default"/>
      </w:rPr>
    </w:lvl>
    <w:lvl w:ilvl="2" w:tplc="D4EC1CD6" w:tentative="1">
      <w:start w:val="1"/>
      <w:numFmt w:val="bullet"/>
      <w:lvlText w:val="•"/>
      <w:lvlJc w:val="left"/>
      <w:pPr>
        <w:tabs>
          <w:tab w:val="num" w:pos="1800"/>
        </w:tabs>
        <w:ind w:left="1800" w:hanging="360"/>
      </w:pPr>
      <w:rPr>
        <w:rFonts w:ascii="Arial" w:hAnsi="Arial" w:hint="default"/>
      </w:rPr>
    </w:lvl>
    <w:lvl w:ilvl="3" w:tplc="A1245B46" w:tentative="1">
      <w:start w:val="1"/>
      <w:numFmt w:val="bullet"/>
      <w:lvlText w:val="•"/>
      <w:lvlJc w:val="left"/>
      <w:pPr>
        <w:tabs>
          <w:tab w:val="num" w:pos="2520"/>
        </w:tabs>
        <w:ind w:left="2520" w:hanging="360"/>
      </w:pPr>
      <w:rPr>
        <w:rFonts w:ascii="Arial" w:hAnsi="Arial" w:hint="default"/>
      </w:rPr>
    </w:lvl>
    <w:lvl w:ilvl="4" w:tplc="EB64EF16" w:tentative="1">
      <w:start w:val="1"/>
      <w:numFmt w:val="bullet"/>
      <w:lvlText w:val="•"/>
      <w:lvlJc w:val="left"/>
      <w:pPr>
        <w:tabs>
          <w:tab w:val="num" w:pos="3240"/>
        </w:tabs>
        <w:ind w:left="3240" w:hanging="360"/>
      </w:pPr>
      <w:rPr>
        <w:rFonts w:ascii="Arial" w:hAnsi="Arial" w:hint="default"/>
      </w:rPr>
    </w:lvl>
    <w:lvl w:ilvl="5" w:tplc="A5AE6F88" w:tentative="1">
      <w:start w:val="1"/>
      <w:numFmt w:val="bullet"/>
      <w:lvlText w:val="•"/>
      <w:lvlJc w:val="left"/>
      <w:pPr>
        <w:tabs>
          <w:tab w:val="num" w:pos="3960"/>
        </w:tabs>
        <w:ind w:left="3960" w:hanging="360"/>
      </w:pPr>
      <w:rPr>
        <w:rFonts w:ascii="Arial" w:hAnsi="Arial" w:hint="default"/>
      </w:rPr>
    </w:lvl>
    <w:lvl w:ilvl="6" w:tplc="25E88220" w:tentative="1">
      <w:start w:val="1"/>
      <w:numFmt w:val="bullet"/>
      <w:lvlText w:val="•"/>
      <w:lvlJc w:val="left"/>
      <w:pPr>
        <w:tabs>
          <w:tab w:val="num" w:pos="4680"/>
        </w:tabs>
        <w:ind w:left="4680" w:hanging="360"/>
      </w:pPr>
      <w:rPr>
        <w:rFonts w:ascii="Arial" w:hAnsi="Arial" w:hint="default"/>
      </w:rPr>
    </w:lvl>
    <w:lvl w:ilvl="7" w:tplc="AD8E9E04" w:tentative="1">
      <w:start w:val="1"/>
      <w:numFmt w:val="bullet"/>
      <w:lvlText w:val="•"/>
      <w:lvlJc w:val="left"/>
      <w:pPr>
        <w:tabs>
          <w:tab w:val="num" w:pos="5400"/>
        </w:tabs>
        <w:ind w:left="5400" w:hanging="360"/>
      </w:pPr>
      <w:rPr>
        <w:rFonts w:ascii="Arial" w:hAnsi="Arial" w:hint="default"/>
      </w:rPr>
    </w:lvl>
    <w:lvl w:ilvl="8" w:tplc="8C5AF44A" w:tentative="1">
      <w:start w:val="1"/>
      <w:numFmt w:val="bullet"/>
      <w:lvlText w:val="•"/>
      <w:lvlJc w:val="left"/>
      <w:pPr>
        <w:tabs>
          <w:tab w:val="num" w:pos="6120"/>
        </w:tabs>
        <w:ind w:left="6120" w:hanging="360"/>
      </w:pPr>
      <w:rPr>
        <w:rFonts w:ascii="Arial" w:hAnsi="Arial" w:hint="default"/>
      </w:rPr>
    </w:lvl>
  </w:abstractNum>
  <w:abstractNum w:abstractNumId="13">
    <w:nsid w:val="22293CB3"/>
    <w:multiLevelType w:val="hybridMultilevel"/>
    <w:tmpl w:val="C7ACAB9A"/>
    <w:lvl w:ilvl="0" w:tplc="0C09000F">
      <w:start w:val="1"/>
      <w:numFmt w:val="decimal"/>
      <w:lvlText w:val="%1."/>
      <w:lvlJc w:val="left"/>
      <w:pPr>
        <w:ind w:left="735" w:hanging="360"/>
      </w:pPr>
    </w:lvl>
    <w:lvl w:ilvl="1" w:tplc="0C090019" w:tentative="1">
      <w:start w:val="1"/>
      <w:numFmt w:val="lowerLetter"/>
      <w:lvlText w:val="%2."/>
      <w:lvlJc w:val="left"/>
      <w:pPr>
        <w:ind w:left="1455" w:hanging="360"/>
      </w:pPr>
    </w:lvl>
    <w:lvl w:ilvl="2" w:tplc="0C09001B" w:tentative="1">
      <w:start w:val="1"/>
      <w:numFmt w:val="lowerRoman"/>
      <w:lvlText w:val="%3."/>
      <w:lvlJc w:val="right"/>
      <w:pPr>
        <w:ind w:left="2175" w:hanging="180"/>
      </w:pPr>
    </w:lvl>
    <w:lvl w:ilvl="3" w:tplc="0C09000F" w:tentative="1">
      <w:start w:val="1"/>
      <w:numFmt w:val="decimal"/>
      <w:lvlText w:val="%4."/>
      <w:lvlJc w:val="left"/>
      <w:pPr>
        <w:ind w:left="2895" w:hanging="360"/>
      </w:pPr>
    </w:lvl>
    <w:lvl w:ilvl="4" w:tplc="0C090019" w:tentative="1">
      <w:start w:val="1"/>
      <w:numFmt w:val="lowerLetter"/>
      <w:lvlText w:val="%5."/>
      <w:lvlJc w:val="left"/>
      <w:pPr>
        <w:ind w:left="3615" w:hanging="360"/>
      </w:pPr>
    </w:lvl>
    <w:lvl w:ilvl="5" w:tplc="0C09001B" w:tentative="1">
      <w:start w:val="1"/>
      <w:numFmt w:val="lowerRoman"/>
      <w:lvlText w:val="%6."/>
      <w:lvlJc w:val="right"/>
      <w:pPr>
        <w:ind w:left="4335" w:hanging="180"/>
      </w:pPr>
    </w:lvl>
    <w:lvl w:ilvl="6" w:tplc="0C09000F" w:tentative="1">
      <w:start w:val="1"/>
      <w:numFmt w:val="decimal"/>
      <w:lvlText w:val="%7."/>
      <w:lvlJc w:val="left"/>
      <w:pPr>
        <w:ind w:left="5055" w:hanging="360"/>
      </w:pPr>
    </w:lvl>
    <w:lvl w:ilvl="7" w:tplc="0C090019" w:tentative="1">
      <w:start w:val="1"/>
      <w:numFmt w:val="lowerLetter"/>
      <w:lvlText w:val="%8."/>
      <w:lvlJc w:val="left"/>
      <w:pPr>
        <w:ind w:left="5775" w:hanging="360"/>
      </w:pPr>
    </w:lvl>
    <w:lvl w:ilvl="8" w:tplc="0C09001B" w:tentative="1">
      <w:start w:val="1"/>
      <w:numFmt w:val="lowerRoman"/>
      <w:lvlText w:val="%9."/>
      <w:lvlJc w:val="right"/>
      <w:pPr>
        <w:ind w:left="6495" w:hanging="180"/>
      </w:pPr>
    </w:lvl>
  </w:abstractNum>
  <w:abstractNum w:abstractNumId="14">
    <w:nsid w:val="2AC33789"/>
    <w:multiLevelType w:val="hybridMultilevel"/>
    <w:tmpl w:val="6C8A814A"/>
    <w:lvl w:ilvl="0" w:tplc="BC823670">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6">
    <w:nsid w:val="2D3749D5"/>
    <w:multiLevelType w:val="hybridMultilevel"/>
    <w:tmpl w:val="68DC3B5A"/>
    <w:lvl w:ilvl="0" w:tplc="BC823670">
      <w:start w:val="1"/>
      <w:numFmt w:val="bullet"/>
      <w:lvlText w:val=""/>
      <w:lvlJc w:val="left"/>
      <w:pPr>
        <w:ind w:left="717" w:hanging="360"/>
      </w:pPr>
      <w:rPr>
        <w:rFonts w:ascii="Wingdings" w:hAnsi="Wingdings" w:hint="default"/>
        <w:sz w:val="24"/>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nsid w:val="2E6E7FEC"/>
    <w:multiLevelType w:val="hybridMultilevel"/>
    <w:tmpl w:val="3618A0FA"/>
    <w:lvl w:ilvl="0" w:tplc="0EBC9622">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28C57EB"/>
    <w:multiLevelType w:val="hybridMultilevel"/>
    <w:tmpl w:val="41C8EEA8"/>
    <w:lvl w:ilvl="0" w:tplc="043CC7C8">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2983433"/>
    <w:multiLevelType w:val="hybridMultilevel"/>
    <w:tmpl w:val="A144372A"/>
    <w:lvl w:ilvl="0" w:tplc="043CC7C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9F2887"/>
    <w:multiLevelType w:val="hybridMultilevel"/>
    <w:tmpl w:val="144E3212"/>
    <w:lvl w:ilvl="0" w:tplc="66C2B092">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706271B"/>
    <w:multiLevelType w:val="hybridMultilevel"/>
    <w:tmpl w:val="E13EC9F2"/>
    <w:lvl w:ilvl="0" w:tplc="BC823670">
      <w:start w:val="1"/>
      <w:numFmt w:val="bullet"/>
      <w:lvlText w:val=""/>
      <w:lvlJc w:val="left"/>
      <w:pPr>
        <w:ind w:left="-354" w:hanging="360"/>
      </w:pPr>
      <w:rPr>
        <w:rFonts w:ascii="Wingdings" w:hAnsi="Wingdings" w:hint="default"/>
        <w:sz w:val="24"/>
      </w:rPr>
    </w:lvl>
    <w:lvl w:ilvl="1" w:tplc="0C090003" w:tentative="1">
      <w:start w:val="1"/>
      <w:numFmt w:val="bullet"/>
      <w:lvlText w:val="o"/>
      <w:lvlJc w:val="left"/>
      <w:pPr>
        <w:ind w:left="366" w:hanging="360"/>
      </w:pPr>
      <w:rPr>
        <w:rFonts w:ascii="Courier New" w:hAnsi="Courier New" w:cs="Courier New" w:hint="default"/>
      </w:rPr>
    </w:lvl>
    <w:lvl w:ilvl="2" w:tplc="0C090005" w:tentative="1">
      <w:start w:val="1"/>
      <w:numFmt w:val="bullet"/>
      <w:lvlText w:val=""/>
      <w:lvlJc w:val="left"/>
      <w:pPr>
        <w:ind w:left="1086" w:hanging="360"/>
      </w:pPr>
      <w:rPr>
        <w:rFonts w:ascii="Wingdings" w:hAnsi="Wingdings" w:hint="default"/>
      </w:rPr>
    </w:lvl>
    <w:lvl w:ilvl="3" w:tplc="0C090001" w:tentative="1">
      <w:start w:val="1"/>
      <w:numFmt w:val="bullet"/>
      <w:lvlText w:val=""/>
      <w:lvlJc w:val="left"/>
      <w:pPr>
        <w:ind w:left="1806" w:hanging="360"/>
      </w:pPr>
      <w:rPr>
        <w:rFonts w:ascii="Symbol" w:hAnsi="Symbol" w:hint="default"/>
      </w:rPr>
    </w:lvl>
    <w:lvl w:ilvl="4" w:tplc="0C090003" w:tentative="1">
      <w:start w:val="1"/>
      <w:numFmt w:val="bullet"/>
      <w:lvlText w:val="o"/>
      <w:lvlJc w:val="left"/>
      <w:pPr>
        <w:ind w:left="2526" w:hanging="360"/>
      </w:pPr>
      <w:rPr>
        <w:rFonts w:ascii="Courier New" w:hAnsi="Courier New" w:cs="Courier New" w:hint="default"/>
      </w:rPr>
    </w:lvl>
    <w:lvl w:ilvl="5" w:tplc="0C090005" w:tentative="1">
      <w:start w:val="1"/>
      <w:numFmt w:val="bullet"/>
      <w:lvlText w:val=""/>
      <w:lvlJc w:val="left"/>
      <w:pPr>
        <w:ind w:left="3246" w:hanging="360"/>
      </w:pPr>
      <w:rPr>
        <w:rFonts w:ascii="Wingdings" w:hAnsi="Wingdings" w:hint="default"/>
      </w:rPr>
    </w:lvl>
    <w:lvl w:ilvl="6" w:tplc="0C090001" w:tentative="1">
      <w:start w:val="1"/>
      <w:numFmt w:val="bullet"/>
      <w:lvlText w:val=""/>
      <w:lvlJc w:val="left"/>
      <w:pPr>
        <w:ind w:left="3966" w:hanging="360"/>
      </w:pPr>
      <w:rPr>
        <w:rFonts w:ascii="Symbol" w:hAnsi="Symbol" w:hint="default"/>
      </w:rPr>
    </w:lvl>
    <w:lvl w:ilvl="7" w:tplc="0C090003" w:tentative="1">
      <w:start w:val="1"/>
      <w:numFmt w:val="bullet"/>
      <w:lvlText w:val="o"/>
      <w:lvlJc w:val="left"/>
      <w:pPr>
        <w:ind w:left="4686" w:hanging="360"/>
      </w:pPr>
      <w:rPr>
        <w:rFonts w:ascii="Courier New" w:hAnsi="Courier New" w:cs="Courier New" w:hint="default"/>
      </w:rPr>
    </w:lvl>
    <w:lvl w:ilvl="8" w:tplc="0C090005" w:tentative="1">
      <w:start w:val="1"/>
      <w:numFmt w:val="bullet"/>
      <w:lvlText w:val=""/>
      <w:lvlJc w:val="left"/>
      <w:pPr>
        <w:ind w:left="5406" w:hanging="360"/>
      </w:pPr>
      <w:rPr>
        <w:rFonts w:ascii="Wingdings" w:hAnsi="Wingdings" w:hint="default"/>
      </w:rPr>
    </w:lvl>
  </w:abstractNum>
  <w:abstractNum w:abstractNumId="22">
    <w:nsid w:val="3A824800"/>
    <w:multiLevelType w:val="hybridMultilevel"/>
    <w:tmpl w:val="BF7A2F3A"/>
    <w:lvl w:ilvl="0" w:tplc="BC823670">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5B614F"/>
    <w:multiLevelType w:val="hybridMultilevel"/>
    <w:tmpl w:val="E076C6B8"/>
    <w:lvl w:ilvl="0" w:tplc="BC823670">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3C3D2FFB"/>
    <w:multiLevelType w:val="hybridMultilevel"/>
    <w:tmpl w:val="288E2932"/>
    <w:lvl w:ilvl="0" w:tplc="CB96B904">
      <w:start w:val="1"/>
      <w:numFmt w:val="bullet"/>
      <w:pStyle w:val="Endnotedotpoin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CCD49FC"/>
    <w:multiLevelType w:val="hybridMultilevel"/>
    <w:tmpl w:val="45F8949E"/>
    <w:lvl w:ilvl="0" w:tplc="F62C9038">
      <w:start w:val="1"/>
      <w:numFmt w:val="bullet"/>
      <w:lvlText w:val=""/>
      <w:lvlJc w:val="left"/>
      <w:pPr>
        <w:ind w:left="360" w:hanging="360"/>
      </w:pPr>
      <w:rPr>
        <w:rFonts w:ascii="Wingdings" w:hAnsi="Wingdings" w:hint="default"/>
        <w:sz w:val="24"/>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1577685"/>
    <w:multiLevelType w:val="hybridMultilevel"/>
    <w:tmpl w:val="2548AC6C"/>
    <w:lvl w:ilvl="0" w:tplc="47783E1E">
      <w:start w:val="1"/>
      <w:numFmt w:val="bullet"/>
      <w:lvlText w:val="•"/>
      <w:lvlJc w:val="left"/>
      <w:pPr>
        <w:tabs>
          <w:tab w:val="num" w:pos="720"/>
        </w:tabs>
        <w:ind w:left="720" w:hanging="360"/>
      </w:pPr>
      <w:rPr>
        <w:rFonts w:ascii="Arial" w:hAnsi="Arial" w:hint="default"/>
      </w:rPr>
    </w:lvl>
    <w:lvl w:ilvl="1" w:tplc="544428EC" w:tentative="1">
      <w:start w:val="1"/>
      <w:numFmt w:val="bullet"/>
      <w:lvlText w:val="•"/>
      <w:lvlJc w:val="left"/>
      <w:pPr>
        <w:tabs>
          <w:tab w:val="num" w:pos="1440"/>
        </w:tabs>
        <w:ind w:left="1440" w:hanging="360"/>
      </w:pPr>
      <w:rPr>
        <w:rFonts w:ascii="Arial" w:hAnsi="Arial" w:hint="default"/>
      </w:rPr>
    </w:lvl>
    <w:lvl w:ilvl="2" w:tplc="2CD68468" w:tentative="1">
      <w:start w:val="1"/>
      <w:numFmt w:val="bullet"/>
      <w:lvlText w:val="•"/>
      <w:lvlJc w:val="left"/>
      <w:pPr>
        <w:tabs>
          <w:tab w:val="num" w:pos="2160"/>
        </w:tabs>
        <w:ind w:left="2160" w:hanging="360"/>
      </w:pPr>
      <w:rPr>
        <w:rFonts w:ascii="Arial" w:hAnsi="Arial" w:hint="default"/>
      </w:rPr>
    </w:lvl>
    <w:lvl w:ilvl="3" w:tplc="0E1A7C92" w:tentative="1">
      <w:start w:val="1"/>
      <w:numFmt w:val="bullet"/>
      <w:lvlText w:val="•"/>
      <w:lvlJc w:val="left"/>
      <w:pPr>
        <w:tabs>
          <w:tab w:val="num" w:pos="2880"/>
        </w:tabs>
        <w:ind w:left="2880" w:hanging="360"/>
      </w:pPr>
      <w:rPr>
        <w:rFonts w:ascii="Arial" w:hAnsi="Arial" w:hint="default"/>
      </w:rPr>
    </w:lvl>
    <w:lvl w:ilvl="4" w:tplc="53DA6ACC" w:tentative="1">
      <w:start w:val="1"/>
      <w:numFmt w:val="bullet"/>
      <w:lvlText w:val="•"/>
      <w:lvlJc w:val="left"/>
      <w:pPr>
        <w:tabs>
          <w:tab w:val="num" w:pos="3600"/>
        </w:tabs>
        <w:ind w:left="3600" w:hanging="360"/>
      </w:pPr>
      <w:rPr>
        <w:rFonts w:ascii="Arial" w:hAnsi="Arial" w:hint="default"/>
      </w:rPr>
    </w:lvl>
    <w:lvl w:ilvl="5" w:tplc="926A66DA" w:tentative="1">
      <w:start w:val="1"/>
      <w:numFmt w:val="bullet"/>
      <w:lvlText w:val="•"/>
      <w:lvlJc w:val="left"/>
      <w:pPr>
        <w:tabs>
          <w:tab w:val="num" w:pos="4320"/>
        </w:tabs>
        <w:ind w:left="4320" w:hanging="360"/>
      </w:pPr>
      <w:rPr>
        <w:rFonts w:ascii="Arial" w:hAnsi="Arial" w:hint="default"/>
      </w:rPr>
    </w:lvl>
    <w:lvl w:ilvl="6" w:tplc="5354307E" w:tentative="1">
      <w:start w:val="1"/>
      <w:numFmt w:val="bullet"/>
      <w:lvlText w:val="•"/>
      <w:lvlJc w:val="left"/>
      <w:pPr>
        <w:tabs>
          <w:tab w:val="num" w:pos="5040"/>
        </w:tabs>
        <w:ind w:left="5040" w:hanging="360"/>
      </w:pPr>
      <w:rPr>
        <w:rFonts w:ascii="Arial" w:hAnsi="Arial" w:hint="default"/>
      </w:rPr>
    </w:lvl>
    <w:lvl w:ilvl="7" w:tplc="9916655A" w:tentative="1">
      <w:start w:val="1"/>
      <w:numFmt w:val="bullet"/>
      <w:lvlText w:val="•"/>
      <w:lvlJc w:val="left"/>
      <w:pPr>
        <w:tabs>
          <w:tab w:val="num" w:pos="5760"/>
        </w:tabs>
        <w:ind w:left="5760" w:hanging="360"/>
      </w:pPr>
      <w:rPr>
        <w:rFonts w:ascii="Arial" w:hAnsi="Arial" w:hint="default"/>
      </w:rPr>
    </w:lvl>
    <w:lvl w:ilvl="8" w:tplc="A5BE067C" w:tentative="1">
      <w:start w:val="1"/>
      <w:numFmt w:val="bullet"/>
      <w:lvlText w:val="•"/>
      <w:lvlJc w:val="left"/>
      <w:pPr>
        <w:tabs>
          <w:tab w:val="num" w:pos="6480"/>
        </w:tabs>
        <w:ind w:left="6480" w:hanging="360"/>
      </w:pPr>
      <w:rPr>
        <w:rFonts w:ascii="Arial" w:hAnsi="Arial" w:hint="default"/>
      </w:rPr>
    </w:lvl>
  </w:abstractNum>
  <w:abstractNum w:abstractNumId="27">
    <w:nsid w:val="42272331"/>
    <w:multiLevelType w:val="hybridMultilevel"/>
    <w:tmpl w:val="8DEE857E"/>
    <w:lvl w:ilvl="0" w:tplc="C5E0E04A">
      <w:start w:val="1"/>
      <w:numFmt w:val="bullet"/>
      <w:pStyle w:val="ListParagraph"/>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4EC5CAC"/>
    <w:multiLevelType w:val="hybridMultilevel"/>
    <w:tmpl w:val="D6480F22"/>
    <w:lvl w:ilvl="0" w:tplc="B13A7926">
      <w:start w:val="1"/>
      <w:numFmt w:val="bullet"/>
      <w:lvlText w:val=""/>
      <w:lvlJc w:val="left"/>
      <w:pPr>
        <w:ind w:left="1080" w:hanging="360"/>
      </w:pPr>
      <w:rPr>
        <w:rFonts w:ascii="Wingdings" w:hAnsi="Wingdings" w:hint="default"/>
        <w:sz w:val="2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472D4FAF"/>
    <w:multiLevelType w:val="hybridMultilevel"/>
    <w:tmpl w:val="98324270"/>
    <w:lvl w:ilvl="0" w:tplc="1E5AC22E">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9FD2F01"/>
    <w:multiLevelType w:val="hybridMultilevel"/>
    <w:tmpl w:val="046ACB0C"/>
    <w:lvl w:ilvl="0" w:tplc="BC823670">
      <w:start w:val="1"/>
      <w:numFmt w:val="bullet"/>
      <w:lvlText w:val=""/>
      <w:lvlJc w:val="left"/>
      <w:pPr>
        <w:ind w:left="360" w:hanging="360"/>
      </w:pPr>
      <w:rPr>
        <w:rFonts w:ascii="Wingdings" w:hAnsi="Wingdings" w:hint="default"/>
        <w:sz w:val="24"/>
        <w:szCs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AAB5470"/>
    <w:multiLevelType w:val="multilevel"/>
    <w:tmpl w:val="94DC5112"/>
    <w:lvl w:ilvl="0">
      <w:start w:val="1"/>
      <w:numFmt w:val="bullet"/>
      <w:lvlRestart w:val="0"/>
      <w:pStyle w:val="ListBullet"/>
      <w:lvlText w:val=""/>
      <w:lvlJc w:val="left"/>
      <w:pPr>
        <w:tabs>
          <w:tab w:val="num" w:pos="567"/>
        </w:tabs>
        <w:ind w:left="567" w:hanging="567"/>
      </w:pPr>
      <w:rPr>
        <w:rFonts w:ascii="Symbol" w:hAnsi="Symbol" w:hint="default"/>
        <w:b w:val="0"/>
        <w:i w:val="0"/>
        <w:color w:val="auto"/>
      </w:rPr>
    </w:lvl>
    <w:lvl w:ilvl="1">
      <w:start w:val="1"/>
      <w:numFmt w:val="bullet"/>
      <w:pStyle w:val="ListBullet2"/>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pStyle w:val="ListBullet5"/>
      <w:lvlText w:val="~"/>
      <w:lvlJc w:val="left"/>
      <w:pPr>
        <w:tabs>
          <w:tab w:val="num" w:pos="2835"/>
        </w:tabs>
        <w:ind w:left="2835" w:hanging="567"/>
      </w:pPr>
      <w:rPr>
        <w:rFonts w:ascii="Georgia" w:hAnsi="Georgia" w:hint="default"/>
        <w:color w:val="auto"/>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2">
    <w:nsid w:val="4C0A5331"/>
    <w:multiLevelType w:val="hybridMultilevel"/>
    <w:tmpl w:val="78FCC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D1C7DC6"/>
    <w:multiLevelType w:val="hybridMultilevel"/>
    <w:tmpl w:val="30C8C2AE"/>
    <w:lvl w:ilvl="0" w:tplc="BC823670">
      <w:start w:val="1"/>
      <w:numFmt w:val="bullet"/>
      <w:lvlText w:val=""/>
      <w:lvlJc w:val="left"/>
      <w:pPr>
        <w:ind w:left="-354" w:hanging="360"/>
      </w:pPr>
      <w:rPr>
        <w:rFonts w:ascii="Wingdings" w:hAnsi="Wingdings" w:hint="default"/>
        <w:sz w:val="24"/>
      </w:rPr>
    </w:lvl>
    <w:lvl w:ilvl="1" w:tplc="0C090003" w:tentative="1">
      <w:start w:val="1"/>
      <w:numFmt w:val="bullet"/>
      <w:lvlText w:val="o"/>
      <w:lvlJc w:val="left"/>
      <w:pPr>
        <w:ind w:left="366" w:hanging="360"/>
      </w:pPr>
      <w:rPr>
        <w:rFonts w:ascii="Courier New" w:hAnsi="Courier New" w:cs="Courier New" w:hint="default"/>
      </w:rPr>
    </w:lvl>
    <w:lvl w:ilvl="2" w:tplc="0C090005" w:tentative="1">
      <w:start w:val="1"/>
      <w:numFmt w:val="bullet"/>
      <w:lvlText w:val=""/>
      <w:lvlJc w:val="left"/>
      <w:pPr>
        <w:ind w:left="1086" w:hanging="360"/>
      </w:pPr>
      <w:rPr>
        <w:rFonts w:ascii="Wingdings" w:hAnsi="Wingdings" w:hint="default"/>
      </w:rPr>
    </w:lvl>
    <w:lvl w:ilvl="3" w:tplc="0C090001" w:tentative="1">
      <w:start w:val="1"/>
      <w:numFmt w:val="bullet"/>
      <w:lvlText w:val=""/>
      <w:lvlJc w:val="left"/>
      <w:pPr>
        <w:ind w:left="1806" w:hanging="360"/>
      </w:pPr>
      <w:rPr>
        <w:rFonts w:ascii="Symbol" w:hAnsi="Symbol" w:hint="default"/>
      </w:rPr>
    </w:lvl>
    <w:lvl w:ilvl="4" w:tplc="0C090003" w:tentative="1">
      <w:start w:val="1"/>
      <w:numFmt w:val="bullet"/>
      <w:lvlText w:val="o"/>
      <w:lvlJc w:val="left"/>
      <w:pPr>
        <w:ind w:left="2526" w:hanging="360"/>
      </w:pPr>
      <w:rPr>
        <w:rFonts w:ascii="Courier New" w:hAnsi="Courier New" w:cs="Courier New" w:hint="default"/>
      </w:rPr>
    </w:lvl>
    <w:lvl w:ilvl="5" w:tplc="0C090005" w:tentative="1">
      <w:start w:val="1"/>
      <w:numFmt w:val="bullet"/>
      <w:lvlText w:val=""/>
      <w:lvlJc w:val="left"/>
      <w:pPr>
        <w:ind w:left="3246" w:hanging="360"/>
      </w:pPr>
      <w:rPr>
        <w:rFonts w:ascii="Wingdings" w:hAnsi="Wingdings" w:hint="default"/>
      </w:rPr>
    </w:lvl>
    <w:lvl w:ilvl="6" w:tplc="0C090001" w:tentative="1">
      <w:start w:val="1"/>
      <w:numFmt w:val="bullet"/>
      <w:lvlText w:val=""/>
      <w:lvlJc w:val="left"/>
      <w:pPr>
        <w:ind w:left="3966" w:hanging="360"/>
      </w:pPr>
      <w:rPr>
        <w:rFonts w:ascii="Symbol" w:hAnsi="Symbol" w:hint="default"/>
      </w:rPr>
    </w:lvl>
    <w:lvl w:ilvl="7" w:tplc="0C090003" w:tentative="1">
      <w:start w:val="1"/>
      <w:numFmt w:val="bullet"/>
      <w:lvlText w:val="o"/>
      <w:lvlJc w:val="left"/>
      <w:pPr>
        <w:ind w:left="4686" w:hanging="360"/>
      </w:pPr>
      <w:rPr>
        <w:rFonts w:ascii="Courier New" w:hAnsi="Courier New" w:cs="Courier New" w:hint="default"/>
      </w:rPr>
    </w:lvl>
    <w:lvl w:ilvl="8" w:tplc="0C090005" w:tentative="1">
      <w:start w:val="1"/>
      <w:numFmt w:val="bullet"/>
      <w:lvlText w:val=""/>
      <w:lvlJc w:val="left"/>
      <w:pPr>
        <w:ind w:left="5406" w:hanging="360"/>
      </w:pPr>
      <w:rPr>
        <w:rFonts w:ascii="Wingdings" w:hAnsi="Wingdings" w:hint="default"/>
      </w:rPr>
    </w:lvl>
  </w:abstractNum>
  <w:abstractNum w:abstractNumId="34">
    <w:nsid w:val="50D24E78"/>
    <w:multiLevelType w:val="hybridMultilevel"/>
    <w:tmpl w:val="4114FC5A"/>
    <w:lvl w:ilvl="0" w:tplc="C02CE0D4">
      <w:start w:val="1"/>
      <w:numFmt w:val="bullet"/>
      <w:lvlText w:val=""/>
      <w:lvlJc w:val="left"/>
      <w:pPr>
        <w:ind w:left="360" w:hanging="360"/>
      </w:pPr>
      <w:rPr>
        <w:rFonts w:ascii="Wingdings" w:hAnsi="Wingdings" w:hint="default"/>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54AF7275"/>
    <w:multiLevelType w:val="hybridMultilevel"/>
    <w:tmpl w:val="A7E0BA86"/>
    <w:lvl w:ilvl="0" w:tplc="33C8DE2C">
      <w:start w:val="1"/>
      <w:numFmt w:val="bullet"/>
      <w:lvlText w:val="•"/>
      <w:lvlJc w:val="left"/>
      <w:pPr>
        <w:tabs>
          <w:tab w:val="num" w:pos="720"/>
        </w:tabs>
        <w:ind w:left="720" w:hanging="360"/>
      </w:pPr>
      <w:rPr>
        <w:rFonts w:ascii="Arial" w:hAnsi="Arial" w:hint="default"/>
      </w:rPr>
    </w:lvl>
    <w:lvl w:ilvl="1" w:tplc="F24499BA" w:tentative="1">
      <w:start w:val="1"/>
      <w:numFmt w:val="bullet"/>
      <w:lvlText w:val="•"/>
      <w:lvlJc w:val="left"/>
      <w:pPr>
        <w:tabs>
          <w:tab w:val="num" w:pos="1440"/>
        </w:tabs>
        <w:ind w:left="1440" w:hanging="360"/>
      </w:pPr>
      <w:rPr>
        <w:rFonts w:ascii="Arial" w:hAnsi="Arial" w:hint="default"/>
      </w:rPr>
    </w:lvl>
    <w:lvl w:ilvl="2" w:tplc="E7D0B032" w:tentative="1">
      <w:start w:val="1"/>
      <w:numFmt w:val="bullet"/>
      <w:lvlText w:val="•"/>
      <w:lvlJc w:val="left"/>
      <w:pPr>
        <w:tabs>
          <w:tab w:val="num" w:pos="2160"/>
        </w:tabs>
        <w:ind w:left="2160" w:hanging="360"/>
      </w:pPr>
      <w:rPr>
        <w:rFonts w:ascii="Arial" w:hAnsi="Arial" w:hint="default"/>
      </w:rPr>
    </w:lvl>
    <w:lvl w:ilvl="3" w:tplc="DC9ABF6C" w:tentative="1">
      <w:start w:val="1"/>
      <w:numFmt w:val="bullet"/>
      <w:lvlText w:val="•"/>
      <w:lvlJc w:val="left"/>
      <w:pPr>
        <w:tabs>
          <w:tab w:val="num" w:pos="2880"/>
        </w:tabs>
        <w:ind w:left="2880" w:hanging="360"/>
      </w:pPr>
      <w:rPr>
        <w:rFonts w:ascii="Arial" w:hAnsi="Arial" w:hint="default"/>
      </w:rPr>
    </w:lvl>
    <w:lvl w:ilvl="4" w:tplc="0B1A343C" w:tentative="1">
      <w:start w:val="1"/>
      <w:numFmt w:val="bullet"/>
      <w:lvlText w:val="•"/>
      <w:lvlJc w:val="left"/>
      <w:pPr>
        <w:tabs>
          <w:tab w:val="num" w:pos="3600"/>
        </w:tabs>
        <w:ind w:left="3600" w:hanging="360"/>
      </w:pPr>
      <w:rPr>
        <w:rFonts w:ascii="Arial" w:hAnsi="Arial" w:hint="default"/>
      </w:rPr>
    </w:lvl>
    <w:lvl w:ilvl="5" w:tplc="4BFC84DC" w:tentative="1">
      <w:start w:val="1"/>
      <w:numFmt w:val="bullet"/>
      <w:lvlText w:val="•"/>
      <w:lvlJc w:val="left"/>
      <w:pPr>
        <w:tabs>
          <w:tab w:val="num" w:pos="4320"/>
        </w:tabs>
        <w:ind w:left="4320" w:hanging="360"/>
      </w:pPr>
      <w:rPr>
        <w:rFonts w:ascii="Arial" w:hAnsi="Arial" w:hint="default"/>
      </w:rPr>
    </w:lvl>
    <w:lvl w:ilvl="6" w:tplc="904EA392" w:tentative="1">
      <w:start w:val="1"/>
      <w:numFmt w:val="bullet"/>
      <w:lvlText w:val="•"/>
      <w:lvlJc w:val="left"/>
      <w:pPr>
        <w:tabs>
          <w:tab w:val="num" w:pos="5040"/>
        </w:tabs>
        <w:ind w:left="5040" w:hanging="360"/>
      </w:pPr>
      <w:rPr>
        <w:rFonts w:ascii="Arial" w:hAnsi="Arial" w:hint="default"/>
      </w:rPr>
    </w:lvl>
    <w:lvl w:ilvl="7" w:tplc="C1D001A0" w:tentative="1">
      <w:start w:val="1"/>
      <w:numFmt w:val="bullet"/>
      <w:lvlText w:val="•"/>
      <w:lvlJc w:val="left"/>
      <w:pPr>
        <w:tabs>
          <w:tab w:val="num" w:pos="5760"/>
        </w:tabs>
        <w:ind w:left="5760" w:hanging="360"/>
      </w:pPr>
      <w:rPr>
        <w:rFonts w:ascii="Arial" w:hAnsi="Arial" w:hint="default"/>
      </w:rPr>
    </w:lvl>
    <w:lvl w:ilvl="8" w:tplc="CCE8721E" w:tentative="1">
      <w:start w:val="1"/>
      <w:numFmt w:val="bullet"/>
      <w:lvlText w:val="•"/>
      <w:lvlJc w:val="left"/>
      <w:pPr>
        <w:tabs>
          <w:tab w:val="num" w:pos="6480"/>
        </w:tabs>
        <w:ind w:left="6480" w:hanging="360"/>
      </w:pPr>
      <w:rPr>
        <w:rFonts w:ascii="Arial" w:hAnsi="Arial" w:hint="default"/>
      </w:rPr>
    </w:lvl>
  </w:abstractNum>
  <w:abstractNum w:abstractNumId="36">
    <w:nsid w:val="56831D7B"/>
    <w:multiLevelType w:val="hybridMultilevel"/>
    <w:tmpl w:val="75748582"/>
    <w:lvl w:ilvl="0" w:tplc="BC823670">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70A5347"/>
    <w:multiLevelType w:val="hybridMultilevel"/>
    <w:tmpl w:val="687A7982"/>
    <w:lvl w:ilvl="0" w:tplc="FD5C5B56">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619E2DC4"/>
    <w:multiLevelType w:val="hybridMultilevel"/>
    <w:tmpl w:val="0E6CAD64"/>
    <w:lvl w:ilvl="0" w:tplc="61A445DC">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3917BB9"/>
    <w:multiLevelType w:val="multilevel"/>
    <w:tmpl w:val="A77E06AE"/>
    <w:lvl w:ilvl="0">
      <w:start w:val="1"/>
      <w:numFmt w:val="none"/>
      <w:pStyle w:val="MLNormal"/>
      <w:suff w:val="nothing"/>
      <w:lvlText w:val=""/>
      <w:lvlJc w:val="left"/>
      <w:pPr>
        <w:ind w:left="0" w:firstLine="0"/>
      </w:pPr>
      <w:rPr>
        <w:rFonts w:hint="default"/>
        <w:color w:val="auto"/>
      </w:rPr>
    </w:lvl>
    <w:lvl w:ilvl="1">
      <w:start w:val="1"/>
      <w:numFmt w:val="none"/>
      <w:pStyle w:val="Indent1"/>
      <w:suff w:val="nothing"/>
      <w:lvlText w:val=""/>
      <w:lvlJc w:val="left"/>
      <w:pPr>
        <w:ind w:left="567" w:firstLine="0"/>
      </w:pPr>
      <w:rPr>
        <w:rFonts w:hint="default"/>
      </w:rPr>
    </w:lvl>
    <w:lvl w:ilvl="2">
      <w:start w:val="1"/>
      <w:numFmt w:val="none"/>
      <w:pStyle w:val="Indent2"/>
      <w:suff w:val="nothing"/>
      <w:lvlText w:val=""/>
      <w:lvlJc w:val="left"/>
      <w:pPr>
        <w:ind w:left="1134" w:firstLine="0"/>
      </w:pPr>
      <w:rPr>
        <w:rFonts w:hint="default"/>
      </w:rPr>
    </w:lvl>
    <w:lvl w:ilvl="3">
      <w:start w:val="1"/>
      <w:numFmt w:val="none"/>
      <w:pStyle w:val="Indent3"/>
      <w:suff w:val="nothing"/>
      <w:lvlText w:val=""/>
      <w:lvlJc w:val="left"/>
      <w:pPr>
        <w:ind w:left="1701" w:firstLine="0"/>
      </w:pPr>
      <w:rPr>
        <w:rFonts w:hint="default"/>
      </w:rPr>
    </w:lvl>
    <w:lvl w:ilvl="4">
      <w:start w:val="1"/>
      <w:numFmt w:val="none"/>
      <w:pStyle w:val="Indent4"/>
      <w:suff w:val="nothing"/>
      <w:lvlText w:val=""/>
      <w:lvlJc w:val="left"/>
      <w:pPr>
        <w:ind w:left="2268" w:firstLine="0"/>
      </w:pPr>
      <w:rPr>
        <w:rFonts w:hint="default"/>
      </w:rPr>
    </w:lvl>
    <w:lvl w:ilvl="5">
      <w:start w:val="1"/>
      <w:numFmt w:val="none"/>
      <w:pStyle w:val="Indent5"/>
      <w:suff w:val="nothing"/>
      <w:lvlText w:val=""/>
      <w:lvlJc w:val="left"/>
      <w:pPr>
        <w:ind w:left="2835" w:firstLine="0"/>
      </w:pPr>
      <w:rPr>
        <w:rFonts w:hint="default"/>
      </w:rPr>
    </w:lvl>
    <w:lvl w:ilvl="6">
      <w:start w:val="1"/>
      <w:numFmt w:val="none"/>
      <w:pStyle w:val="Indent6"/>
      <w:suff w:val="nothing"/>
      <w:lvlText w:val=""/>
      <w:lvlJc w:val="left"/>
      <w:pPr>
        <w:ind w:left="3402" w:firstLine="0"/>
      </w:pPr>
      <w:rPr>
        <w:rFonts w:hint="default"/>
      </w:rPr>
    </w:lvl>
    <w:lvl w:ilvl="7">
      <w:start w:val="1"/>
      <w:numFmt w:val="none"/>
      <w:pStyle w:val="Indent7"/>
      <w:suff w:val="nothing"/>
      <w:lvlText w:val=""/>
      <w:lvlJc w:val="left"/>
      <w:pPr>
        <w:ind w:left="3969" w:firstLine="0"/>
      </w:pPr>
      <w:rPr>
        <w:rFonts w:hint="default"/>
      </w:rPr>
    </w:lvl>
    <w:lvl w:ilvl="8">
      <w:start w:val="1"/>
      <w:numFmt w:val="none"/>
      <w:pStyle w:val="Indent8"/>
      <w:suff w:val="nothing"/>
      <w:lvlText w:val=""/>
      <w:lvlJc w:val="left"/>
      <w:pPr>
        <w:ind w:left="4536" w:firstLine="0"/>
      </w:pPr>
      <w:rPr>
        <w:rFonts w:hint="default"/>
      </w:rPr>
    </w:lvl>
  </w:abstractNum>
  <w:abstractNum w:abstractNumId="40">
    <w:nsid w:val="662B502C"/>
    <w:multiLevelType w:val="hybridMultilevel"/>
    <w:tmpl w:val="CADAB332"/>
    <w:lvl w:ilvl="0" w:tplc="BC823670">
      <w:start w:val="1"/>
      <w:numFmt w:val="bullet"/>
      <w:lvlText w:val=""/>
      <w:lvlJc w:val="left"/>
      <w:pPr>
        <w:ind w:left="360" w:hanging="360"/>
      </w:pPr>
      <w:rPr>
        <w:rFonts w:ascii="Wingdings" w:hAnsi="Wingdings" w:hint="default"/>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6E4F1998"/>
    <w:multiLevelType w:val="hybridMultilevel"/>
    <w:tmpl w:val="D2441DC8"/>
    <w:lvl w:ilvl="0" w:tplc="BBE03A44">
      <w:start w:val="1"/>
      <w:numFmt w:val="bullet"/>
      <w:lvlText w:val=""/>
      <w:lvlJc w:val="left"/>
      <w:pPr>
        <w:ind w:left="360" w:hanging="360"/>
      </w:pPr>
      <w:rPr>
        <w:rFonts w:ascii="Wingdings" w:hAnsi="Wingdings" w:hint="default"/>
        <w:sz w:val="24"/>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6EC43402"/>
    <w:multiLevelType w:val="hybridMultilevel"/>
    <w:tmpl w:val="6FFCAFE2"/>
    <w:lvl w:ilvl="0" w:tplc="E15056D0">
      <w:start w:val="1"/>
      <w:numFmt w:val="bullet"/>
      <w:lvlText w:val=""/>
      <w:lvlJc w:val="left"/>
      <w:pPr>
        <w:ind w:left="1080" w:hanging="360"/>
      </w:pPr>
      <w:rPr>
        <w:rFonts w:ascii="Wingdings" w:hAnsi="Wingdings" w:hint="default"/>
        <w:sz w:val="24"/>
      </w:rPr>
    </w:lvl>
    <w:lvl w:ilvl="1" w:tplc="6074D5E2">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71D83C72"/>
    <w:multiLevelType w:val="hybridMultilevel"/>
    <w:tmpl w:val="518491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20B63BE"/>
    <w:multiLevelType w:val="hybridMultilevel"/>
    <w:tmpl w:val="8CB8EFB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5">
    <w:nsid w:val="78774132"/>
    <w:multiLevelType w:val="hybridMultilevel"/>
    <w:tmpl w:val="B33ED5BE"/>
    <w:lvl w:ilvl="0" w:tplc="914EFB5A">
      <w:start w:val="1"/>
      <w:numFmt w:val="bullet"/>
      <w:lvlText w:val="•"/>
      <w:lvlJc w:val="left"/>
      <w:pPr>
        <w:tabs>
          <w:tab w:val="num" w:pos="360"/>
        </w:tabs>
        <w:ind w:left="360" w:hanging="360"/>
      </w:pPr>
      <w:rPr>
        <w:rFonts w:ascii="Arial" w:hAnsi="Arial" w:hint="default"/>
      </w:rPr>
    </w:lvl>
    <w:lvl w:ilvl="1" w:tplc="76D8D602" w:tentative="1">
      <w:start w:val="1"/>
      <w:numFmt w:val="bullet"/>
      <w:lvlText w:val="•"/>
      <w:lvlJc w:val="left"/>
      <w:pPr>
        <w:tabs>
          <w:tab w:val="num" w:pos="1080"/>
        </w:tabs>
        <w:ind w:left="1080" w:hanging="360"/>
      </w:pPr>
      <w:rPr>
        <w:rFonts w:ascii="Arial" w:hAnsi="Arial" w:hint="default"/>
      </w:rPr>
    </w:lvl>
    <w:lvl w:ilvl="2" w:tplc="8AB029CC" w:tentative="1">
      <w:start w:val="1"/>
      <w:numFmt w:val="bullet"/>
      <w:lvlText w:val="•"/>
      <w:lvlJc w:val="left"/>
      <w:pPr>
        <w:tabs>
          <w:tab w:val="num" w:pos="1800"/>
        </w:tabs>
        <w:ind w:left="1800" w:hanging="360"/>
      </w:pPr>
      <w:rPr>
        <w:rFonts w:ascii="Arial" w:hAnsi="Arial" w:hint="default"/>
      </w:rPr>
    </w:lvl>
    <w:lvl w:ilvl="3" w:tplc="031A7C68" w:tentative="1">
      <w:start w:val="1"/>
      <w:numFmt w:val="bullet"/>
      <w:lvlText w:val="•"/>
      <w:lvlJc w:val="left"/>
      <w:pPr>
        <w:tabs>
          <w:tab w:val="num" w:pos="2520"/>
        </w:tabs>
        <w:ind w:left="2520" w:hanging="360"/>
      </w:pPr>
      <w:rPr>
        <w:rFonts w:ascii="Arial" w:hAnsi="Arial" w:hint="default"/>
      </w:rPr>
    </w:lvl>
    <w:lvl w:ilvl="4" w:tplc="49B63A2E" w:tentative="1">
      <w:start w:val="1"/>
      <w:numFmt w:val="bullet"/>
      <w:lvlText w:val="•"/>
      <w:lvlJc w:val="left"/>
      <w:pPr>
        <w:tabs>
          <w:tab w:val="num" w:pos="3240"/>
        </w:tabs>
        <w:ind w:left="3240" w:hanging="360"/>
      </w:pPr>
      <w:rPr>
        <w:rFonts w:ascii="Arial" w:hAnsi="Arial" w:hint="default"/>
      </w:rPr>
    </w:lvl>
    <w:lvl w:ilvl="5" w:tplc="532293AC" w:tentative="1">
      <w:start w:val="1"/>
      <w:numFmt w:val="bullet"/>
      <w:lvlText w:val="•"/>
      <w:lvlJc w:val="left"/>
      <w:pPr>
        <w:tabs>
          <w:tab w:val="num" w:pos="3960"/>
        </w:tabs>
        <w:ind w:left="3960" w:hanging="360"/>
      </w:pPr>
      <w:rPr>
        <w:rFonts w:ascii="Arial" w:hAnsi="Arial" w:hint="default"/>
      </w:rPr>
    </w:lvl>
    <w:lvl w:ilvl="6" w:tplc="AA9E17CE" w:tentative="1">
      <w:start w:val="1"/>
      <w:numFmt w:val="bullet"/>
      <w:lvlText w:val="•"/>
      <w:lvlJc w:val="left"/>
      <w:pPr>
        <w:tabs>
          <w:tab w:val="num" w:pos="4680"/>
        </w:tabs>
        <w:ind w:left="4680" w:hanging="360"/>
      </w:pPr>
      <w:rPr>
        <w:rFonts w:ascii="Arial" w:hAnsi="Arial" w:hint="default"/>
      </w:rPr>
    </w:lvl>
    <w:lvl w:ilvl="7" w:tplc="BFE082DC" w:tentative="1">
      <w:start w:val="1"/>
      <w:numFmt w:val="bullet"/>
      <w:lvlText w:val="•"/>
      <w:lvlJc w:val="left"/>
      <w:pPr>
        <w:tabs>
          <w:tab w:val="num" w:pos="5400"/>
        </w:tabs>
        <w:ind w:left="5400" w:hanging="360"/>
      </w:pPr>
      <w:rPr>
        <w:rFonts w:ascii="Arial" w:hAnsi="Arial" w:hint="default"/>
      </w:rPr>
    </w:lvl>
    <w:lvl w:ilvl="8" w:tplc="A0D47CEC" w:tentative="1">
      <w:start w:val="1"/>
      <w:numFmt w:val="bullet"/>
      <w:lvlText w:val="•"/>
      <w:lvlJc w:val="left"/>
      <w:pPr>
        <w:tabs>
          <w:tab w:val="num" w:pos="6120"/>
        </w:tabs>
        <w:ind w:left="6120" w:hanging="360"/>
      </w:pPr>
      <w:rPr>
        <w:rFonts w:ascii="Arial" w:hAnsi="Arial" w:hint="default"/>
      </w:rPr>
    </w:lvl>
  </w:abstractNum>
  <w:abstractNum w:abstractNumId="46">
    <w:nsid w:val="7A8648F5"/>
    <w:multiLevelType w:val="hybridMultilevel"/>
    <w:tmpl w:val="2CDA1030"/>
    <w:lvl w:ilvl="0" w:tplc="B13A7926">
      <w:start w:val="1"/>
      <w:numFmt w:val="bullet"/>
      <w:lvlText w:val=""/>
      <w:lvlJc w:val="left"/>
      <w:pPr>
        <w:ind w:left="720" w:hanging="360"/>
      </w:pPr>
      <w:rPr>
        <w:rFonts w:ascii="Wingdings" w:hAnsi="Wingdings" w:hint="default"/>
        <w:sz w:val="24"/>
      </w:rPr>
    </w:lvl>
    <w:lvl w:ilvl="1" w:tplc="BC823670">
      <w:start w:val="1"/>
      <w:numFmt w:val="bullet"/>
      <w:lvlText w:val=""/>
      <w:lvlJc w:val="left"/>
      <w:pPr>
        <w:ind w:left="1440" w:hanging="360"/>
      </w:pPr>
      <w:rPr>
        <w:rFonts w:ascii="Wingdings" w:hAnsi="Wingdings" w:hint="default"/>
        <w:sz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A9B60C7"/>
    <w:multiLevelType w:val="hybridMultilevel"/>
    <w:tmpl w:val="19B47292"/>
    <w:lvl w:ilvl="0" w:tplc="7D0C94CA">
      <w:start w:val="1"/>
      <w:numFmt w:val="bullet"/>
      <w:lvlText w:val="o"/>
      <w:lvlJc w:val="left"/>
      <w:pPr>
        <w:ind w:left="1080" w:hanging="360"/>
      </w:pPr>
      <w:rPr>
        <w:rFonts w:ascii="Courier New" w:hAnsi="Courier Ne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1"/>
  </w:num>
  <w:num w:numId="2">
    <w:abstractNumId w:val="15"/>
  </w:num>
  <w:num w:numId="3">
    <w:abstractNumId w:val="39"/>
  </w:num>
  <w:num w:numId="4">
    <w:abstractNumId w:val="11"/>
  </w:num>
  <w:num w:numId="5">
    <w:abstractNumId w:val="5"/>
  </w:num>
  <w:num w:numId="6">
    <w:abstractNumId w:val="41"/>
  </w:num>
  <w:num w:numId="7">
    <w:abstractNumId w:val="22"/>
  </w:num>
  <w:num w:numId="8">
    <w:abstractNumId w:val="46"/>
  </w:num>
  <w:num w:numId="9">
    <w:abstractNumId w:val="43"/>
  </w:num>
  <w:num w:numId="10">
    <w:abstractNumId w:val="28"/>
  </w:num>
  <w:num w:numId="11">
    <w:abstractNumId w:val="0"/>
  </w:num>
  <w:num w:numId="12">
    <w:abstractNumId w:val="38"/>
  </w:num>
  <w:num w:numId="13">
    <w:abstractNumId w:val="27"/>
  </w:num>
  <w:num w:numId="14">
    <w:abstractNumId w:val="25"/>
  </w:num>
  <w:num w:numId="15">
    <w:abstractNumId w:val="2"/>
  </w:num>
  <w:num w:numId="16">
    <w:abstractNumId w:val="3"/>
  </w:num>
  <w:num w:numId="17">
    <w:abstractNumId w:val="10"/>
  </w:num>
  <w:num w:numId="18">
    <w:abstractNumId w:val="13"/>
  </w:num>
  <w:num w:numId="19">
    <w:abstractNumId w:val="9"/>
  </w:num>
  <w:num w:numId="20">
    <w:abstractNumId w:val="44"/>
  </w:num>
  <w:num w:numId="21">
    <w:abstractNumId w:val="34"/>
  </w:num>
  <w:num w:numId="22">
    <w:abstractNumId w:val="6"/>
  </w:num>
  <w:num w:numId="23">
    <w:abstractNumId w:val="4"/>
  </w:num>
  <w:num w:numId="24">
    <w:abstractNumId w:val="21"/>
  </w:num>
  <w:num w:numId="25">
    <w:abstractNumId w:val="40"/>
  </w:num>
  <w:num w:numId="26">
    <w:abstractNumId w:val="33"/>
  </w:num>
  <w:num w:numId="27">
    <w:abstractNumId w:val="47"/>
  </w:num>
  <w:num w:numId="28">
    <w:abstractNumId w:val="12"/>
  </w:num>
  <w:num w:numId="29">
    <w:abstractNumId w:val="35"/>
  </w:num>
  <w:num w:numId="30">
    <w:abstractNumId w:val="26"/>
  </w:num>
  <w:num w:numId="31">
    <w:abstractNumId w:val="45"/>
  </w:num>
  <w:num w:numId="32">
    <w:abstractNumId w:val="32"/>
  </w:num>
  <w:num w:numId="33">
    <w:abstractNumId w:val="18"/>
  </w:num>
  <w:num w:numId="34">
    <w:abstractNumId w:val="1"/>
  </w:num>
  <w:num w:numId="35">
    <w:abstractNumId w:val="19"/>
  </w:num>
  <w:num w:numId="36">
    <w:abstractNumId w:val="29"/>
  </w:num>
  <w:num w:numId="37">
    <w:abstractNumId w:val="7"/>
  </w:num>
  <w:num w:numId="38">
    <w:abstractNumId w:val="8"/>
  </w:num>
  <w:num w:numId="39">
    <w:abstractNumId w:val="16"/>
  </w:num>
  <w:num w:numId="40">
    <w:abstractNumId w:val="30"/>
  </w:num>
  <w:num w:numId="41">
    <w:abstractNumId w:val="24"/>
  </w:num>
  <w:num w:numId="42">
    <w:abstractNumId w:val="42"/>
  </w:num>
  <w:num w:numId="43">
    <w:abstractNumId w:val="17"/>
  </w:num>
  <w:num w:numId="44">
    <w:abstractNumId w:val="17"/>
  </w:num>
  <w:num w:numId="45">
    <w:abstractNumId w:val="36"/>
  </w:num>
  <w:num w:numId="46">
    <w:abstractNumId w:val="14"/>
  </w:num>
  <w:num w:numId="47">
    <w:abstractNumId w:val="23"/>
  </w:num>
  <w:num w:numId="48">
    <w:abstractNumId w:val="37"/>
  </w:num>
  <w:num w:numId="49">
    <w:abstractNumId w:val="20"/>
  </w:num>
  <w:num w:numId="50">
    <w:abstractNumId w:val="24"/>
  </w:num>
  <w:num w:numId="51">
    <w:abstractNumId w:val="24"/>
  </w:num>
  <w:num w:numId="52">
    <w:abstractNumId w:val="24"/>
  </w:num>
  <w:num w:numId="53">
    <w:abstractNumId w:val="20"/>
  </w:num>
  <w:num w:numId="54">
    <w:abstractNumId w:val="20"/>
  </w:num>
  <w:num w:numId="55">
    <w:abstractNumId w:val="20"/>
  </w:num>
  <w:num w:numId="56">
    <w:abstractNumId w:val="20"/>
  </w:num>
  <w:num w:numId="57">
    <w:abstractNumId w:val="20"/>
  </w:num>
  <w:num w:numId="58">
    <w:abstractNumId w:val="20"/>
  </w:num>
  <w:num w:numId="59">
    <w:abstractNumId w:val="20"/>
  </w:num>
  <w:num w:numId="60">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721"/>
    <w:rsid w:val="0000301C"/>
    <w:rsid w:val="00003743"/>
    <w:rsid w:val="00005DF4"/>
    <w:rsid w:val="000060AB"/>
    <w:rsid w:val="0001485E"/>
    <w:rsid w:val="00014FDB"/>
    <w:rsid w:val="00015206"/>
    <w:rsid w:val="0001792D"/>
    <w:rsid w:val="00021CEF"/>
    <w:rsid w:val="000222EF"/>
    <w:rsid w:val="00023EAB"/>
    <w:rsid w:val="00024853"/>
    <w:rsid w:val="00025BFC"/>
    <w:rsid w:val="000319AF"/>
    <w:rsid w:val="00031CE9"/>
    <w:rsid w:val="00032053"/>
    <w:rsid w:val="00034FE6"/>
    <w:rsid w:val="00036425"/>
    <w:rsid w:val="000379E5"/>
    <w:rsid w:val="00041D67"/>
    <w:rsid w:val="00043188"/>
    <w:rsid w:val="00045345"/>
    <w:rsid w:val="000457B6"/>
    <w:rsid w:val="000460A3"/>
    <w:rsid w:val="000523AB"/>
    <w:rsid w:val="00052424"/>
    <w:rsid w:val="00055BD9"/>
    <w:rsid w:val="00056335"/>
    <w:rsid w:val="000569FB"/>
    <w:rsid w:val="00057286"/>
    <w:rsid w:val="000625E0"/>
    <w:rsid w:val="00063A10"/>
    <w:rsid w:val="000656DD"/>
    <w:rsid w:val="00067456"/>
    <w:rsid w:val="00070B19"/>
    <w:rsid w:val="00070C7E"/>
    <w:rsid w:val="000719BD"/>
    <w:rsid w:val="00074266"/>
    <w:rsid w:val="00075D43"/>
    <w:rsid w:val="00077EB0"/>
    <w:rsid w:val="00082DF7"/>
    <w:rsid w:val="000842AA"/>
    <w:rsid w:val="00092203"/>
    <w:rsid w:val="000939AF"/>
    <w:rsid w:val="000977DA"/>
    <w:rsid w:val="000A1EF0"/>
    <w:rsid w:val="000A69A4"/>
    <w:rsid w:val="000A745E"/>
    <w:rsid w:val="000B3269"/>
    <w:rsid w:val="000B5EB5"/>
    <w:rsid w:val="000B5FA6"/>
    <w:rsid w:val="000B7D9D"/>
    <w:rsid w:val="000C3472"/>
    <w:rsid w:val="000C5811"/>
    <w:rsid w:val="000C5A83"/>
    <w:rsid w:val="000C7B82"/>
    <w:rsid w:val="000D1050"/>
    <w:rsid w:val="000D3567"/>
    <w:rsid w:val="000D6287"/>
    <w:rsid w:val="000D7527"/>
    <w:rsid w:val="000D7B62"/>
    <w:rsid w:val="000E1711"/>
    <w:rsid w:val="000E1D33"/>
    <w:rsid w:val="000E5F6F"/>
    <w:rsid w:val="000F07F9"/>
    <w:rsid w:val="000F24EC"/>
    <w:rsid w:val="000F32D6"/>
    <w:rsid w:val="000F34F7"/>
    <w:rsid w:val="000F3AFE"/>
    <w:rsid w:val="001062C2"/>
    <w:rsid w:val="001069CC"/>
    <w:rsid w:val="0011108F"/>
    <w:rsid w:val="001110E5"/>
    <w:rsid w:val="00111DFE"/>
    <w:rsid w:val="0011525D"/>
    <w:rsid w:val="00117E57"/>
    <w:rsid w:val="00122E26"/>
    <w:rsid w:val="00126122"/>
    <w:rsid w:val="00126161"/>
    <w:rsid w:val="00131D83"/>
    <w:rsid w:val="001333EE"/>
    <w:rsid w:val="001349F9"/>
    <w:rsid w:val="00137BFB"/>
    <w:rsid w:val="00140CE4"/>
    <w:rsid w:val="00141F0F"/>
    <w:rsid w:val="001422FC"/>
    <w:rsid w:val="00144D9E"/>
    <w:rsid w:val="00150205"/>
    <w:rsid w:val="00152962"/>
    <w:rsid w:val="00164F6F"/>
    <w:rsid w:val="00165108"/>
    <w:rsid w:val="00165181"/>
    <w:rsid w:val="00177612"/>
    <w:rsid w:val="00180259"/>
    <w:rsid w:val="001822A3"/>
    <w:rsid w:val="001824DA"/>
    <w:rsid w:val="001830A6"/>
    <w:rsid w:val="001846DF"/>
    <w:rsid w:val="00184DF1"/>
    <w:rsid w:val="00194124"/>
    <w:rsid w:val="001A4D56"/>
    <w:rsid w:val="001A762F"/>
    <w:rsid w:val="001B0000"/>
    <w:rsid w:val="001B3443"/>
    <w:rsid w:val="001B63D5"/>
    <w:rsid w:val="001B70F9"/>
    <w:rsid w:val="001B78A7"/>
    <w:rsid w:val="001B7D00"/>
    <w:rsid w:val="001C4786"/>
    <w:rsid w:val="001C5EA3"/>
    <w:rsid w:val="001C6113"/>
    <w:rsid w:val="001D174F"/>
    <w:rsid w:val="001D2891"/>
    <w:rsid w:val="001D42AD"/>
    <w:rsid w:val="001D697A"/>
    <w:rsid w:val="001D6F42"/>
    <w:rsid w:val="001E1201"/>
    <w:rsid w:val="001E2DD1"/>
    <w:rsid w:val="001F035F"/>
    <w:rsid w:val="001F36DF"/>
    <w:rsid w:val="001F54E9"/>
    <w:rsid w:val="002001D7"/>
    <w:rsid w:val="00203ECF"/>
    <w:rsid w:val="00204216"/>
    <w:rsid w:val="002044CB"/>
    <w:rsid w:val="00205DB1"/>
    <w:rsid w:val="00206041"/>
    <w:rsid w:val="00206223"/>
    <w:rsid w:val="0020642E"/>
    <w:rsid w:val="00206A8C"/>
    <w:rsid w:val="00206ADA"/>
    <w:rsid w:val="00207F1B"/>
    <w:rsid w:val="00213422"/>
    <w:rsid w:val="002142DD"/>
    <w:rsid w:val="0021643A"/>
    <w:rsid w:val="00217DEE"/>
    <w:rsid w:val="0022129A"/>
    <w:rsid w:val="0022227B"/>
    <w:rsid w:val="002234D4"/>
    <w:rsid w:val="00223841"/>
    <w:rsid w:val="00224DE8"/>
    <w:rsid w:val="00226C92"/>
    <w:rsid w:val="00232D46"/>
    <w:rsid w:val="0023317E"/>
    <w:rsid w:val="002342D5"/>
    <w:rsid w:val="00234A7B"/>
    <w:rsid w:val="00235AA0"/>
    <w:rsid w:val="00236BEC"/>
    <w:rsid w:val="00246AFD"/>
    <w:rsid w:val="002510AD"/>
    <w:rsid w:val="0025222B"/>
    <w:rsid w:val="00252AE6"/>
    <w:rsid w:val="00254951"/>
    <w:rsid w:val="00257184"/>
    <w:rsid w:val="002607C7"/>
    <w:rsid w:val="00262DD0"/>
    <w:rsid w:val="002655E3"/>
    <w:rsid w:val="002802A5"/>
    <w:rsid w:val="0028040B"/>
    <w:rsid w:val="002818B7"/>
    <w:rsid w:val="00282AE1"/>
    <w:rsid w:val="00292257"/>
    <w:rsid w:val="002942CA"/>
    <w:rsid w:val="0029759C"/>
    <w:rsid w:val="00297D7E"/>
    <w:rsid w:val="002A08F7"/>
    <w:rsid w:val="002A330F"/>
    <w:rsid w:val="002A551B"/>
    <w:rsid w:val="002A5C94"/>
    <w:rsid w:val="002B2FB7"/>
    <w:rsid w:val="002B38E2"/>
    <w:rsid w:val="002B3E94"/>
    <w:rsid w:val="002C10B1"/>
    <w:rsid w:val="002C2B6E"/>
    <w:rsid w:val="002C67C3"/>
    <w:rsid w:val="002C6BF8"/>
    <w:rsid w:val="002C7FC4"/>
    <w:rsid w:val="002D0478"/>
    <w:rsid w:val="002D06C8"/>
    <w:rsid w:val="002D38C6"/>
    <w:rsid w:val="002D4D3E"/>
    <w:rsid w:val="002D7D68"/>
    <w:rsid w:val="002E1005"/>
    <w:rsid w:val="002E5203"/>
    <w:rsid w:val="002E5BA9"/>
    <w:rsid w:val="002E71B6"/>
    <w:rsid w:val="002F091F"/>
    <w:rsid w:val="00304082"/>
    <w:rsid w:val="0030786C"/>
    <w:rsid w:val="003109FE"/>
    <w:rsid w:val="00313716"/>
    <w:rsid w:val="0031613A"/>
    <w:rsid w:val="00316294"/>
    <w:rsid w:val="00316F38"/>
    <w:rsid w:val="003178F8"/>
    <w:rsid w:val="003208C0"/>
    <w:rsid w:val="0032095D"/>
    <w:rsid w:val="00322581"/>
    <w:rsid w:val="00323278"/>
    <w:rsid w:val="00326EC1"/>
    <w:rsid w:val="0033122C"/>
    <w:rsid w:val="00332BB1"/>
    <w:rsid w:val="00333DF0"/>
    <w:rsid w:val="003349FB"/>
    <w:rsid w:val="00335843"/>
    <w:rsid w:val="00340523"/>
    <w:rsid w:val="003416A3"/>
    <w:rsid w:val="00343CDF"/>
    <w:rsid w:val="0034619A"/>
    <w:rsid w:val="00346D0D"/>
    <w:rsid w:val="00346D32"/>
    <w:rsid w:val="00354042"/>
    <w:rsid w:val="0035617D"/>
    <w:rsid w:val="0036295B"/>
    <w:rsid w:val="00366C99"/>
    <w:rsid w:val="00371F14"/>
    <w:rsid w:val="00373B03"/>
    <w:rsid w:val="00374AAD"/>
    <w:rsid w:val="00374BAB"/>
    <w:rsid w:val="00375106"/>
    <w:rsid w:val="00375DD5"/>
    <w:rsid w:val="003772B9"/>
    <w:rsid w:val="0038628F"/>
    <w:rsid w:val="003876F5"/>
    <w:rsid w:val="00393A97"/>
    <w:rsid w:val="00396654"/>
    <w:rsid w:val="003A02FC"/>
    <w:rsid w:val="003A14A7"/>
    <w:rsid w:val="003A3228"/>
    <w:rsid w:val="003A578C"/>
    <w:rsid w:val="003A628E"/>
    <w:rsid w:val="003A72E5"/>
    <w:rsid w:val="003B2AD3"/>
    <w:rsid w:val="003B4B97"/>
    <w:rsid w:val="003B7522"/>
    <w:rsid w:val="003C2B07"/>
    <w:rsid w:val="003D0035"/>
    <w:rsid w:val="003D163B"/>
    <w:rsid w:val="003D17F9"/>
    <w:rsid w:val="003D672C"/>
    <w:rsid w:val="003E2255"/>
    <w:rsid w:val="003E25CA"/>
    <w:rsid w:val="003E3070"/>
    <w:rsid w:val="003E56A2"/>
    <w:rsid w:val="003F3229"/>
    <w:rsid w:val="003F4D8F"/>
    <w:rsid w:val="004025D0"/>
    <w:rsid w:val="00404017"/>
    <w:rsid w:val="004139FD"/>
    <w:rsid w:val="00415252"/>
    <w:rsid w:val="00416572"/>
    <w:rsid w:val="004175E8"/>
    <w:rsid w:val="00417833"/>
    <w:rsid w:val="004203C3"/>
    <w:rsid w:val="00426DA1"/>
    <w:rsid w:val="00430ADD"/>
    <w:rsid w:val="00431742"/>
    <w:rsid w:val="00431B6F"/>
    <w:rsid w:val="004336F1"/>
    <w:rsid w:val="00434BDA"/>
    <w:rsid w:val="00435A90"/>
    <w:rsid w:val="00435FB8"/>
    <w:rsid w:val="00436953"/>
    <w:rsid w:val="00440263"/>
    <w:rsid w:val="00441ECC"/>
    <w:rsid w:val="00443E9D"/>
    <w:rsid w:val="00447C69"/>
    <w:rsid w:val="00454C75"/>
    <w:rsid w:val="004557FF"/>
    <w:rsid w:val="0046073A"/>
    <w:rsid w:val="00462C84"/>
    <w:rsid w:val="00463F61"/>
    <w:rsid w:val="00464E1A"/>
    <w:rsid w:val="00465634"/>
    <w:rsid w:val="004662A2"/>
    <w:rsid w:val="00476D2E"/>
    <w:rsid w:val="00481535"/>
    <w:rsid w:val="004867E2"/>
    <w:rsid w:val="004905E5"/>
    <w:rsid w:val="00494AC4"/>
    <w:rsid w:val="00494F2C"/>
    <w:rsid w:val="004A170A"/>
    <w:rsid w:val="004A1913"/>
    <w:rsid w:val="004A2F22"/>
    <w:rsid w:val="004A2F5B"/>
    <w:rsid w:val="004A30C6"/>
    <w:rsid w:val="004A779A"/>
    <w:rsid w:val="004A77D5"/>
    <w:rsid w:val="004A7CB6"/>
    <w:rsid w:val="004B389D"/>
    <w:rsid w:val="004C008A"/>
    <w:rsid w:val="004D1B4C"/>
    <w:rsid w:val="004D245D"/>
    <w:rsid w:val="004D30F6"/>
    <w:rsid w:val="004D314D"/>
    <w:rsid w:val="004D3347"/>
    <w:rsid w:val="004D4FE0"/>
    <w:rsid w:val="004E0253"/>
    <w:rsid w:val="004E0C0B"/>
    <w:rsid w:val="004E222F"/>
    <w:rsid w:val="004E2CF9"/>
    <w:rsid w:val="004F1ACF"/>
    <w:rsid w:val="004F445B"/>
    <w:rsid w:val="004F483F"/>
    <w:rsid w:val="004F6BDE"/>
    <w:rsid w:val="004F70A4"/>
    <w:rsid w:val="0050206C"/>
    <w:rsid w:val="00502839"/>
    <w:rsid w:val="00502D03"/>
    <w:rsid w:val="005048CB"/>
    <w:rsid w:val="0050497C"/>
    <w:rsid w:val="00504D0E"/>
    <w:rsid w:val="00515836"/>
    <w:rsid w:val="00520B76"/>
    <w:rsid w:val="00525C0F"/>
    <w:rsid w:val="00525D3E"/>
    <w:rsid w:val="00525F16"/>
    <w:rsid w:val="0052604F"/>
    <w:rsid w:val="00526DA4"/>
    <w:rsid w:val="00531379"/>
    <w:rsid w:val="0053352B"/>
    <w:rsid w:val="00534797"/>
    <w:rsid w:val="005364C1"/>
    <w:rsid w:val="005372D8"/>
    <w:rsid w:val="00540231"/>
    <w:rsid w:val="00540A2F"/>
    <w:rsid w:val="0054244B"/>
    <w:rsid w:val="00547F1F"/>
    <w:rsid w:val="00550CE6"/>
    <w:rsid w:val="005530ED"/>
    <w:rsid w:val="00555253"/>
    <w:rsid w:val="00562B0F"/>
    <w:rsid w:val="0056407C"/>
    <w:rsid w:val="00565873"/>
    <w:rsid w:val="005662A9"/>
    <w:rsid w:val="00570892"/>
    <w:rsid w:val="00572EE1"/>
    <w:rsid w:val="00573A60"/>
    <w:rsid w:val="00584538"/>
    <w:rsid w:val="00584928"/>
    <w:rsid w:val="00584DD0"/>
    <w:rsid w:val="00585CD1"/>
    <w:rsid w:val="00585FD3"/>
    <w:rsid w:val="00586F40"/>
    <w:rsid w:val="00593F7F"/>
    <w:rsid w:val="0059524F"/>
    <w:rsid w:val="005965EF"/>
    <w:rsid w:val="00597999"/>
    <w:rsid w:val="005A062C"/>
    <w:rsid w:val="005A5557"/>
    <w:rsid w:val="005A6458"/>
    <w:rsid w:val="005B0E9B"/>
    <w:rsid w:val="005B421B"/>
    <w:rsid w:val="005B59DE"/>
    <w:rsid w:val="005B7189"/>
    <w:rsid w:val="005C4DFE"/>
    <w:rsid w:val="005C544C"/>
    <w:rsid w:val="005C75DB"/>
    <w:rsid w:val="005D04E2"/>
    <w:rsid w:val="005D321B"/>
    <w:rsid w:val="005D3D9E"/>
    <w:rsid w:val="005D7281"/>
    <w:rsid w:val="005D749C"/>
    <w:rsid w:val="005E03AD"/>
    <w:rsid w:val="005E1663"/>
    <w:rsid w:val="005E2A9B"/>
    <w:rsid w:val="005E5BA7"/>
    <w:rsid w:val="005E6A81"/>
    <w:rsid w:val="005E7E72"/>
    <w:rsid w:val="005F105F"/>
    <w:rsid w:val="005F5ECD"/>
    <w:rsid w:val="00600B5E"/>
    <w:rsid w:val="0060628D"/>
    <w:rsid w:val="00607EEB"/>
    <w:rsid w:val="00610BEB"/>
    <w:rsid w:val="00611399"/>
    <w:rsid w:val="00611B75"/>
    <w:rsid w:val="00615B63"/>
    <w:rsid w:val="00622096"/>
    <w:rsid w:val="00623A3B"/>
    <w:rsid w:val="0062406D"/>
    <w:rsid w:val="006248A7"/>
    <w:rsid w:val="00625408"/>
    <w:rsid w:val="00635C6B"/>
    <w:rsid w:val="00637538"/>
    <w:rsid w:val="00640ED8"/>
    <w:rsid w:val="00642419"/>
    <w:rsid w:val="00642983"/>
    <w:rsid w:val="006449DB"/>
    <w:rsid w:val="00644D99"/>
    <w:rsid w:val="00645206"/>
    <w:rsid w:val="006458BD"/>
    <w:rsid w:val="00647923"/>
    <w:rsid w:val="006500F5"/>
    <w:rsid w:val="00650416"/>
    <w:rsid w:val="00651D71"/>
    <w:rsid w:val="006529A1"/>
    <w:rsid w:val="00661E6A"/>
    <w:rsid w:val="0067335C"/>
    <w:rsid w:val="00676F53"/>
    <w:rsid w:val="006827BF"/>
    <w:rsid w:val="00685D43"/>
    <w:rsid w:val="00686116"/>
    <w:rsid w:val="00686702"/>
    <w:rsid w:val="00691AD2"/>
    <w:rsid w:val="00691DB3"/>
    <w:rsid w:val="00691F08"/>
    <w:rsid w:val="00693255"/>
    <w:rsid w:val="006946F4"/>
    <w:rsid w:val="00696711"/>
    <w:rsid w:val="006A109B"/>
    <w:rsid w:val="006A1158"/>
    <w:rsid w:val="006A5D44"/>
    <w:rsid w:val="006A6A36"/>
    <w:rsid w:val="006B1447"/>
    <w:rsid w:val="006B2286"/>
    <w:rsid w:val="006B326E"/>
    <w:rsid w:val="006B77EE"/>
    <w:rsid w:val="006B7F5C"/>
    <w:rsid w:val="006C0CD4"/>
    <w:rsid w:val="006C24C8"/>
    <w:rsid w:val="006C31BB"/>
    <w:rsid w:val="006C4B72"/>
    <w:rsid w:val="006C5605"/>
    <w:rsid w:val="006C6502"/>
    <w:rsid w:val="006C759A"/>
    <w:rsid w:val="006D1839"/>
    <w:rsid w:val="006D274D"/>
    <w:rsid w:val="006D4388"/>
    <w:rsid w:val="006E2DAB"/>
    <w:rsid w:val="006E4245"/>
    <w:rsid w:val="006E495B"/>
    <w:rsid w:val="006E5664"/>
    <w:rsid w:val="006F0D2B"/>
    <w:rsid w:val="006F1F9C"/>
    <w:rsid w:val="006F248B"/>
    <w:rsid w:val="006F35E3"/>
    <w:rsid w:val="006F3777"/>
    <w:rsid w:val="006F6AB9"/>
    <w:rsid w:val="006F786E"/>
    <w:rsid w:val="006F7AD5"/>
    <w:rsid w:val="0070241D"/>
    <w:rsid w:val="00703C7E"/>
    <w:rsid w:val="00704895"/>
    <w:rsid w:val="007056EC"/>
    <w:rsid w:val="00706C9A"/>
    <w:rsid w:val="0071147B"/>
    <w:rsid w:val="00713B60"/>
    <w:rsid w:val="00715F8F"/>
    <w:rsid w:val="0071637C"/>
    <w:rsid w:val="007165CE"/>
    <w:rsid w:val="007235C4"/>
    <w:rsid w:val="0072459D"/>
    <w:rsid w:val="007264A5"/>
    <w:rsid w:val="00727410"/>
    <w:rsid w:val="007310E5"/>
    <w:rsid w:val="00731756"/>
    <w:rsid w:val="007342C4"/>
    <w:rsid w:val="007343A4"/>
    <w:rsid w:val="007503BA"/>
    <w:rsid w:val="00750437"/>
    <w:rsid w:val="007505F1"/>
    <w:rsid w:val="007529B8"/>
    <w:rsid w:val="00753ACE"/>
    <w:rsid w:val="00754BC6"/>
    <w:rsid w:val="0076140C"/>
    <w:rsid w:val="00764474"/>
    <w:rsid w:val="0076520B"/>
    <w:rsid w:val="007660E7"/>
    <w:rsid w:val="007740B6"/>
    <w:rsid w:val="007757C4"/>
    <w:rsid w:val="00780751"/>
    <w:rsid w:val="00791558"/>
    <w:rsid w:val="00792CFB"/>
    <w:rsid w:val="00795FB9"/>
    <w:rsid w:val="0079790E"/>
    <w:rsid w:val="007A4485"/>
    <w:rsid w:val="007A44F9"/>
    <w:rsid w:val="007A46C6"/>
    <w:rsid w:val="007A7C7B"/>
    <w:rsid w:val="007B4C7D"/>
    <w:rsid w:val="007B5D5B"/>
    <w:rsid w:val="007C482C"/>
    <w:rsid w:val="007C4D2D"/>
    <w:rsid w:val="007C6388"/>
    <w:rsid w:val="007C6C26"/>
    <w:rsid w:val="007D1A88"/>
    <w:rsid w:val="007D1AFA"/>
    <w:rsid w:val="007D416C"/>
    <w:rsid w:val="007D4775"/>
    <w:rsid w:val="007D55BA"/>
    <w:rsid w:val="007D7686"/>
    <w:rsid w:val="007D7847"/>
    <w:rsid w:val="007E2B94"/>
    <w:rsid w:val="007E2D5B"/>
    <w:rsid w:val="007E3282"/>
    <w:rsid w:val="007E5061"/>
    <w:rsid w:val="007E7989"/>
    <w:rsid w:val="007F0025"/>
    <w:rsid w:val="007F13E5"/>
    <w:rsid w:val="007F188C"/>
    <w:rsid w:val="007F3336"/>
    <w:rsid w:val="007F3AED"/>
    <w:rsid w:val="007F3D97"/>
    <w:rsid w:val="007F611D"/>
    <w:rsid w:val="00802846"/>
    <w:rsid w:val="00802DA6"/>
    <w:rsid w:val="00803145"/>
    <w:rsid w:val="008059AC"/>
    <w:rsid w:val="00805A42"/>
    <w:rsid w:val="008101A5"/>
    <w:rsid w:val="00813C57"/>
    <w:rsid w:val="00816173"/>
    <w:rsid w:val="0082449F"/>
    <w:rsid w:val="008264EB"/>
    <w:rsid w:val="00826DB4"/>
    <w:rsid w:val="00831763"/>
    <w:rsid w:val="008328F0"/>
    <w:rsid w:val="008429ED"/>
    <w:rsid w:val="0084339E"/>
    <w:rsid w:val="00847305"/>
    <w:rsid w:val="00850F31"/>
    <w:rsid w:val="00851B15"/>
    <w:rsid w:val="008529D7"/>
    <w:rsid w:val="00856228"/>
    <w:rsid w:val="0085634F"/>
    <w:rsid w:val="0086041E"/>
    <w:rsid w:val="00860D28"/>
    <w:rsid w:val="008625AA"/>
    <w:rsid w:val="008638DB"/>
    <w:rsid w:val="00865666"/>
    <w:rsid w:val="00865963"/>
    <w:rsid w:val="0087034D"/>
    <w:rsid w:val="0087330A"/>
    <w:rsid w:val="0087382B"/>
    <w:rsid w:val="008807F1"/>
    <w:rsid w:val="00880A2F"/>
    <w:rsid w:val="00882EB5"/>
    <w:rsid w:val="00883C00"/>
    <w:rsid w:val="00884866"/>
    <w:rsid w:val="00885A04"/>
    <w:rsid w:val="00886947"/>
    <w:rsid w:val="00886DC9"/>
    <w:rsid w:val="008910D8"/>
    <w:rsid w:val="0089153C"/>
    <w:rsid w:val="00893721"/>
    <w:rsid w:val="00896845"/>
    <w:rsid w:val="008A06F7"/>
    <w:rsid w:val="008A2864"/>
    <w:rsid w:val="008A3885"/>
    <w:rsid w:val="008A4368"/>
    <w:rsid w:val="008A5469"/>
    <w:rsid w:val="008A5B30"/>
    <w:rsid w:val="008A64E9"/>
    <w:rsid w:val="008B0A57"/>
    <w:rsid w:val="008B1BFC"/>
    <w:rsid w:val="008B1EFE"/>
    <w:rsid w:val="008B3DC3"/>
    <w:rsid w:val="008B6EAE"/>
    <w:rsid w:val="008C0DBE"/>
    <w:rsid w:val="008C1740"/>
    <w:rsid w:val="008C1DC3"/>
    <w:rsid w:val="008C2A66"/>
    <w:rsid w:val="008C3C0C"/>
    <w:rsid w:val="008C4529"/>
    <w:rsid w:val="008C6C09"/>
    <w:rsid w:val="008D1032"/>
    <w:rsid w:val="008D73B0"/>
    <w:rsid w:val="008D7761"/>
    <w:rsid w:val="008D7E0C"/>
    <w:rsid w:val="008E0577"/>
    <w:rsid w:val="008E2F70"/>
    <w:rsid w:val="008E4E60"/>
    <w:rsid w:val="008E78FF"/>
    <w:rsid w:val="00900446"/>
    <w:rsid w:val="00900765"/>
    <w:rsid w:val="00903F68"/>
    <w:rsid w:val="00904539"/>
    <w:rsid w:val="00904DA0"/>
    <w:rsid w:val="00905C3D"/>
    <w:rsid w:val="00906687"/>
    <w:rsid w:val="009103B9"/>
    <w:rsid w:val="00912140"/>
    <w:rsid w:val="00913187"/>
    <w:rsid w:val="0091340D"/>
    <w:rsid w:val="00913C47"/>
    <w:rsid w:val="00916AA8"/>
    <w:rsid w:val="0091768A"/>
    <w:rsid w:val="0091778A"/>
    <w:rsid w:val="00921452"/>
    <w:rsid w:val="00921ACC"/>
    <w:rsid w:val="00921B96"/>
    <w:rsid w:val="009233C6"/>
    <w:rsid w:val="00923D6B"/>
    <w:rsid w:val="00923F20"/>
    <w:rsid w:val="0093014A"/>
    <w:rsid w:val="00931544"/>
    <w:rsid w:val="0093335B"/>
    <w:rsid w:val="009339D9"/>
    <w:rsid w:val="00934AF7"/>
    <w:rsid w:val="00936C55"/>
    <w:rsid w:val="00941DDB"/>
    <w:rsid w:val="009463C9"/>
    <w:rsid w:val="00950647"/>
    <w:rsid w:val="00950B55"/>
    <w:rsid w:val="00952A8B"/>
    <w:rsid w:val="00953A84"/>
    <w:rsid w:val="00954ED9"/>
    <w:rsid w:val="00956159"/>
    <w:rsid w:val="00956B60"/>
    <w:rsid w:val="00960CFF"/>
    <w:rsid w:val="00961397"/>
    <w:rsid w:val="0096380D"/>
    <w:rsid w:val="00964C17"/>
    <w:rsid w:val="0097364C"/>
    <w:rsid w:val="009754CF"/>
    <w:rsid w:val="00976260"/>
    <w:rsid w:val="009772DD"/>
    <w:rsid w:val="009814AE"/>
    <w:rsid w:val="00981960"/>
    <w:rsid w:val="00983D34"/>
    <w:rsid w:val="0099055B"/>
    <w:rsid w:val="00991481"/>
    <w:rsid w:val="009A1277"/>
    <w:rsid w:val="009A1F98"/>
    <w:rsid w:val="009B52EE"/>
    <w:rsid w:val="009B5A1D"/>
    <w:rsid w:val="009C45DA"/>
    <w:rsid w:val="009C465B"/>
    <w:rsid w:val="009D00C2"/>
    <w:rsid w:val="009D1E64"/>
    <w:rsid w:val="009D3AF5"/>
    <w:rsid w:val="009D3D45"/>
    <w:rsid w:val="009D40E2"/>
    <w:rsid w:val="009D48D3"/>
    <w:rsid w:val="009D4E75"/>
    <w:rsid w:val="009D4E95"/>
    <w:rsid w:val="009D6655"/>
    <w:rsid w:val="009E1442"/>
    <w:rsid w:val="009F1E59"/>
    <w:rsid w:val="009F415F"/>
    <w:rsid w:val="009F5F4C"/>
    <w:rsid w:val="009F6061"/>
    <w:rsid w:val="009F6B4C"/>
    <w:rsid w:val="00A026BE"/>
    <w:rsid w:val="00A03790"/>
    <w:rsid w:val="00A06671"/>
    <w:rsid w:val="00A07989"/>
    <w:rsid w:val="00A10606"/>
    <w:rsid w:val="00A10644"/>
    <w:rsid w:val="00A110E0"/>
    <w:rsid w:val="00A11201"/>
    <w:rsid w:val="00A1218E"/>
    <w:rsid w:val="00A14E66"/>
    <w:rsid w:val="00A20559"/>
    <w:rsid w:val="00A23390"/>
    <w:rsid w:val="00A25A91"/>
    <w:rsid w:val="00A25B94"/>
    <w:rsid w:val="00A30581"/>
    <w:rsid w:val="00A32080"/>
    <w:rsid w:val="00A32B5D"/>
    <w:rsid w:val="00A33C9F"/>
    <w:rsid w:val="00A424EB"/>
    <w:rsid w:val="00A444E4"/>
    <w:rsid w:val="00A4512D"/>
    <w:rsid w:val="00A46819"/>
    <w:rsid w:val="00A607CA"/>
    <w:rsid w:val="00A7028E"/>
    <w:rsid w:val="00A705AF"/>
    <w:rsid w:val="00A76E84"/>
    <w:rsid w:val="00A77841"/>
    <w:rsid w:val="00A77CD8"/>
    <w:rsid w:val="00A82733"/>
    <w:rsid w:val="00A83E3C"/>
    <w:rsid w:val="00A85534"/>
    <w:rsid w:val="00A907F2"/>
    <w:rsid w:val="00A91414"/>
    <w:rsid w:val="00A91D64"/>
    <w:rsid w:val="00A93CD5"/>
    <w:rsid w:val="00A95777"/>
    <w:rsid w:val="00A96E38"/>
    <w:rsid w:val="00AA2BF1"/>
    <w:rsid w:val="00AA2F9A"/>
    <w:rsid w:val="00AA302D"/>
    <w:rsid w:val="00AA7D1B"/>
    <w:rsid w:val="00AB77E0"/>
    <w:rsid w:val="00AC08B5"/>
    <w:rsid w:val="00AC151D"/>
    <w:rsid w:val="00AC1BCA"/>
    <w:rsid w:val="00AC2940"/>
    <w:rsid w:val="00AC333A"/>
    <w:rsid w:val="00AC3763"/>
    <w:rsid w:val="00AC42F4"/>
    <w:rsid w:val="00AC79D1"/>
    <w:rsid w:val="00AD041A"/>
    <w:rsid w:val="00AD07FC"/>
    <w:rsid w:val="00AD2B9A"/>
    <w:rsid w:val="00AD398A"/>
    <w:rsid w:val="00AD4487"/>
    <w:rsid w:val="00AD51C0"/>
    <w:rsid w:val="00AD5722"/>
    <w:rsid w:val="00AE419C"/>
    <w:rsid w:val="00AE6CC4"/>
    <w:rsid w:val="00AF5FAF"/>
    <w:rsid w:val="00AF6A7C"/>
    <w:rsid w:val="00B025B2"/>
    <w:rsid w:val="00B059FD"/>
    <w:rsid w:val="00B06516"/>
    <w:rsid w:val="00B068A1"/>
    <w:rsid w:val="00B06BD7"/>
    <w:rsid w:val="00B06CD6"/>
    <w:rsid w:val="00B0750E"/>
    <w:rsid w:val="00B07E5F"/>
    <w:rsid w:val="00B11283"/>
    <w:rsid w:val="00B122A2"/>
    <w:rsid w:val="00B13C7A"/>
    <w:rsid w:val="00B17C3E"/>
    <w:rsid w:val="00B235D2"/>
    <w:rsid w:val="00B30772"/>
    <w:rsid w:val="00B31C50"/>
    <w:rsid w:val="00B3723B"/>
    <w:rsid w:val="00B42851"/>
    <w:rsid w:val="00B44F74"/>
    <w:rsid w:val="00B5055F"/>
    <w:rsid w:val="00B50828"/>
    <w:rsid w:val="00B54244"/>
    <w:rsid w:val="00B542EC"/>
    <w:rsid w:val="00B554A4"/>
    <w:rsid w:val="00B56112"/>
    <w:rsid w:val="00B57156"/>
    <w:rsid w:val="00B62C75"/>
    <w:rsid w:val="00B63008"/>
    <w:rsid w:val="00B67467"/>
    <w:rsid w:val="00B70796"/>
    <w:rsid w:val="00B7358E"/>
    <w:rsid w:val="00B7439A"/>
    <w:rsid w:val="00B74BA9"/>
    <w:rsid w:val="00B74DE2"/>
    <w:rsid w:val="00B75C78"/>
    <w:rsid w:val="00B75EFB"/>
    <w:rsid w:val="00B77FD9"/>
    <w:rsid w:val="00B8083A"/>
    <w:rsid w:val="00B853D2"/>
    <w:rsid w:val="00B853F3"/>
    <w:rsid w:val="00B8543A"/>
    <w:rsid w:val="00B91711"/>
    <w:rsid w:val="00B91A8E"/>
    <w:rsid w:val="00B96B14"/>
    <w:rsid w:val="00BA46D3"/>
    <w:rsid w:val="00BA5AB3"/>
    <w:rsid w:val="00BB0978"/>
    <w:rsid w:val="00BB0BEE"/>
    <w:rsid w:val="00BB3E93"/>
    <w:rsid w:val="00BC0694"/>
    <w:rsid w:val="00BC18BC"/>
    <w:rsid w:val="00BC2FC9"/>
    <w:rsid w:val="00BC3D41"/>
    <w:rsid w:val="00BC7388"/>
    <w:rsid w:val="00BC7685"/>
    <w:rsid w:val="00BC7BAA"/>
    <w:rsid w:val="00BD1D40"/>
    <w:rsid w:val="00BD3B04"/>
    <w:rsid w:val="00BD530E"/>
    <w:rsid w:val="00BD5C1D"/>
    <w:rsid w:val="00BE3328"/>
    <w:rsid w:val="00BE49A1"/>
    <w:rsid w:val="00BF02D8"/>
    <w:rsid w:val="00BF1B33"/>
    <w:rsid w:val="00BF2019"/>
    <w:rsid w:val="00BF31CE"/>
    <w:rsid w:val="00BF4B27"/>
    <w:rsid w:val="00BF605A"/>
    <w:rsid w:val="00C021BE"/>
    <w:rsid w:val="00C0273C"/>
    <w:rsid w:val="00C02EB0"/>
    <w:rsid w:val="00C02F6B"/>
    <w:rsid w:val="00C04657"/>
    <w:rsid w:val="00C06756"/>
    <w:rsid w:val="00C06B48"/>
    <w:rsid w:val="00C10D94"/>
    <w:rsid w:val="00C1330E"/>
    <w:rsid w:val="00C13344"/>
    <w:rsid w:val="00C14534"/>
    <w:rsid w:val="00C20ED9"/>
    <w:rsid w:val="00C2229A"/>
    <w:rsid w:val="00C22C57"/>
    <w:rsid w:val="00C24D03"/>
    <w:rsid w:val="00C261D4"/>
    <w:rsid w:val="00C307EE"/>
    <w:rsid w:val="00C31B7B"/>
    <w:rsid w:val="00C37246"/>
    <w:rsid w:val="00C374B4"/>
    <w:rsid w:val="00C4417D"/>
    <w:rsid w:val="00C441FE"/>
    <w:rsid w:val="00C45678"/>
    <w:rsid w:val="00C52216"/>
    <w:rsid w:val="00C53FA8"/>
    <w:rsid w:val="00C57742"/>
    <w:rsid w:val="00C60911"/>
    <w:rsid w:val="00C624E7"/>
    <w:rsid w:val="00C62E36"/>
    <w:rsid w:val="00C7189E"/>
    <w:rsid w:val="00C72C32"/>
    <w:rsid w:val="00C74E00"/>
    <w:rsid w:val="00C77694"/>
    <w:rsid w:val="00C77A0D"/>
    <w:rsid w:val="00C82F28"/>
    <w:rsid w:val="00C833E6"/>
    <w:rsid w:val="00C848BA"/>
    <w:rsid w:val="00C84D73"/>
    <w:rsid w:val="00C8668E"/>
    <w:rsid w:val="00C876B0"/>
    <w:rsid w:val="00C90D8A"/>
    <w:rsid w:val="00C93329"/>
    <w:rsid w:val="00C975EB"/>
    <w:rsid w:val="00CA201D"/>
    <w:rsid w:val="00CA25CA"/>
    <w:rsid w:val="00CA2B3C"/>
    <w:rsid w:val="00CA35CB"/>
    <w:rsid w:val="00CA7F4B"/>
    <w:rsid w:val="00CB28F7"/>
    <w:rsid w:val="00CB3103"/>
    <w:rsid w:val="00CB5B1A"/>
    <w:rsid w:val="00CB6AAB"/>
    <w:rsid w:val="00CB7542"/>
    <w:rsid w:val="00CC3B5A"/>
    <w:rsid w:val="00CC4270"/>
    <w:rsid w:val="00CC5A62"/>
    <w:rsid w:val="00CC7BA8"/>
    <w:rsid w:val="00CD0ED7"/>
    <w:rsid w:val="00CD337E"/>
    <w:rsid w:val="00CD5436"/>
    <w:rsid w:val="00CE0171"/>
    <w:rsid w:val="00CE1793"/>
    <w:rsid w:val="00CE1D13"/>
    <w:rsid w:val="00CE2315"/>
    <w:rsid w:val="00CE2866"/>
    <w:rsid w:val="00CE3980"/>
    <w:rsid w:val="00CE568E"/>
    <w:rsid w:val="00CE6334"/>
    <w:rsid w:val="00CE6D7C"/>
    <w:rsid w:val="00CF3D1C"/>
    <w:rsid w:val="00CF6999"/>
    <w:rsid w:val="00CF786E"/>
    <w:rsid w:val="00D03872"/>
    <w:rsid w:val="00D05BEB"/>
    <w:rsid w:val="00D073D2"/>
    <w:rsid w:val="00D1634A"/>
    <w:rsid w:val="00D21042"/>
    <w:rsid w:val="00D21E1F"/>
    <w:rsid w:val="00D228A6"/>
    <w:rsid w:val="00D26088"/>
    <w:rsid w:val="00D26145"/>
    <w:rsid w:val="00D27738"/>
    <w:rsid w:val="00D37089"/>
    <w:rsid w:val="00D43576"/>
    <w:rsid w:val="00D4449C"/>
    <w:rsid w:val="00D454A0"/>
    <w:rsid w:val="00D46FC2"/>
    <w:rsid w:val="00D4735D"/>
    <w:rsid w:val="00D53F2D"/>
    <w:rsid w:val="00D54228"/>
    <w:rsid w:val="00D54381"/>
    <w:rsid w:val="00D55869"/>
    <w:rsid w:val="00D60835"/>
    <w:rsid w:val="00D60B5A"/>
    <w:rsid w:val="00D61054"/>
    <w:rsid w:val="00D6122F"/>
    <w:rsid w:val="00D64607"/>
    <w:rsid w:val="00D66153"/>
    <w:rsid w:val="00D6669A"/>
    <w:rsid w:val="00D7092E"/>
    <w:rsid w:val="00D710C1"/>
    <w:rsid w:val="00D71535"/>
    <w:rsid w:val="00D731AE"/>
    <w:rsid w:val="00D7786A"/>
    <w:rsid w:val="00D806A7"/>
    <w:rsid w:val="00D80E65"/>
    <w:rsid w:val="00D820CD"/>
    <w:rsid w:val="00D825AF"/>
    <w:rsid w:val="00D84C0F"/>
    <w:rsid w:val="00D86B27"/>
    <w:rsid w:val="00D87D22"/>
    <w:rsid w:val="00D916D8"/>
    <w:rsid w:val="00D924E6"/>
    <w:rsid w:val="00D92714"/>
    <w:rsid w:val="00D97033"/>
    <w:rsid w:val="00D9737E"/>
    <w:rsid w:val="00DA4FA6"/>
    <w:rsid w:val="00DB0FC2"/>
    <w:rsid w:val="00DB4AB1"/>
    <w:rsid w:val="00DB7D51"/>
    <w:rsid w:val="00DC1981"/>
    <w:rsid w:val="00DC19F7"/>
    <w:rsid w:val="00DC218A"/>
    <w:rsid w:val="00DC4BCD"/>
    <w:rsid w:val="00DC5121"/>
    <w:rsid w:val="00DD0F04"/>
    <w:rsid w:val="00DD1DB4"/>
    <w:rsid w:val="00DD32D9"/>
    <w:rsid w:val="00DD3DE1"/>
    <w:rsid w:val="00DD4E6E"/>
    <w:rsid w:val="00DE1A56"/>
    <w:rsid w:val="00DF19D2"/>
    <w:rsid w:val="00DF4B56"/>
    <w:rsid w:val="00E04253"/>
    <w:rsid w:val="00E1399B"/>
    <w:rsid w:val="00E1634F"/>
    <w:rsid w:val="00E23D40"/>
    <w:rsid w:val="00E2471B"/>
    <w:rsid w:val="00E26C6A"/>
    <w:rsid w:val="00E32FBE"/>
    <w:rsid w:val="00E33E51"/>
    <w:rsid w:val="00E40F2B"/>
    <w:rsid w:val="00E41FA8"/>
    <w:rsid w:val="00E42EE6"/>
    <w:rsid w:val="00E43EC6"/>
    <w:rsid w:val="00E47738"/>
    <w:rsid w:val="00E50C9F"/>
    <w:rsid w:val="00E51FF0"/>
    <w:rsid w:val="00E52185"/>
    <w:rsid w:val="00E54A8D"/>
    <w:rsid w:val="00E57152"/>
    <w:rsid w:val="00E646A4"/>
    <w:rsid w:val="00E64743"/>
    <w:rsid w:val="00E65A0E"/>
    <w:rsid w:val="00E667D7"/>
    <w:rsid w:val="00E67DBC"/>
    <w:rsid w:val="00E71218"/>
    <w:rsid w:val="00E72E01"/>
    <w:rsid w:val="00E74507"/>
    <w:rsid w:val="00E7659E"/>
    <w:rsid w:val="00E80E77"/>
    <w:rsid w:val="00E85557"/>
    <w:rsid w:val="00E85C1B"/>
    <w:rsid w:val="00E85EB2"/>
    <w:rsid w:val="00E8676F"/>
    <w:rsid w:val="00E86F24"/>
    <w:rsid w:val="00E95222"/>
    <w:rsid w:val="00E95C3A"/>
    <w:rsid w:val="00EA1628"/>
    <w:rsid w:val="00EA233E"/>
    <w:rsid w:val="00EA3018"/>
    <w:rsid w:val="00EA30E7"/>
    <w:rsid w:val="00EA3AC5"/>
    <w:rsid w:val="00EA3C57"/>
    <w:rsid w:val="00EA5266"/>
    <w:rsid w:val="00EA69E8"/>
    <w:rsid w:val="00EB0C37"/>
    <w:rsid w:val="00EB2E55"/>
    <w:rsid w:val="00EB5789"/>
    <w:rsid w:val="00EC1083"/>
    <w:rsid w:val="00EC313E"/>
    <w:rsid w:val="00EC33E7"/>
    <w:rsid w:val="00EC58AE"/>
    <w:rsid w:val="00ED1091"/>
    <w:rsid w:val="00ED1E64"/>
    <w:rsid w:val="00ED4805"/>
    <w:rsid w:val="00ED5AAF"/>
    <w:rsid w:val="00ED63FA"/>
    <w:rsid w:val="00ED7300"/>
    <w:rsid w:val="00EE0016"/>
    <w:rsid w:val="00EE2B5F"/>
    <w:rsid w:val="00EE6E2C"/>
    <w:rsid w:val="00EE77B0"/>
    <w:rsid w:val="00EE7D40"/>
    <w:rsid w:val="00EF34E4"/>
    <w:rsid w:val="00EF401F"/>
    <w:rsid w:val="00EF5284"/>
    <w:rsid w:val="00F003A9"/>
    <w:rsid w:val="00F02B80"/>
    <w:rsid w:val="00F0372E"/>
    <w:rsid w:val="00F046E5"/>
    <w:rsid w:val="00F05E5B"/>
    <w:rsid w:val="00F0645F"/>
    <w:rsid w:val="00F1205D"/>
    <w:rsid w:val="00F2244B"/>
    <w:rsid w:val="00F23296"/>
    <w:rsid w:val="00F26F78"/>
    <w:rsid w:val="00F305D7"/>
    <w:rsid w:val="00F30BED"/>
    <w:rsid w:val="00F318BF"/>
    <w:rsid w:val="00F31FF4"/>
    <w:rsid w:val="00F32A1E"/>
    <w:rsid w:val="00F33C37"/>
    <w:rsid w:val="00F4016C"/>
    <w:rsid w:val="00F40611"/>
    <w:rsid w:val="00F42991"/>
    <w:rsid w:val="00F44BAF"/>
    <w:rsid w:val="00F44C2C"/>
    <w:rsid w:val="00F532FB"/>
    <w:rsid w:val="00F6077F"/>
    <w:rsid w:val="00F61F1D"/>
    <w:rsid w:val="00F70660"/>
    <w:rsid w:val="00F7107C"/>
    <w:rsid w:val="00F71517"/>
    <w:rsid w:val="00F7220E"/>
    <w:rsid w:val="00F81F1A"/>
    <w:rsid w:val="00F845A9"/>
    <w:rsid w:val="00F85482"/>
    <w:rsid w:val="00F87340"/>
    <w:rsid w:val="00F900B0"/>
    <w:rsid w:val="00F93171"/>
    <w:rsid w:val="00F9495E"/>
    <w:rsid w:val="00F9525F"/>
    <w:rsid w:val="00F976E1"/>
    <w:rsid w:val="00F9792C"/>
    <w:rsid w:val="00FA1738"/>
    <w:rsid w:val="00FA2A02"/>
    <w:rsid w:val="00FA3BBE"/>
    <w:rsid w:val="00FA5C02"/>
    <w:rsid w:val="00FA7449"/>
    <w:rsid w:val="00FB5CCC"/>
    <w:rsid w:val="00FC16FA"/>
    <w:rsid w:val="00FC1AF3"/>
    <w:rsid w:val="00FC2B70"/>
    <w:rsid w:val="00FC4B58"/>
    <w:rsid w:val="00FC4DFE"/>
    <w:rsid w:val="00FC5517"/>
    <w:rsid w:val="00FD0B99"/>
    <w:rsid w:val="00FD1E3F"/>
    <w:rsid w:val="00FD2737"/>
    <w:rsid w:val="00FD33E9"/>
    <w:rsid w:val="00FD48C1"/>
    <w:rsid w:val="00FD5E3F"/>
    <w:rsid w:val="00FD61F8"/>
    <w:rsid w:val="00FD7702"/>
    <w:rsid w:val="00FD7A72"/>
    <w:rsid w:val="00FE4A97"/>
    <w:rsid w:val="00FE602F"/>
    <w:rsid w:val="00FE6C98"/>
    <w:rsid w:val="00FE7668"/>
    <w:rsid w:val="00FF099A"/>
    <w:rsid w:val="00FF0E29"/>
    <w:rsid w:val="00FF1BEB"/>
    <w:rsid w:val="00FF2FC5"/>
    <w:rsid w:val="00FF3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List Bullet" w:uiPriority="13"/>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E2A9B"/>
    <w:pPr>
      <w:spacing w:line="264" w:lineRule="auto"/>
      <w:jc w:val="both"/>
    </w:pPr>
    <w:rPr>
      <w:rFonts w:ascii="Calibri" w:hAnsi="Calibri"/>
      <w:sz w:val="22"/>
      <w:szCs w:val="24"/>
      <w:lang w:val="en-US" w:eastAsia="en-US"/>
    </w:rPr>
  </w:style>
  <w:style w:type="paragraph" w:styleId="Heading1">
    <w:name w:val="heading 1"/>
    <w:basedOn w:val="Normal"/>
    <w:next w:val="Normal"/>
    <w:qFormat/>
    <w:rsid w:val="00693255"/>
    <w:pPr>
      <w:keepNext/>
      <w:spacing w:before="360" w:after="360"/>
      <w:outlineLvl w:val="0"/>
    </w:pPr>
    <w:rPr>
      <w:rFonts w:cs="Arial"/>
      <w:bCs/>
      <w:caps/>
      <w:color w:val="003D69"/>
      <w:kern w:val="28"/>
      <w:sz w:val="36"/>
      <w:szCs w:val="32"/>
    </w:rPr>
  </w:style>
  <w:style w:type="paragraph" w:styleId="Heading2">
    <w:name w:val="heading 2"/>
    <w:basedOn w:val="Normal"/>
    <w:next w:val="Normal"/>
    <w:qFormat/>
    <w:rsid w:val="00540231"/>
    <w:pPr>
      <w:keepNext/>
      <w:spacing w:before="360" w:after="240"/>
      <w:outlineLvl w:val="1"/>
    </w:pPr>
    <w:rPr>
      <w:rFonts w:cs="Arial"/>
      <w:b/>
      <w:bCs/>
      <w:iCs/>
      <w:color w:val="003D69"/>
      <w:sz w:val="32"/>
      <w:szCs w:val="28"/>
    </w:rPr>
  </w:style>
  <w:style w:type="paragraph" w:styleId="Heading3">
    <w:name w:val="heading 3"/>
    <w:basedOn w:val="Normal"/>
    <w:next w:val="Normal"/>
    <w:link w:val="Heading3Char"/>
    <w:qFormat/>
    <w:rsid w:val="00C72C32"/>
    <w:pPr>
      <w:keepNext/>
      <w:spacing w:before="360" w:after="120"/>
      <w:outlineLvl w:val="2"/>
    </w:pPr>
    <w:rPr>
      <w:rFonts w:cs="Arial"/>
      <w:bCs/>
      <w:color w:val="003D69"/>
      <w:sz w:val="26"/>
      <w:szCs w:val="26"/>
      <w:lang w:val="en-AU"/>
    </w:rPr>
  </w:style>
  <w:style w:type="paragraph" w:styleId="Heading4">
    <w:name w:val="heading 4"/>
    <w:basedOn w:val="Normal"/>
    <w:next w:val="Normal"/>
    <w:qFormat/>
    <w:rsid w:val="00C57742"/>
    <w:pPr>
      <w:keepNext/>
      <w:spacing w:before="240"/>
      <w:outlineLvl w:val="3"/>
    </w:pPr>
    <w:rPr>
      <w:rFonts w:asciiTheme="minorHAnsi" w:hAnsiTheme="minorHAnsi"/>
      <w:b/>
      <w:bCs/>
      <w:szCs w:val="28"/>
    </w:rPr>
  </w:style>
  <w:style w:type="paragraph" w:styleId="Heading5">
    <w:name w:val="heading 5"/>
    <w:basedOn w:val="Normal"/>
    <w:next w:val="Normal"/>
    <w:qFormat/>
    <w:rsid w:val="00E72E01"/>
    <w:pPr>
      <w:keepNext/>
      <w:spacing w:before="240" w:after="240"/>
      <w:outlineLvl w:val="4"/>
    </w:pPr>
    <w:rPr>
      <w:rFonts w:ascii="Calibri Light" w:hAnsi="Calibri Light"/>
      <w:bCs/>
      <w:iCs/>
      <w:color w:val="C00000"/>
      <w:sz w:val="26"/>
      <w:szCs w:val="26"/>
    </w:rPr>
  </w:style>
  <w:style w:type="paragraph" w:styleId="Heading6">
    <w:name w:val="heading 6"/>
    <w:aliases w:val="Diagram title"/>
    <w:basedOn w:val="Normal"/>
    <w:next w:val="Normal"/>
    <w:qFormat/>
    <w:rsid w:val="0046073A"/>
    <w:pPr>
      <w:keepNext/>
      <w:spacing w:before="240" w:after="60"/>
      <w:outlineLvl w:val="5"/>
    </w:pPr>
    <w:rPr>
      <w:bCs/>
      <w:color w:val="003D69"/>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aliases w:val="A CNA extracts"/>
    <w:basedOn w:val="DefaultParagraphFont"/>
    <w:uiPriority w:val="22"/>
    <w:qFormat/>
    <w:rsid w:val="00A705AF"/>
    <w:rPr>
      <w:b/>
      <w:bCs/>
    </w:rPr>
  </w:style>
  <w:style w:type="paragraph" w:styleId="Subtitle">
    <w:name w:val="Subtitle"/>
    <w:basedOn w:val="Normal"/>
    <w:next w:val="Normal"/>
    <w:link w:val="SubtitleChar"/>
    <w:qFormat/>
    <w:rsid w:val="003F4D8F"/>
    <w:pPr>
      <w:numPr>
        <w:ilvl w:val="1"/>
      </w:numPr>
      <w:jc w:val="right"/>
    </w:pPr>
    <w:rPr>
      <w:rFonts w:asciiTheme="majorHAnsi" w:eastAsiaTheme="majorEastAsia" w:hAnsiTheme="majorHAnsi" w:cstheme="majorBidi"/>
      <w:b/>
      <w:iCs/>
      <w:spacing w:val="15"/>
      <w:sz w:val="20"/>
    </w:rPr>
  </w:style>
  <w:style w:type="character" w:customStyle="1" w:styleId="SubtitleChar">
    <w:name w:val="Subtitle Char"/>
    <w:basedOn w:val="DefaultParagraphFont"/>
    <w:link w:val="Subtitle"/>
    <w:rsid w:val="003F4D8F"/>
    <w:rPr>
      <w:rFonts w:asciiTheme="majorHAnsi" w:eastAsiaTheme="majorEastAsia" w:hAnsiTheme="majorHAnsi" w:cstheme="majorBidi"/>
      <w:b/>
      <w:iCs/>
      <w:spacing w:val="15"/>
      <w:szCs w:val="24"/>
      <w:lang w:val="en-US" w:eastAsia="en-US"/>
    </w:rPr>
  </w:style>
  <w:style w:type="paragraph" w:styleId="Title">
    <w:name w:val="Title"/>
    <w:basedOn w:val="Normal"/>
    <w:next w:val="Normal"/>
    <w:link w:val="TitleChar"/>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4F81BD" w:themeColor="accent1"/>
    </w:rPr>
  </w:style>
  <w:style w:type="paragraph" w:styleId="Quote">
    <w:name w:val="Quote"/>
    <w:basedOn w:val="Normal"/>
    <w:next w:val="Normal"/>
    <w:link w:val="QuoteChar"/>
    <w:uiPriority w:val="29"/>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rsid w:val="00A4512D"/>
    <w:rPr>
      <w:smallCaps/>
      <w:color w:val="C0504D" w:themeColor="accent2"/>
      <w:u w:val="single"/>
    </w:rPr>
  </w:style>
  <w:style w:type="character" w:styleId="IntenseReference">
    <w:name w:val="Intense Reference"/>
    <w:basedOn w:val="DefaultParagraphFont"/>
    <w:uiPriority w:val="32"/>
    <w:rsid w:val="00A4512D"/>
    <w:rPr>
      <w:b/>
      <w:bCs/>
      <w:i/>
      <w:smallCaps/>
      <w:color w:val="C0504D" w:themeColor="accent2"/>
      <w:spacing w:val="5"/>
      <w:u w:val="none"/>
    </w:rPr>
  </w:style>
  <w:style w:type="character" w:styleId="BookTitle">
    <w:name w:val="Book Title"/>
    <w:basedOn w:val="DefaultParagraphFont"/>
    <w:uiPriority w:val="33"/>
    <w:rsid w:val="00A4512D"/>
    <w:rPr>
      <w:b/>
      <w:bCs/>
      <w:smallCaps/>
      <w:spacing w:val="5"/>
    </w:rPr>
  </w:style>
  <w:style w:type="paragraph" w:styleId="ListParagraph">
    <w:name w:val="List Paragraph"/>
    <w:aliases w:val="List Paragraph1,Recommendation,Body text,standard lewis"/>
    <w:basedOn w:val="Normal"/>
    <w:link w:val="ListParagraphChar"/>
    <w:autoRedefine/>
    <w:uiPriority w:val="34"/>
    <w:qFormat/>
    <w:rsid w:val="002D4D3E"/>
    <w:pPr>
      <w:numPr>
        <w:numId w:val="13"/>
      </w:numPr>
      <w:spacing w:after="180"/>
      <w:ind w:left="714" w:hanging="357"/>
    </w:pPr>
    <w:rPr>
      <w:szCs w:val="20"/>
      <w:lang w:val="en-AU"/>
    </w:rPr>
  </w:style>
  <w:style w:type="paragraph" w:styleId="TOC1">
    <w:name w:val="toc 1"/>
    <w:basedOn w:val="Normal"/>
    <w:next w:val="Normal"/>
    <w:autoRedefine/>
    <w:uiPriority w:val="39"/>
    <w:rsid w:val="00C60911"/>
    <w:pPr>
      <w:spacing w:before="120" w:after="120"/>
    </w:pPr>
    <w:rPr>
      <w:caps/>
      <w:color w:val="004274"/>
      <w:sz w:val="24"/>
    </w:rPr>
  </w:style>
  <w:style w:type="character" w:styleId="Hyperlink">
    <w:name w:val="Hyperlink"/>
    <w:basedOn w:val="DefaultParagraphFont"/>
    <w:uiPriority w:val="99"/>
    <w:unhideWhenUsed/>
    <w:rsid w:val="00893721"/>
    <w:rPr>
      <w:color w:val="0000FF" w:themeColor="hyperlink"/>
      <w:u w:val="single"/>
    </w:rPr>
  </w:style>
  <w:style w:type="paragraph" w:styleId="TOC2">
    <w:name w:val="toc 2"/>
    <w:basedOn w:val="Normal"/>
    <w:next w:val="Normal"/>
    <w:autoRedefine/>
    <w:uiPriority w:val="39"/>
    <w:rsid w:val="00865666"/>
    <w:pPr>
      <w:tabs>
        <w:tab w:val="right" w:leader="dot" w:pos="8302"/>
      </w:tabs>
      <w:spacing w:before="80" w:after="80"/>
      <w:ind w:left="221"/>
    </w:pPr>
    <w:rPr>
      <w:color w:val="004274"/>
      <w:sz w:val="20"/>
    </w:rPr>
  </w:style>
  <w:style w:type="paragraph" w:styleId="ListBullet2">
    <w:name w:val="List Bullet 2"/>
    <w:basedOn w:val="Normal"/>
    <w:rsid w:val="00893721"/>
    <w:pPr>
      <w:numPr>
        <w:ilvl w:val="1"/>
        <w:numId w:val="1"/>
      </w:numPr>
      <w:kinsoku w:val="0"/>
      <w:overflowPunct w:val="0"/>
      <w:autoSpaceDE w:val="0"/>
      <w:autoSpaceDN w:val="0"/>
      <w:adjustRightInd w:val="0"/>
      <w:snapToGrid w:val="0"/>
      <w:spacing w:after="240"/>
    </w:pPr>
    <w:rPr>
      <w:rFonts w:asciiTheme="minorHAnsi" w:hAnsiTheme="minorHAnsi" w:cs="Arial"/>
      <w:snapToGrid w:val="0"/>
      <w:sz w:val="20"/>
      <w:szCs w:val="20"/>
      <w:lang w:val="en-AU"/>
    </w:rPr>
  </w:style>
  <w:style w:type="paragraph" w:styleId="ListBullet4">
    <w:name w:val="List Bullet 4"/>
    <w:basedOn w:val="ListBullet3"/>
    <w:unhideWhenUsed/>
    <w:rsid w:val="00893721"/>
    <w:pPr>
      <w:numPr>
        <w:ilvl w:val="3"/>
      </w:numPr>
    </w:pPr>
  </w:style>
  <w:style w:type="paragraph" w:styleId="ListBullet3">
    <w:name w:val="List Bullet 3"/>
    <w:basedOn w:val="ListBullet2"/>
    <w:rsid w:val="00893721"/>
    <w:pPr>
      <w:numPr>
        <w:ilvl w:val="2"/>
      </w:numPr>
    </w:pPr>
  </w:style>
  <w:style w:type="paragraph" w:styleId="ListBullet">
    <w:name w:val="List Bullet"/>
    <w:basedOn w:val="Normal"/>
    <w:uiPriority w:val="13"/>
    <w:rsid w:val="00893721"/>
    <w:pPr>
      <w:numPr>
        <w:numId w:val="1"/>
      </w:numPr>
      <w:kinsoku w:val="0"/>
      <w:overflowPunct w:val="0"/>
      <w:autoSpaceDE w:val="0"/>
      <w:autoSpaceDN w:val="0"/>
      <w:adjustRightInd w:val="0"/>
      <w:snapToGrid w:val="0"/>
      <w:spacing w:after="160"/>
    </w:pPr>
    <w:rPr>
      <w:rFonts w:asciiTheme="minorHAnsi" w:hAnsiTheme="minorHAnsi" w:cs="Arial"/>
      <w:snapToGrid w:val="0"/>
      <w:sz w:val="20"/>
      <w:szCs w:val="20"/>
      <w:lang w:val="en-AU"/>
    </w:rPr>
  </w:style>
  <w:style w:type="paragraph" w:styleId="ListBullet5">
    <w:name w:val="List Bullet 5"/>
    <w:basedOn w:val="ListBullet4"/>
    <w:unhideWhenUsed/>
    <w:rsid w:val="00893721"/>
    <w:pPr>
      <w:numPr>
        <w:ilvl w:val="4"/>
      </w:numPr>
      <w:contextualSpacing/>
    </w:pPr>
  </w:style>
  <w:style w:type="paragraph" w:styleId="FootnoteText">
    <w:name w:val="footnote text"/>
    <w:basedOn w:val="Normal"/>
    <w:link w:val="FootnoteTextChar"/>
    <w:uiPriority w:val="99"/>
    <w:rsid w:val="00893721"/>
    <w:rPr>
      <w:sz w:val="20"/>
      <w:szCs w:val="20"/>
    </w:rPr>
  </w:style>
  <w:style w:type="character" w:customStyle="1" w:styleId="FootnoteTextChar">
    <w:name w:val="Footnote Text Char"/>
    <w:basedOn w:val="DefaultParagraphFont"/>
    <w:link w:val="FootnoteText"/>
    <w:uiPriority w:val="99"/>
    <w:rsid w:val="00893721"/>
    <w:rPr>
      <w:rFonts w:ascii="Calibri" w:hAnsi="Calibri"/>
      <w:lang w:val="en-US" w:eastAsia="en-US"/>
    </w:rPr>
  </w:style>
  <w:style w:type="character" w:styleId="FootnoteReference">
    <w:name w:val="footnote reference"/>
    <w:basedOn w:val="DefaultParagraphFont"/>
    <w:rsid w:val="00893721"/>
    <w:rPr>
      <w:vertAlign w:val="superscript"/>
    </w:rPr>
  </w:style>
  <w:style w:type="paragraph" w:styleId="BalloonText">
    <w:name w:val="Balloon Text"/>
    <w:basedOn w:val="Normal"/>
    <w:link w:val="BalloonTextChar"/>
    <w:rsid w:val="00893721"/>
    <w:rPr>
      <w:rFonts w:ascii="Tahoma" w:hAnsi="Tahoma" w:cs="Tahoma"/>
      <w:sz w:val="16"/>
      <w:szCs w:val="16"/>
    </w:rPr>
  </w:style>
  <w:style w:type="character" w:customStyle="1" w:styleId="BalloonTextChar">
    <w:name w:val="Balloon Text Char"/>
    <w:basedOn w:val="DefaultParagraphFont"/>
    <w:link w:val="BalloonText"/>
    <w:rsid w:val="00893721"/>
    <w:rPr>
      <w:rFonts w:ascii="Tahoma" w:hAnsi="Tahoma" w:cs="Tahoma"/>
      <w:sz w:val="16"/>
      <w:szCs w:val="16"/>
      <w:lang w:val="en-US" w:eastAsia="en-US"/>
    </w:rPr>
  </w:style>
  <w:style w:type="table" w:styleId="TableGrid">
    <w:name w:val="Table Grid"/>
    <w:aliases w:val="Table - Top"/>
    <w:basedOn w:val="TableNormal"/>
    <w:uiPriority w:val="59"/>
    <w:rsid w:val="00EA233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3721"/>
    <w:pPr>
      <w:autoSpaceDE w:val="0"/>
      <w:autoSpaceDN w:val="0"/>
      <w:adjustRightInd w:val="0"/>
    </w:pPr>
    <w:rPr>
      <w:rFonts w:ascii="Garamond" w:hAnsi="Garamond" w:cs="Garamond"/>
      <w:color w:val="000000"/>
      <w:sz w:val="24"/>
      <w:szCs w:val="24"/>
    </w:rPr>
  </w:style>
  <w:style w:type="paragraph" w:styleId="Header">
    <w:name w:val="header"/>
    <w:basedOn w:val="Normal"/>
    <w:link w:val="HeaderChar"/>
    <w:uiPriority w:val="99"/>
    <w:rsid w:val="00893721"/>
    <w:pPr>
      <w:tabs>
        <w:tab w:val="center" w:pos="4513"/>
        <w:tab w:val="right" w:pos="9026"/>
      </w:tabs>
    </w:pPr>
  </w:style>
  <w:style w:type="character" w:customStyle="1" w:styleId="HeaderChar">
    <w:name w:val="Header Char"/>
    <w:basedOn w:val="DefaultParagraphFont"/>
    <w:link w:val="Header"/>
    <w:uiPriority w:val="99"/>
    <w:rsid w:val="00893721"/>
    <w:rPr>
      <w:rFonts w:ascii="Calibri" w:hAnsi="Calibri"/>
      <w:sz w:val="22"/>
      <w:szCs w:val="24"/>
      <w:lang w:val="en-US" w:eastAsia="en-US"/>
    </w:rPr>
  </w:style>
  <w:style w:type="paragraph" w:styleId="Footer">
    <w:name w:val="footer"/>
    <w:basedOn w:val="Normal"/>
    <w:link w:val="FooterChar"/>
    <w:uiPriority w:val="99"/>
    <w:rsid w:val="00893721"/>
    <w:pPr>
      <w:tabs>
        <w:tab w:val="center" w:pos="4513"/>
        <w:tab w:val="right" w:pos="9026"/>
      </w:tabs>
    </w:pPr>
  </w:style>
  <w:style w:type="character" w:customStyle="1" w:styleId="FooterChar">
    <w:name w:val="Footer Char"/>
    <w:basedOn w:val="DefaultParagraphFont"/>
    <w:link w:val="Footer"/>
    <w:uiPriority w:val="99"/>
    <w:rsid w:val="00893721"/>
    <w:rPr>
      <w:rFonts w:ascii="Calibri" w:hAnsi="Calibri"/>
      <w:sz w:val="22"/>
      <w:szCs w:val="24"/>
      <w:lang w:val="en-US" w:eastAsia="en-US"/>
    </w:rPr>
  </w:style>
  <w:style w:type="paragraph" w:styleId="TOC3">
    <w:name w:val="toc 3"/>
    <w:basedOn w:val="Normal"/>
    <w:next w:val="Normal"/>
    <w:autoRedefine/>
    <w:uiPriority w:val="39"/>
    <w:rsid w:val="00223841"/>
    <w:pPr>
      <w:spacing w:before="80" w:after="80"/>
      <w:ind w:left="442"/>
    </w:pPr>
    <w:rPr>
      <w:color w:val="004274"/>
      <w:sz w:val="20"/>
    </w:rPr>
  </w:style>
  <w:style w:type="character" w:customStyle="1" w:styleId="Heading3Char">
    <w:name w:val="Heading 3 Char"/>
    <w:link w:val="Heading3"/>
    <w:rsid w:val="00C72C32"/>
    <w:rPr>
      <w:rFonts w:ascii="Calibri" w:hAnsi="Calibri" w:cs="Arial"/>
      <w:bCs/>
      <w:color w:val="003D69"/>
      <w:sz w:val="26"/>
      <w:szCs w:val="26"/>
      <w:lang w:eastAsia="en-US"/>
    </w:rPr>
  </w:style>
  <w:style w:type="paragraph" w:styleId="TOC4">
    <w:name w:val="toc 4"/>
    <w:basedOn w:val="Normal"/>
    <w:next w:val="Normal"/>
    <w:autoRedefine/>
    <w:uiPriority w:val="39"/>
    <w:rsid w:val="00893721"/>
    <w:pPr>
      <w:spacing w:after="100"/>
      <w:ind w:left="660"/>
    </w:pPr>
    <w:rPr>
      <w:sz w:val="20"/>
    </w:rPr>
  </w:style>
  <w:style w:type="paragraph" w:styleId="EndnoteText">
    <w:name w:val="endnote text"/>
    <w:basedOn w:val="Normal"/>
    <w:link w:val="EndnoteTextChar"/>
    <w:rsid w:val="00893721"/>
    <w:rPr>
      <w:sz w:val="20"/>
      <w:szCs w:val="20"/>
    </w:rPr>
  </w:style>
  <w:style w:type="character" w:customStyle="1" w:styleId="EndnoteTextChar">
    <w:name w:val="Endnote Text Char"/>
    <w:basedOn w:val="DefaultParagraphFont"/>
    <w:link w:val="EndnoteText"/>
    <w:rsid w:val="00893721"/>
    <w:rPr>
      <w:rFonts w:ascii="Calibri" w:hAnsi="Calibri"/>
      <w:lang w:val="en-US" w:eastAsia="en-US"/>
    </w:rPr>
  </w:style>
  <w:style w:type="character" w:styleId="EndnoteReference">
    <w:name w:val="endnote reference"/>
    <w:basedOn w:val="DefaultParagraphFont"/>
    <w:rsid w:val="00893721"/>
    <w:rPr>
      <w:vertAlign w:val="superscript"/>
    </w:rPr>
  </w:style>
  <w:style w:type="character" w:customStyle="1" w:styleId="ListParagraphChar">
    <w:name w:val="List Paragraph Char"/>
    <w:aliases w:val="List Paragraph1 Char,Recommendation Char,Body text Char,standard lewis Char"/>
    <w:link w:val="ListParagraph"/>
    <w:uiPriority w:val="34"/>
    <w:locked/>
    <w:rsid w:val="002D4D3E"/>
    <w:rPr>
      <w:rFonts w:ascii="Calibri" w:hAnsi="Calibri"/>
      <w:sz w:val="22"/>
      <w:lang w:eastAsia="en-US"/>
    </w:rPr>
  </w:style>
  <w:style w:type="paragraph" w:styleId="NormalWeb">
    <w:name w:val="Normal (Web)"/>
    <w:basedOn w:val="Normal"/>
    <w:uiPriority w:val="99"/>
    <w:unhideWhenUsed/>
    <w:rsid w:val="00893721"/>
    <w:pPr>
      <w:spacing w:before="100" w:beforeAutospacing="1" w:after="100" w:afterAutospacing="1"/>
    </w:pPr>
    <w:rPr>
      <w:rFonts w:ascii="Times New Roman" w:eastAsiaTheme="minorEastAsia" w:hAnsi="Times New Roman"/>
      <w:sz w:val="24"/>
      <w:lang w:val="en-AU" w:eastAsia="en-AU"/>
    </w:rPr>
  </w:style>
  <w:style w:type="paragraph" w:customStyle="1" w:styleId="Indent1">
    <w:name w:val="Indent 1"/>
    <w:basedOn w:val="Normal"/>
    <w:rsid w:val="00893721"/>
    <w:pPr>
      <w:numPr>
        <w:ilvl w:val="1"/>
        <w:numId w:val="3"/>
      </w:numPr>
      <w:kinsoku w:val="0"/>
      <w:overflowPunct w:val="0"/>
      <w:autoSpaceDE w:val="0"/>
      <w:autoSpaceDN w:val="0"/>
      <w:adjustRightInd w:val="0"/>
      <w:snapToGrid w:val="0"/>
      <w:spacing w:before="100" w:after="100"/>
    </w:pPr>
    <w:rPr>
      <w:rFonts w:asciiTheme="minorHAnsi" w:hAnsiTheme="minorHAnsi"/>
      <w:snapToGrid w:val="0"/>
      <w:sz w:val="20"/>
      <w:szCs w:val="20"/>
      <w:lang w:val="en-AU"/>
    </w:rPr>
  </w:style>
  <w:style w:type="paragraph" w:customStyle="1" w:styleId="Indent2">
    <w:name w:val="Indent 2"/>
    <w:basedOn w:val="Indent1"/>
    <w:rsid w:val="00893721"/>
    <w:pPr>
      <w:numPr>
        <w:ilvl w:val="2"/>
      </w:numPr>
    </w:pPr>
  </w:style>
  <w:style w:type="paragraph" w:customStyle="1" w:styleId="Indent3">
    <w:name w:val="Indent 3"/>
    <w:basedOn w:val="Indent2"/>
    <w:rsid w:val="00893721"/>
    <w:pPr>
      <w:numPr>
        <w:ilvl w:val="3"/>
      </w:numPr>
    </w:pPr>
  </w:style>
  <w:style w:type="paragraph" w:customStyle="1" w:styleId="Indent5">
    <w:name w:val="Indent 5"/>
    <w:basedOn w:val="Indent4"/>
    <w:rsid w:val="00893721"/>
    <w:pPr>
      <w:numPr>
        <w:ilvl w:val="5"/>
      </w:numPr>
    </w:pPr>
  </w:style>
  <w:style w:type="paragraph" w:customStyle="1" w:styleId="Indent6">
    <w:name w:val="Indent 6"/>
    <w:basedOn w:val="Indent5"/>
    <w:rsid w:val="00893721"/>
    <w:pPr>
      <w:numPr>
        <w:ilvl w:val="6"/>
      </w:numPr>
    </w:pPr>
  </w:style>
  <w:style w:type="paragraph" w:customStyle="1" w:styleId="Indent7">
    <w:name w:val="Indent 7"/>
    <w:basedOn w:val="Indent6"/>
    <w:rsid w:val="00893721"/>
    <w:pPr>
      <w:numPr>
        <w:ilvl w:val="7"/>
      </w:numPr>
    </w:pPr>
  </w:style>
  <w:style w:type="paragraph" w:customStyle="1" w:styleId="Indent4">
    <w:name w:val="Indent 4"/>
    <w:basedOn w:val="Indent3"/>
    <w:rsid w:val="00893721"/>
    <w:pPr>
      <w:numPr>
        <w:ilvl w:val="4"/>
      </w:numPr>
    </w:pPr>
  </w:style>
  <w:style w:type="paragraph" w:customStyle="1" w:styleId="MLNormal">
    <w:name w:val="ML Normal"/>
    <w:basedOn w:val="Normal"/>
    <w:link w:val="MLNormalChar"/>
    <w:rsid w:val="00893721"/>
    <w:pPr>
      <w:numPr>
        <w:numId w:val="3"/>
      </w:numPr>
      <w:kinsoku w:val="0"/>
      <w:overflowPunct w:val="0"/>
      <w:autoSpaceDE w:val="0"/>
      <w:autoSpaceDN w:val="0"/>
      <w:adjustRightInd w:val="0"/>
      <w:snapToGrid w:val="0"/>
      <w:spacing w:after="180"/>
    </w:pPr>
    <w:rPr>
      <w:rFonts w:asciiTheme="minorHAnsi" w:hAnsiTheme="minorHAnsi" w:cs="Arial"/>
      <w:snapToGrid w:val="0"/>
      <w:sz w:val="20"/>
      <w:szCs w:val="20"/>
      <w:lang w:val="en-AU"/>
    </w:rPr>
  </w:style>
  <w:style w:type="character" w:customStyle="1" w:styleId="MLNormalChar">
    <w:name w:val="ML Normal Char"/>
    <w:basedOn w:val="DefaultParagraphFont"/>
    <w:link w:val="MLNormal"/>
    <w:rsid w:val="00893721"/>
    <w:rPr>
      <w:rFonts w:asciiTheme="minorHAnsi" w:hAnsiTheme="minorHAnsi" w:cs="Arial"/>
      <w:snapToGrid w:val="0"/>
      <w:lang w:eastAsia="en-US"/>
    </w:rPr>
  </w:style>
  <w:style w:type="paragraph" w:customStyle="1" w:styleId="TableBullet1Small">
    <w:name w:val="Table Bullet 1 Small"/>
    <w:basedOn w:val="Normal"/>
    <w:rsid w:val="00893721"/>
    <w:pPr>
      <w:numPr>
        <w:numId w:val="2"/>
      </w:numPr>
      <w:kinsoku w:val="0"/>
      <w:overflowPunct w:val="0"/>
      <w:autoSpaceDE w:val="0"/>
      <w:autoSpaceDN w:val="0"/>
      <w:adjustRightInd w:val="0"/>
      <w:snapToGrid w:val="0"/>
      <w:spacing w:before="20" w:after="20"/>
    </w:pPr>
    <w:rPr>
      <w:rFonts w:ascii="Arial" w:hAnsi="Arial" w:cs="Arial"/>
      <w:snapToGrid w:val="0"/>
      <w:sz w:val="20"/>
      <w:szCs w:val="18"/>
      <w:lang w:val="en-AU"/>
    </w:rPr>
  </w:style>
  <w:style w:type="paragraph" w:customStyle="1" w:styleId="TableBullet3Small">
    <w:name w:val="Table Bullet 3 Small"/>
    <w:basedOn w:val="TableBullet2Small"/>
    <w:rsid w:val="00893721"/>
    <w:pPr>
      <w:numPr>
        <w:ilvl w:val="2"/>
      </w:numPr>
    </w:pPr>
    <w:rPr>
      <w:szCs w:val="16"/>
    </w:rPr>
  </w:style>
  <w:style w:type="paragraph" w:customStyle="1" w:styleId="TableBullet2Small">
    <w:name w:val="Table Bullet 2 Small"/>
    <w:basedOn w:val="TableBullet1Small"/>
    <w:rsid w:val="00893721"/>
    <w:pPr>
      <w:numPr>
        <w:ilvl w:val="1"/>
      </w:numPr>
    </w:pPr>
  </w:style>
  <w:style w:type="paragraph" w:customStyle="1" w:styleId="TableColumnHeadingNormal">
    <w:name w:val="Table Column Heading Normal"/>
    <w:basedOn w:val="Normal"/>
    <w:link w:val="TableColumnHeadingNormalChar"/>
    <w:rsid w:val="00893721"/>
    <w:pPr>
      <w:keepNext/>
      <w:keepLines/>
      <w:kinsoku w:val="0"/>
      <w:overflowPunct w:val="0"/>
      <w:autoSpaceDE w:val="0"/>
      <w:autoSpaceDN w:val="0"/>
      <w:adjustRightInd w:val="0"/>
      <w:snapToGrid w:val="0"/>
      <w:spacing w:before="80" w:after="80"/>
    </w:pPr>
    <w:rPr>
      <w:rFonts w:asciiTheme="minorHAnsi" w:hAnsiTheme="minorHAnsi" w:cs="Arial"/>
      <w:b/>
      <w:snapToGrid w:val="0"/>
      <w:color w:val="1F497D" w:themeColor="text2"/>
      <w:sz w:val="20"/>
      <w:szCs w:val="20"/>
      <w:lang w:val="en-AU"/>
    </w:rPr>
  </w:style>
  <w:style w:type="paragraph" w:customStyle="1" w:styleId="Indent8">
    <w:name w:val="Indent 8"/>
    <w:basedOn w:val="Indent7"/>
    <w:rsid w:val="00893721"/>
    <w:pPr>
      <w:numPr>
        <w:ilvl w:val="8"/>
      </w:numPr>
    </w:pPr>
  </w:style>
  <w:style w:type="table" w:customStyle="1" w:styleId="TableGrid1">
    <w:name w:val="Table Grid1"/>
    <w:basedOn w:val="TableNormal"/>
    <w:next w:val="TableGrid"/>
    <w:uiPriority w:val="59"/>
    <w:rsid w:val="00893721"/>
    <w:rPr>
      <w:rFonts w:ascii="Georgia" w:eastAsiaTheme="minorHAnsi" w:hAnsi="Georgia" w:cstheme="minorBidi"/>
      <w:sz w:val="22"/>
      <w:szCs w:val="22"/>
      <w:lang w:eastAsia="en-US"/>
    </w:rPr>
    <w:tblPr>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Pr>
    <w:tblStylePr w:type="firstRow">
      <w:tblPr/>
      <w:trPr>
        <w:tblHeader/>
      </w:trPr>
      <w:tcPr>
        <w:shd w:val="clear" w:color="auto" w:fill="1F497D" w:themeFill="text2"/>
      </w:tcPr>
    </w:tblStylePr>
  </w:style>
  <w:style w:type="character" w:customStyle="1" w:styleId="TableColumnHeadingNormalChar">
    <w:name w:val="Table Column Heading Normal Char"/>
    <w:basedOn w:val="DefaultParagraphFont"/>
    <w:link w:val="TableColumnHeadingNormal"/>
    <w:locked/>
    <w:rsid w:val="00893721"/>
    <w:rPr>
      <w:rFonts w:asciiTheme="minorHAnsi" w:hAnsiTheme="minorHAnsi" w:cs="Arial"/>
      <w:b/>
      <w:snapToGrid w:val="0"/>
      <w:color w:val="1F497D" w:themeColor="text2"/>
      <w:lang w:eastAsia="en-US"/>
    </w:rPr>
  </w:style>
  <w:style w:type="paragraph" w:customStyle="1" w:styleId="Tableheadingwhite">
    <w:name w:val="Table heading white"/>
    <w:basedOn w:val="TableColumnHeadingNormal"/>
    <w:qFormat/>
    <w:rsid w:val="000A745E"/>
    <w:pPr>
      <w:jc w:val="right"/>
    </w:pPr>
    <w:rPr>
      <w:rFonts w:eastAsiaTheme="minorHAnsi"/>
      <w:color w:val="auto"/>
      <w:sz w:val="22"/>
      <w:szCs w:val="22"/>
    </w:rPr>
  </w:style>
  <w:style w:type="character" w:styleId="FollowedHyperlink">
    <w:name w:val="FollowedHyperlink"/>
    <w:basedOn w:val="DefaultParagraphFont"/>
    <w:rsid w:val="00893721"/>
    <w:rPr>
      <w:color w:val="800080" w:themeColor="followedHyperlink"/>
      <w:u w:val="single"/>
    </w:rPr>
  </w:style>
  <w:style w:type="character" w:customStyle="1" w:styleId="apple-converted-space">
    <w:name w:val="apple-converted-space"/>
    <w:basedOn w:val="DefaultParagraphFont"/>
    <w:rsid w:val="00893721"/>
  </w:style>
  <w:style w:type="character" w:customStyle="1" w:styleId="absnonlinkmetadata">
    <w:name w:val="abs_nonlink_metadata"/>
    <w:basedOn w:val="DefaultParagraphFont"/>
    <w:rsid w:val="00893721"/>
  </w:style>
  <w:style w:type="paragraph" w:customStyle="1" w:styleId="TableTextSmall">
    <w:name w:val="Table Text Small"/>
    <w:basedOn w:val="Normal"/>
    <w:rsid w:val="00893721"/>
    <w:pPr>
      <w:kinsoku w:val="0"/>
      <w:overflowPunct w:val="0"/>
      <w:autoSpaceDE w:val="0"/>
      <w:autoSpaceDN w:val="0"/>
      <w:adjustRightInd w:val="0"/>
      <w:snapToGrid w:val="0"/>
      <w:spacing w:before="80" w:after="80" w:line="240" w:lineRule="auto"/>
      <w:jc w:val="left"/>
    </w:pPr>
    <w:rPr>
      <w:rFonts w:ascii="Arial" w:hAnsi="Arial" w:cs="Arial"/>
      <w:snapToGrid w:val="0"/>
      <w:sz w:val="18"/>
      <w:szCs w:val="18"/>
      <w:lang w:val="en-AU"/>
    </w:rPr>
  </w:style>
  <w:style w:type="paragraph" w:styleId="Caption">
    <w:name w:val="caption"/>
    <w:aliases w:val="Text Caption"/>
    <w:basedOn w:val="Normal"/>
    <w:next w:val="Normal"/>
    <w:uiPriority w:val="35"/>
    <w:unhideWhenUsed/>
    <w:qFormat/>
    <w:rsid w:val="004A2F5B"/>
    <w:pPr>
      <w:keepNext/>
      <w:keepLines/>
      <w:tabs>
        <w:tab w:val="left" w:pos="992"/>
      </w:tabs>
      <w:kinsoku w:val="0"/>
      <w:overflowPunct w:val="0"/>
      <w:autoSpaceDE w:val="0"/>
      <w:autoSpaceDN w:val="0"/>
      <w:adjustRightInd w:val="0"/>
      <w:snapToGrid w:val="0"/>
      <w:spacing w:before="240" w:after="120" w:line="240" w:lineRule="auto"/>
      <w:jc w:val="left"/>
    </w:pPr>
    <w:rPr>
      <w:rFonts w:asciiTheme="majorHAnsi" w:hAnsiTheme="majorHAnsi" w:cs="Arial"/>
      <w:b/>
      <w:bCs/>
      <w:snapToGrid w:val="0"/>
      <w:color w:val="1F497D" w:themeColor="text2"/>
      <w:sz w:val="20"/>
      <w:szCs w:val="18"/>
      <w:lang w:val="en-AU"/>
    </w:rPr>
  </w:style>
  <w:style w:type="paragraph" w:customStyle="1" w:styleId="TableColumnHeadingSmall">
    <w:name w:val="Table Column Heading Small"/>
    <w:basedOn w:val="TableTextSmall"/>
    <w:next w:val="TableTextSmall"/>
    <w:rsid w:val="00893721"/>
    <w:pPr>
      <w:keepNext/>
      <w:keepLines/>
    </w:pPr>
    <w:rPr>
      <w:b/>
      <w:color w:val="1F497D" w:themeColor="text2"/>
      <w:szCs w:val="16"/>
    </w:rPr>
  </w:style>
  <w:style w:type="paragraph" w:customStyle="1" w:styleId="MLNormalAftertable">
    <w:name w:val="ML Normal_After table"/>
    <w:basedOn w:val="MLNormal"/>
    <w:rsid w:val="00893721"/>
    <w:pPr>
      <w:numPr>
        <w:numId w:val="0"/>
      </w:numPr>
      <w:spacing w:before="120" w:after="120" w:line="240" w:lineRule="auto"/>
      <w:jc w:val="left"/>
    </w:pPr>
    <w:rPr>
      <w:lang w:val="en-GB"/>
    </w:rPr>
  </w:style>
  <w:style w:type="paragraph" w:customStyle="1" w:styleId="Pa11">
    <w:name w:val="Pa11"/>
    <w:basedOn w:val="Default"/>
    <w:next w:val="Default"/>
    <w:uiPriority w:val="99"/>
    <w:rsid w:val="00893721"/>
    <w:pPr>
      <w:spacing w:line="241" w:lineRule="atLeast"/>
    </w:pPr>
    <w:rPr>
      <w:rFonts w:ascii="Adobe Garamond Pro" w:hAnsi="Adobe Garamond Pro" w:cs="Times New Roman"/>
      <w:color w:val="auto"/>
    </w:rPr>
  </w:style>
  <w:style w:type="character" w:styleId="CommentReference">
    <w:name w:val="annotation reference"/>
    <w:basedOn w:val="DefaultParagraphFont"/>
    <w:uiPriority w:val="99"/>
    <w:rsid w:val="00893721"/>
    <w:rPr>
      <w:sz w:val="16"/>
      <w:szCs w:val="16"/>
    </w:rPr>
  </w:style>
  <w:style w:type="paragraph" w:styleId="CommentText">
    <w:name w:val="annotation text"/>
    <w:basedOn w:val="Normal"/>
    <w:link w:val="CommentTextChar"/>
    <w:uiPriority w:val="99"/>
    <w:rsid w:val="00893721"/>
    <w:pPr>
      <w:spacing w:line="240" w:lineRule="auto"/>
    </w:pPr>
    <w:rPr>
      <w:sz w:val="20"/>
      <w:szCs w:val="20"/>
    </w:rPr>
  </w:style>
  <w:style w:type="character" w:customStyle="1" w:styleId="CommentTextChar">
    <w:name w:val="Comment Text Char"/>
    <w:basedOn w:val="DefaultParagraphFont"/>
    <w:link w:val="CommentText"/>
    <w:uiPriority w:val="99"/>
    <w:rsid w:val="00893721"/>
    <w:rPr>
      <w:rFonts w:ascii="Calibri" w:hAnsi="Calibri"/>
      <w:lang w:val="en-US" w:eastAsia="en-US"/>
    </w:rPr>
  </w:style>
  <w:style w:type="paragraph" w:styleId="CommentSubject">
    <w:name w:val="annotation subject"/>
    <w:basedOn w:val="CommentText"/>
    <w:next w:val="CommentText"/>
    <w:link w:val="CommentSubjectChar"/>
    <w:rsid w:val="00893721"/>
    <w:rPr>
      <w:b/>
      <w:bCs/>
    </w:rPr>
  </w:style>
  <w:style w:type="character" w:customStyle="1" w:styleId="CommentSubjectChar">
    <w:name w:val="Comment Subject Char"/>
    <w:basedOn w:val="CommentTextChar"/>
    <w:link w:val="CommentSubject"/>
    <w:rsid w:val="00893721"/>
    <w:rPr>
      <w:rFonts w:ascii="Calibri" w:hAnsi="Calibri"/>
      <w:b/>
      <w:bCs/>
      <w:lang w:val="en-US" w:eastAsia="en-US"/>
    </w:rPr>
  </w:style>
  <w:style w:type="character" w:styleId="PlaceholderText">
    <w:name w:val="Placeholder Text"/>
    <w:basedOn w:val="DefaultParagraphFont"/>
    <w:uiPriority w:val="99"/>
    <w:semiHidden/>
    <w:rsid w:val="00B13C7A"/>
    <w:rPr>
      <w:color w:val="808080"/>
    </w:rPr>
  </w:style>
  <w:style w:type="table" w:styleId="TableClassic3">
    <w:name w:val="Table Classic 3"/>
    <w:basedOn w:val="TableNormal"/>
    <w:rsid w:val="00E1399B"/>
    <w:pPr>
      <w:spacing w:line="264"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rsid w:val="004C008A"/>
    <w:pPr>
      <w:spacing w:line="264"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5">
    <w:name w:val="toc 5"/>
    <w:basedOn w:val="Normal"/>
    <w:next w:val="Normal"/>
    <w:autoRedefine/>
    <w:uiPriority w:val="39"/>
    <w:rsid w:val="00C60911"/>
    <w:pPr>
      <w:spacing w:after="100"/>
      <w:ind w:left="880"/>
    </w:pPr>
  </w:style>
  <w:style w:type="paragraph" w:styleId="TOCHeading">
    <w:name w:val="TOC Heading"/>
    <w:basedOn w:val="Heading1"/>
    <w:next w:val="Normal"/>
    <w:uiPriority w:val="39"/>
    <w:semiHidden/>
    <w:unhideWhenUsed/>
    <w:qFormat/>
    <w:rsid w:val="002942CA"/>
    <w:pPr>
      <w:keepLines/>
      <w:spacing w:before="480" w:after="0"/>
      <w:outlineLvl w:val="9"/>
    </w:pPr>
    <w:rPr>
      <w:rFonts w:asciiTheme="majorHAnsi" w:eastAsiaTheme="majorEastAsia" w:hAnsiTheme="majorHAnsi" w:cstheme="majorBidi"/>
      <w:b/>
      <w:caps w:val="0"/>
      <w:color w:val="365F91" w:themeColor="accent1" w:themeShade="BF"/>
      <w:kern w:val="0"/>
      <w:sz w:val="28"/>
      <w:szCs w:val="28"/>
    </w:rPr>
  </w:style>
  <w:style w:type="paragraph" w:customStyle="1" w:styleId="Pa1">
    <w:name w:val="Pa1"/>
    <w:basedOn w:val="Default"/>
    <w:next w:val="Default"/>
    <w:uiPriority w:val="99"/>
    <w:rsid w:val="009A1F98"/>
    <w:pPr>
      <w:spacing w:line="181" w:lineRule="atLeast"/>
    </w:pPr>
    <w:rPr>
      <w:rFonts w:ascii="Neo Sans Std" w:hAnsi="Neo Sans Std" w:cs="Times New Roman"/>
      <w:color w:val="auto"/>
    </w:rPr>
  </w:style>
  <w:style w:type="paragraph" w:styleId="DocumentMap">
    <w:name w:val="Document Map"/>
    <w:basedOn w:val="Normal"/>
    <w:link w:val="DocumentMapChar"/>
    <w:rsid w:val="00DD1DB4"/>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rsid w:val="00DD1DB4"/>
    <w:rPr>
      <w:rFonts w:ascii="Lucida Grande" w:hAnsi="Lucida Grande" w:cs="Lucida Grande"/>
      <w:sz w:val="24"/>
      <w:szCs w:val="24"/>
      <w:lang w:val="en-US" w:eastAsia="en-US"/>
    </w:rPr>
  </w:style>
  <w:style w:type="character" w:styleId="PageNumber">
    <w:name w:val="page number"/>
    <w:basedOn w:val="DefaultParagraphFont"/>
    <w:rsid w:val="00AF6A7C"/>
  </w:style>
  <w:style w:type="paragraph" w:customStyle="1" w:styleId="Endnotedotpoint">
    <w:name w:val="Endnote dot point"/>
    <w:basedOn w:val="ListParagraph"/>
    <w:link w:val="EndnotedotpointChar"/>
    <w:qFormat/>
    <w:rsid w:val="00ED1091"/>
    <w:pPr>
      <w:numPr>
        <w:numId w:val="41"/>
      </w:numPr>
    </w:pPr>
    <w:rPr>
      <w:sz w:val="20"/>
    </w:rPr>
  </w:style>
  <w:style w:type="character" w:customStyle="1" w:styleId="EndnotedotpointChar">
    <w:name w:val="Endnote dot point Char"/>
    <w:basedOn w:val="ListParagraphChar"/>
    <w:link w:val="Endnotedotpoint"/>
    <w:rsid w:val="00ED1091"/>
    <w:rPr>
      <w:rFonts w:ascii="Calibri" w:hAnsi="Calibri"/>
      <w:sz w:val="22"/>
      <w:lang w:eastAsia="en-US"/>
    </w:rPr>
  </w:style>
  <w:style w:type="paragraph" w:styleId="Revision">
    <w:name w:val="Revision"/>
    <w:hidden/>
    <w:uiPriority w:val="99"/>
    <w:semiHidden/>
    <w:rsid w:val="006E495B"/>
    <w:rPr>
      <w:rFonts w:ascii="Calibri" w:hAnsi="Calibri"/>
      <w:sz w:val="22"/>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List Bullet" w:uiPriority="13"/>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E2A9B"/>
    <w:pPr>
      <w:spacing w:line="264" w:lineRule="auto"/>
      <w:jc w:val="both"/>
    </w:pPr>
    <w:rPr>
      <w:rFonts w:ascii="Calibri" w:hAnsi="Calibri"/>
      <w:sz w:val="22"/>
      <w:szCs w:val="24"/>
      <w:lang w:val="en-US" w:eastAsia="en-US"/>
    </w:rPr>
  </w:style>
  <w:style w:type="paragraph" w:styleId="Heading1">
    <w:name w:val="heading 1"/>
    <w:basedOn w:val="Normal"/>
    <w:next w:val="Normal"/>
    <w:qFormat/>
    <w:rsid w:val="00693255"/>
    <w:pPr>
      <w:keepNext/>
      <w:spacing w:before="360" w:after="360"/>
      <w:outlineLvl w:val="0"/>
    </w:pPr>
    <w:rPr>
      <w:rFonts w:cs="Arial"/>
      <w:bCs/>
      <w:caps/>
      <w:color w:val="003D69"/>
      <w:kern w:val="28"/>
      <w:sz w:val="36"/>
      <w:szCs w:val="32"/>
    </w:rPr>
  </w:style>
  <w:style w:type="paragraph" w:styleId="Heading2">
    <w:name w:val="heading 2"/>
    <w:basedOn w:val="Normal"/>
    <w:next w:val="Normal"/>
    <w:qFormat/>
    <w:rsid w:val="00540231"/>
    <w:pPr>
      <w:keepNext/>
      <w:spacing w:before="360" w:after="240"/>
      <w:outlineLvl w:val="1"/>
    </w:pPr>
    <w:rPr>
      <w:rFonts w:cs="Arial"/>
      <w:b/>
      <w:bCs/>
      <w:iCs/>
      <w:color w:val="003D69"/>
      <w:sz w:val="32"/>
      <w:szCs w:val="28"/>
    </w:rPr>
  </w:style>
  <w:style w:type="paragraph" w:styleId="Heading3">
    <w:name w:val="heading 3"/>
    <w:basedOn w:val="Normal"/>
    <w:next w:val="Normal"/>
    <w:link w:val="Heading3Char"/>
    <w:qFormat/>
    <w:rsid w:val="00C72C32"/>
    <w:pPr>
      <w:keepNext/>
      <w:spacing w:before="360" w:after="120"/>
      <w:outlineLvl w:val="2"/>
    </w:pPr>
    <w:rPr>
      <w:rFonts w:cs="Arial"/>
      <w:bCs/>
      <w:color w:val="003D69"/>
      <w:sz w:val="26"/>
      <w:szCs w:val="26"/>
      <w:lang w:val="en-AU"/>
    </w:rPr>
  </w:style>
  <w:style w:type="paragraph" w:styleId="Heading4">
    <w:name w:val="heading 4"/>
    <w:basedOn w:val="Normal"/>
    <w:next w:val="Normal"/>
    <w:qFormat/>
    <w:rsid w:val="00C57742"/>
    <w:pPr>
      <w:keepNext/>
      <w:spacing w:before="240"/>
      <w:outlineLvl w:val="3"/>
    </w:pPr>
    <w:rPr>
      <w:rFonts w:asciiTheme="minorHAnsi" w:hAnsiTheme="minorHAnsi"/>
      <w:b/>
      <w:bCs/>
      <w:szCs w:val="28"/>
    </w:rPr>
  </w:style>
  <w:style w:type="paragraph" w:styleId="Heading5">
    <w:name w:val="heading 5"/>
    <w:basedOn w:val="Normal"/>
    <w:next w:val="Normal"/>
    <w:qFormat/>
    <w:rsid w:val="00E72E01"/>
    <w:pPr>
      <w:keepNext/>
      <w:spacing w:before="240" w:after="240"/>
      <w:outlineLvl w:val="4"/>
    </w:pPr>
    <w:rPr>
      <w:rFonts w:ascii="Calibri Light" w:hAnsi="Calibri Light"/>
      <w:bCs/>
      <w:iCs/>
      <w:color w:val="C00000"/>
      <w:sz w:val="26"/>
      <w:szCs w:val="26"/>
    </w:rPr>
  </w:style>
  <w:style w:type="paragraph" w:styleId="Heading6">
    <w:name w:val="heading 6"/>
    <w:aliases w:val="Diagram title"/>
    <w:basedOn w:val="Normal"/>
    <w:next w:val="Normal"/>
    <w:qFormat/>
    <w:rsid w:val="0046073A"/>
    <w:pPr>
      <w:keepNext/>
      <w:spacing w:before="240" w:after="60"/>
      <w:outlineLvl w:val="5"/>
    </w:pPr>
    <w:rPr>
      <w:bCs/>
      <w:color w:val="003D69"/>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aliases w:val="A CNA extracts"/>
    <w:basedOn w:val="DefaultParagraphFont"/>
    <w:uiPriority w:val="22"/>
    <w:qFormat/>
    <w:rsid w:val="00A705AF"/>
    <w:rPr>
      <w:b/>
      <w:bCs/>
    </w:rPr>
  </w:style>
  <w:style w:type="paragraph" w:styleId="Subtitle">
    <w:name w:val="Subtitle"/>
    <w:basedOn w:val="Normal"/>
    <w:next w:val="Normal"/>
    <w:link w:val="SubtitleChar"/>
    <w:qFormat/>
    <w:rsid w:val="003F4D8F"/>
    <w:pPr>
      <w:numPr>
        <w:ilvl w:val="1"/>
      </w:numPr>
      <w:jc w:val="right"/>
    </w:pPr>
    <w:rPr>
      <w:rFonts w:asciiTheme="majorHAnsi" w:eastAsiaTheme="majorEastAsia" w:hAnsiTheme="majorHAnsi" w:cstheme="majorBidi"/>
      <w:b/>
      <w:iCs/>
      <w:spacing w:val="15"/>
      <w:sz w:val="20"/>
    </w:rPr>
  </w:style>
  <w:style w:type="character" w:customStyle="1" w:styleId="SubtitleChar">
    <w:name w:val="Subtitle Char"/>
    <w:basedOn w:val="DefaultParagraphFont"/>
    <w:link w:val="Subtitle"/>
    <w:rsid w:val="003F4D8F"/>
    <w:rPr>
      <w:rFonts w:asciiTheme="majorHAnsi" w:eastAsiaTheme="majorEastAsia" w:hAnsiTheme="majorHAnsi" w:cstheme="majorBidi"/>
      <w:b/>
      <w:iCs/>
      <w:spacing w:val="15"/>
      <w:szCs w:val="24"/>
      <w:lang w:val="en-US" w:eastAsia="en-US"/>
    </w:rPr>
  </w:style>
  <w:style w:type="paragraph" w:styleId="Title">
    <w:name w:val="Title"/>
    <w:basedOn w:val="Normal"/>
    <w:next w:val="Normal"/>
    <w:link w:val="TitleChar"/>
    <w:rsid w:val="00A705A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uiPriority w:val="1"/>
    <w:qFormat/>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4F81BD" w:themeColor="accent1"/>
    </w:rPr>
  </w:style>
  <w:style w:type="paragraph" w:styleId="Quote">
    <w:name w:val="Quote"/>
    <w:basedOn w:val="Normal"/>
    <w:next w:val="Normal"/>
    <w:link w:val="QuoteChar"/>
    <w:uiPriority w:val="29"/>
    <w:rsid w:val="00A4512D"/>
    <w:rPr>
      <w:i/>
      <w:iCs/>
      <w:color w:val="000000" w:themeColor="text1"/>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rsid w:val="00A4512D"/>
    <w:rPr>
      <w:smallCaps/>
      <w:color w:val="C0504D" w:themeColor="accent2"/>
      <w:u w:val="single"/>
    </w:rPr>
  </w:style>
  <w:style w:type="character" w:styleId="IntenseReference">
    <w:name w:val="Intense Reference"/>
    <w:basedOn w:val="DefaultParagraphFont"/>
    <w:uiPriority w:val="32"/>
    <w:rsid w:val="00A4512D"/>
    <w:rPr>
      <w:b/>
      <w:bCs/>
      <w:i/>
      <w:smallCaps/>
      <w:color w:val="C0504D" w:themeColor="accent2"/>
      <w:spacing w:val="5"/>
      <w:u w:val="none"/>
    </w:rPr>
  </w:style>
  <w:style w:type="character" w:styleId="BookTitle">
    <w:name w:val="Book Title"/>
    <w:basedOn w:val="DefaultParagraphFont"/>
    <w:uiPriority w:val="33"/>
    <w:rsid w:val="00A4512D"/>
    <w:rPr>
      <w:b/>
      <w:bCs/>
      <w:smallCaps/>
      <w:spacing w:val="5"/>
    </w:rPr>
  </w:style>
  <w:style w:type="paragraph" w:styleId="ListParagraph">
    <w:name w:val="List Paragraph"/>
    <w:aliases w:val="List Paragraph1,Recommendation,Body text,standard lewis"/>
    <w:basedOn w:val="Normal"/>
    <w:link w:val="ListParagraphChar"/>
    <w:autoRedefine/>
    <w:uiPriority w:val="34"/>
    <w:qFormat/>
    <w:rsid w:val="002D4D3E"/>
    <w:pPr>
      <w:numPr>
        <w:numId w:val="13"/>
      </w:numPr>
      <w:spacing w:after="180"/>
      <w:ind w:left="714" w:hanging="357"/>
    </w:pPr>
    <w:rPr>
      <w:szCs w:val="20"/>
      <w:lang w:val="en-AU"/>
    </w:rPr>
  </w:style>
  <w:style w:type="paragraph" w:styleId="TOC1">
    <w:name w:val="toc 1"/>
    <w:basedOn w:val="Normal"/>
    <w:next w:val="Normal"/>
    <w:autoRedefine/>
    <w:uiPriority w:val="39"/>
    <w:rsid w:val="00C60911"/>
    <w:pPr>
      <w:spacing w:before="120" w:after="120"/>
    </w:pPr>
    <w:rPr>
      <w:caps/>
      <w:color w:val="004274"/>
      <w:sz w:val="24"/>
    </w:rPr>
  </w:style>
  <w:style w:type="character" w:styleId="Hyperlink">
    <w:name w:val="Hyperlink"/>
    <w:basedOn w:val="DefaultParagraphFont"/>
    <w:uiPriority w:val="99"/>
    <w:unhideWhenUsed/>
    <w:rsid w:val="00893721"/>
    <w:rPr>
      <w:color w:val="0000FF" w:themeColor="hyperlink"/>
      <w:u w:val="single"/>
    </w:rPr>
  </w:style>
  <w:style w:type="paragraph" w:styleId="TOC2">
    <w:name w:val="toc 2"/>
    <w:basedOn w:val="Normal"/>
    <w:next w:val="Normal"/>
    <w:autoRedefine/>
    <w:uiPriority w:val="39"/>
    <w:rsid w:val="00865666"/>
    <w:pPr>
      <w:tabs>
        <w:tab w:val="right" w:leader="dot" w:pos="8302"/>
      </w:tabs>
      <w:spacing w:before="80" w:after="80"/>
      <w:ind w:left="221"/>
    </w:pPr>
    <w:rPr>
      <w:color w:val="004274"/>
      <w:sz w:val="20"/>
    </w:rPr>
  </w:style>
  <w:style w:type="paragraph" w:styleId="ListBullet2">
    <w:name w:val="List Bullet 2"/>
    <w:basedOn w:val="Normal"/>
    <w:rsid w:val="00893721"/>
    <w:pPr>
      <w:numPr>
        <w:ilvl w:val="1"/>
        <w:numId w:val="1"/>
      </w:numPr>
      <w:kinsoku w:val="0"/>
      <w:overflowPunct w:val="0"/>
      <w:autoSpaceDE w:val="0"/>
      <w:autoSpaceDN w:val="0"/>
      <w:adjustRightInd w:val="0"/>
      <w:snapToGrid w:val="0"/>
      <w:spacing w:after="240"/>
    </w:pPr>
    <w:rPr>
      <w:rFonts w:asciiTheme="minorHAnsi" w:hAnsiTheme="minorHAnsi" w:cs="Arial"/>
      <w:snapToGrid w:val="0"/>
      <w:sz w:val="20"/>
      <w:szCs w:val="20"/>
      <w:lang w:val="en-AU"/>
    </w:rPr>
  </w:style>
  <w:style w:type="paragraph" w:styleId="ListBullet4">
    <w:name w:val="List Bullet 4"/>
    <w:basedOn w:val="ListBullet3"/>
    <w:unhideWhenUsed/>
    <w:rsid w:val="00893721"/>
    <w:pPr>
      <w:numPr>
        <w:ilvl w:val="3"/>
      </w:numPr>
    </w:pPr>
  </w:style>
  <w:style w:type="paragraph" w:styleId="ListBullet3">
    <w:name w:val="List Bullet 3"/>
    <w:basedOn w:val="ListBullet2"/>
    <w:rsid w:val="00893721"/>
    <w:pPr>
      <w:numPr>
        <w:ilvl w:val="2"/>
      </w:numPr>
    </w:pPr>
  </w:style>
  <w:style w:type="paragraph" w:styleId="ListBullet">
    <w:name w:val="List Bullet"/>
    <w:basedOn w:val="Normal"/>
    <w:uiPriority w:val="13"/>
    <w:rsid w:val="00893721"/>
    <w:pPr>
      <w:numPr>
        <w:numId w:val="1"/>
      </w:numPr>
      <w:kinsoku w:val="0"/>
      <w:overflowPunct w:val="0"/>
      <w:autoSpaceDE w:val="0"/>
      <w:autoSpaceDN w:val="0"/>
      <w:adjustRightInd w:val="0"/>
      <w:snapToGrid w:val="0"/>
      <w:spacing w:after="160"/>
    </w:pPr>
    <w:rPr>
      <w:rFonts w:asciiTheme="minorHAnsi" w:hAnsiTheme="minorHAnsi" w:cs="Arial"/>
      <w:snapToGrid w:val="0"/>
      <w:sz w:val="20"/>
      <w:szCs w:val="20"/>
      <w:lang w:val="en-AU"/>
    </w:rPr>
  </w:style>
  <w:style w:type="paragraph" w:styleId="ListBullet5">
    <w:name w:val="List Bullet 5"/>
    <w:basedOn w:val="ListBullet4"/>
    <w:unhideWhenUsed/>
    <w:rsid w:val="00893721"/>
    <w:pPr>
      <w:numPr>
        <w:ilvl w:val="4"/>
      </w:numPr>
      <w:contextualSpacing/>
    </w:pPr>
  </w:style>
  <w:style w:type="paragraph" w:styleId="FootnoteText">
    <w:name w:val="footnote text"/>
    <w:basedOn w:val="Normal"/>
    <w:link w:val="FootnoteTextChar"/>
    <w:uiPriority w:val="99"/>
    <w:rsid w:val="00893721"/>
    <w:rPr>
      <w:sz w:val="20"/>
      <w:szCs w:val="20"/>
    </w:rPr>
  </w:style>
  <w:style w:type="character" w:customStyle="1" w:styleId="FootnoteTextChar">
    <w:name w:val="Footnote Text Char"/>
    <w:basedOn w:val="DefaultParagraphFont"/>
    <w:link w:val="FootnoteText"/>
    <w:uiPriority w:val="99"/>
    <w:rsid w:val="00893721"/>
    <w:rPr>
      <w:rFonts w:ascii="Calibri" w:hAnsi="Calibri"/>
      <w:lang w:val="en-US" w:eastAsia="en-US"/>
    </w:rPr>
  </w:style>
  <w:style w:type="character" w:styleId="FootnoteReference">
    <w:name w:val="footnote reference"/>
    <w:basedOn w:val="DefaultParagraphFont"/>
    <w:rsid w:val="00893721"/>
    <w:rPr>
      <w:vertAlign w:val="superscript"/>
    </w:rPr>
  </w:style>
  <w:style w:type="paragraph" w:styleId="BalloonText">
    <w:name w:val="Balloon Text"/>
    <w:basedOn w:val="Normal"/>
    <w:link w:val="BalloonTextChar"/>
    <w:rsid w:val="00893721"/>
    <w:rPr>
      <w:rFonts w:ascii="Tahoma" w:hAnsi="Tahoma" w:cs="Tahoma"/>
      <w:sz w:val="16"/>
      <w:szCs w:val="16"/>
    </w:rPr>
  </w:style>
  <w:style w:type="character" w:customStyle="1" w:styleId="BalloonTextChar">
    <w:name w:val="Balloon Text Char"/>
    <w:basedOn w:val="DefaultParagraphFont"/>
    <w:link w:val="BalloonText"/>
    <w:rsid w:val="00893721"/>
    <w:rPr>
      <w:rFonts w:ascii="Tahoma" w:hAnsi="Tahoma" w:cs="Tahoma"/>
      <w:sz w:val="16"/>
      <w:szCs w:val="16"/>
      <w:lang w:val="en-US" w:eastAsia="en-US"/>
    </w:rPr>
  </w:style>
  <w:style w:type="table" w:styleId="TableGrid">
    <w:name w:val="Table Grid"/>
    <w:aliases w:val="Table - Top"/>
    <w:basedOn w:val="TableNormal"/>
    <w:uiPriority w:val="59"/>
    <w:rsid w:val="00EA233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3721"/>
    <w:pPr>
      <w:autoSpaceDE w:val="0"/>
      <w:autoSpaceDN w:val="0"/>
      <w:adjustRightInd w:val="0"/>
    </w:pPr>
    <w:rPr>
      <w:rFonts w:ascii="Garamond" w:hAnsi="Garamond" w:cs="Garamond"/>
      <w:color w:val="000000"/>
      <w:sz w:val="24"/>
      <w:szCs w:val="24"/>
    </w:rPr>
  </w:style>
  <w:style w:type="paragraph" w:styleId="Header">
    <w:name w:val="header"/>
    <w:basedOn w:val="Normal"/>
    <w:link w:val="HeaderChar"/>
    <w:uiPriority w:val="99"/>
    <w:rsid w:val="00893721"/>
    <w:pPr>
      <w:tabs>
        <w:tab w:val="center" w:pos="4513"/>
        <w:tab w:val="right" w:pos="9026"/>
      </w:tabs>
    </w:pPr>
  </w:style>
  <w:style w:type="character" w:customStyle="1" w:styleId="HeaderChar">
    <w:name w:val="Header Char"/>
    <w:basedOn w:val="DefaultParagraphFont"/>
    <w:link w:val="Header"/>
    <w:uiPriority w:val="99"/>
    <w:rsid w:val="00893721"/>
    <w:rPr>
      <w:rFonts w:ascii="Calibri" w:hAnsi="Calibri"/>
      <w:sz w:val="22"/>
      <w:szCs w:val="24"/>
      <w:lang w:val="en-US" w:eastAsia="en-US"/>
    </w:rPr>
  </w:style>
  <w:style w:type="paragraph" w:styleId="Footer">
    <w:name w:val="footer"/>
    <w:basedOn w:val="Normal"/>
    <w:link w:val="FooterChar"/>
    <w:uiPriority w:val="99"/>
    <w:rsid w:val="00893721"/>
    <w:pPr>
      <w:tabs>
        <w:tab w:val="center" w:pos="4513"/>
        <w:tab w:val="right" w:pos="9026"/>
      </w:tabs>
    </w:pPr>
  </w:style>
  <w:style w:type="character" w:customStyle="1" w:styleId="FooterChar">
    <w:name w:val="Footer Char"/>
    <w:basedOn w:val="DefaultParagraphFont"/>
    <w:link w:val="Footer"/>
    <w:uiPriority w:val="99"/>
    <w:rsid w:val="00893721"/>
    <w:rPr>
      <w:rFonts w:ascii="Calibri" w:hAnsi="Calibri"/>
      <w:sz w:val="22"/>
      <w:szCs w:val="24"/>
      <w:lang w:val="en-US" w:eastAsia="en-US"/>
    </w:rPr>
  </w:style>
  <w:style w:type="paragraph" w:styleId="TOC3">
    <w:name w:val="toc 3"/>
    <w:basedOn w:val="Normal"/>
    <w:next w:val="Normal"/>
    <w:autoRedefine/>
    <w:uiPriority w:val="39"/>
    <w:rsid w:val="00223841"/>
    <w:pPr>
      <w:spacing w:before="80" w:after="80"/>
      <w:ind w:left="442"/>
    </w:pPr>
    <w:rPr>
      <w:color w:val="004274"/>
      <w:sz w:val="20"/>
    </w:rPr>
  </w:style>
  <w:style w:type="character" w:customStyle="1" w:styleId="Heading3Char">
    <w:name w:val="Heading 3 Char"/>
    <w:link w:val="Heading3"/>
    <w:rsid w:val="00C72C32"/>
    <w:rPr>
      <w:rFonts w:ascii="Calibri" w:hAnsi="Calibri" w:cs="Arial"/>
      <w:bCs/>
      <w:color w:val="003D69"/>
      <w:sz w:val="26"/>
      <w:szCs w:val="26"/>
      <w:lang w:eastAsia="en-US"/>
    </w:rPr>
  </w:style>
  <w:style w:type="paragraph" w:styleId="TOC4">
    <w:name w:val="toc 4"/>
    <w:basedOn w:val="Normal"/>
    <w:next w:val="Normal"/>
    <w:autoRedefine/>
    <w:uiPriority w:val="39"/>
    <w:rsid w:val="00893721"/>
    <w:pPr>
      <w:spacing w:after="100"/>
      <w:ind w:left="660"/>
    </w:pPr>
    <w:rPr>
      <w:sz w:val="20"/>
    </w:rPr>
  </w:style>
  <w:style w:type="paragraph" w:styleId="EndnoteText">
    <w:name w:val="endnote text"/>
    <w:basedOn w:val="Normal"/>
    <w:link w:val="EndnoteTextChar"/>
    <w:rsid w:val="00893721"/>
    <w:rPr>
      <w:sz w:val="20"/>
      <w:szCs w:val="20"/>
    </w:rPr>
  </w:style>
  <w:style w:type="character" w:customStyle="1" w:styleId="EndnoteTextChar">
    <w:name w:val="Endnote Text Char"/>
    <w:basedOn w:val="DefaultParagraphFont"/>
    <w:link w:val="EndnoteText"/>
    <w:rsid w:val="00893721"/>
    <w:rPr>
      <w:rFonts w:ascii="Calibri" w:hAnsi="Calibri"/>
      <w:lang w:val="en-US" w:eastAsia="en-US"/>
    </w:rPr>
  </w:style>
  <w:style w:type="character" w:styleId="EndnoteReference">
    <w:name w:val="endnote reference"/>
    <w:basedOn w:val="DefaultParagraphFont"/>
    <w:rsid w:val="00893721"/>
    <w:rPr>
      <w:vertAlign w:val="superscript"/>
    </w:rPr>
  </w:style>
  <w:style w:type="character" w:customStyle="1" w:styleId="ListParagraphChar">
    <w:name w:val="List Paragraph Char"/>
    <w:aliases w:val="List Paragraph1 Char,Recommendation Char,Body text Char,standard lewis Char"/>
    <w:link w:val="ListParagraph"/>
    <w:uiPriority w:val="34"/>
    <w:locked/>
    <w:rsid w:val="002D4D3E"/>
    <w:rPr>
      <w:rFonts w:ascii="Calibri" w:hAnsi="Calibri"/>
      <w:sz w:val="22"/>
      <w:lang w:eastAsia="en-US"/>
    </w:rPr>
  </w:style>
  <w:style w:type="paragraph" w:styleId="NormalWeb">
    <w:name w:val="Normal (Web)"/>
    <w:basedOn w:val="Normal"/>
    <w:uiPriority w:val="99"/>
    <w:unhideWhenUsed/>
    <w:rsid w:val="00893721"/>
    <w:pPr>
      <w:spacing w:before="100" w:beforeAutospacing="1" w:after="100" w:afterAutospacing="1"/>
    </w:pPr>
    <w:rPr>
      <w:rFonts w:ascii="Times New Roman" w:eastAsiaTheme="minorEastAsia" w:hAnsi="Times New Roman"/>
      <w:sz w:val="24"/>
      <w:lang w:val="en-AU" w:eastAsia="en-AU"/>
    </w:rPr>
  </w:style>
  <w:style w:type="paragraph" w:customStyle="1" w:styleId="Indent1">
    <w:name w:val="Indent 1"/>
    <w:basedOn w:val="Normal"/>
    <w:rsid w:val="00893721"/>
    <w:pPr>
      <w:numPr>
        <w:ilvl w:val="1"/>
        <w:numId w:val="3"/>
      </w:numPr>
      <w:kinsoku w:val="0"/>
      <w:overflowPunct w:val="0"/>
      <w:autoSpaceDE w:val="0"/>
      <w:autoSpaceDN w:val="0"/>
      <w:adjustRightInd w:val="0"/>
      <w:snapToGrid w:val="0"/>
      <w:spacing w:before="100" w:after="100"/>
    </w:pPr>
    <w:rPr>
      <w:rFonts w:asciiTheme="minorHAnsi" w:hAnsiTheme="minorHAnsi"/>
      <w:snapToGrid w:val="0"/>
      <w:sz w:val="20"/>
      <w:szCs w:val="20"/>
      <w:lang w:val="en-AU"/>
    </w:rPr>
  </w:style>
  <w:style w:type="paragraph" w:customStyle="1" w:styleId="Indent2">
    <w:name w:val="Indent 2"/>
    <w:basedOn w:val="Indent1"/>
    <w:rsid w:val="00893721"/>
    <w:pPr>
      <w:numPr>
        <w:ilvl w:val="2"/>
      </w:numPr>
    </w:pPr>
  </w:style>
  <w:style w:type="paragraph" w:customStyle="1" w:styleId="Indent3">
    <w:name w:val="Indent 3"/>
    <w:basedOn w:val="Indent2"/>
    <w:rsid w:val="00893721"/>
    <w:pPr>
      <w:numPr>
        <w:ilvl w:val="3"/>
      </w:numPr>
    </w:pPr>
  </w:style>
  <w:style w:type="paragraph" w:customStyle="1" w:styleId="Indent5">
    <w:name w:val="Indent 5"/>
    <w:basedOn w:val="Indent4"/>
    <w:rsid w:val="00893721"/>
    <w:pPr>
      <w:numPr>
        <w:ilvl w:val="5"/>
      </w:numPr>
    </w:pPr>
  </w:style>
  <w:style w:type="paragraph" w:customStyle="1" w:styleId="Indent6">
    <w:name w:val="Indent 6"/>
    <w:basedOn w:val="Indent5"/>
    <w:rsid w:val="00893721"/>
    <w:pPr>
      <w:numPr>
        <w:ilvl w:val="6"/>
      </w:numPr>
    </w:pPr>
  </w:style>
  <w:style w:type="paragraph" w:customStyle="1" w:styleId="Indent7">
    <w:name w:val="Indent 7"/>
    <w:basedOn w:val="Indent6"/>
    <w:rsid w:val="00893721"/>
    <w:pPr>
      <w:numPr>
        <w:ilvl w:val="7"/>
      </w:numPr>
    </w:pPr>
  </w:style>
  <w:style w:type="paragraph" w:customStyle="1" w:styleId="Indent4">
    <w:name w:val="Indent 4"/>
    <w:basedOn w:val="Indent3"/>
    <w:rsid w:val="00893721"/>
    <w:pPr>
      <w:numPr>
        <w:ilvl w:val="4"/>
      </w:numPr>
    </w:pPr>
  </w:style>
  <w:style w:type="paragraph" w:customStyle="1" w:styleId="MLNormal">
    <w:name w:val="ML Normal"/>
    <w:basedOn w:val="Normal"/>
    <w:link w:val="MLNormalChar"/>
    <w:rsid w:val="00893721"/>
    <w:pPr>
      <w:numPr>
        <w:numId w:val="3"/>
      </w:numPr>
      <w:kinsoku w:val="0"/>
      <w:overflowPunct w:val="0"/>
      <w:autoSpaceDE w:val="0"/>
      <w:autoSpaceDN w:val="0"/>
      <w:adjustRightInd w:val="0"/>
      <w:snapToGrid w:val="0"/>
      <w:spacing w:after="180"/>
    </w:pPr>
    <w:rPr>
      <w:rFonts w:asciiTheme="minorHAnsi" w:hAnsiTheme="minorHAnsi" w:cs="Arial"/>
      <w:snapToGrid w:val="0"/>
      <w:sz w:val="20"/>
      <w:szCs w:val="20"/>
      <w:lang w:val="en-AU"/>
    </w:rPr>
  </w:style>
  <w:style w:type="character" w:customStyle="1" w:styleId="MLNormalChar">
    <w:name w:val="ML Normal Char"/>
    <w:basedOn w:val="DefaultParagraphFont"/>
    <w:link w:val="MLNormal"/>
    <w:rsid w:val="00893721"/>
    <w:rPr>
      <w:rFonts w:asciiTheme="minorHAnsi" w:hAnsiTheme="minorHAnsi" w:cs="Arial"/>
      <w:snapToGrid w:val="0"/>
      <w:lang w:eastAsia="en-US"/>
    </w:rPr>
  </w:style>
  <w:style w:type="paragraph" w:customStyle="1" w:styleId="TableBullet1Small">
    <w:name w:val="Table Bullet 1 Small"/>
    <w:basedOn w:val="Normal"/>
    <w:rsid w:val="00893721"/>
    <w:pPr>
      <w:numPr>
        <w:numId w:val="2"/>
      </w:numPr>
      <w:kinsoku w:val="0"/>
      <w:overflowPunct w:val="0"/>
      <w:autoSpaceDE w:val="0"/>
      <w:autoSpaceDN w:val="0"/>
      <w:adjustRightInd w:val="0"/>
      <w:snapToGrid w:val="0"/>
      <w:spacing w:before="20" w:after="20"/>
    </w:pPr>
    <w:rPr>
      <w:rFonts w:ascii="Arial" w:hAnsi="Arial" w:cs="Arial"/>
      <w:snapToGrid w:val="0"/>
      <w:sz w:val="20"/>
      <w:szCs w:val="18"/>
      <w:lang w:val="en-AU"/>
    </w:rPr>
  </w:style>
  <w:style w:type="paragraph" w:customStyle="1" w:styleId="TableBullet3Small">
    <w:name w:val="Table Bullet 3 Small"/>
    <w:basedOn w:val="TableBullet2Small"/>
    <w:rsid w:val="00893721"/>
    <w:pPr>
      <w:numPr>
        <w:ilvl w:val="2"/>
      </w:numPr>
    </w:pPr>
    <w:rPr>
      <w:szCs w:val="16"/>
    </w:rPr>
  </w:style>
  <w:style w:type="paragraph" w:customStyle="1" w:styleId="TableBullet2Small">
    <w:name w:val="Table Bullet 2 Small"/>
    <w:basedOn w:val="TableBullet1Small"/>
    <w:rsid w:val="00893721"/>
    <w:pPr>
      <w:numPr>
        <w:ilvl w:val="1"/>
      </w:numPr>
    </w:pPr>
  </w:style>
  <w:style w:type="paragraph" w:customStyle="1" w:styleId="TableColumnHeadingNormal">
    <w:name w:val="Table Column Heading Normal"/>
    <w:basedOn w:val="Normal"/>
    <w:link w:val="TableColumnHeadingNormalChar"/>
    <w:rsid w:val="00893721"/>
    <w:pPr>
      <w:keepNext/>
      <w:keepLines/>
      <w:kinsoku w:val="0"/>
      <w:overflowPunct w:val="0"/>
      <w:autoSpaceDE w:val="0"/>
      <w:autoSpaceDN w:val="0"/>
      <w:adjustRightInd w:val="0"/>
      <w:snapToGrid w:val="0"/>
      <w:spacing w:before="80" w:after="80"/>
    </w:pPr>
    <w:rPr>
      <w:rFonts w:asciiTheme="minorHAnsi" w:hAnsiTheme="minorHAnsi" w:cs="Arial"/>
      <w:b/>
      <w:snapToGrid w:val="0"/>
      <w:color w:val="1F497D" w:themeColor="text2"/>
      <w:sz w:val="20"/>
      <w:szCs w:val="20"/>
      <w:lang w:val="en-AU"/>
    </w:rPr>
  </w:style>
  <w:style w:type="paragraph" w:customStyle="1" w:styleId="Indent8">
    <w:name w:val="Indent 8"/>
    <w:basedOn w:val="Indent7"/>
    <w:rsid w:val="00893721"/>
    <w:pPr>
      <w:numPr>
        <w:ilvl w:val="8"/>
      </w:numPr>
    </w:pPr>
  </w:style>
  <w:style w:type="table" w:customStyle="1" w:styleId="TableGrid1">
    <w:name w:val="Table Grid1"/>
    <w:basedOn w:val="TableNormal"/>
    <w:next w:val="TableGrid"/>
    <w:uiPriority w:val="59"/>
    <w:rsid w:val="00893721"/>
    <w:rPr>
      <w:rFonts w:ascii="Georgia" w:eastAsiaTheme="minorHAnsi" w:hAnsi="Georgia" w:cstheme="minorBidi"/>
      <w:sz w:val="22"/>
      <w:szCs w:val="22"/>
      <w:lang w:eastAsia="en-US"/>
    </w:rPr>
    <w:tblPr>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Pr>
    <w:tblStylePr w:type="firstRow">
      <w:tblPr/>
      <w:trPr>
        <w:tblHeader/>
      </w:trPr>
      <w:tcPr>
        <w:shd w:val="clear" w:color="auto" w:fill="1F497D" w:themeFill="text2"/>
      </w:tcPr>
    </w:tblStylePr>
  </w:style>
  <w:style w:type="character" w:customStyle="1" w:styleId="TableColumnHeadingNormalChar">
    <w:name w:val="Table Column Heading Normal Char"/>
    <w:basedOn w:val="DefaultParagraphFont"/>
    <w:link w:val="TableColumnHeadingNormal"/>
    <w:locked/>
    <w:rsid w:val="00893721"/>
    <w:rPr>
      <w:rFonts w:asciiTheme="minorHAnsi" w:hAnsiTheme="minorHAnsi" w:cs="Arial"/>
      <w:b/>
      <w:snapToGrid w:val="0"/>
      <w:color w:val="1F497D" w:themeColor="text2"/>
      <w:lang w:eastAsia="en-US"/>
    </w:rPr>
  </w:style>
  <w:style w:type="paragraph" w:customStyle="1" w:styleId="Tableheadingwhite">
    <w:name w:val="Table heading white"/>
    <w:basedOn w:val="TableColumnHeadingNormal"/>
    <w:qFormat/>
    <w:rsid w:val="000A745E"/>
    <w:pPr>
      <w:jc w:val="right"/>
    </w:pPr>
    <w:rPr>
      <w:rFonts w:eastAsiaTheme="minorHAnsi"/>
      <w:color w:val="auto"/>
      <w:sz w:val="22"/>
      <w:szCs w:val="22"/>
    </w:rPr>
  </w:style>
  <w:style w:type="character" w:styleId="FollowedHyperlink">
    <w:name w:val="FollowedHyperlink"/>
    <w:basedOn w:val="DefaultParagraphFont"/>
    <w:rsid w:val="00893721"/>
    <w:rPr>
      <w:color w:val="800080" w:themeColor="followedHyperlink"/>
      <w:u w:val="single"/>
    </w:rPr>
  </w:style>
  <w:style w:type="character" w:customStyle="1" w:styleId="apple-converted-space">
    <w:name w:val="apple-converted-space"/>
    <w:basedOn w:val="DefaultParagraphFont"/>
    <w:rsid w:val="00893721"/>
  </w:style>
  <w:style w:type="character" w:customStyle="1" w:styleId="absnonlinkmetadata">
    <w:name w:val="abs_nonlink_metadata"/>
    <w:basedOn w:val="DefaultParagraphFont"/>
    <w:rsid w:val="00893721"/>
  </w:style>
  <w:style w:type="paragraph" w:customStyle="1" w:styleId="TableTextSmall">
    <w:name w:val="Table Text Small"/>
    <w:basedOn w:val="Normal"/>
    <w:rsid w:val="00893721"/>
    <w:pPr>
      <w:kinsoku w:val="0"/>
      <w:overflowPunct w:val="0"/>
      <w:autoSpaceDE w:val="0"/>
      <w:autoSpaceDN w:val="0"/>
      <w:adjustRightInd w:val="0"/>
      <w:snapToGrid w:val="0"/>
      <w:spacing w:before="80" w:after="80" w:line="240" w:lineRule="auto"/>
      <w:jc w:val="left"/>
    </w:pPr>
    <w:rPr>
      <w:rFonts w:ascii="Arial" w:hAnsi="Arial" w:cs="Arial"/>
      <w:snapToGrid w:val="0"/>
      <w:sz w:val="18"/>
      <w:szCs w:val="18"/>
      <w:lang w:val="en-AU"/>
    </w:rPr>
  </w:style>
  <w:style w:type="paragraph" w:styleId="Caption">
    <w:name w:val="caption"/>
    <w:aliases w:val="Text Caption"/>
    <w:basedOn w:val="Normal"/>
    <w:next w:val="Normal"/>
    <w:uiPriority w:val="35"/>
    <w:unhideWhenUsed/>
    <w:qFormat/>
    <w:rsid w:val="004A2F5B"/>
    <w:pPr>
      <w:keepNext/>
      <w:keepLines/>
      <w:tabs>
        <w:tab w:val="left" w:pos="992"/>
      </w:tabs>
      <w:kinsoku w:val="0"/>
      <w:overflowPunct w:val="0"/>
      <w:autoSpaceDE w:val="0"/>
      <w:autoSpaceDN w:val="0"/>
      <w:adjustRightInd w:val="0"/>
      <w:snapToGrid w:val="0"/>
      <w:spacing w:before="240" w:after="120" w:line="240" w:lineRule="auto"/>
      <w:jc w:val="left"/>
    </w:pPr>
    <w:rPr>
      <w:rFonts w:asciiTheme="majorHAnsi" w:hAnsiTheme="majorHAnsi" w:cs="Arial"/>
      <w:b/>
      <w:bCs/>
      <w:snapToGrid w:val="0"/>
      <w:color w:val="1F497D" w:themeColor="text2"/>
      <w:sz w:val="20"/>
      <w:szCs w:val="18"/>
      <w:lang w:val="en-AU"/>
    </w:rPr>
  </w:style>
  <w:style w:type="paragraph" w:customStyle="1" w:styleId="TableColumnHeadingSmall">
    <w:name w:val="Table Column Heading Small"/>
    <w:basedOn w:val="TableTextSmall"/>
    <w:next w:val="TableTextSmall"/>
    <w:rsid w:val="00893721"/>
    <w:pPr>
      <w:keepNext/>
      <w:keepLines/>
    </w:pPr>
    <w:rPr>
      <w:b/>
      <w:color w:val="1F497D" w:themeColor="text2"/>
      <w:szCs w:val="16"/>
    </w:rPr>
  </w:style>
  <w:style w:type="paragraph" w:customStyle="1" w:styleId="MLNormalAftertable">
    <w:name w:val="ML Normal_After table"/>
    <w:basedOn w:val="MLNormal"/>
    <w:rsid w:val="00893721"/>
    <w:pPr>
      <w:numPr>
        <w:numId w:val="0"/>
      </w:numPr>
      <w:spacing w:before="120" w:after="120" w:line="240" w:lineRule="auto"/>
      <w:jc w:val="left"/>
    </w:pPr>
    <w:rPr>
      <w:lang w:val="en-GB"/>
    </w:rPr>
  </w:style>
  <w:style w:type="paragraph" w:customStyle="1" w:styleId="Pa11">
    <w:name w:val="Pa11"/>
    <w:basedOn w:val="Default"/>
    <w:next w:val="Default"/>
    <w:uiPriority w:val="99"/>
    <w:rsid w:val="00893721"/>
    <w:pPr>
      <w:spacing w:line="241" w:lineRule="atLeast"/>
    </w:pPr>
    <w:rPr>
      <w:rFonts w:ascii="Adobe Garamond Pro" w:hAnsi="Adobe Garamond Pro" w:cs="Times New Roman"/>
      <w:color w:val="auto"/>
    </w:rPr>
  </w:style>
  <w:style w:type="character" w:styleId="CommentReference">
    <w:name w:val="annotation reference"/>
    <w:basedOn w:val="DefaultParagraphFont"/>
    <w:uiPriority w:val="99"/>
    <w:rsid w:val="00893721"/>
    <w:rPr>
      <w:sz w:val="16"/>
      <w:szCs w:val="16"/>
    </w:rPr>
  </w:style>
  <w:style w:type="paragraph" w:styleId="CommentText">
    <w:name w:val="annotation text"/>
    <w:basedOn w:val="Normal"/>
    <w:link w:val="CommentTextChar"/>
    <w:uiPriority w:val="99"/>
    <w:rsid w:val="00893721"/>
    <w:pPr>
      <w:spacing w:line="240" w:lineRule="auto"/>
    </w:pPr>
    <w:rPr>
      <w:sz w:val="20"/>
      <w:szCs w:val="20"/>
    </w:rPr>
  </w:style>
  <w:style w:type="character" w:customStyle="1" w:styleId="CommentTextChar">
    <w:name w:val="Comment Text Char"/>
    <w:basedOn w:val="DefaultParagraphFont"/>
    <w:link w:val="CommentText"/>
    <w:uiPriority w:val="99"/>
    <w:rsid w:val="00893721"/>
    <w:rPr>
      <w:rFonts w:ascii="Calibri" w:hAnsi="Calibri"/>
      <w:lang w:val="en-US" w:eastAsia="en-US"/>
    </w:rPr>
  </w:style>
  <w:style w:type="paragraph" w:styleId="CommentSubject">
    <w:name w:val="annotation subject"/>
    <w:basedOn w:val="CommentText"/>
    <w:next w:val="CommentText"/>
    <w:link w:val="CommentSubjectChar"/>
    <w:rsid w:val="00893721"/>
    <w:rPr>
      <w:b/>
      <w:bCs/>
    </w:rPr>
  </w:style>
  <w:style w:type="character" w:customStyle="1" w:styleId="CommentSubjectChar">
    <w:name w:val="Comment Subject Char"/>
    <w:basedOn w:val="CommentTextChar"/>
    <w:link w:val="CommentSubject"/>
    <w:rsid w:val="00893721"/>
    <w:rPr>
      <w:rFonts w:ascii="Calibri" w:hAnsi="Calibri"/>
      <w:b/>
      <w:bCs/>
      <w:lang w:val="en-US" w:eastAsia="en-US"/>
    </w:rPr>
  </w:style>
  <w:style w:type="character" w:styleId="PlaceholderText">
    <w:name w:val="Placeholder Text"/>
    <w:basedOn w:val="DefaultParagraphFont"/>
    <w:uiPriority w:val="99"/>
    <w:semiHidden/>
    <w:rsid w:val="00B13C7A"/>
    <w:rPr>
      <w:color w:val="808080"/>
    </w:rPr>
  </w:style>
  <w:style w:type="table" w:styleId="TableClassic3">
    <w:name w:val="Table Classic 3"/>
    <w:basedOn w:val="TableNormal"/>
    <w:rsid w:val="00E1399B"/>
    <w:pPr>
      <w:spacing w:line="264"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3">
    <w:name w:val="Table 3D effects 3"/>
    <w:basedOn w:val="TableNormal"/>
    <w:rsid w:val="004C008A"/>
    <w:pPr>
      <w:spacing w:line="264"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5">
    <w:name w:val="toc 5"/>
    <w:basedOn w:val="Normal"/>
    <w:next w:val="Normal"/>
    <w:autoRedefine/>
    <w:uiPriority w:val="39"/>
    <w:rsid w:val="00C60911"/>
    <w:pPr>
      <w:spacing w:after="100"/>
      <w:ind w:left="880"/>
    </w:pPr>
  </w:style>
  <w:style w:type="paragraph" w:styleId="TOCHeading">
    <w:name w:val="TOC Heading"/>
    <w:basedOn w:val="Heading1"/>
    <w:next w:val="Normal"/>
    <w:uiPriority w:val="39"/>
    <w:semiHidden/>
    <w:unhideWhenUsed/>
    <w:qFormat/>
    <w:rsid w:val="002942CA"/>
    <w:pPr>
      <w:keepLines/>
      <w:spacing w:before="480" w:after="0"/>
      <w:outlineLvl w:val="9"/>
    </w:pPr>
    <w:rPr>
      <w:rFonts w:asciiTheme="majorHAnsi" w:eastAsiaTheme="majorEastAsia" w:hAnsiTheme="majorHAnsi" w:cstheme="majorBidi"/>
      <w:b/>
      <w:caps w:val="0"/>
      <w:color w:val="365F91" w:themeColor="accent1" w:themeShade="BF"/>
      <w:kern w:val="0"/>
      <w:sz w:val="28"/>
      <w:szCs w:val="28"/>
    </w:rPr>
  </w:style>
  <w:style w:type="paragraph" w:customStyle="1" w:styleId="Pa1">
    <w:name w:val="Pa1"/>
    <w:basedOn w:val="Default"/>
    <w:next w:val="Default"/>
    <w:uiPriority w:val="99"/>
    <w:rsid w:val="009A1F98"/>
    <w:pPr>
      <w:spacing w:line="181" w:lineRule="atLeast"/>
    </w:pPr>
    <w:rPr>
      <w:rFonts w:ascii="Neo Sans Std" w:hAnsi="Neo Sans Std" w:cs="Times New Roman"/>
      <w:color w:val="auto"/>
    </w:rPr>
  </w:style>
  <w:style w:type="paragraph" w:styleId="DocumentMap">
    <w:name w:val="Document Map"/>
    <w:basedOn w:val="Normal"/>
    <w:link w:val="DocumentMapChar"/>
    <w:rsid w:val="00DD1DB4"/>
    <w:pPr>
      <w:spacing w:line="240" w:lineRule="auto"/>
    </w:pPr>
    <w:rPr>
      <w:rFonts w:ascii="Lucida Grande" w:hAnsi="Lucida Grande" w:cs="Lucida Grande"/>
      <w:sz w:val="24"/>
    </w:rPr>
  </w:style>
  <w:style w:type="character" w:customStyle="1" w:styleId="DocumentMapChar">
    <w:name w:val="Document Map Char"/>
    <w:basedOn w:val="DefaultParagraphFont"/>
    <w:link w:val="DocumentMap"/>
    <w:rsid w:val="00DD1DB4"/>
    <w:rPr>
      <w:rFonts w:ascii="Lucida Grande" w:hAnsi="Lucida Grande" w:cs="Lucida Grande"/>
      <w:sz w:val="24"/>
      <w:szCs w:val="24"/>
      <w:lang w:val="en-US" w:eastAsia="en-US"/>
    </w:rPr>
  </w:style>
  <w:style w:type="character" w:styleId="PageNumber">
    <w:name w:val="page number"/>
    <w:basedOn w:val="DefaultParagraphFont"/>
    <w:rsid w:val="00AF6A7C"/>
  </w:style>
  <w:style w:type="paragraph" w:customStyle="1" w:styleId="Endnotedotpoint">
    <w:name w:val="Endnote dot point"/>
    <w:basedOn w:val="ListParagraph"/>
    <w:link w:val="EndnotedotpointChar"/>
    <w:qFormat/>
    <w:rsid w:val="00ED1091"/>
    <w:pPr>
      <w:numPr>
        <w:numId w:val="41"/>
      </w:numPr>
    </w:pPr>
    <w:rPr>
      <w:sz w:val="20"/>
    </w:rPr>
  </w:style>
  <w:style w:type="character" w:customStyle="1" w:styleId="EndnotedotpointChar">
    <w:name w:val="Endnote dot point Char"/>
    <w:basedOn w:val="ListParagraphChar"/>
    <w:link w:val="Endnotedotpoint"/>
    <w:rsid w:val="00ED1091"/>
    <w:rPr>
      <w:rFonts w:ascii="Calibri" w:hAnsi="Calibri"/>
      <w:sz w:val="22"/>
      <w:lang w:eastAsia="en-US"/>
    </w:rPr>
  </w:style>
  <w:style w:type="paragraph" w:styleId="Revision">
    <w:name w:val="Revision"/>
    <w:hidden/>
    <w:uiPriority w:val="99"/>
    <w:semiHidden/>
    <w:rsid w:val="006E495B"/>
    <w:rPr>
      <w:rFonts w:ascii="Calibri" w:hAnsi="Calibri"/>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415281">
      <w:bodyDiv w:val="1"/>
      <w:marLeft w:val="0"/>
      <w:marRight w:val="0"/>
      <w:marTop w:val="0"/>
      <w:marBottom w:val="0"/>
      <w:divBdr>
        <w:top w:val="none" w:sz="0" w:space="0" w:color="auto"/>
        <w:left w:val="none" w:sz="0" w:space="0" w:color="auto"/>
        <w:bottom w:val="none" w:sz="0" w:space="0" w:color="auto"/>
        <w:right w:val="none" w:sz="0" w:space="0" w:color="auto"/>
      </w:divBdr>
      <w:divsChild>
        <w:div w:id="1167286711">
          <w:marLeft w:val="274"/>
          <w:marRight w:val="0"/>
          <w:marTop w:val="0"/>
          <w:marBottom w:val="154"/>
          <w:divBdr>
            <w:top w:val="none" w:sz="0" w:space="0" w:color="auto"/>
            <w:left w:val="none" w:sz="0" w:space="0" w:color="auto"/>
            <w:bottom w:val="none" w:sz="0" w:space="0" w:color="auto"/>
            <w:right w:val="none" w:sz="0" w:space="0" w:color="auto"/>
          </w:divBdr>
        </w:div>
        <w:div w:id="685329270">
          <w:marLeft w:val="274"/>
          <w:marRight w:val="0"/>
          <w:marTop w:val="0"/>
          <w:marBottom w:val="154"/>
          <w:divBdr>
            <w:top w:val="none" w:sz="0" w:space="0" w:color="auto"/>
            <w:left w:val="none" w:sz="0" w:space="0" w:color="auto"/>
            <w:bottom w:val="none" w:sz="0" w:space="0" w:color="auto"/>
            <w:right w:val="none" w:sz="0" w:space="0" w:color="auto"/>
          </w:divBdr>
        </w:div>
        <w:div w:id="1050685087">
          <w:marLeft w:val="274"/>
          <w:marRight w:val="0"/>
          <w:marTop w:val="0"/>
          <w:marBottom w:val="154"/>
          <w:divBdr>
            <w:top w:val="none" w:sz="0" w:space="0" w:color="auto"/>
            <w:left w:val="none" w:sz="0" w:space="0" w:color="auto"/>
            <w:bottom w:val="none" w:sz="0" w:space="0" w:color="auto"/>
            <w:right w:val="none" w:sz="0" w:space="0" w:color="auto"/>
          </w:divBdr>
        </w:div>
      </w:divsChild>
    </w:div>
    <w:div w:id="577251186">
      <w:bodyDiv w:val="1"/>
      <w:marLeft w:val="0"/>
      <w:marRight w:val="0"/>
      <w:marTop w:val="0"/>
      <w:marBottom w:val="0"/>
      <w:divBdr>
        <w:top w:val="none" w:sz="0" w:space="0" w:color="auto"/>
        <w:left w:val="none" w:sz="0" w:space="0" w:color="auto"/>
        <w:bottom w:val="none" w:sz="0" w:space="0" w:color="auto"/>
        <w:right w:val="none" w:sz="0" w:space="0" w:color="auto"/>
      </w:divBdr>
    </w:div>
    <w:div w:id="694427333">
      <w:bodyDiv w:val="1"/>
      <w:marLeft w:val="0"/>
      <w:marRight w:val="0"/>
      <w:marTop w:val="0"/>
      <w:marBottom w:val="0"/>
      <w:divBdr>
        <w:top w:val="none" w:sz="0" w:space="0" w:color="auto"/>
        <w:left w:val="none" w:sz="0" w:space="0" w:color="auto"/>
        <w:bottom w:val="none" w:sz="0" w:space="0" w:color="auto"/>
        <w:right w:val="none" w:sz="0" w:space="0" w:color="auto"/>
      </w:divBdr>
      <w:divsChild>
        <w:div w:id="1152411128">
          <w:marLeft w:val="274"/>
          <w:marRight w:val="0"/>
          <w:marTop w:val="0"/>
          <w:marBottom w:val="154"/>
          <w:divBdr>
            <w:top w:val="none" w:sz="0" w:space="0" w:color="auto"/>
            <w:left w:val="none" w:sz="0" w:space="0" w:color="auto"/>
            <w:bottom w:val="none" w:sz="0" w:space="0" w:color="auto"/>
            <w:right w:val="none" w:sz="0" w:space="0" w:color="auto"/>
          </w:divBdr>
        </w:div>
        <w:div w:id="238559932">
          <w:marLeft w:val="274"/>
          <w:marRight w:val="0"/>
          <w:marTop w:val="0"/>
          <w:marBottom w:val="154"/>
          <w:divBdr>
            <w:top w:val="none" w:sz="0" w:space="0" w:color="auto"/>
            <w:left w:val="none" w:sz="0" w:space="0" w:color="auto"/>
            <w:bottom w:val="none" w:sz="0" w:space="0" w:color="auto"/>
            <w:right w:val="none" w:sz="0" w:space="0" w:color="auto"/>
          </w:divBdr>
        </w:div>
        <w:div w:id="1327629470">
          <w:marLeft w:val="274"/>
          <w:marRight w:val="0"/>
          <w:marTop w:val="0"/>
          <w:marBottom w:val="154"/>
          <w:divBdr>
            <w:top w:val="none" w:sz="0" w:space="0" w:color="auto"/>
            <w:left w:val="none" w:sz="0" w:space="0" w:color="auto"/>
            <w:bottom w:val="none" w:sz="0" w:space="0" w:color="auto"/>
            <w:right w:val="none" w:sz="0" w:space="0" w:color="auto"/>
          </w:divBdr>
        </w:div>
      </w:divsChild>
    </w:div>
    <w:div w:id="766387802">
      <w:bodyDiv w:val="1"/>
      <w:marLeft w:val="0"/>
      <w:marRight w:val="0"/>
      <w:marTop w:val="0"/>
      <w:marBottom w:val="0"/>
      <w:divBdr>
        <w:top w:val="none" w:sz="0" w:space="0" w:color="auto"/>
        <w:left w:val="none" w:sz="0" w:space="0" w:color="auto"/>
        <w:bottom w:val="none" w:sz="0" w:space="0" w:color="auto"/>
        <w:right w:val="none" w:sz="0" w:space="0" w:color="auto"/>
      </w:divBdr>
      <w:divsChild>
        <w:div w:id="1681005546">
          <w:marLeft w:val="274"/>
          <w:marRight w:val="0"/>
          <w:marTop w:val="0"/>
          <w:marBottom w:val="154"/>
          <w:divBdr>
            <w:top w:val="none" w:sz="0" w:space="0" w:color="auto"/>
            <w:left w:val="none" w:sz="0" w:space="0" w:color="auto"/>
            <w:bottom w:val="none" w:sz="0" w:space="0" w:color="auto"/>
            <w:right w:val="none" w:sz="0" w:space="0" w:color="auto"/>
          </w:divBdr>
        </w:div>
        <w:div w:id="2704467">
          <w:marLeft w:val="274"/>
          <w:marRight w:val="0"/>
          <w:marTop w:val="0"/>
          <w:marBottom w:val="154"/>
          <w:divBdr>
            <w:top w:val="none" w:sz="0" w:space="0" w:color="auto"/>
            <w:left w:val="none" w:sz="0" w:space="0" w:color="auto"/>
            <w:bottom w:val="none" w:sz="0" w:space="0" w:color="auto"/>
            <w:right w:val="none" w:sz="0" w:space="0" w:color="auto"/>
          </w:divBdr>
        </w:div>
      </w:divsChild>
    </w:div>
    <w:div w:id="873423210">
      <w:bodyDiv w:val="1"/>
      <w:marLeft w:val="0"/>
      <w:marRight w:val="0"/>
      <w:marTop w:val="0"/>
      <w:marBottom w:val="0"/>
      <w:divBdr>
        <w:top w:val="none" w:sz="0" w:space="0" w:color="auto"/>
        <w:left w:val="none" w:sz="0" w:space="0" w:color="auto"/>
        <w:bottom w:val="none" w:sz="0" w:space="0" w:color="auto"/>
        <w:right w:val="none" w:sz="0" w:space="0" w:color="auto"/>
      </w:divBdr>
      <w:divsChild>
        <w:div w:id="1858227597">
          <w:marLeft w:val="0"/>
          <w:marRight w:val="0"/>
          <w:marTop w:val="0"/>
          <w:marBottom w:val="0"/>
          <w:divBdr>
            <w:top w:val="none" w:sz="0" w:space="0" w:color="auto"/>
            <w:left w:val="none" w:sz="0" w:space="0" w:color="auto"/>
            <w:bottom w:val="none" w:sz="0" w:space="0" w:color="auto"/>
            <w:right w:val="none" w:sz="0" w:space="0" w:color="auto"/>
          </w:divBdr>
          <w:divsChild>
            <w:div w:id="8479882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21648515">
      <w:bodyDiv w:val="1"/>
      <w:marLeft w:val="0"/>
      <w:marRight w:val="0"/>
      <w:marTop w:val="0"/>
      <w:marBottom w:val="0"/>
      <w:divBdr>
        <w:top w:val="none" w:sz="0" w:space="0" w:color="auto"/>
        <w:left w:val="none" w:sz="0" w:space="0" w:color="auto"/>
        <w:bottom w:val="none" w:sz="0" w:space="0" w:color="auto"/>
        <w:right w:val="none" w:sz="0" w:space="0" w:color="auto"/>
      </w:divBdr>
      <w:divsChild>
        <w:div w:id="1660042209">
          <w:marLeft w:val="274"/>
          <w:marRight w:val="0"/>
          <w:marTop w:val="0"/>
          <w:marBottom w:val="0"/>
          <w:divBdr>
            <w:top w:val="none" w:sz="0" w:space="0" w:color="auto"/>
            <w:left w:val="none" w:sz="0" w:space="0" w:color="auto"/>
            <w:bottom w:val="none" w:sz="0" w:space="0" w:color="auto"/>
            <w:right w:val="none" w:sz="0" w:space="0" w:color="auto"/>
          </w:divBdr>
        </w:div>
        <w:div w:id="972714047">
          <w:marLeft w:val="274"/>
          <w:marRight w:val="0"/>
          <w:marTop w:val="0"/>
          <w:marBottom w:val="0"/>
          <w:divBdr>
            <w:top w:val="none" w:sz="0" w:space="0" w:color="auto"/>
            <w:left w:val="none" w:sz="0" w:space="0" w:color="auto"/>
            <w:bottom w:val="none" w:sz="0" w:space="0" w:color="auto"/>
            <w:right w:val="none" w:sz="0" w:space="0" w:color="auto"/>
          </w:divBdr>
        </w:div>
        <w:div w:id="157771922">
          <w:marLeft w:val="274"/>
          <w:marRight w:val="0"/>
          <w:marTop w:val="0"/>
          <w:marBottom w:val="0"/>
          <w:divBdr>
            <w:top w:val="none" w:sz="0" w:space="0" w:color="auto"/>
            <w:left w:val="none" w:sz="0" w:space="0" w:color="auto"/>
            <w:bottom w:val="none" w:sz="0" w:space="0" w:color="auto"/>
            <w:right w:val="none" w:sz="0" w:space="0" w:color="auto"/>
          </w:divBdr>
        </w:div>
        <w:div w:id="2008970234">
          <w:marLeft w:val="274"/>
          <w:marRight w:val="0"/>
          <w:marTop w:val="0"/>
          <w:marBottom w:val="0"/>
          <w:divBdr>
            <w:top w:val="none" w:sz="0" w:space="0" w:color="auto"/>
            <w:left w:val="none" w:sz="0" w:space="0" w:color="auto"/>
            <w:bottom w:val="none" w:sz="0" w:space="0" w:color="auto"/>
            <w:right w:val="none" w:sz="0" w:space="0" w:color="auto"/>
          </w:divBdr>
        </w:div>
        <w:div w:id="782652403">
          <w:marLeft w:val="274"/>
          <w:marRight w:val="0"/>
          <w:marTop w:val="0"/>
          <w:marBottom w:val="0"/>
          <w:divBdr>
            <w:top w:val="none" w:sz="0" w:space="0" w:color="auto"/>
            <w:left w:val="none" w:sz="0" w:space="0" w:color="auto"/>
            <w:bottom w:val="none" w:sz="0" w:space="0" w:color="auto"/>
            <w:right w:val="none" w:sz="0" w:space="0" w:color="auto"/>
          </w:divBdr>
        </w:div>
      </w:divsChild>
    </w:div>
    <w:div w:id="997004610">
      <w:bodyDiv w:val="1"/>
      <w:marLeft w:val="0"/>
      <w:marRight w:val="0"/>
      <w:marTop w:val="0"/>
      <w:marBottom w:val="0"/>
      <w:divBdr>
        <w:top w:val="none" w:sz="0" w:space="0" w:color="auto"/>
        <w:left w:val="none" w:sz="0" w:space="0" w:color="auto"/>
        <w:bottom w:val="none" w:sz="0" w:space="0" w:color="auto"/>
        <w:right w:val="none" w:sz="0" w:space="0" w:color="auto"/>
      </w:divBdr>
      <w:divsChild>
        <w:div w:id="1258515306">
          <w:marLeft w:val="547"/>
          <w:marRight w:val="0"/>
          <w:marTop w:val="0"/>
          <w:marBottom w:val="180"/>
          <w:divBdr>
            <w:top w:val="none" w:sz="0" w:space="0" w:color="auto"/>
            <w:left w:val="none" w:sz="0" w:space="0" w:color="auto"/>
            <w:bottom w:val="none" w:sz="0" w:space="0" w:color="auto"/>
            <w:right w:val="none" w:sz="0" w:space="0" w:color="auto"/>
          </w:divBdr>
        </w:div>
        <w:div w:id="1560558316">
          <w:marLeft w:val="547"/>
          <w:marRight w:val="0"/>
          <w:marTop w:val="0"/>
          <w:marBottom w:val="180"/>
          <w:divBdr>
            <w:top w:val="none" w:sz="0" w:space="0" w:color="auto"/>
            <w:left w:val="none" w:sz="0" w:space="0" w:color="auto"/>
            <w:bottom w:val="none" w:sz="0" w:space="0" w:color="auto"/>
            <w:right w:val="none" w:sz="0" w:space="0" w:color="auto"/>
          </w:divBdr>
        </w:div>
        <w:div w:id="1761607933">
          <w:marLeft w:val="547"/>
          <w:marRight w:val="0"/>
          <w:marTop w:val="0"/>
          <w:marBottom w:val="180"/>
          <w:divBdr>
            <w:top w:val="none" w:sz="0" w:space="0" w:color="auto"/>
            <w:left w:val="none" w:sz="0" w:space="0" w:color="auto"/>
            <w:bottom w:val="none" w:sz="0" w:space="0" w:color="auto"/>
            <w:right w:val="none" w:sz="0" w:space="0" w:color="auto"/>
          </w:divBdr>
        </w:div>
        <w:div w:id="1885750577">
          <w:marLeft w:val="547"/>
          <w:marRight w:val="0"/>
          <w:marTop w:val="0"/>
          <w:marBottom w:val="180"/>
          <w:divBdr>
            <w:top w:val="none" w:sz="0" w:space="0" w:color="auto"/>
            <w:left w:val="none" w:sz="0" w:space="0" w:color="auto"/>
            <w:bottom w:val="none" w:sz="0" w:space="0" w:color="auto"/>
            <w:right w:val="none" w:sz="0" w:space="0" w:color="auto"/>
          </w:divBdr>
        </w:div>
        <w:div w:id="765347632">
          <w:marLeft w:val="547"/>
          <w:marRight w:val="0"/>
          <w:marTop w:val="0"/>
          <w:marBottom w:val="180"/>
          <w:divBdr>
            <w:top w:val="none" w:sz="0" w:space="0" w:color="auto"/>
            <w:left w:val="none" w:sz="0" w:space="0" w:color="auto"/>
            <w:bottom w:val="none" w:sz="0" w:space="0" w:color="auto"/>
            <w:right w:val="none" w:sz="0" w:space="0" w:color="auto"/>
          </w:divBdr>
        </w:div>
        <w:div w:id="168445611">
          <w:marLeft w:val="547"/>
          <w:marRight w:val="0"/>
          <w:marTop w:val="0"/>
          <w:marBottom w:val="180"/>
          <w:divBdr>
            <w:top w:val="none" w:sz="0" w:space="0" w:color="auto"/>
            <w:left w:val="none" w:sz="0" w:space="0" w:color="auto"/>
            <w:bottom w:val="none" w:sz="0" w:space="0" w:color="auto"/>
            <w:right w:val="none" w:sz="0" w:space="0" w:color="auto"/>
          </w:divBdr>
        </w:div>
      </w:divsChild>
    </w:div>
    <w:div w:id="1603686953">
      <w:bodyDiv w:val="1"/>
      <w:marLeft w:val="0"/>
      <w:marRight w:val="0"/>
      <w:marTop w:val="0"/>
      <w:marBottom w:val="0"/>
      <w:divBdr>
        <w:top w:val="none" w:sz="0" w:space="0" w:color="auto"/>
        <w:left w:val="none" w:sz="0" w:space="0" w:color="auto"/>
        <w:bottom w:val="none" w:sz="0" w:space="0" w:color="auto"/>
        <w:right w:val="none" w:sz="0" w:space="0" w:color="auto"/>
      </w:divBdr>
    </w:div>
    <w:div w:id="1665281977">
      <w:bodyDiv w:val="1"/>
      <w:marLeft w:val="0"/>
      <w:marRight w:val="0"/>
      <w:marTop w:val="0"/>
      <w:marBottom w:val="0"/>
      <w:divBdr>
        <w:top w:val="none" w:sz="0" w:space="0" w:color="auto"/>
        <w:left w:val="none" w:sz="0" w:space="0" w:color="auto"/>
        <w:bottom w:val="none" w:sz="0" w:space="0" w:color="auto"/>
        <w:right w:val="none" w:sz="0" w:space="0" w:color="auto"/>
      </w:divBdr>
      <w:divsChild>
        <w:div w:id="1816218311">
          <w:marLeft w:val="0"/>
          <w:marRight w:val="0"/>
          <w:marTop w:val="0"/>
          <w:marBottom w:val="0"/>
          <w:divBdr>
            <w:top w:val="none" w:sz="0" w:space="0" w:color="auto"/>
            <w:left w:val="none" w:sz="0" w:space="0" w:color="auto"/>
            <w:bottom w:val="none" w:sz="0" w:space="0" w:color="auto"/>
            <w:right w:val="none" w:sz="0" w:space="0" w:color="auto"/>
          </w:divBdr>
          <w:divsChild>
            <w:div w:id="1524436976">
              <w:marLeft w:val="0"/>
              <w:marRight w:val="0"/>
              <w:marTop w:val="0"/>
              <w:marBottom w:val="0"/>
              <w:divBdr>
                <w:top w:val="none" w:sz="0" w:space="0" w:color="auto"/>
                <w:left w:val="none" w:sz="0" w:space="0" w:color="auto"/>
                <w:bottom w:val="none" w:sz="0" w:space="0" w:color="auto"/>
                <w:right w:val="none" w:sz="0" w:space="0" w:color="auto"/>
              </w:divBdr>
              <w:divsChild>
                <w:div w:id="433747285">
                  <w:marLeft w:val="0"/>
                  <w:marRight w:val="0"/>
                  <w:marTop w:val="0"/>
                  <w:marBottom w:val="0"/>
                  <w:divBdr>
                    <w:top w:val="none" w:sz="0" w:space="0" w:color="auto"/>
                    <w:left w:val="none" w:sz="0" w:space="0" w:color="auto"/>
                    <w:bottom w:val="none" w:sz="0" w:space="0" w:color="auto"/>
                    <w:right w:val="none" w:sz="0" w:space="0" w:color="auto"/>
                  </w:divBdr>
                  <w:divsChild>
                    <w:div w:id="432625901">
                      <w:marLeft w:val="0"/>
                      <w:marRight w:val="0"/>
                      <w:marTop w:val="0"/>
                      <w:marBottom w:val="0"/>
                      <w:divBdr>
                        <w:top w:val="none" w:sz="0" w:space="0" w:color="auto"/>
                        <w:left w:val="none" w:sz="0" w:space="0" w:color="auto"/>
                        <w:bottom w:val="none" w:sz="0" w:space="0" w:color="auto"/>
                        <w:right w:val="none" w:sz="0" w:space="0" w:color="auto"/>
                      </w:divBdr>
                      <w:divsChild>
                        <w:div w:id="168343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52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yperlink" Target="http://www.health.gov.au/internet/main/publishing.nsf/Content/PHN-Accho"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publications.qld.gov.au/dataset/health-services-planning-guidelines-and-strategies/resource/c38be5bc-a62a-4cca-9831-23a8c3eff46d" TargetMode="External"/><Relationship Id="rId13" Type="http://schemas.openxmlformats.org/officeDocument/2006/relationships/hyperlink" Target="http://www.health.gov.au/internet/main/publishing.nsf/Content/PHN-Needs_Assessment_Guide" TargetMode="External"/><Relationship Id="rId3" Type="http://schemas.openxmlformats.org/officeDocument/2006/relationships/hyperlink" Target="http://commissioning.libraryservices.nhs.uk/commissioning-cycle" TargetMode="External"/><Relationship Id="rId7" Type="http://schemas.openxmlformats.org/officeDocument/2006/relationships/hyperlink" Target="https://www2.health.vic.gov.au/about/reporting-planning-data/health-planning-toolkit" TargetMode="External"/><Relationship Id="rId12" Type="http://schemas.openxmlformats.org/officeDocument/2006/relationships/hyperlink" Target="http://www.health.gov.au/internet/main/publishing.nsf/Content/PHN-Program_Guidelines" TargetMode="External"/><Relationship Id="rId17" Type="http://schemas.openxmlformats.org/officeDocument/2006/relationships/hyperlink" Target="http://www.health.gov.au/internet/main/publishing.nsf/Content/PHN-Program_Guidelines" TargetMode="External"/><Relationship Id="rId2" Type="http://schemas.openxmlformats.org/officeDocument/2006/relationships/hyperlink" Target="http://www.health.gov.au/internet/main/publishing.nsf/Content/PHN-Program_Guidelines" TargetMode="External"/><Relationship Id="rId16" Type="http://schemas.openxmlformats.org/officeDocument/2006/relationships/hyperlink" Target="http://www.nao.org.uk/decommissioning/" TargetMode="External"/><Relationship Id="rId1" Type="http://schemas.openxmlformats.org/officeDocument/2006/relationships/hyperlink" Target="http://www.health.gov.au/internet/main/publishing.nsf/Content/PHN-Needs_Assessment_Guide" TargetMode="External"/><Relationship Id="rId6" Type="http://schemas.openxmlformats.org/officeDocument/2006/relationships/hyperlink" Target="https://www.achsm.org.au/Public/Education/Fellowship/Reading_lists/Public/Education_/Fellowship/Reading_Lists.aspx?hkey=c73eeb41-051a-4bc7-92d5-a32c768b5a9b" TargetMode="External"/><Relationship Id="rId11" Type="http://schemas.openxmlformats.org/officeDocument/2006/relationships/hyperlink" Target="https://ahha.asn.au/sites/default/files/docs/policy-issue/leading_change_in_primary_care.pdf" TargetMode="External"/><Relationship Id="rId5" Type="http://schemas.openxmlformats.org/officeDocument/2006/relationships/hyperlink" Target="http://www.healthinfonet.ecu.edu.au/health-infrastructure/health-workers/resources/health-planning-evaluation-tools" TargetMode="External"/><Relationship Id="rId15" Type="http://schemas.openxmlformats.org/officeDocument/2006/relationships/hyperlink" Target="https://ahha.asn.au/sites/default/files/docs/policy-issue/leading_change_in_primary_care.pdf" TargetMode="External"/><Relationship Id="rId10" Type="http://schemas.openxmlformats.org/officeDocument/2006/relationships/hyperlink" Target="https://www.england.nhs.uk/ourwork/futurenhs/deliver-forward-view/" TargetMode="External"/><Relationship Id="rId4" Type="http://schemas.openxmlformats.org/officeDocument/2006/relationships/hyperlink" Target="http://www.who.int/nationalpolicies/resources/resources_tools/en/" TargetMode="External"/><Relationship Id="rId9" Type="http://schemas.openxmlformats.org/officeDocument/2006/relationships/hyperlink" Target="http://www.swslhd.nsw.gov.au/planning/content/pdf/GuideHealthProfessionals.pdf" TargetMode="External"/><Relationship Id="rId14" Type="http://schemas.openxmlformats.org/officeDocument/2006/relationships/hyperlink" Target="http://www.health.gov.au/internet/ministers/publishing.nsf/Content/health-mediarel-yr2015-ley03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A5FE9-4101-428D-A376-8F5DA8F82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7044</Words>
  <Characters>41314</Characters>
  <Application>Microsoft Office Word</Application>
  <DocSecurity>0</DocSecurity>
  <Lines>879</Lines>
  <Paragraphs>396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2016-08-12T05:36:00Z</dcterms:created>
  <dcterms:modified xsi:type="dcterms:W3CDTF">2017-02-27T03:20:00Z</dcterms:modified>
</cp:coreProperties>
</file>