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C29B" w14:textId="57AD17B8" w:rsidR="00A07E6F" w:rsidRPr="00AF4930" w:rsidRDefault="000D0EB4">
      <w:r w:rsidRPr="00AF4930">
        <w:rPr>
          <w:noProof/>
          <w:lang w:eastAsia="en-AU"/>
        </w:rPr>
        <w:drawing>
          <wp:inline distT="0" distB="0" distL="0" distR="0" wp14:anchorId="05DE38EE" wp14:editId="393AC06D">
            <wp:extent cx="3228975" cy="1315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09" cy="133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89A7" w14:textId="7B80ADB7" w:rsidR="00374D9C" w:rsidRPr="00AF4930" w:rsidRDefault="00E06AF6">
      <w:r>
        <w:t>Monday</w:t>
      </w:r>
      <w:bookmarkStart w:id="0" w:name="_GoBack"/>
      <w:bookmarkEnd w:id="0"/>
      <w:r w:rsidR="00DB2923" w:rsidRPr="00AF4930">
        <w:t xml:space="preserve">, </w:t>
      </w:r>
      <w:r w:rsidR="00B61E2E">
        <w:t>7 June</w:t>
      </w:r>
      <w:r w:rsidR="00A07E6F" w:rsidRPr="00AF4930">
        <w:t xml:space="preserve"> 202</w:t>
      </w:r>
      <w:r w:rsidR="001F7A5A" w:rsidRPr="00AF4930">
        <w:t>1</w:t>
      </w:r>
    </w:p>
    <w:p w14:paraId="03C0A13D" w14:textId="3AAB58EA" w:rsidR="00595372" w:rsidRPr="00AF4930" w:rsidRDefault="00595372">
      <w:pPr>
        <w:rPr>
          <w:b/>
        </w:rPr>
      </w:pPr>
      <w:r w:rsidRPr="00AF4930">
        <w:rPr>
          <w:b/>
        </w:rPr>
        <w:t>PHLN STATEMENT ON</w:t>
      </w:r>
      <w:r w:rsidR="00BC1D5E" w:rsidRPr="00AF4930">
        <w:rPr>
          <w:b/>
        </w:rPr>
        <w:t xml:space="preserve"> </w:t>
      </w:r>
      <w:r w:rsidR="00E37722" w:rsidRPr="00AF4930">
        <w:rPr>
          <w:b/>
        </w:rPr>
        <w:t>USING</w:t>
      </w:r>
      <w:r w:rsidRPr="00AF4930">
        <w:rPr>
          <w:b/>
        </w:rPr>
        <w:t xml:space="preserve"> SALIVA </w:t>
      </w:r>
      <w:r w:rsidR="000A4237" w:rsidRPr="00AF4930">
        <w:rPr>
          <w:b/>
        </w:rPr>
        <w:t>AS A</w:t>
      </w:r>
      <w:r w:rsidR="00DA0C5C" w:rsidRPr="00AF4930">
        <w:rPr>
          <w:b/>
        </w:rPr>
        <w:t xml:space="preserve"> </w:t>
      </w:r>
      <w:r w:rsidR="00BC1D5E" w:rsidRPr="00AF4930">
        <w:rPr>
          <w:b/>
        </w:rPr>
        <w:t xml:space="preserve">RESPIRATORY </w:t>
      </w:r>
      <w:r w:rsidR="00C947ED" w:rsidRPr="00AF4930">
        <w:rPr>
          <w:b/>
        </w:rPr>
        <w:t xml:space="preserve">SPECIMEN FOR </w:t>
      </w:r>
      <w:r w:rsidR="000A4237" w:rsidRPr="00AF4930">
        <w:rPr>
          <w:b/>
        </w:rPr>
        <w:t>SARS-Co</w:t>
      </w:r>
      <w:r w:rsidRPr="00AF4930">
        <w:rPr>
          <w:b/>
        </w:rPr>
        <w:t>V-2</w:t>
      </w:r>
      <w:r w:rsidR="001F7A5A" w:rsidRPr="00AF4930">
        <w:rPr>
          <w:b/>
        </w:rPr>
        <w:t xml:space="preserve"> TESTING</w:t>
      </w:r>
    </w:p>
    <w:p w14:paraId="744326BD" w14:textId="26B93EBD" w:rsidR="006912C7" w:rsidRPr="00AF4930" w:rsidRDefault="00CA4012" w:rsidP="006912C7">
      <w:r w:rsidRPr="00AF4930">
        <w:t xml:space="preserve">Diagnostic testing for SARS-CoV-2 is central to </w:t>
      </w:r>
      <w:r w:rsidR="001902A0" w:rsidRPr="00AF4930">
        <w:t>detecting</w:t>
      </w:r>
      <w:r w:rsidR="00BC1D5E" w:rsidRPr="00AF4930">
        <w:t xml:space="preserve"> new and emerging outbreaks</w:t>
      </w:r>
      <w:r w:rsidR="00E37722" w:rsidRPr="00AF4930">
        <w:t>. It is also</w:t>
      </w:r>
      <w:r w:rsidR="00BC1D5E" w:rsidRPr="00AF4930">
        <w:t xml:space="preserve"> a key pillar in </w:t>
      </w:r>
      <w:r w:rsidR="00BB5489" w:rsidRPr="00AF4930">
        <w:t>controlling</w:t>
      </w:r>
      <w:r w:rsidRPr="00AF4930">
        <w:t xml:space="preserve"> the COVID-19 pandemic. </w:t>
      </w:r>
      <w:r w:rsidR="00C947ED" w:rsidRPr="00AF4930">
        <w:t xml:space="preserve">In Australia, </w:t>
      </w:r>
      <w:r w:rsidR="008F6180" w:rsidRPr="00AF4930">
        <w:t xml:space="preserve">the gold standard test for diagnosing acute SARS-CoV-2 infection is </w:t>
      </w:r>
      <w:r w:rsidR="00182B98" w:rsidRPr="00AF4930">
        <w:t>n</w:t>
      </w:r>
      <w:r w:rsidR="00E42A95" w:rsidRPr="00AF4930">
        <w:t xml:space="preserve">ucleic </w:t>
      </w:r>
      <w:r w:rsidR="00182B98" w:rsidRPr="00AF4930">
        <w:t>a</w:t>
      </w:r>
      <w:r w:rsidR="00E42A95" w:rsidRPr="00AF4930">
        <w:t xml:space="preserve">cid </w:t>
      </w:r>
      <w:r w:rsidR="00182B98" w:rsidRPr="00AF4930">
        <w:t>a</w:t>
      </w:r>
      <w:r w:rsidR="00E42A95" w:rsidRPr="00AF4930">
        <w:t>mplification</w:t>
      </w:r>
      <w:r w:rsidR="00DA0C5C" w:rsidRPr="00AF4930">
        <w:t xml:space="preserve"> (NAA) </w:t>
      </w:r>
      <w:r w:rsidR="00E42A95" w:rsidRPr="00AF4930">
        <w:t xml:space="preserve">testing using </w:t>
      </w:r>
      <w:r w:rsidR="00586959" w:rsidRPr="00AF4930">
        <w:t xml:space="preserve">real time reverse transcription </w:t>
      </w:r>
      <w:r w:rsidR="00182B98" w:rsidRPr="00AF4930">
        <w:t>polymerase c</w:t>
      </w:r>
      <w:r w:rsidR="00C947ED" w:rsidRPr="00AF4930">
        <w:t xml:space="preserve">hain </w:t>
      </w:r>
      <w:r w:rsidR="00182B98" w:rsidRPr="00AF4930">
        <w:t>r</w:t>
      </w:r>
      <w:r w:rsidR="00C947ED" w:rsidRPr="00AF4930">
        <w:t>eaction (</w:t>
      </w:r>
      <w:r w:rsidR="00586959" w:rsidRPr="00AF4930">
        <w:t>RT</w:t>
      </w:r>
      <w:r w:rsidR="00C947ED" w:rsidRPr="00AF4930">
        <w:t>PCR). This test</w:t>
      </w:r>
      <w:r w:rsidR="00F75DBB" w:rsidRPr="00AF4930">
        <w:t xml:space="preserve"> method</w:t>
      </w:r>
      <w:r w:rsidR="00C947ED" w:rsidRPr="00AF4930">
        <w:t xml:space="preserve"> is very sensitive and detects nucleic acid sequences specific to the virus.</w:t>
      </w:r>
      <w:r w:rsidR="00872F8E" w:rsidRPr="00AF4930">
        <w:t xml:space="preserve"> D</w:t>
      </w:r>
      <w:r w:rsidR="00275747" w:rsidRPr="00AF4930">
        <w:t>iagnostic</w:t>
      </w:r>
      <w:r w:rsidR="00D01404" w:rsidRPr="00AF4930">
        <w:t xml:space="preserve"> test</w:t>
      </w:r>
      <w:r w:rsidR="006912C7" w:rsidRPr="00AF4930">
        <w:t>ing for SARS-CoV-2 requires</w:t>
      </w:r>
      <w:r w:rsidR="00872F8E" w:rsidRPr="00AF4930">
        <w:t xml:space="preserve"> the collection of a respiratory specimen via</w:t>
      </w:r>
      <w:r w:rsidR="006912C7" w:rsidRPr="00AF4930">
        <w:t>:</w:t>
      </w:r>
    </w:p>
    <w:p w14:paraId="52269465" w14:textId="24AC4B2C" w:rsidR="006912C7" w:rsidRPr="00AF4930" w:rsidRDefault="006912C7" w:rsidP="006912C7">
      <w:pPr>
        <w:pStyle w:val="ListParagraph"/>
        <w:numPr>
          <w:ilvl w:val="0"/>
          <w:numId w:val="10"/>
        </w:numPr>
      </w:pPr>
      <w:r w:rsidRPr="00AF4930">
        <w:t xml:space="preserve">nasopharyngeal swab; or </w:t>
      </w:r>
    </w:p>
    <w:p w14:paraId="29416A89" w14:textId="39EB54B3" w:rsidR="006912C7" w:rsidRPr="00AF4930" w:rsidRDefault="006912C7" w:rsidP="006912C7">
      <w:pPr>
        <w:pStyle w:val="ListParagraph"/>
        <w:numPr>
          <w:ilvl w:val="0"/>
          <w:numId w:val="10"/>
        </w:numPr>
      </w:pPr>
      <w:r w:rsidRPr="00AF4930">
        <w:t xml:space="preserve">combined </w:t>
      </w:r>
      <w:r w:rsidR="00872F8E" w:rsidRPr="00AF4930">
        <w:t>throat and bilateral deep nasal</w:t>
      </w:r>
      <w:r w:rsidRPr="00AF4930">
        <w:t xml:space="preserve"> </w:t>
      </w:r>
      <w:r w:rsidR="00872F8E" w:rsidRPr="00AF4930">
        <w:t>swab;</w:t>
      </w:r>
      <w:r w:rsidRPr="00AF4930">
        <w:t xml:space="preserve"> or </w:t>
      </w:r>
    </w:p>
    <w:p w14:paraId="0FF66546" w14:textId="02F7B726" w:rsidR="00EF6795" w:rsidRPr="00AF4930" w:rsidRDefault="00872F8E" w:rsidP="006912C7">
      <w:pPr>
        <w:pStyle w:val="ListParagraph"/>
        <w:numPr>
          <w:ilvl w:val="0"/>
          <w:numId w:val="10"/>
        </w:numPr>
      </w:pPr>
      <w:r w:rsidRPr="00AF4930">
        <w:t>in sever</w:t>
      </w:r>
      <w:r w:rsidR="00CB3694" w:rsidRPr="00AF4930">
        <w:t>e</w:t>
      </w:r>
      <w:r w:rsidRPr="00AF4930">
        <w:t xml:space="preserve"> cases, sputum</w:t>
      </w:r>
      <w:r w:rsidR="00C22D7B" w:rsidRPr="00AF4930">
        <w:t>.</w:t>
      </w:r>
    </w:p>
    <w:p w14:paraId="334B7A13" w14:textId="62DAD180" w:rsidR="006912C7" w:rsidRPr="00AF4930" w:rsidRDefault="00BC1D5E">
      <w:r w:rsidRPr="00AF4930">
        <w:t xml:space="preserve">PHLN continues to monitor and evaluate emerging testing </w:t>
      </w:r>
      <w:r w:rsidR="003D3854" w:rsidRPr="00AF4930">
        <w:t xml:space="preserve">technology, </w:t>
      </w:r>
      <w:r w:rsidRPr="00AF4930">
        <w:t>to</w:t>
      </w:r>
      <w:r w:rsidR="00872F8E" w:rsidRPr="00AF4930">
        <w:t xml:space="preserve"> </w:t>
      </w:r>
      <w:r w:rsidR="008F6180" w:rsidRPr="00AF4930">
        <w:t>improve</w:t>
      </w:r>
      <w:r w:rsidRPr="00AF4930">
        <w:t xml:space="preserve"> Australia’s COVID-19 response</w:t>
      </w:r>
      <w:r w:rsidR="001902A0" w:rsidRPr="00AF4930">
        <w:t>. This includes</w:t>
      </w:r>
      <w:r w:rsidRPr="00AF4930">
        <w:t xml:space="preserve"> </w:t>
      </w:r>
      <w:r w:rsidR="0042311E" w:rsidRPr="00AF4930">
        <w:t xml:space="preserve">exploring </w:t>
      </w:r>
      <w:r w:rsidRPr="00AF4930">
        <w:t>saliva specimen</w:t>
      </w:r>
      <w:r w:rsidR="0042311E" w:rsidRPr="00AF4930">
        <w:t>s</w:t>
      </w:r>
      <w:r w:rsidRPr="00AF4930">
        <w:t xml:space="preserve"> for </w:t>
      </w:r>
      <w:r w:rsidR="00586959" w:rsidRPr="00AF4930">
        <w:t>RT</w:t>
      </w:r>
      <w:r w:rsidRPr="00AF4930">
        <w:t>PCR testing</w:t>
      </w:r>
      <w:r w:rsidR="00872F8E" w:rsidRPr="00AF4930">
        <w:t>.</w:t>
      </w:r>
      <w:r w:rsidR="00F17B2B" w:rsidRPr="00AF4930">
        <w:t xml:space="preserve"> </w:t>
      </w:r>
    </w:p>
    <w:p w14:paraId="53280F32" w14:textId="20CE4419" w:rsidR="00947F5B" w:rsidRPr="00AF4930" w:rsidRDefault="00F17B2B" w:rsidP="000E1183">
      <w:r w:rsidRPr="00AF4930">
        <w:rPr>
          <w:color w:val="000000"/>
        </w:rPr>
        <w:t xml:space="preserve">PHLN notes that </w:t>
      </w:r>
      <w:r w:rsidR="00624757" w:rsidRPr="00AF4930">
        <w:rPr>
          <w:color w:val="000000"/>
        </w:rPr>
        <w:t xml:space="preserve">some countries with a high prevalence of COVID-19 have used </w:t>
      </w:r>
      <w:r w:rsidR="00872F8E" w:rsidRPr="00AF4930">
        <w:rPr>
          <w:color w:val="000000"/>
        </w:rPr>
        <w:t xml:space="preserve">saliva for </w:t>
      </w:r>
      <w:r w:rsidRPr="00AF4930">
        <w:rPr>
          <w:color w:val="000000"/>
        </w:rPr>
        <w:t>routine diagnostic</w:t>
      </w:r>
      <w:r w:rsidR="00872F8E" w:rsidRPr="00AF4930">
        <w:rPr>
          <w:color w:val="000000"/>
        </w:rPr>
        <w:t xml:space="preserve"> </w:t>
      </w:r>
      <w:r w:rsidRPr="00AF4930">
        <w:rPr>
          <w:color w:val="000000"/>
        </w:rPr>
        <w:t xml:space="preserve">testing. </w:t>
      </w:r>
      <w:r w:rsidR="00BB71DC" w:rsidRPr="00AF4930">
        <w:rPr>
          <w:color w:val="000000"/>
        </w:rPr>
        <w:t xml:space="preserve">However, </w:t>
      </w:r>
      <w:r w:rsidRPr="00AF4930">
        <w:rPr>
          <w:color w:val="000000"/>
        </w:rPr>
        <w:t xml:space="preserve">Australia’s COVID-19 disease prevalence remains low and its epidemiological situation is unique. </w:t>
      </w:r>
      <w:r w:rsidR="002C3740" w:rsidRPr="00AF4930">
        <w:rPr>
          <w:color w:val="000000"/>
        </w:rPr>
        <w:t xml:space="preserve">This difference </w:t>
      </w:r>
      <w:r w:rsidR="00586959" w:rsidRPr="00AF4930">
        <w:rPr>
          <w:color w:val="000000"/>
        </w:rPr>
        <w:t xml:space="preserve">in prevalence may </w:t>
      </w:r>
      <w:r w:rsidR="002C3740" w:rsidRPr="00AF4930">
        <w:rPr>
          <w:color w:val="000000"/>
        </w:rPr>
        <w:t xml:space="preserve">adversely impact test performance. </w:t>
      </w:r>
      <w:r w:rsidR="00586959" w:rsidRPr="00AF4930">
        <w:rPr>
          <w:color w:val="000000"/>
        </w:rPr>
        <w:t>PHLN does not advise r</w:t>
      </w:r>
      <w:r w:rsidRPr="00AF4930">
        <w:rPr>
          <w:color w:val="000000"/>
        </w:rPr>
        <w:t>outine use of saliva for diagnostic testing</w:t>
      </w:r>
      <w:r w:rsidR="00B61E2E">
        <w:rPr>
          <w:color w:val="000000"/>
        </w:rPr>
        <w:t xml:space="preserve"> in adult</w:t>
      </w:r>
      <w:r w:rsidR="00D24C32">
        <w:rPr>
          <w:color w:val="000000"/>
        </w:rPr>
        <w:t>s</w:t>
      </w:r>
      <w:r w:rsidR="00B61E2E">
        <w:rPr>
          <w:color w:val="000000"/>
        </w:rPr>
        <w:t xml:space="preserve"> or children</w:t>
      </w:r>
      <w:r w:rsidR="00872F8E" w:rsidRPr="00AF4930">
        <w:rPr>
          <w:color w:val="000000"/>
        </w:rPr>
        <w:t>,</w:t>
      </w:r>
      <w:r w:rsidRPr="00AF4930">
        <w:rPr>
          <w:color w:val="000000"/>
        </w:rPr>
        <w:t xml:space="preserve"> </w:t>
      </w:r>
      <w:r w:rsidR="00586959" w:rsidRPr="00AF4930">
        <w:rPr>
          <w:color w:val="000000"/>
        </w:rPr>
        <w:t>except in specific situations</w:t>
      </w:r>
      <w:r w:rsidR="00447DBE">
        <w:rPr>
          <w:color w:val="000000"/>
        </w:rPr>
        <w:t>, due to the lower performance of the test</w:t>
      </w:r>
      <w:r w:rsidR="00586959" w:rsidRPr="00AF4930">
        <w:rPr>
          <w:color w:val="000000"/>
        </w:rPr>
        <w:t>.</w:t>
      </w:r>
      <w:r w:rsidRPr="00AF4930">
        <w:rPr>
          <w:color w:val="000000"/>
        </w:rPr>
        <w:t xml:space="preserve"> </w:t>
      </w:r>
      <w:r w:rsidR="00872F8E" w:rsidRPr="00AF4930">
        <w:rPr>
          <w:color w:val="000000"/>
        </w:rPr>
        <w:t>Saliva</w:t>
      </w:r>
      <w:r w:rsidRPr="00AF4930">
        <w:rPr>
          <w:color w:val="000000"/>
        </w:rPr>
        <w:t xml:space="preserve"> may </w:t>
      </w:r>
      <w:r w:rsidR="0042311E" w:rsidRPr="00AF4930">
        <w:rPr>
          <w:color w:val="000000"/>
        </w:rPr>
        <w:t>be useful</w:t>
      </w:r>
      <w:r w:rsidRPr="00AF4930">
        <w:rPr>
          <w:color w:val="000000"/>
        </w:rPr>
        <w:t xml:space="preserve"> </w:t>
      </w:r>
      <w:r w:rsidR="009D230D" w:rsidRPr="00AF4930">
        <w:t>for</w:t>
      </w:r>
      <w:r w:rsidR="001E162A" w:rsidRPr="00AF4930">
        <w:t xml:space="preserve"> </w:t>
      </w:r>
      <w:r w:rsidR="00947F5B" w:rsidRPr="00AF4930">
        <w:t xml:space="preserve">screening </w:t>
      </w:r>
      <w:r w:rsidR="001E162A" w:rsidRPr="00AF4930">
        <w:t xml:space="preserve">purposes (when </w:t>
      </w:r>
      <w:r w:rsidR="00872F8E" w:rsidRPr="00AF4930">
        <w:t xml:space="preserve">testing </w:t>
      </w:r>
      <w:r w:rsidR="001E162A" w:rsidRPr="00AF4930">
        <w:t xml:space="preserve">is repeated daily or every few days), where regular </w:t>
      </w:r>
      <w:r w:rsidR="00872F8E" w:rsidRPr="00AF4930">
        <w:t>nasopharynge</w:t>
      </w:r>
      <w:r w:rsidR="001E162A" w:rsidRPr="00AF4930">
        <w:t>al sampling is unacceptable</w:t>
      </w:r>
      <w:r w:rsidR="00872F8E" w:rsidRPr="00AF4930">
        <w:t>.</w:t>
      </w:r>
      <w:r w:rsidR="001E162A" w:rsidRPr="00AF4930">
        <w:t xml:space="preserve"> </w:t>
      </w:r>
      <w:r w:rsidR="00BB71DC" w:rsidRPr="00AF4930">
        <w:t>Workers in q</w:t>
      </w:r>
      <w:r w:rsidR="00872F8E" w:rsidRPr="00AF4930">
        <w:t>uarantine settings are an example where saliva is used</w:t>
      </w:r>
      <w:r w:rsidR="001E0A77" w:rsidRPr="00AF4930">
        <w:t xml:space="preserve"> as part of a </w:t>
      </w:r>
      <w:r w:rsidR="00947F5B" w:rsidRPr="00AF4930">
        <w:t xml:space="preserve">regular repeat testing </w:t>
      </w:r>
      <w:r w:rsidR="009E5BE4" w:rsidRPr="00AF4930">
        <w:t>surveillance mode</w:t>
      </w:r>
      <w:r w:rsidR="00872F8E" w:rsidRPr="00AF4930">
        <w:t>.</w:t>
      </w:r>
    </w:p>
    <w:p w14:paraId="78FFEF98" w14:textId="276439CE" w:rsidR="00947F5B" w:rsidRPr="00AF4930" w:rsidRDefault="00D96B2E">
      <w:r w:rsidRPr="00AF4930">
        <w:t>PHLN note</w:t>
      </w:r>
      <w:r w:rsidR="0044478C" w:rsidRPr="00AF4930">
        <w:t xml:space="preserve"> </w:t>
      </w:r>
      <w:r w:rsidR="00657FAD" w:rsidRPr="00AF4930">
        <w:t xml:space="preserve">that </w:t>
      </w:r>
      <w:r w:rsidR="0044478C" w:rsidRPr="00AF4930">
        <w:t>some e</w:t>
      </w:r>
      <w:r w:rsidR="00EF6795" w:rsidRPr="00AF4930">
        <w:t xml:space="preserve">arly validation studies </w:t>
      </w:r>
      <w:r w:rsidR="00E37722" w:rsidRPr="00AF4930">
        <w:t>on the use of</w:t>
      </w:r>
      <w:r w:rsidR="000570EA" w:rsidRPr="00AF4930">
        <w:t xml:space="preserve"> </w:t>
      </w:r>
      <w:r w:rsidR="00F75DBB" w:rsidRPr="00AF4930">
        <w:t>saliva specimens</w:t>
      </w:r>
      <w:r w:rsidR="00E37722" w:rsidRPr="00AF4930">
        <w:t xml:space="preserve"> </w:t>
      </w:r>
      <w:r w:rsidR="00A6687F" w:rsidRPr="00AF4930">
        <w:t>internationally and</w:t>
      </w:r>
      <w:r w:rsidR="00EF6795" w:rsidRPr="00AF4930">
        <w:t xml:space="preserve"> in Australia</w:t>
      </w:r>
      <w:r w:rsidR="00F81D75" w:rsidRPr="00AF4930">
        <w:rPr>
          <w:rStyle w:val="FootnoteReference"/>
        </w:rPr>
        <w:footnoteReference w:id="1"/>
      </w:r>
      <w:r w:rsidR="00F81D75" w:rsidRPr="00AF4930">
        <w:rPr>
          <w:rStyle w:val="FootnoteReference"/>
        </w:rPr>
        <w:footnoteReference w:id="2"/>
      </w:r>
      <w:r w:rsidR="00F81D75" w:rsidRPr="00AF4930">
        <w:rPr>
          <w:rStyle w:val="FootnoteReference"/>
        </w:rPr>
        <w:footnoteReference w:id="3"/>
      </w:r>
      <w:r w:rsidR="00F81D75" w:rsidRPr="00AF4930">
        <w:rPr>
          <w:rStyle w:val="FootnoteReference"/>
        </w:rPr>
        <w:footnoteReference w:id="4"/>
      </w:r>
      <w:r w:rsidR="0044478C" w:rsidRPr="00AF4930">
        <w:t xml:space="preserve"> show </w:t>
      </w:r>
      <w:r w:rsidR="00EF6795" w:rsidRPr="00AF4930">
        <w:t>promising results.</w:t>
      </w:r>
      <w:r w:rsidR="00596C50" w:rsidRPr="00AF4930">
        <w:t xml:space="preserve"> </w:t>
      </w:r>
      <w:r w:rsidR="001902A0" w:rsidRPr="00AF4930">
        <w:t xml:space="preserve">However, </w:t>
      </w:r>
      <w:r w:rsidR="009D2443" w:rsidRPr="00AF4930">
        <w:t>different</w:t>
      </w:r>
      <w:r w:rsidR="00B12690" w:rsidRPr="00AF4930">
        <w:t xml:space="preserve"> </w:t>
      </w:r>
      <w:r w:rsidR="00596C50" w:rsidRPr="00AF4930">
        <w:t>collection and testing method</w:t>
      </w:r>
      <w:r w:rsidR="0017659D" w:rsidRPr="00AF4930">
        <w:t>s</w:t>
      </w:r>
      <w:r w:rsidR="000570EA" w:rsidRPr="00AF4930">
        <w:t xml:space="preserve"> </w:t>
      </w:r>
      <w:r w:rsidR="00F81D75" w:rsidRPr="00AF4930">
        <w:t xml:space="preserve">used in these studies </w:t>
      </w:r>
      <w:r w:rsidR="00AE6EDA" w:rsidRPr="00AF4930">
        <w:t xml:space="preserve">makes </w:t>
      </w:r>
      <w:r w:rsidR="00B12690" w:rsidRPr="00AF4930">
        <w:t>it</w:t>
      </w:r>
      <w:r w:rsidR="000570EA" w:rsidRPr="00AF4930">
        <w:t xml:space="preserve"> </w:t>
      </w:r>
      <w:r w:rsidR="00B12690" w:rsidRPr="00AF4930">
        <w:t xml:space="preserve">difficult to </w:t>
      </w:r>
      <w:r w:rsidR="009D2443" w:rsidRPr="00AF4930">
        <w:t>generalise about performance and effectiveness</w:t>
      </w:r>
      <w:r w:rsidR="001902A0" w:rsidRPr="00AF4930">
        <w:t xml:space="preserve">. </w:t>
      </w:r>
      <w:r w:rsidR="000570EA" w:rsidRPr="00AF4930">
        <w:t>Assessment of e</w:t>
      </w:r>
      <w:r w:rsidR="009D2443" w:rsidRPr="00AF4930">
        <w:t>ach</w:t>
      </w:r>
      <w:r w:rsidR="00596C50" w:rsidRPr="00AF4930">
        <w:t xml:space="preserve"> different method</w:t>
      </w:r>
      <w:r w:rsidR="009D2443" w:rsidRPr="00AF4930">
        <w:t xml:space="preserve"> </w:t>
      </w:r>
      <w:r w:rsidR="000570EA" w:rsidRPr="00AF4930">
        <w:t>is required</w:t>
      </w:r>
      <w:r w:rsidR="00596C50" w:rsidRPr="00AF4930">
        <w:t>.</w:t>
      </w:r>
      <w:r w:rsidR="00947F5B" w:rsidRPr="00AF4930">
        <w:t xml:space="preserve"> </w:t>
      </w:r>
    </w:p>
    <w:p w14:paraId="30662B95" w14:textId="69AE3C90" w:rsidR="00EB466D" w:rsidRPr="00AF4930" w:rsidRDefault="00EF6795">
      <w:pPr>
        <w:rPr>
          <w:rFonts w:cs="Times New Roman (Body CS)"/>
        </w:rPr>
      </w:pPr>
      <w:r w:rsidRPr="00AF4930">
        <w:t xml:space="preserve">Noting the current evidence, PHLN </w:t>
      </w:r>
      <w:r w:rsidR="00C947ED" w:rsidRPr="00AF4930">
        <w:t>considers th</w:t>
      </w:r>
      <w:r w:rsidR="009D2443" w:rsidRPr="00AF4930">
        <w:t>e</w:t>
      </w:r>
      <w:r w:rsidR="00C947ED" w:rsidRPr="00AF4930">
        <w:t xml:space="preserve"> </w:t>
      </w:r>
      <w:r w:rsidR="004464AD" w:rsidRPr="00AF4930">
        <w:t xml:space="preserve">potential </w:t>
      </w:r>
      <w:r w:rsidR="00C947ED" w:rsidRPr="00AF4930">
        <w:t>advantages</w:t>
      </w:r>
      <w:r w:rsidRPr="00AF4930">
        <w:t xml:space="preserve"> </w:t>
      </w:r>
      <w:r w:rsidR="00AE6EDA" w:rsidRPr="00AF4930">
        <w:t xml:space="preserve">of saliva for SARS-CoV-2 </w:t>
      </w:r>
      <w:r w:rsidR="00872F8E" w:rsidRPr="00AF4930">
        <w:t>RT</w:t>
      </w:r>
      <w:r w:rsidR="00AE6EDA" w:rsidRPr="00AF4930">
        <w:t>PCR testing</w:t>
      </w:r>
      <w:r w:rsidR="001E0A77" w:rsidRPr="00AF4930">
        <w:t xml:space="preserve"> are</w:t>
      </w:r>
      <w:r w:rsidRPr="00AF4930">
        <w:t>:</w:t>
      </w:r>
    </w:p>
    <w:p w14:paraId="5AA2C7DF" w14:textId="6F9058D0" w:rsidR="00ED61DD" w:rsidRPr="00AF4930" w:rsidRDefault="009D2443" w:rsidP="00ED61DD">
      <w:pPr>
        <w:pStyle w:val="ListParagraph"/>
        <w:numPr>
          <w:ilvl w:val="0"/>
          <w:numId w:val="3"/>
        </w:numPr>
        <w:rPr>
          <w:rFonts w:cs="Times New Roman (Body CS)"/>
        </w:rPr>
      </w:pPr>
      <w:r w:rsidRPr="00AF4930">
        <w:rPr>
          <w:rFonts w:cs="Times New Roman (Body CS)"/>
        </w:rPr>
        <w:t xml:space="preserve">it </w:t>
      </w:r>
      <w:r w:rsidR="000A4237" w:rsidRPr="00AF4930">
        <w:rPr>
          <w:rFonts w:cs="Times New Roman (Body CS)"/>
        </w:rPr>
        <w:t>is minimally invasive</w:t>
      </w:r>
      <w:r w:rsidR="00EF6795" w:rsidRPr="00AF4930">
        <w:rPr>
          <w:rFonts w:cs="Times New Roman (Body CS)"/>
        </w:rPr>
        <w:t xml:space="preserve"> and </w:t>
      </w:r>
      <w:r w:rsidR="000A4237" w:rsidRPr="00AF4930">
        <w:rPr>
          <w:rFonts w:cs="Times New Roman (Body CS)"/>
        </w:rPr>
        <w:t>can be reliably self-</w:t>
      </w:r>
      <w:r w:rsidR="00384686" w:rsidRPr="00AF4930">
        <w:rPr>
          <w:rFonts w:cs="Times New Roman (Body CS)"/>
        </w:rPr>
        <w:t xml:space="preserve">collected </w:t>
      </w:r>
      <w:r w:rsidR="00AE6EDA" w:rsidRPr="00AF4930">
        <w:rPr>
          <w:rFonts w:cs="Times New Roman (Body CS)"/>
        </w:rPr>
        <w:t>under an approved health professional’s supervision</w:t>
      </w:r>
      <w:r w:rsidR="00EF6795" w:rsidRPr="00AF4930">
        <w:rPr>
          <w:rFonts w:cs="Times New Roman (Body CS)"/>
        </w:rPr>
        <w:t>;</w:t>
      </w:r>
    </w:p>
    <w:p w14:paraId="31DAA090" w14:textId="55C037BF" w:rsidR="00AE6EDA" w:rsidRPr="00AF4930" w:rsidRDefault="009D2443" w:rsidP="00ED61DD">
      <w:pPr>
        <w:pStyle w:val="ListParagraph"/>
        <w:numPr>
          <w:ilvl w:val="0"/>
          <w:numId w:val="3"/>
        </w:numPr>
        <w:rPr>
          <w:sz w:val="20"/>
        </w:rPr>
      </w:pPr>
      <w:r w:rsidRPr="00AF4930">
        <w:rPr>
          <w:rFonts w:cs="Times New Roman (Body CS)"/>
        </w:rPr>
        <w:lastRenderedPageBreak/>
        <w:t xml:space="preserve">it </w:t>
      </w:r>
      <w:r w:rsidR="000A4237" w:rsidRPr="00AF4930">
        <w:rPr>
          <w:rFonts w:cs="Times New Roman (Body CS)"/>
        </w:rPr>
        <w:t xml:space="preserve">reduces the </w:t>
      </w:r>
      <w:r w:rsidR="000509AC" w:rsidRPr="00AF4930">
        <w:rPr>
          <w:rFonts w:cs="Times New Roman (Body CS)"/>
        </w:rPr>
        <w:t xml:space="preserve">infection </w:t>
      </w:r>
      <w:r w:rsidR="000C28FE" w:rsidRPr="00AF4930">
        <w:rPr>
          <w:rFonts w:cs="Times New Roman (Body CS)"/>
        </w:rPr>
        <w:t>risk to health care workers and minimises the demand</w:t>
      </w:r>
      <w:r w:rsidR="000A4237" w:rsidRPr="00AF4930">
        <w:rPr>
          <w:rFonts w:cs="Times New Roman (Body CS)"/>
        </w:rPr>
        <w:t xml:space="preserve"> for </w:t>
      </w:r>
      <w:r w:rsidR="000C28FE" w:rsidRPr="00AF4930">
        <w:rPr>
          <w:rFonts w:cs="Times New Roman (Body CS)"/>
        </w:rPr>
        <w:t>personal protective equipment</w:t>
      </w:r>
      <w:r w:rsidR="00384686" w:rsidRPr="00AF4930">
        <w:rPr>
          <w:rFonts w:cs="Times New Roman (Body CS)"/>
        </w:rPr>
        <w:t>;</w:t>
      </w:r>
    </w:p>
    <w:p w14:paraId="5198B325" w14:textId="61838EF5" w:rsidR="00586959" w:rsidRPr="00AF4930" w:rsidRDefault="00586959" w:rsidP="00ED61DD">
      <w:pPr>
        <w:pStyle w:val="ListParagraph"/>
        <w:numPr>
          <w:ilvl w:val="0"/>
          <w:numId w:val="3"/>
        </w:numPr>
        <w:rPr>
          <w:sz w:val="20"/>
        </w:rPr>
      </w:pPr>
      <w:r w:rsidRPr="00AF4930">
        <w:rPr>
          <w:rFonts w:cs="Times New Roman (Body CS)"/>
        </w:rPr>
        <w:t xml:space="preserve">it is likely, and in some settings proven, to be more acceptable to people, particularly those undergoing repeated </w:t>
      </w:r>
      <w:r w:rsidR="006F5F3B" w:rsidRPr="00AF4930">
        <w:rPr>
          <w:rFonts w:cs="Times New Roman (Body CS)"/>
        </w:rPr>
        <w:t>testing</w:t>
      </w:r>
      <w:r w:rsidRPr="00AF4930">
        <w:rPr>
          <w:rFonts w:cs="Times New Roman (Body CS)"/>
        </w:rPr>
        <w:t>.</w:t>
      </w:r>
      <w:r w:rsidR="009147FE" w:rsidRPr="00AF4930">
        <w:rPr>
          <w:rStyle w:val="FootnoteReference"/>
          <w:rFonts w:cs="Times New Roman (Body CS)"/>
        </w:rPr>
        <w:footnoteReference w:id="5"/>
      </w:r>
    </w:p>
    <w:p w14:paraId="59126130" w14:textId="14290AD0" w:rsidR="006F5F3B" w:rsidRPr="00AF4930" w:rsidRDefault="00BB5489" w:rsidP="00AE6EDA">
      <w:r w:rsidRPr="00AF4930">
        <w:t>However, a</w:t>
      </w:r>
      <w:r w:rsidR="005A5494" w:rsidRPr="00AF4930">
        <w:t xml:space="preserve"> recent systematic review and meta-analysis found </w:t>
      </w:r>
      <w:r w:rsidR="00AD55B2" w:rsidRPr="00AF4930">
        <w:t xml:space="preserve">a </w:t>
      </w:r>
      <w:r w:rsidR="005A5494" w:rsidRPr="00AF4930">
        <w:t xml:space="preserve">lower </w:t>
      </w:r>
      <w:r w:rsidR="00C674BB" w:rsidRPr="00AF4930">
        <w:t xml:space="preserve">rate of identifiying </w:t>
      </w:r>
      <w:r w:rsidR="005A5494" w:rsidRPr="00AF4930">
        <w:t>positive</w:t>
      </w:r>
      <w:r w:rsidR="00BC1D5E" w:rsidRPr="00AF4930">
        <w:t xml:space="preserve"> results</w:t>
      </w:r>
      <w:r w:rsidR="005A5494" w:rsidRPr="00AF4930">
        <w:t xml:space="preserve"> when testing saliva</w:t>
      </w:r>
      <w:r w:rsidR="006F5F3B" w:rsidRPr="00AF4930">
        <w:t>.</w:t>
      </w:r>
      <w:r w:rsidR="006F5F3B" w:rsidRPr="00AF4930">
        <w:rPr>
          <w:rStyle w:val="FootnoteReference"/>
        </w:rPr>
        <w:footnoteReference w:id="6"/>
      </w:r>
      <w:r w:rsidR="001902A0" w:rsidRPr="00AF4930">
        <w:t xml:space="preserve"> </w:t>
      </w:r>
      <w:r w:rsidR="00A941C2" w:rsidRPr="00AF4930">
        <w:t>Test p</w:t>
      </w:r>
      <w:r w:rsidR="00FE4724" w:rsidRPr="00AF4930">
        <w:t xml:space="preserve">erformance </w:t>
      </w:r>
      <w:r w:rsidR="001A255C" w:rsidRPr="00AF4930">
        <w:t xml:space="preserve">was further reduced </w:t>
      </w:r>
      <w:r w:rsidR="008405A3" w:rsidRPr="00AF4930">
        <w:t>when using</w:t>
      </w:r>
      <w:r w:rsidR="001A255C" w:rsidRPr="00AF4930">
        <w:t xml:space="preserve"> saliva</w:t>
      </w:r>
      <w:r w:rsidR="00FE4724" w:rsidRPr="00AF4930">
        <w:t xml:space="preserve"> specimens collected </w:t>
      </w:r>
      <w:r w:rsidR="005A5494" w:rsidRPr="00AF4930">
        <w:t xml:space="preserve">7 days </w:t>
      </w:r>
      <w:r w:rsidR="00AD55B2" w:rsidRPr="00AF4930">
        <w:t xml:space="preserve">or more </w:t>
      </w:r>
      <w:r w:rsidR="005A5494" w:rsidRPr="00AF4930">
        <w:t>after symptom onset.</w:t>
      </w:r>
      <w:r w:rsidR="006F5F3B" w:rsidRPr="00AF4930">
        <w:rPr>
          <w:vertAlign w:val="superscript"/>
        </w:rPr>
        <w:t>6</w:t>
      </w:r>
      <w:r w:rsidR="005A5494" w:rsidRPr="00AF4930">
        <w:t xml:space="preserve"> </w:t>
      </w:r>
      <w:r w:rsidR="00BB71DC" w:rsidRPr="00AF4930">
        <w:t xml:space="preserve">Much remains unknown about </w:t>
      </w:r>
      <w:r w:rsidR="00010D6D" w:rsidRPr="00AF4930">
        <w:t>RTPCR test sensitivity</w:t>
      </w:r>
      <w:r w:rsidR="00BB71DC" w:rsidRPr="00AF4930">
        <w:t xml:space="preserve"> for</w:t>
      </w:r>
      <w:r w:rsidR="00010D6D" w:rsidRPr="00AF4930">
        <w:t>:</w:t>
      </w:r>
    </w:p>
    <w:p w14:paraId="0A09ACF4" w14:textId="69A46EA6" w:rsidR="006F5F3B" w:rsidRPr="00AF4930" w:rsidRDefault="00BB71DC" w:rsidP="000E1183">
      <w:pPr>
        <w:pStyle w:val="ListParagraph"/>
        <w:numPr>
          <w:ilvl w:val="0"/>
          <w:numId w:val="13"/>
        </w:numPr>
      </w:pPr>
      <w:r w:rsidRPr="00AF4930">
        <w:t xml:space="preserve">different specimen </w:t>
      </w:r>
      <w:r w:rsidR="005A5494" w:rsidRPr="00AF4930">
        <w:t>collection</w:t>
      </w:r>
      <w:r w:rsidR="00010D6D" w:rsidRPr="00AF4930">
        <w:t xml:space="preserve"> methods</w:t>
      </w:r>
      <w:r w:rsidR="006F5F3B" w:rsidRPr="00AF4930">
        <w:t>;</w:t>
      </w:r>
      <w:r w:rsidR="005A5494" w:rsidRPr="00AF4930">
        <w:t xml:space="preserve"> </w:t>
      </w:r>
    </w:p>
    <w:p w14:paraId="5806523B" w14:textId="0A2EB2BB" w:rsidR="006F5F3B" w:rsidRPr="00AF4930" w:rsidRDefault="009C55F1" w:rsidP="000E1183">
      <w:pPr>
        <w:pStyle w:val="ListParagraph"/>
        <w:numPr>
          <w:ilvl w:val="0"/>
          <w:numId w:val="13"/>
        </w:numPr>
      </w:pPr>
      <w:r w:rsidRPr="00AF4930">
        <w:t>differences</w:t>
      </w:r>
      <w:r w:rsidR="00010D6D" w:rsidRPr="00AF4930">
        <w:t xml:space="preserve"> in processing</w:t>
      </w:r>
      <w:r w:rsidR="005A5494" w:rsidRPr="00AF4930">
        <w:t xml:space="preserve"> protocols</w:t>
      </w:r>
      <w:r w:rsidR="006F5F3B" w:rsidRPr="00AF4930">
        <w:t xml:space="preserve">; </w:t>
      </w:r>
      <w:r w:rsidR="005A5494" w:rsidRPr="00AF4930">
        <w:t xml:space="preserve">and </w:t>
      </w:r>
    </w:p>
    <w:p w14:paraId="2B4E7307" w14:textId="53EB5CFB" w:rsidR="005A5494" w:rsidRPr="00AF4930" w:rsidRDefault="009C55F1" w:rsidP="000E1183">
      <w:pPr>
        <w:pStyle w:val="ListParagraph"/>
        <w:numPr>
          <w:ilvl w:val="0"/>
          <w:numId w:val="13"/>
        </w:numPr>
      </w:pPr>
      <w:r w:rsidRPr="00AF4930">
        <w:t xml:space="preserve">testing </w:t>
      </w:r>
      <w:r w:rsidR="00BF46C7" w:rsidRPr="00AF4930">
        <w:t xml:space="preserve">different </w:t>
      </w:r>
      <w:r w:rsidR="005A5494" w:rsidRPr="00AF4930">
        <w:t>population</w:t>
      </w:r>
      <w:r w:rsidRPr="00AF4930">
        <w:t>s</w:t>
      </w:r>
      <w:r w:rsidR="005A5494" w:rsidRPr="00AF4930">
        <w:t xml:space="preserve"> (</w:t>
      </w:r>
      <w:r w:rsidR="00384686" w:rsidRPr="00AF4930">
        <w:t xml:space="preserve">children </w:t>
      </w:r>
      <w:r w:rsidR="005A5494" w:rsidRPr="00AF4930">
        <w:t>vs. adult</w:t>
      </w:r>
      <w:r w:rsidR="00AD55B2" w:rsidRPr="00AF4930">
        <w:t xml:space="preserve"> and </w:t>
      </w:r>
      <w:r w:rsidR="005A5494" w:rsidRPr="00AF4930">
        <w:t>late vs. early in disease course).</w:t>
      </w:r>
    </w:p>
    <w:p w14:paraId="77F77970" w14:textId="33685305" w:rsidR="00A67EC7" w:rsidRPr="00AF4930" w:rsidRDefault="00A67EC7" w:rsidP="00A67EC7">
      <w:r w:rsidRPr="00AF4930">
        <w:t xml:space="preserve">In Australia, in vitro </w:t>
      </w:r>
      <w:r w:rsidR="00EC2F60" w:rsidRPr="00AF4930">
        <w:t xml:space="preserve">diagnostic </w:t>
      </w:r>
      <w:r w:rsidRPr="00AF4930">
        <w:t>medical devices (IVDs) must be approved for use by the Therapeutic Goods Administration (TGA). Currently, few registered SARS-CoV-2 IVDs list saliva as a specimen type in the manufacturers’ instructions for use (IFU).</w:t>
      </w:r>
    </w:p>
    <w:p w14:paraId="6BFB630B" w14:textId="2407BA61" w:rsidR="004A5DF0" w:rsidRPr="00AF4930" w:rsidRDefault="004A5DF0" w:rsidP="00182B98">
      <w:pPr>
        <w:rPr>
          <w:b/>
        </w:rPr>
      </w:pPr>
      <w:r w:rsidRPr="00AF4930">
        <w:rPr>
          <w:b/>
        </w:rPr>
        <w:t>Current Status</w:t>
      </w:r>
    </w:p>
    <w:p w14:paraId="261381C7" w14:textId="786F1686" w:rsidR="004A5DF0" w:rsidRPr="00AF4930" w:rsidRDefault="004A5DF0" w:rsidP="004A5DF0">
      <w:r w:rsidRPr="00AF4930">
        <w:t xml:space="preserve">On 17 November 2020, </w:t>
      </w:r>
      <w:r w:rsidR="00384686" w:rsidRPr="00AF4930">
        <w:t>the Australian Health Protection Principal Committee (AHPPC)</w:t>
      </w:r>
      <w:r w:rsidR="006F5F3B" w:rsidRPr="00AF4930">
        <w:t xml:space="preserve"> </w:t>
      </w:r>
      <w:r w:rsidRPr="00AF4930">
        <w:t xml:space="preserve">published a statement recommending the regular testing of workers in COVID-19 quarantine and isolation settings. As a result, jurisdictions implemented frequent testing of quarantine facility workers and health care workers who are at an increased risk of exposure to SARS-CoV-2. </w:t>
      </w:r>
      <w:r w:rsidR="0042311E" w:rsidRPr="00AF4930">
        <w:t>Most</w:t>
      </w:r>
      <w:r w:rsidR="006F5F3B" w:rsidRPr="00AF4930">
        <w:t xml:space="preserve"> states and territories </w:t>
      </w:r>
      <w:r w:rsidRPr="00AF4930">
        <w:t>i</w:t>
      </w:r>
      <w:r w:rsidR="002A3E8C" w:rsidRPr="00AF4930">
        <w:t>ntroduced screening program</w:t>
      </w:r>
      <w:r w:rsidR="006F5F3B" w:rsidRPr="00AF4930">
        <w:t>s</w:t>
      </w:r>
      <w:r w:rsidR="002A3E8C" w:rsidRPr="00AF4930">
        <w:t xml:space="preserve"> </w:t>
      </w:r>
      <w:r w:rsidRPr="00AF4930">
        <w:t>using saliva as the preferred specimen</w:t>
      </w:r>
      <w:r w:rsidR="006F5F3B" w:rsidRPr="00AF4930">
        <w:t xml:space="preserve">. These specimen are subsequently </w:t>
      </w:r>
      <w:r w:rsidRPr="00AF4930">
        <w:t xml:space="preserve">sent for laboratory-based </w:t>
      </w:r>
      <w:r w:rsidR="00384686" w:rsidRPr="00AF4930">
        <w:t>RT</w:t>
      </w:r>
      <w:r w:rsidRPr="00AF4930">
        <w:t>PCR testing.</w:t>
      </w:r>
    </w:p>
    <w:p w14:paraId="55666E9B" w14:textId="451A0CAD" w:rsidR="004A5DF0" w:rsidRPr="00AF4930" w:rsidRDefault="009E5BE4" w:rsidP="004A5DF0">
      <w:pPr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t xml:space="preserve">In these cases, workers must </w:t>
      </w:r>
      <w:r w:rsidR="0082553A" w:rsidRPr="00AF4930">
        <w:t xml:space="preserve">give </w:t>
      </w:r>
      <w:r w:rsidRPr="00AF4930">
        <w:t xml:space="preserve">a saliva sample once per shift. This testing program is considered appropriate for screening purposes in asymptomatic individuals. If the test results are positive or </w:t>
      </w:r>
      <w:r w:rsidR="00A80DEC" w:rsidRPr="00AF4930">
        <w:t>unclear</w:t>
      </w:r>
      <w:r w:rsidRPr="00AF4930">
        <w:t>, a</w:t>
      </w:r>
      <w:r w:rsidR="00A80DEC" w:rsidRPr="00AF4930">
        <w:t>n</w:t>
      </w:r>
      <w:r w:rsidRPr="00AF4930">
        <w:t xml:space="preserve"> a combined throat and bilateral deep nasal (or nasopharyngeal) specimen is required</w:t>
      </w:r>
      <w:r w:rsidR="006F5F3B" w:rsidRPr="00AF4930">
        <w:t xml:space="preserve"> for RTPCR diagnostic testing</w:t>
      </w:r>
      <w:r w:rsidRPr="00AF4930">
        <w:t>.</w:t>
      </w:r>
      <w:r w:rsidR="00D86D74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Since 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starting </w:t>
      </w:r>
      <w:r w:rsidR="00624757" w:rsidRPr="00AF4930">
        <w:rPr>
          <w:rFonts w:ascii="Calibri" w:hAnsi="Calibri" w:cs="Calibri"/>
          <w:bCs/>
          <w:color w:val="000000"/>
          <w:szCs w:val="24"/>
          <w:lang w:val="en"/>
        </w:rPr>
        <w:t>screening programs using saliva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, PHLN laboratories have encountered 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some 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>constraints</w:t>
      </w:r>
      <w:r w:rsidR="0082553A" w:rsidRPr="00AF4930">
        <w:rPr>
          <w:rFonts w:ascii="Calibri" w:hAnsi="Calibri" w:cs="Calibri"/>
          <w:bCs/>
          <w:color w:val="000000"/>
          <w:szCs w:val="24"/>
          <w:lang w:val="en"/>
        </w:rPr>
        <w:t>. These are outlined</w:t>
      </w:r>
      <w:r w:rsidR="00307579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below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. Referring healthcare personnel must consider these. </w:t>
      </w:r>
    </w:p>
    <w:p w14:paraId="55AE1CCE" w14:textId="77777777" w:rsidR="004A5DF0" w:rsidRPr="00AF4930" w:rsidRDefault="004A5DF0" w:rsidP="004A5DF0">
      <w:pPr>
        <w:rPr>
          <w:u w:val="single"/>
        </w:rPr>
      </w:pPr>
      <w:r w:rsidRPr="00AF4930">
        <w:rPr>
          <w:u w:val="single"/>
        </w:rPr>
        <w:t>Resource limitations</w:t>
      </w:r>
    </w:p>
    <w:p w14:paraId="73B15C99" w14:textId="13651401" w:rsidR="004A5DF0" w:rsidRPr="00AF4930" w:rsidRDefault="004A5DF0" w:rsidP="004F4FAD">
      <w:pPr>
        <w:rPr>
          <w:rFonts w:ascii="Calibri" w:hAnsi="Calibri" w:cs="Calibri"/>
          <w:bCs/>
          <w:i/>
          <w:color w:val="000000"/>
          <w:szCs w:val="24"/>
          <w:lang w:val="en"/>
        </w:rPr>
      </w:pPr>
      <w:r w:rsidRPr="00AF4930">
        <w:t>1)</w:t>
      </w:r>
      <w:r w:rsidR="0044478C" w:rsidRPr="00AF4930">
        <w:t xml:space="preserve"> </w:t>
      </w:r>
      <w:r w:rsidR="00D96B2E" w:rsidRPr="00AF4930">
        <w:t xml:space="preserve">Clinical performance of saliva as a specimen is difficult to assess, </w:t>
      </w:r>
      <w:r w:rsidRPr="00AF4930">
        <w:t>due to low SARS-CoV-2 prevalence.</w:t>
      </w:r>
      <w:r w:rsidR="00E00911" w:rsidRPr="00AF4930">
        <w:rPr>
          <w:b/>
        </w:rPr>
        <w:t xml:space="preserve"> </w:t>
      </w:r>
      <w:r w:rsidRPr="00AF4930">
        <w:t xml:space="preserve">Assay validation will remain an issue while SARS-CoV-2 prevalence remains low.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Pathologist advice should be </w:t>
      </w:r>
      <w:r w:rsidR="002A3E8C" w:rsidRPr="00AF4930">
        <w:rPr>
          <w:rFonts w:ascii="Calibri" w:hAnsi="Calibri" w:cs="Calibri"/>
          <w:bCs/>
          <w:color w:val="000000"/>
          <w:szCs w:val="24"/>
          <w:lang w:val="en"/>
        </w:rPr>
        <w:t>sought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on specimen collection methods which are not included in an </w:t>
      </w:r>
      <w:r w:rsidR="00D96B2E" w:rsidRPr="00AF4930">
        <w:rPr>
          <w:rFonts w:ascii="Calibri" w:hAnsi="Calibri" w:cs="Calibri"/>
          <w:bCs/>
          <w:color w:val="000000"/>
          <w:szCs w:val="24"/>
          <w:lang w:val="en"/>
        </w:rPr>
        <w:t>IVD’s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  <w:r w:rsidR="00D96B2E" w:rsidRPr="00AF4930">
        <w:rPr>
          <w:rFonts w:ascii="Calibri" w:hAnsi="Calibri" w:cs="Calibri"/>
          <w:bCs/>
          <w:color w:val="000000"/>
          <w:szCs w:val="24"/>
          <w:lang w:val="en"/>
        </w:rPr>
        <w:t>IFU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. For example, 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advice should be sought 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>when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using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a specimen type 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that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has not been validated by the manufacturer for use with the device.</w:t>
      </w:r>
    </w:p>
    <w:p w14:paraId="763A55E3" w14:textId="6CCB1847" w:rsidR="004A5DF0" w:rsidRPr="00AF4930" w:rsidRDefault="004A5DF0" w:rsidP="004F4FAD">
      <w:pPr>
        <w:spacing w:before="240"/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2) </w:t>
      </w:r>
      <w:r w:rsidR="0082553A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Global demand has caused a shortage of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swabs used for saliva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>, and for other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testing</w:t>
      </w:r>
      <w:r w:rsidR="0082553A" w:rsidRPr="00AF4930">
        <w:rPr>
          <w:rFonts w:ascii="Calibri" w:hAnsi="Calibri" w:cs="Calibri"/>
          <w:bCs/>
          <w:color w:val="000000"/>
          <w:szCs w:val="24"/>
          <w:lang w:val="en"/>
        </w:rPr>
        <w:t>.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As a result, some laboratories are experiencing difficulty in maintaining a supply of swabs 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>validated for saliva collection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.</w:t>
      </w:r>
    </w:p>
    <w:p w14:paraId="419ACE52" w14:textId="77777777" w:rsidR="004A5DF0" w:rsidRPr="00AF4930" w:rsidRDefault="004A5DF0" w:rsidP="004A5DF0">
      <w:pPr>
        <w:ind w:left="357" w:hanging="357"/>
        <w:rPr>
          <w:rFonts w:ascii="Calibri" w:hAnsi="Calibri" w:cs="Calibri"/>
          <w:bCs/>
          <w:color w:val="000000"/>
          <w:szCs w:val="24"/>
          <w:u w:val="single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u w:val="single"/>
          <w:lang w:val="en"/>
        </w:rPr>
        <w:t>Lower specimen sensitivity</w:t>
      </w:r>
    </w:p>
    <w:p w14:paraId="31538574" w14:textId="43F57C18" w:rsidR="009147FE" w:rsidRPr="00AF4930" w:rsidRDefault="004A5DF0" w:rsidP="000E1183">
      <w:pPr>
        <w:pBdr>
          <w:bottom w:val="single" w:sz="6" w:space="0" w:color="auto"/>
        </w:pBdr>
        <w:spacing w:after="120" w:line="240" w:lineRule="auto"/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t>1) Much remains unknown about the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sensitivity of RTPCR test when using saliva specimen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. In Australia’s saliva screening program, a lower sensitivity has been observed when testing saliva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>.</w:t>
      </w:r>
      <w:r w:rsidR="009147FE" w:rsidRPr="00AF4930">
        <w:rPr>
          <w:rStyle w:val="FootnoteReference"/>
        </w:rPr>
        <w:t xml:space="preserve"> 6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However, b</w:t>
      </w:r>
      <w:r w:rsidR="009147FE" w:rsidRPr="00AF4930">
        <w:t xml:space="preserve">oth published and emerging modelling studies </w:t>
      </w:r>
      <w:r w:rsidR="009147FE" w:rsidRPr="00AF4930">
        <w:rPr>
          <w:rFonts w:cs="Times New Roman (Body CS)"/>
          <w:sz w:val="20"/>
          <w:vertAlign w:val="superscript"/>
        </w:rPr>
        <w:t>6,7</w:t>
      </w:r>
      <w:r w:rsidR="009147FE" w:rsidRPr="00AF4930">
        <w:t xml:space="preserve"> provide evidence that 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regular repeated screening of an individual using a less-sensitive test </w:t>
      </w:r>
      <w:r w:rsidR="009147FE" w:rsidRPr="00AF4930">
        <w:t>may offset limits to test sensitivity, such as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reducing the risk of delayed or missed recognition of a true-positive infection.</w:t>
      </w:r>
    </w:p>
    <w:p w14:paraId="265E1E96" w14:textId="77777777" w:rsidR="000E1183" w:rsidRPr="00AF4930" w:rsidRDefault="009147FE" w:rsidP="000E1183">
      <w:pPr>
        <w:pBdr>
          <w:bottom w:val="single" w:sz="6" w:space="0" w:color="auto"/>
        </w:pBdr>
        <w:spacing w:after="120" w:line="240" w:lineRule="auto"/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lastRenderedPageBreak/>
        <w:t>A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>ddition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ly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, higher cycle threshold values when conducting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RT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>PCR tests on saliva specimens have been observed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. This 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may impact 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on the 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time to </w:t>
      </w:r>
      <w:r w:rsidR="0042311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reach </w:t>
      </w:r>
      <w:r w:rsidR="004A5DF0" w:rsidRPr="00AF4930">
        <w:rPr>
          <w:rFonts w:ascii="Calibri" w:hAnsi="Calibri" w:cs="Calibri"/>
          <w:bCs/>
          <w:color w:val="000000"/>
          <w:szCs w:val="24"/>
          <w:lang w:val="en"/>
        </w:rPr>
        <w:t>diagnosis.</w:t>
      </w:r>
    </w:p>
    <w:p w14:paraId="72FF0994" w14:textId="77777777" w:rsidR="000E1183" w:rsidRPr="00AF4930" w:rsidRDefault="004A5DF0" w:rsidP="000E1183">
      <w:pPr>
        <w:pBdr>
          <w:bottom w:val="single" w:sz="6" w:space="0" w:color="auto"/>
        </w:pBdr>
        <w:spacing w:after="120" w:line="240" w:lineRule="auto"/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To </w:t>
      </w:r>
      <w:r w:rsidR="00F17B2B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give further confidence that a case is not missed, saliva screening 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>may be</w:t>
      </w:r>
      <w:r w:rsidR="00F17B2B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supplemented with a 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>combined throat and bilateral deep nasal (or nasopharyngeal)</w:t>
      </w:r>
      <w:r w:rsidR="00F17B2B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at regular intervals</w:t>
      </w:r>
      <w:r w:rsidR="00A80DEC" w:rsidRPr="00AF4930">
        <w:rPr>
          <w:rFonts w:ascii="Calibri" w:hAnsi="Calibri" w:cs="Calibri"/>
          <w:bCs/>
          <w:color w:val="000000"/>
          <w:szCs w:val="24"/>
          <w:lang w:val="en"/>
        </w:rPr>
        <w:t>,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for example, 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>weekly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. In addition, individuals </w:t>
      </w:r>
      <w:r w:rsidR="00A80DEC" w:rsidRPr="00AF4930">
        <w:rPr>
          <w:rFonts w:ascii="Calibri" w:hAnsi="Calibri" w:cs="Calibri"/>
          <w:bCs/>
          <w:color w:val="000000"/>
          <w:szCs w:val="24"/>
          <w:lang w:val="en"/>
        </w:rPr>
        <w:t>must</w:t>
      </w:r>
      <w:r w:rsidRPr="00AF4930">
        <w:t xml:space="preserve"> be tested using </w:t>
      </w:r>
      <w:r w:rsidR="009147FE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combined throat and bilateral deep nasal (or nasopharyngeal)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as soon as symptoms emerge</w:t>
      </w:r>
      <w:r w:rsidR="00586959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consistent with COVID-19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. </w:t>
      </w:r>
    </w:p>
    <w:p w14:paraId="685588C4" w14:textId="77777777" w:rsidR="000E1183" w:rsidRPr="00AF4930" w:rsidRDefault="00DA0C5C" w:rsidP="000E1183">
      <w:pPr>
        <w:pBdr>
          <w:bottom w:val="single" w:sz="6" w:space="0" w:color="auto"/>
        </w:pBdr>
        <w:spacing w:after="120" w:line="240" w:lineRule="auto"/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2) </w:t>
      </w:r>
      <w:r w:rsidR="00A80DEC" w:rsidRPr="00AF4930">
        <w:rPr>
          <w:rFonts w:ascii="Calibri" w:hAnsi="Calibri" w:cs="Calibri"/>
          <w:bCs/>
          <w:color w:val="000000"/>
          <w:szCs w:val="24"/>
          <w:lang w:val="en"/>
        </w:rPr>
        <w:t>In</w:t>
      </w:r>
      <w:r w:rsidR="00CF3273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  <w:r w:rsidR="00A80DEC" w:rsidRPr="00AF4930">
        <w:rPr>
          <w:rFonts w:ascii="Calibri" w:hAnsi="Calibri" w:cs="Calibri"/>
          <w:bCs/>
          <w:color w:val="000000"/>
          <w:szCs w:val="24"/>
          <w:lang w:val="en"/>
        </w:rPr>
        <w:t>self-collected</w:t>
      </w:r>
      <w:r w:rsidR="00CF3273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samples, the collection </w:t>
      </w:r>
      <w:r w:rsidRPr="00AF4930">
        <w:rPr>
          <w:rFonts w:ascii="Calibri" w:hAnsi="Calibri" w:cs="Calibri"/>
          <w:bCs/>
          <w:color w:val="000000"/>
          <w:szCs w:val="24"/>
          <w:lang w:val="en"/>
        </w:rPr>
        <w:t>protocol</w:t>
      </w:r>
      <w:r w:rsidR="00CF3273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  <w:r w:rsidR="00A80DEC"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must be followed. </w:t>
      </w:r>
    </w:p>
    <w:p w14:paraId="5E61C57C" w14:textId="67E21BE8" w:rsidR="000E1183" w:rsidRPr="00AF4930" w:rsidRDefault="00CF3273" w:rsidP="000E1183">
      <w:pPr>
        <w:pBdr>
          <w:bottom w:val="single" w:sz="6" w:space="0" w:color="auto"/>
        </w:pBdr>
        <w:spacing w:after="120" w:line="240" w:lineRule="auto"/>
        <w:rPr>
          <w:rFonts w:ascii="Calibri" w:hAnsi="Calibri" w:cs="Calibri"/>
          <w:bCs/>
          <w:color w:val="000000"/>
          <w:szCs w:val="24"/>
          <w:lang w:val="en"/>
        </w:rPr>
      </w:pPr>
      <w:r w:rsidRPr="00AF4930">
        <w:rPr>
          <w:rFonts w:ascii="Calibri" w:hAnsi="Calibri" w:cs="Calibri"/>
          <w:bCs/>
          <w:color w:val="000000"/>
          <w:szCs w:val="24"/>
          <w:lang w:val="en"/>
        </w:rPr>
        <w:t xml:space="preserve"> </w:t>
      </w:r>
    </w:p>
    <w:p w14:paraId="4A54CA23" w14:textId="7448A24D" w:rsidR="005A5494" w:rsidRPr="00AF4930" w:rsidRDefault="008720DC" w:rsidP="00743DEC">
      <w:pPr>
        <w:spacing w:after="0"/>
        <w:rPr>
          <w:rFonts w:cstheme="minorHAnsi"/>
          <w:sz w:val="20"/>
          <w:szCs w:val="20"/>
          <w:lang w:val="en"/>
        </w:rPr>
      </w:pPr>
      <w:r w:rsidRPr="00AF4930">
        <w:rPr>
          <w:rFonts w:cs="Times New Roman (Body CS)"/>
          <w:sz w:val="20"/>
          <w:szCs w:val="20"/>
          <w:vertAlign w:val="superscript"/>
        </w:rPr>
        <w:t>6</w:t>
      </w:r>
      <w:r w:rsidR="00B14CA0" w:rsidRPr="00AF4930">
        <w:rPr>
          <w:rFonts w:cs="Times New Roman (Body CS)"/>
          <w:sz w:val="20"/>
          <w:szCs w:val="20"/>
          <w:lang w:val="en"/>
        </w:rPr>
        <w:t xml:space="preserve"> </w:t>
      </w:r>
      <w:r w:rsidR="00B14CA0" w:rsidRPr="00AF4930">
        <w:rPr>
          <w:rFonts w:cstheme="minorHAnsi"/>
          <w:sz w:val="20"/>
          <w:szCs w:val="20"/>
          <w:lang w:val="en"/>
        </w:rPr>
        <w:t xml:space="preserve">Lee RA et al.   Performance of </w:t>
      </w:r>
      <w:r w:rsidR="00B14CA0" w:rsidRPr="00AF4930">
        <w:rPr>
          <w:rFonts w:cs="Calibri (Body)"/>
          <w:sz w:val="20"/>
          <w:szCs w:val="20"/>
          <w:lang w:val="en"/>
        </w:rPr>
        <w:t>Saliva, Oropharyngeal Swabs,</w:t>
      </w:r>
      <w:r w:rsidR="00B14CA0" w:rsidRPr="00AF4930">
        <w:rPr>
          <w:rFonts w:cstheme="minorHAnsi"/>
          <w:sz w:val="20"/>
          <w:szCs w:val="20"/>
          <w:lang w:val="en"/>
        </w:rPr>
        <w:t xml:space="preserve"> and Nasal Swabs for SARS-CoV-2 Molecular Detection: A Systematic Review and Meta-analysis. </w:t>
      </w:r>
      <w:r w:rsidR="00B14CA0" w:rsidRPr="00AF4930">
        <w:rPr>
          <w:rFonts w:cstheme="minorHAnsi"/>
          <w:color w:val="212121"/>
          <w:sz w:val="20"/>
          <w:szCs w:val="20"/>
          <w:lang w:val="en"/>
        </w:rPr>
        <w:t>J Clin Microbiol. 2021 Jan 27</w:t>
      </w:r>
    </w:p>
    <w:p w14:paraId="31DB898A" w14:textId="54F55B20" w:rsidR="005A5494" w:rsidRPr="00AF4930" w:rsidRDefault="008720DC" w:rsidP="00743DEC">
      <w:pPr>
        <w:pStyle w:val="BodyText"/>
        <w:spacing w:after="120"/>
        <w:rPr>
          <w:rFonts w:asciiTheme="minorHAnsi" w:hAnsiTheme="minorHAnsi" w:cs="Times New Roman (Body CS)"/>
          <w:sz w:val="20"/>
        </w:rPr>
      </w:pPr>
      <w:r w:rsidRPr="00AF4930">
        <w:rPr>
          <w:rFonts w:asciiTheme="minorHAnsi" w:hAnsiTheme="minorHAnsi" w:cs="Times New Roman (Body CS)"/>
          <w:sz w:val="20"/>
          <w:vertAlign w:val="superscript"/>
        </w:rPr>
        <w:t>7</w:t>
      </w:r>
      <w:r w:rsidR="007F3EA4" w:rsidRPr="00AF4930">
        <w:rPr>
          <w:rFonts w:asciiTheme="minorHAnsi" w:hAnsiTheme="minorHAnsi" w:cs="Times New Roman (Body CS)"/>
          <w:sz w:val="20"/>
          <w:vertAlign w:val="superscript"/>
        </w:rPr>
        <w:t xml:space="preserve"> </w:t>
      </w:r>
      <w:r w:rsidR="005A5494" w:rsidRPr="00AF4930">
        <w:rPr>
          <w:rFonts w:asciiTheme="minorHAnsi" w:hAnsiTheme="minorHAnsi" w:cs="Times New Roman (Body CS)"/>
          <w:sz w:val="20"/>
        </w:rPr>
        <w:t>Larremore DB, Wilder B, Lester E, Shehata S, Burke JM, Hay JA, Tambe M, Mina MJ, Parker R. 2020.Test sensitivity is secondary to frequency and turnaround time for COVID-19 surveillance. medRxiv. DOI: https://doi.org/10.1101/2020.06.22.20136309</w:t>
      </w:r>
    </w:p>
    <w:p w14:paraId="4E385164" w14:textId="7478A297" w:rsidR="005A5494" w:rsidRPr="00743DEC" w:rsidRDefault="008720DC" w:rsidP="00743DEC">
      <w:pPr>
        <w:pStyle w:val="BodyText"/>
        <w:spacing w:after="120"/>
        <w:rPr>
          <w:rFonts w:asciiTheme="minorHAnsi" w:hAnsiTheme="minorHAnsi" w:cs="Times New Roman (Body CS)"/>
          <w:sz w:val="20"/>
        </w:rPr>
      </w:pPr>
      <w:r w:rsidRPr="00AF4930">
        <w:rPr>
          <w:rFonts w:asciiTheme="minorHAnsi" w:hAnsiTheme="minorHAnsi" w:cs="Times New Roman (Body CS)"/>
          <w:sz w:val="20"/>
          <w:vertAlign w:val="superscript"/>
        </w:rPr>
        <w:t>8</w:t>
      </w:r>
      <w:r w:rsidR="007F3EA4" w:rsidRPr="00AF4930">
        <w:rPr>
          <w:rFonts w:asciiTheme="minorHAnsi" w:hAnsiTheme="minorHAnsi" w:cs="Times New Roman (Body CS)"/>
          <w:sz w:val="20"/>
          <w:vertAlign w:val="superscript"/>
        </w:rPr>
        <w:t xml:space="preserve"> </w:t>
      </w:r>
      <w:r w:rsidR="005A5494" w:rsidRPr="00AF4930">
        <w:rPr>
          <w:rFonts w:asciiTheme="minorHAnsi" w:hAnsiTheme="minorHAnsi" w:cs="Times New Roman (Body CS)"/>
          <w:sz w:val="20"/>
        </w:rPr>
        <w:t>Mina MJ, Parker R, Larremore DB. Rethinking Covid-19 Test Sensitivity–A Strategy for Containment.</w:t>
      </w:r>
      <w:r w:rsidR="005A5494" w:rsidRPr="00AF4930">
        <w:rPr>
          <w:rFonts w:asciiTheme="minorHAnsi" w:hAnsiTheme="minorHAnsi" w:cs="Times New Roman (Body CS)"/>
          <w:iCs/>
          <w:sz w:val="20"/>
        </w:rPr>
        <w:t xml:space="preserve"> 2020.</w:t>
      </w:r>
      <w:r w:rsidR="005A5494" w:rsidRPr="00AF4930">
        <w:rPr>
          <w:rFonts w:asciiTheme="minorHAnsi" w:hAnsiTheme="minorHAnsi" w:cs="Times New Roman (Body CS)"/>
          <w:sz w:val="20"/>
        </w:rPr>
        <w:t xml:space="preserve"> </w:t>
      </w:r>
      <w:r w:rsidR="005A5494" w:rsidRPr="00AF4930">
        <w:rPr>
          <w:rFonts w:asciiTheme="minorHAnsi" w:hAnsiTheme="minorHAnsi" w:cs="Times New Roman (Body CS)"/>
          <w:iCs/>
          <w:sz w:val="20"/>
        </w:rPr>
        <w:t>N Engl J Med</w:t>
      </w:r>
      <w:r w:rsidR="005A5494" w:rsidRPr="00AF4930">
        <w:rPr>
          <w:rFonts w:asciiTheme="minorHAnsi" w:hAnsiTheme="minorHAnsi" w:cs="Times New Roman (Body CS)"/>
          <w:sz w:val="20"/>
        </w:rPr>
        <w:t>. 383(22):e120. DOI: 10.1056/NEJMp2025631.</w:t>
      </w:r>
    </w:p>
    <w:p w14:paraId="6197567F" w14:textId="77777777" w:rsidR="00B14CA0" w:rsidRPr="00A62A48" w:rsidRDefault="00B14CA0" w:rsidP="00743DEC"/>
    <w:sectPr w:rsidR="00B14CA0" w:rsidRPr="00A62A48" w:rsidSect="00891F1C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FEF9" w16cex:dateUtc="2021-05-20T05:30:00Z"/>
  <w16cex:commentExtensible w16cex:durableId="2450FF52" w16cex:dateUtc="2021-05-20T05:31:00Z"/>
  <w16cex:commentExtensible w16cex:durableId="2451011B" w16cex:dateUtc="2021-05-20T05:39:00Z"/>
  <w16cex:commentExtensible w16cex:durableId="2451012E" w16cex:dateUtc="2021-05-20T05:39:00Z"/>
  <w16cex:commentExtensible w16cex:durableId="245102AB" w16cex:dateUtc="2021-05-20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727545" w16cid:durableId="2450FEF9"/>
  <w16cid:commentId w16cid:paraId="1D0A7390" w16cid:durableId="2450FF52"/>
  <w16cid:commentId w16cid:paraId="5256957B" w16cid:durableId="2451011B"/>
  <w16cid:commentId w16cid:paraId="7F66FDCA" w16cid:durableId="2451012E"/>
  <w16cid:commentId w16cid:paraId="4433E541" w16cid:durableId="24510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50834" w14:textId="77777777" w:rsidR="00F457DE" w:rsidRDefault="00F457DE" w:rsidP="005640A9">
      <w:pPr>
        <w:spacing w:after="0" w:line="240" w:lineRule="auto"/>
      </w:pPr>
      <w:r>
        <w:separator/>
      </w:r>
    </w:p>
  </w:endnote>
  <w:endnote w:type="continuationSeparator" w:id="0">
    <w:p w14:paraId="05BEA86F" w14:textId="77777777" w:rsidR="00F457DE" w:rsidRDefault="00F457DE" w:rsidP="0056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(Body)"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B127" w14:textId="77777777" w:rsidR="00F457DE" w:rsidRDefault="00F457DE" w:rsidP="005640A9">
      <w:pPr>
        <w:spacing w:after="0" w:line="240" w:lineRule="auto"/>
      </w:pPr>
      <w:r>
        <w:separator/>
      </w:r>
    </w:p>
  </w:footnote>
  <w:footnote w:type="continuationSeparator" w:id="0">
    <w:p w14:paraId="06D07F05" w14:textId="77777777" w:rsidR="00F457DE" w:rsidRDefault="00F457DE" w:rsidP="005640A9">
      <w:pPr>
        <w:spacing w:after="0" w:line="240" w:lineRule="auto"/>
      </w:pPr>
      <w:r>
        <w:continuationSeparator/>
      </w:r>
    </w:p>
  </w:footnote>
  <w:footnote w:id="1">
    <w:p w14:paraId="16FF6723" w14:textId="77777777" w:rsidR="00F81D75" w:rsidRPr="00A6687F" w:rsidRDefault="00F81D75" w:rsidP="00F81D75">
      <w:pPr>
        <w:pStyle w:val="FootnoteText"/>
      </w:pPr>
      <w:r>
        <w:rPr>
          <w:rStyle w:val="FootnoteReference"/>
        </w:rPr>
        <w:footnoteRef/>
      </w:r>
      <w:r>
        <w:t xml:space="preserve"> Khurshid, Z., Zohaib, S., Joshi, C., Moin, S., Zafar, M. and Speicher, D. (2020). </w:t>
      </w:r>
      <w:r>
        <w:rPr>
          <w:i/>
        </w:rPr>
        <w:t>Saliva as a non-invasive sample for the detection of SARS-CoV-2: a systemic review.</w:t>
      </w:r>
      <w:r>
        <w:t xml:space="preserve"> medRxiv. Doi: 10.1101/2020.05.09.20096354.</w:t>
      </w:r>
    </w:p>
  </w:footnote>
  <w:footnote w:id="2">
    <w:p w14:paraId="5F246774" w14:textId="77777777" w:rsidR="00F81D75" w:rsidRPr="00A6687F" w:rsidRDefault="00F81D75" w:rsidP="00F81D75">
      <w:pPr>
        <w:pStyle w:val="FootnoteText"/>
      </w:pPr>
      <w:r>
        <w:rPr>
          <w:rStyle w:val="FootnoteReference"/>
        </w:rPr>
        <w:footnoteRef/>
      </w:r>
      <w:r>
        <w:t xml:space="preserve"> Azzi, L. Carcano, G., Gianfangna, F. et al., </w:t>
      </w:r>
      <w:r>
        <w:rPr>
          <w:i/>
        </w:rPr>
        <w:t>Saliva as a reliable tool to detect SARS-CoV-2</w:t>
      </w:r>
      <w:r>
        <w:t>, Journal of Infection. Doi: 10.1015/jinf.2020.04.005</w:t>
      </w:r>
    </w:p>
  </w:footnote>
  <w:footnote w:id="3">
    <w:p w14:paraId="12A1C0C2" w14:textId="77777777" w:rsidR="00F81D75" w:rsidRPr="00A62A48" w:rsidRDefault="00F81D75" w:rsidP="00F81D75">
      <w:pPr>
        <w:pStyle w:val="FootnoteText"/>
      </w:pPr>
      <w:r>
        <w:rPr>
          <w:rStyle w:val="FootnoteReference"/>
        </w:rPr>
        <w:footnoteRef/>
      </w:r>
      <w:r>
        <w:t xml:space="preserve"> To, K., Tsang, O., Leung,. W., Tam, W., Wu, T., Lung, D. et al. </w:t>
      </w:r>
      <w:r>
        <w:rPr>
          <w:i/>
        </w:rPr>
        <w:t>Temporal profiles of viral load in posterior oropharyngeal saliva samples and serum antibody responses during infection by SARS-CoV-2: an observational cohort study</w:t>
      </w:r>
      <w:r>
        <w:t>. The Lancet Infectious Diseases. Doi: 10.1016/S1473-3099(20)30196-1.</w:t>
      </w:r>
    </w:p>
  </w:footnote>
  <w:footnote w:id="4">
    <w:p w14:paraId="626C905E" w14:textId="77777777" w:rsidR="00F81D75" w:rsidRDefault="00F81D75" w:rsidP="00F81D75">
      <w:pPr>
        <w:pStyle w:val="FootnoteText"/>
      </w:pPr>
      <w:r>
        <w:rPr>
          <w:rStyle w:val="FootnoteReference"/>
        </w:rPr>
        <w:footnoteRef/>
      </w:r>
      <w:r>
        <w:t xml:space="preserve"> Williams, E., Bond, K., Zhang, B., Putland, M. and Williamson, D. A. (2020). </w:t>
      </w:r>
      <w:r w:rsidRPr="00A6687F">
        <w:rPr>
          <w:i/>
        </w:rPr>
        <w:t>Letter to the Editor: Saliva as a non-invasive specimen for detection of SARS-CoV-2</w:t>
      </w:r>
      <w:r>
        <w:t>. Journal of Clinical Microbiology. Doi: 10.1128/JCM.00776-20.</w:t>
      </w:r>
    </w:p>
    <w:p w14:paraId="79EB4155" w14:textId="77777777" w:rsidR="00F81D75" w:rsidRDefault="00F81D75" w:rsidP="00CE6720">
      <w:pPr>
        <w:pStyle w:val="FootnoteText"/>
      </w:pPr>
    </w:p>
  </w:footnote>
  <w:footnote w:id="5">
    <w:p w14:paraId="2EF0FDB3" w14:textId="35548449" w:rsidR="009147FE" w:rsidRDefault="009147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20DC">
        <w:t>Valentine-Graves M, Hall E, Guest J, et al. At-home self-collection of saliva, oropharyngeal swabs and dried blood spots for SARS-CoV-2 diagnosis and serology: post-collection acceptability of specimen collection process and patient confidence in specimens. Preprint. medRxiv. 2020;2020.06.10.20127845. Published 2020 Jun 12. doi:10.1101/2020.06.10.20127845</w:t>
      </w:r>
    </w:p>
  </w:footnote>
  <w:footnote w:id="6">
    <w:p w14:paraId="5AC6EF2B" w14:textId="05EC956C" w:rsidR="006F5F3B" w:rsidRDefault="006F5F3B">
      <w:pPr>
        <w:pStyle w:val="FootnoteText"/>
      </w:pPr>
      <w:r>
        <w:rPr>
          <w:rStyle w:val="FootnoteReference"/>
        </w:rPr>
        <w:footnoteRef/>
      </w:r>
      <w:r>
        <w:t xml:space="preserve"> C</w:t>
      </w:r>
      <w:r w:rsidRPr="00743DEC">
        <w:t xml:space="preserve">ompared to nasopharyngeal or combined </w:t>
      </w:r>
      <w:r>
        <w:t>throat and bilateral deep nasal</w:t>
      </w:r>
      <w:r w:rsidRPr="00743DEC">
        <w:t xml:space="preserve"> </w:t>
      </w:r>
      <w:r>
        <w:t>specimens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982"/>
    <w:multiLevelType w:val="hybridMultilevel"/>
    <w:tmpl w:val="A8F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C62"/>
    <w:multiLevelType w:val="hybridMultilevel"/>
    <w:tmpl w:val="118A199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1264E2D"/>
    <w:multiLevelType w:val="hybridMultilevel"/>
    <w:tmpl w:val="D97CF63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13E4EBB"/>
    <w:multiLevelType w:val="hybridMultilevel"/>
    <w:tmpl w:val="69AA0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3F3B"/>
    <w:multiLevelType w:val="hybridMultilevel"/>
    <w:tmpl w:val="0734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592A"/>
    <w:multiLevelType w:val="hybridMultilevel"/>
    <w:tmpl w:val="ADC2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CB4"/>
    <w:multiLevelType w:val="hybridMultilevel"/>
    <w:tmpl w:val="80F26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102"/>
    <w:multiLevelType w:val="hybridMultilevel"/>
    <w:tmpl w:val="23167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90B63"/>
    <w:multiLevelType w:val="hybridMultilevel"/>
    <w:tmpl w:val="1D96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321B1"/>
    <w:multiLevelType w:val="hybridMultilevel"/>
    <w:tmpl w:val="7972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F342E"/>
    <w:multiLevelType w:val="hybridMultilevel"/>
    <w:tmpl w:val="77CA04FA"/>
    <w:lvl w:ilvl="0" w:tplc="34868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45082"/>
    <w:multiLevelType w:val="hybridMultilevel"/>
    <w:tmpl w:val="B136F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43AC0"/>
    <w:multiLevelType w:val="hybridMultilevel"/>
    <w:tmpl w:val="347AB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6D"/>
    <w:rsid w:val="00005775"/>
    <w:rsid w:val="00010D6D"/>
    <w:rsid w:val="000114B4"/>
    <w:rsid w:val="000130FB"/>
    <w:rsid w:val="00022B06"/>
    <w:rsid w:val="00026096"/>
    <w:rsid w:val="00036BA1"/>
    <w:rsid w:val="000509AC"/>
    <w:rsid w:val="000570EA"/>
    <w:rsid w:val="00062D1A"/>
    <w:rsid w:val="00082B32"/>
    <w:rsid w:val="000A4237"/>
    <w:rsid w:val="000A4B0B"/>
    <w:rsid w:val="000B13ED"/>
    <w:rsid w:val="000C28FE"/>
    <w:rsid w:val="000C7FC9"/>
    <w:rsid w:val="000D0EB4"/>
    <w:rsid w:val="000D4824"/>
    <w:rsid w:val="000E1183"/>
    <w:rsid w:val="000E5560"/>
    <w:rsid w:val="0010024B"/>
    <w:rsid w:val="0012325F"/>
    <w:rsid w:val="00154BCE"/>
    <w:rsid w:val="00172518"/>
    <w:rsid w:val="0017659D"/>
    <w:rsid w:val="00182B98"/>
    <w:rsid w:val="001902A0"/>
    <w:rsid w:val="0019612A"/>
    <w:rsid w:val="001A1207"/>
    <w:rsid w:val="001A255C"/>
    <w:rsid w:val="001C4E92"/>
    <w:rsid w:val="001E0A77"/>
    <w:rsid w:val="001E162A"/>
    <w:rsid w:val="001F7A5A"/>
    <w:rsid w:val="00241372"/>
    <w:rsid w:val="00270C68"/>
    <w:rsid w:val="00275747"/>
    <w:rsid w:val="00286B2B"/>
    <w:rsid w:val="002A3E8C"/>
    <w:rsid w:val="002C3740"/>
    <w:rsid w:val="002E64D7"/>
    <w:rsid w:val="00307579"/>
    <w:rsid w:val="00336D58"/>
    <w:rsid w:val="003474C8"/>
    <w:rsid w:val="0035090A"/>
    <w:rsid w:val="00367D4D"/>
    <w:rsid w:val="00374D9C"/>
    <w:rsid w:val="0038083C"/>
    <w:rsid w:val="00384686"/>
    <w:rsid w:val="00384A4C"/>
    <w:rsid w:val="003D0146"/>
    <w:rsid w:val="003D1211"/>
    <w:rsid w:val="003D3854"/>
    <w:rsid w:val="003F0A97"/>
    <w:rsid w:val="004072C5"/>
    <w:rsid w:val="0042311E"/>
    <w:rsid w:val="0044478C"/>
    <w:rsid w:val="004464AD"/>
    <w:rsid w:val="00447DBE"/>
    <w:rsid w:val="004500F2"/>
    <w:rsid w:val="0045189A"/>
    <w:rsid w:val="00492597"/>
    <w:rsid w:val="00493D2B"/>
    <w:rsid w:val="004A5DF0"/>
    <w:rsid w:val="004B7364"/>
    <w:rsid w:val="004D3BEC"/>
    <w:rsid w:val="004F22C4"/>
    <w:rsid w:val="004F4FAD"/>
    <w:rsid w:val="005640A9"/>
    <w:rsid w:val="00577C5F"/>
    <w:rsid w:val="00586959"/>
    <w:rsid w:val="00592050"/>
    <w:rsid w:val="00595372"/>
    <w:rsid w:val="00596C50"/>
    <w:rsid w:val="005A5494"/>
    <w:rsid w:val="005A7C66"/>
    <w:rsid w:val="005B515E"/>
    <w:rsid w:val="005D0304"/>
    <w:rsid w:val="005D611C"/>
    <w:rsid w:val="00613474"/>
    <w:rsid w:val="00624757"/>
    <w:rsid w:val="006422FC"/>
    <w:rsid w:val="00657FAD"/>
    <w:rsid w:val="006904F2"/>
    <w:rsid w:val="006912C7"/>
    <w:rsid w:val="00696ADD"/>
    <w:rsid w:val="006A6212"/>
    <w:rsid w:val="006A678D"/>
    <w:rsid w:val="006D5D2D"/>
    <w:rsid w:val="006F5F3B"/>
    <w:rsid w:val="006F79A3"/>
    <w:rsid w:val="00743DEC"/>
    <w:rsid w:val="007907BE"/>
    <w:rsid w:val="007978D7"/>
    <w:rsid w:val="007A3934"/>
    <w:rsid w:val="007B0359"/>
    <w:rsid w:val="007D7B41"/>
    <w:rsid w:val="007F3EA4"/>
    <w:rsid w:val="00805F64"/>
    <w:rsid w:val="0082553A"/>
    <w:rsid w:val="008405A3"/>
    <w:rsid w:val="00841456"/>
    <w:rsid w:val="008720DC"/>
    <w:rsid w:val="008728EE"/>
    <w:rsid w:val="00872F8E"/>
    <w:rsid w:val="00891F1C"/>
    <w:rsid w:val="00894B9F"/>
    <w:rsid w:val="008A36DA"/>
    <w:rsid w:val="008B0961"/>
    <w:rsid w:val="008E0FBE"/>
    <w:rsid w:val="008F6180"/>
    <w:rsid w:val="009066C7"/>
    <w:rsid w:val="00914623"/>
    <w:rsid w:val="009147FE"/>
    <w:rsid w:val="00932969"/>
    <w:rsid w:val="00947F5B"/>
    <w:rsid w:val="00962FD9"/>
    <w:rsid w:val="009705F2"/>
    <w:rsid w:val="00975E1E"/>
    <w:rsid w:val="009857AF"/>
    <w:rsid w:val="009C0417"/>
    <w:rsid w:val="009C55F1"/>
    <w:rsid w:val="009D230D"/>
    <w:rsid w:val="009D2443"/>
    <w:rsid w:val="009E1D11"/>
    <w:rsid w:val="009E5BE4"/>
    <w:rsid w:val="00A07E6F"/>
    <w:rsid w:val="00A309DE"/>
    <w:rsid w:val="00A41104"/>
    <w:rsid w:val="00A62A48"/>
    <w:rsid w:val="00A6687F"/>
    <w:rsid w:val="00A67EC7"/>
    <w:rsid w:val="00A73F77"/>
    <w:rsid w:val="00A778A2"/>
    <w:rsid w:val="00A80DEC"/>
    <w:rsid w:val="00A941C2"/>
    <w:rsid w:val="00AA0458"/>
    <w:rsid w:val="00AC6441"/>
    <w:rsid w:val="00AD55B2"/>
    <w:rsid w:val="00AE6EDA"/>
    <w:rsid w:val="00AF4930"/>
    <w:rsid w:val="00B12690"/>
    <w:rsid w:val="00B14CA0"/>
    <w:rsid w:val="00B4704E"/>
    <w:rsid w:val="00B61E2E"/>
    <w:rsid w:val="00B94B03"/>
    <w:rsid w:val="00B97755"/>
    <w:rsid w:val="00BB5489"/>
    <w:rsid w:val="00BB71DC"/>
    <w:rsid w:val="00BC0256"/>
    <w:rsid w:val="00BC1D5E"/>
    <w:rsid w:val="00BC6CAE"/>
    <w:rsid w:val="00BC6CCE"/>
    <w:rsid w:val="00BE0D0F"/>
    <w:rsid w:val="00BF37A0"/>
    <w:rsid w:val="00BF46C7"/>
    <w:rsid w:val="00C12200"/>
    <w:rsid w:val="00C22D7B"/>
    <w:rsid w:val="00C27CA9"/>
    <w:rsid w:val="00C325C3"/>
    <w:rsid w:val="00C3647D"/>
    <w:rsid w:val="00C36DD7"/>
    <w:rsid w:val="00C40069"/>
    <w:rsid w:val="00C66D9C"/>
    <w:rsid w:val="00C6733A"/>
    <w:rsid w:val="00C674BB"/>
    <w:rsid w:val="00C67EBE"/>
    <w:rsid w:val="00C718B8"/>
    <w:rsid w:val="00C947ED"/>
    <w:rsid w:val="00CA4012"/>
    <w:rsid w:val="00CA7B50"/>
    <w:rsid w:val="00CB3694"/>
    <w:rsid w:val="00CE36AA"/>
    <w:rsid w:val="00CE6720"/>
    <w:rsid w:val="00CF3273"/>
    <w:rsid w:val="00D01404"/>
    <w:rsid w:val="00D24C32"/>
    <w:rsid w:val="00D40FB9"/>
    <w:rsid w:val="00D65B24"/>
    <w:rsid w:val="00D7259D"/>
    <w:rsid w:val="00D86D74"/>
    <w:rsid w:val="00D96B2E"/>
    <w:rsid w:val="00DA0C5C"/>
    <w:rsid w:val="00DA3126"/>
    <w:rsid w:val="00DA3634"/>
    <w:rsid w:val="00DB2923"/>
    <w:rsid w:val="00DE37B4"/>
    <w:rsid w:val="00E00911"/>
    <w:rsid w:val="00E0588D"/>
    <w:rsid w:val="00E06AF6"/>
    <w:rsid w:val="00E158D8"/>
    <w:rsid w:val="00E31C11"/>
    <w:rsid w:val="00E37722"/>
    <w:rsid w:val="00E42A95"/>
    <w:rsid w:val="00E6597D"/>
    <w:rsid w:val="00E7219B"/>
    <w:rsid w:val="00EA2EDF"/>
    <w:rsid w:val="00EB3EBB"/>
    <w:rsid w:val="00EB466D"/>
    <w:rsid w:val="00EC2F60"/>
    <w:rsid w:val="00ED25F1"/>
    <w:rsid w:val="00ED61DD"/>
    <w:rsid w:val="00EF6795"/>
    <w:rsid w:val="00F17B2B"/>
    <w:rsid w:val="00F35BA3"/>
    <w:rsid w:val="00F457DE"/>
    <w:rsid w:val="00F46032"/>
    <w:rsid w:val="00F6495C"/>
    <w:rsid w:val="00F70555"/>
    <w:rsid w:val="00F75DBB"/>
    <w:rsid w:val="00F81D75"/>
    <w:rsid w:val="00F84B88"/>
    <w:rsid w:val="00F93677"/>
    <w:rsid w:val="00FE4724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7C731"/>
  <w15:docId w15:val="{02D34F7F-5EC0-44B2-8A5D-15F2BA0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EB4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D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D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A9"/>
  </w:style>
  <w:style w:type="paragraph" w:styleId="Footer">
    <w:name w:val="footer"/>
    <w:basedOn w:val="Normal"/>
    <w:link w:val="FooterChar"/>
    <w:uiPriority w:val="99"/>
    <w:unhideWhenUsed/>
    <w:rsid w:val="0056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A9"/>
  </w:style>
  <w:style w:type="paragraph" w:styleId="BalloonText">
    <w:name w:val="Balloon Text"/>
    <w:basedOn w:val="Normal"/>
    <w:link w:val="BalloonTextChar"/>
    <w:uiPriority w:val="99"/>
    <w:semiHidden/>
    <w:unhideWhenUsed/>
    <w:rsid w:val="0037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7E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C0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02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256"/>
    <w:rPr>
      <w:vertAlign w:val="superscript"/>
    </w:rPr>
  </w:style>
  <w:style w:type="paragraph" w:styleId="BodyText">
    <w:name w:val="Body Text"/>
    <w:link w:val="BodyTextChar"/>
    <w:uiPriority w:val="1"/>
    <w:qFormat/>
    <w:rsid w:val="005A5494"/>
    <w:pPr>
      <w:spacing w:after="220" w:line="240" w:lineRule="auto"/>
    </w:pPr>
    <w:rPr>
      <w:rFonts w:ascii="Open Sans" w:hAnsi="Open Sans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5494"/>
    <w:rPr>
      <w:rFonts w:ascii="Open Sans" w:hAnsi="Open Sans"/>
      <w:sz w:val="24"/>
    </w:rPr>
  </w:style>
  <w:style w:type="paragraph" w:styleId="Revision">
    <w:name w:val="Revision"/>
    <w:hidden/>
    <w:uiPriority w:val="99"/>
    <w:semiHidden/>
    <w:rsid w:val="00182B98"/>
    <w:pPr>
      <w:spacing w:after="0" w:line="240" w:lineRule="auto"/>
    </w:p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link w:val="ListParagraph"/>
    <w:uiPriority w:val="34"/>
    <w:qFormat/>
    <w:locked/>
    <w:rsid w:val="004A5DF0"/>
  </w:style>
  <w:style w:type="paragraph" w:styleId="EndnoteText">
    <w:name w:val="endnote text"/>
    <w:basedOn w:val="Normal"/>
    <w:link w:val="EndnoteTextChar"/>
    <w:uiPriority w:val="99"/>
    <w:semiHidden/>
    <w:unhideWhenUsed/>
    <w:rsid w:val="00577C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7C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7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FA11DA26FA94DAC395D5AC1A6937C" ma:contentTypeVersion="7" ma:contentTypeDescription="Create a new document." ma:contentTypeScope="" ma:versionID="ce6bd5d8a948a923588a02813a9971c4">
  <xsd:schema xmlns:xsd="http://www.w3.org/2001/XMLSchema" xmlns:xs="http://www.w3.org/2001/XMLSchema" xmlns:p="http://schemas.microsoft.com/office/2006/metadata/properties" xmlns:ns3="5a78e06b-fa58-450c-958d-7796dda6fba3" xmlns:ns4="20e3bfe4-3776-441a-beb1-ba80492fac06" targetNamespace="http://schemas.microsoft.com/office/2006/metadata/properties" ma:root="true" ma:fieldsID="ce0e8396a41b9a9e413f76018e4a0ef0" ns3:_="" ns4:_="">
    <xsd:import namespace="5a78e06b-fa58-450c-958d-7796dda6fba3"/>
    <xsd:import namespace="20e3bfe4-3776-441a-beb1-ba80492fac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e06b-fa58-450c-958d-7796dda6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3bfe4-3776-441a-beb1-ba80492fa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A86D-DEE5-4D0C-AAE3-31FD6D2A0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1299E-2971-42BA-B971-4CB497323222}">
  <ds:schemaRefs>
    <ds:schemaRef ds:uri="http://schemas.microsoft.com/office/2006/documentManagement/types"/>
    <ds:schemaRef ds:uri="http://schemas.microsoft.com/office/infopath/2007/PartnerControls"/>
    <ds:schemaRef ds:uri="5a78e06b-fa58-450c-958d-7796dda6fba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e3bfe4-3776-441a-beb1-ba80492fac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AF4FE-BED4-4CE2-AD4A-40A98F20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e06b-fa58-450c-958d-7796dda6fba3"/>
    <ds:schemaRef ds:uri="20e3bfe4-3776-441a-beb1-ba80492f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9BBAC-F3BC-4945-B903-1232D57E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Hoang</dc:creator>
  <cp:keywords/>
  <dc:description/>
  <cp:lastModifiedBy>WATSON, Michel</cp:lastModifiedBy>
  <cp:revision>20</cp:revision>
  <cp:lastPrinted>2021-06-09T00:57:00Z</cp:lastPrinted>
  <dcterms:created xsi:type="dcterms:W3CDTF">2021-05-27T06:28:00Z</dcterms:created>
  <dcterms:modified xsi:type="dcterms:W3CDTF">2021-06-09T00:58:00Z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0x010100861FA11DA26FA94DAC395D5AC1A6937C</vt:lpwstr>
  </property>
</Properties>
</file>