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6D5" w:rsidRPr="00DE06D5" w:rsidRDefault="00DE06D5" w:rsidP="00DE06D5">
      <w:pPr>
        <w:pStyle w:val="Heading1"/>
        <w:jc w:val="center"/>
        <w:rPr>
          <w:rFonts w:ascii="Arial" w:hAnsi="Arial" w:cs="Arial"/>
          <w:b/>
        </w:rPr>
      </w:pPr>
      <w:r w:rsidRPr="00DE06D5">
        <w:rPr>
          <w:rFonts w:ascii="Arial" w:hAnsi="Arial" w:cs="Arial"/>
          <w:b/>
        </w:rPr>
        <w:t>Healthy Food Partnership Executive Committee</w:t>
      </w:r>
      <w:r>
        <w:rPr>
          <w:rFonts w:ascii="Arial" w:hAnsi="Arial" w:cs="Arial"/>
          <w:b/>
        </w:rPr>
        <w:br/>
      </w:r>
      <w:r w:rsidRPr="00DE06D5">
        <w:rPr>
          <w:rFonts w:ascii="Arial" w:hAnsi="Arial" w:cs="Arial"/>
          <w:b/>
        </w:rPr>
        <w:t>Terms of reference</w:t>
      </w:r>
    </w:p>
    <w:p w:rsidR="00DE06D5" w:rsidRDefault="00DE06D5" w:rsidP="00DE06D5">
      <w:pPr>
        <w:rPr>
          <w:rFonts w:ascii="Arial" w:hAnsi="Arial" w:cs="Arial"/>
          <w:lang w:eastAsia="en-AU"/>
        </w:rPr>
      </w:pPr>
    </w:p>
    <w:p w:rsidR="00DE06D5" w:rsidRPr="00DE06D5" w:rsidRDefault="00DE06D5" w:rsidP="00DE06D5">
      <w:pPr>
        <w:rPr>
          <w:rFonts w:ascii="Arial" w:eastAsiaTheme="majorEastAsia" w:hAnsi="Arial" w:cs="Arial"/>
          <w:b/>
          <w:color w:val="2E74B5" w:themeColor="accent1" w:themeShade="BF"/>
        </w:rPr>
      </w:pPr>
      <w:r w:rsidRPr="00DE06D5">
        <w:rPr>
          <w:rFonts w:ascii="Arial" w:hAnsi="Arial" w:cs="Arial"/>
          <w:lang w:eastAsia="en-AU"/>
        </w:rPr>
        <w:t>The Healthy Food Partnership (</w:t>
      </w:r>
      <w:r w:rsidRPr="00DE06D5">
        <w:rPr>
          <w:rFonts w:ascii="Arial" w:hAnsi="Arial" w:cs="Arial"/>
          <w:bCs/>
          <w:lang w:eastAsia="en-AU"/>
        </w:rPr>
        <w:t>the Partnership</w:t>
      </w:r>
      <w:r w:rsidRPr="00DE06D5">
        <w:rPr>
          <w:rFonts w:ascii="Arial" w:hAnsi="Arial" w:cs="Arial"/>
          <w:lang w:eastAsia="en-AU"/>
        </w:rPr>
        <w:t xml:space="preserve">) will provide a mechanism for collective, voluntary action between Government, the public health sector and the food industry, to improve the dietary habits of Australians by making healthier food choices easier and more accessible, and raising awareness of appropriate food choices and portion sizes. </w:t>
      </w:r>
      <w:r w:rsidRPr="00DE06D5">
        <w:rPr>
          <w:rFonts w:ascii="Arial" w:hAnsi="Arial" w:cs="Arial"/>
          <w:lang w:eastAsia="en-AU"/>
        </w:rPr>
        <w:br/>
      </w:r>
      <w:r w:rsidRPr="00DE06D5">
        <w:rPr>
          <w:rFonts w:ascii="Arial" w:hAnsi="Arial" w:cs="Arial"/>
          <w:lang w:eastAsia="en-AU"/>
        </w:rPr>
        <w:br/>
        <w:t>The Partnership forms part of a broader Australian Government Nutrition Framework, and complements other programmes currently underway such as the Health Star Rating system (interpretative front of pack food labelling) and the Eat for Health programme.</w:t>
      </w:r>
      <w:r w:rsidRPr="00DE06D5">
        <w:rPr>
          <w:rFonts w:ascii="Arial" w:hAnsi="Arial" w:cs="Arial"/>
          <w:lang w:eastAsia="en-AU"/>
        </w:rPr>
        <w:br/>
      </w:r>
      <w:r w:rsidRPr="00DE06D5">
        <w:rPr>
          <w:rFonts w:ascii="Arial" w:hAnsi="Arial" w:cs="Arial"/>
          <w:lang w:eastAsia="en-AU"/>
        </w:rPr>
        <w:br/>
        <w:t xml:space="preserve">The Partnership will work with the food industry and public health organisations to create action plans and set targets for reducing consumption of risk-associated nutrients; ensuring appropriate energy and nutrient intake; and increasing consumption of foods in accordance with the Australian Dietary Guidelines, for example whole foods such as fruits, vegetables, whole grains and core dairy foods. This work </w:t>
      </w:r>
      <w:proofErr w:type="gramStart"/>
      <w:r w:rsidRPr="00DE06D5">
        <w:rPr>
          <w:rFonts w:ascii="Arial" w:hAnsi="Arial" w:cs="Arial"/>
          <w:lang w:eastAsia="en-AU"/>
        </w:rPr>
        <w:t>will be complemented</w:t>
      </w:r>
      <w:proofErr w:type="gramEnd"/>
      <w:r w:rsidRPr="00DE06D5">
        <w:rPr>
          <w:rFonts w:ascii="Arial" w:hAnsi="Arial" w:cs="Arial"/>
          <w:lang w:eastAsia="en-AU"/>
        </w:rPr>
        <w:t xml:space="preserve"> by activities that support Australians to make healthier diet choices.</w:t>
      </w:r>
    </w:p>
    <w:p w:rsidR="00DE06D5" w:rsidRPr="00DE06D5" w:rsidRDefault="00DE06D5" w:rsidP="00DE06D5">
      <w:pPr>
        <w:pStyle w:val="Heading2"/>
        <w:rPr>
          <w:rFonts w:ascii="Arial" w:hAnsi="Arial" w:cs="Arial"/>
          <w:b/>
          <w:sz w:val="28"/>
          <w:szCs w:val="28"/>
        </w:rPr>
      </w:pPr>
      <w:r w:rsidRPr="00DE06D5">
        <w:rPr>
          <w:rFonts w:ascii="Arial" w:hAnsi="Arial" w:cs="Arial"/>
          <w:b/>
          <w:sz w:val="28"/>
          <w:szCs w:val="28"/>
        </w:rPr>
        <w:t>Scope</w:t>
      </w:r>
    </w:p>
    <w:p w:rsidR="00DE06D5" w:rsidRPr="00DE06D5" w:rsidRDefault="00DE06D5" w:rsidP="00DE06D5">
      <w:pPr>
        <w:rPr>
          <w:rFonts w:ascii="Arial" w:eastAsia="Times New Roman" w:hAnsi="Arial" w:cs="Arial"/>
          <w:color w:val="222222"/>
          <w:lang w:eastAsia="en-AU"/>
        </w:rPr>
      </w:pPr>
      <w:r w:rsidRPr="00DE06D5">
        <w:rPr>
          <w:rFonts w:ascii="Arial" w:eastAsia="Times New Roman" w:hAnsi="Arial" w:cs="Arial"/>
          <w:color w:val="222222"/>
          <w:lang w:eastAsia="en-AU"/>
        </w:rPr>
        <w:t xml:space="preserve">Initiatives developed under the Partnership </w:t>
      </w:r>
      <w:proofErr w:type="gramStart"/>
      <w:r w:rsidRPr="00DE06D5">
        <w:rPr>
          <w:rFonts w:ascii="Arial" w:eastAsia="Times New Roman" w:hAnsi="Arial" w:cs="Arial"/>
          <w:color w:val="222222"/>
          <w:lang w:eastAsia="en-AU"/>
        </w:rPr>
        <w:t>will be implemented</w:t>
      </w:r>
      <w:proofErr w:type="gramEnd"/>
      <w:r w:rsidRPr="00DE06D5">
        <w:rPr>
          <w:rFonts w:ascii="Arial" w:eastAsia="Times New Roman" w:hAnsi="Arial" w:cs="Arial"/>
          <w:color w:val="222222"/>
          <w:lang w:eastAsia="en-AU"/>
        </w:rPr>
        <w:t xml:space="preserve"> on a voluntary basis, with members responsible for the promotion of the action plans and targets within their sectors. The Partnership will take action in the following areas: </w:t>
      </w:r>
    </w:p>
    <w:p w:rsidR="00DE06D5" w:rsidRPr="00DE06D5" w:rsidRDefault="00DE06D5" w:rsidP="00DE06D5">
      <w:pPr>
        <w:pStyle w:val="ListParagraph"/>
        <w:numPr>
          <w:ilvl w:val="0"/>
          <w:numId w:val="4"/>
        </w:numPr>
        <w:ind w:left="357" w:hanging="357"/>
        <w:contextualSpacing w:val="0"/>
        <w:rPr>
          <w:rFonts w:ascii="Arial" w:eastAsia="Times New Roman" w:hAnsi="Arial" w:cs="Arial"/>
          <w:color w:val="222222"/>
          <w:lang w:eastAsia="en-AU"/>
        </w:rPr>
      </w:pPr>
      <w:r w:rsidRPr="00DE06D5">
        <w:rPr>
          <w:rFonts w:ascii="Arial" w:eastAsia="Times New Roman" w:hAnsi="Arial" w:cs="Arial"/>
          <w:color w:val="222222"/>
          <w:lang w:eastAsia="en-AU"/>
        </w:rPr>
        <w:t xml:space="preserve">food reformulation to reduce agreed risk-associated nutrients and increase agreed beneficial nutrients; </w:t>
      </w:r>
    </w:p>
    <w:p w:rsidR="00DE06D5" w:rsidRPr="00DE06D5" w:rsidRDefault="00DE06D5" w:rsidP="00DE06D5">
      <w:pPr>
        <w:pStyle w:val="ListParagraph"/>
        <w:numPr>
          <w:ilvl w:val="0"/>
          <w:numId w:val="4"/>
        </w:numPr>
        <w:ind w:left="357" w:hanging="357"/>
        <w:contextualSpacing w:val="0"/>
        <w:rPr>
          <w:rFonts w:ascii="Arial" w:eastAsia="Times New Roman" w:hAnsi="Arial" w:cs="Arial"/>
          <w:color w:val="222222"/>
          <w:lang w:eastAsia="en-AU"/>
        </w:rPr>
      </w:pPr>
      <w:r w:rsidRPr="00DE06D5">
        <w:rPr>
          <w:rFonts w:ascii="Arial" w:eastAsia="Times New Roman" w:hAnsi="Arial" w:cs="Arial"/>
          <w:color w:val="222222"/>
          <w:lang w:eastAsia="en-AU"/>
        </w:rPr>
        <w:t xml:space="preserve">determine the objective of serve sizes, and develop standards for consumption consistent with the Australian Dietary Guidelines and Australian Guide to Healthy Eating (where relevant); </w:t>
      </w:r>
    </w:p>
    <w:p w:rsidR="00DE06D5" w:rsidRPr="00DE06D5" w:rsidRDefault="00DE06D5" w:rsidP="00DE06D5">
      <w:pPr>
        <w:pStyle w:val="ListParagraph"/>
        <w:numPr>
          <w:ilvl w:val="0"/>
          <w:numId w:val="4"/>
        </w:numPr>
        <w:ind w:left="357" w:hanging="357"/>
        <w:contextualSpacing w:val="0"/>
        <w:rPr>
          <w:rFonts w:ascii="Arial" w:eastAsia="Times New Roman" w:hAnsi="Arial" w:cs="Arial"/>
          <w:color w:val="222222"/>
          <w:lang w:eastAsia="en-AU"/>
        </w:rPr>
      </w:pPr>
      <w:r w:rsidRPr="00DE06D5">
        <w:rPr>
          <w:rFonts w:ascii="Arial" w:eastAsia="Times New Roman" w:hAnsi="Arial" w:cs="Arial"/>
          <w:color w:val="222222"/>
          <w:lang w:eastAsia="en-AU"/>
        </w:rPr>
        <w:t xml:space="preserve">promoting appropriate portion sizes; and </w:t>
      </w:r>
    </w:p>
    <w:p w:rsidR="00DE06D5" w:rsidRPr="00DE06D5" w:rsidRDefault="00DE06D5" w:rsidP="00DE06D5">
      <w:pPr>
        <w:pStyle w:val="ListParagraph"/>
        <w:numPr>
          <w:ilvl w:val="0"/>
          <w:numId w:val="4"/>
        </w:numPr>
        <w:ind w:left="357" w:hanging="357"/>
        <w:contextualSpacing w:val="0"/>
        <w:rPr>
          <w:rFonts w:ascii="Arial" w:eastAsia="Times New Roman" w:hAnsi="Arial" w:cs="Arial"/>
          <w:color w:val="222222"/>
          <w:lang w:eastAsia="en-AU"/>
        </w:rPr>
      </w:pPr>
      <w:proofErr w:type="gramStart"/>
      <w:r w:rsidRPr="00DE06D5">
        <w:rPr>
          <w:rFonts w:ascii="Arial" w:eastAsia="Times New Roman" w:hAnsi="Arial" w:cs="Arial"/>
          <w:color w:val="222222"/>
          <w:lang w:eastAsia="en-AU"/>
        </w:rPr>
        <w:t>improving</w:t>
      </w:r>
      <w:proofErr w:type="gramEnd"/>
      <w:r w:rsidRPr="00DE06D5">
        <w:rPr>
          <w:rFonts w:ascii="Arial" w:eastAsia="Times New Roman" w:hAnsi="Arial" w:cs="Arial"/>
          <w:color w:val="222222"/>
          <w:lang w:eastAsia="en-AU"/>
        </w:rPr>
        <w:t xml:space="preserve"> consumers’ knowledge and awareness of healthier food choices, including through developing and disseminating tools and resources to consumers and health professionals.</w:t>
      </w:r>
    </w:p>
    <w:p w:rsidR="00DE06D5" w:rsidRPr="00DE06D5" w:rsidRDefault="00DE06D5" w:rsidP="00DE06D5">
      <w:pPr>
        <w:rPr>
          <w:rFonts w:ascii="Arial" w:eastAsia="Times New Roman" w:hAnsi="Arial" w:cs="Arial"/>
          <w:color w:val="222222"/>
          <w:lang w:eastAsia="en-AU"/>
        </w:rPr>
      </w:pPr>
      <w:r w:rsidRPr="00DE06D5">
        <w:rPr>
          <w:rFonts w:ascii="Arial" w:eastAsia="Times New Roman" w:hAnsi="Arial" w:cs="Arial"/>
          <w:color w:val="222222"/>
          <w:lang w:eastAsia="en-AU"/>
        </w:rPr>
        <w:t xml:space="preserve">This </w:t>
      </w:r>
      <w:proofErr w:type="gramStart"/>
      <w:r w:rsidRPr="00DE06D5">
        <w:rPr>
          <w:rFonts w:ascii="Arial" w:eastAsia="Times New Roman" w:hAnsi="Arial" w:cs="Arial"/>
          <w:color w:val="222222"/>
          <w:lang w:eastAsia="en-AU"/>
        </w:rPr>
        <w:t>will be achieved</w:t>
      </w:r>
      <w:proofErr w:type="gramEnd"/>
      <w:r w:rsidRPr="00DE06D5">
        <w:rPr>
          <w:rFonts w:ascii="Arial" w:eastAsia="Times New Roman" w:hAnsi="Arial" w:cs="Arial"/>
          <w:color w:val="222222"/>
          <w:lang w:eastAsia="en-AU"/>
        </w:rPr>
        <w:t xml:space="preserve"> by: </w:t>
      </w:r>
    </w:p>
    <w:p w:rsidR="00DE06D5" w:rsidRPr="00DE06D5" w:rsidRDefault="00DE06D5" w:rsidP="00DE06D5">
      <w:pPr>
        <w:pStyle w:val="ListParagraph"/>
        <w:numPr>
          <w:ilvl w:val="0"/>
          <w:numId w:val="4"/>
        </w:numPr>
        <w:ind w:left="357" w:hanging="357"/>
        <w:contextualSpacing w:val="0"/>
        <w:rPr>
          <w:rFonts w:ascii="Arial" w:eastAsia="Times New Roman" w:hAnsi="Arial" w:cs="Arial"/>
          <w:color w:val="222222"/>
          <w:lang w:eastAsia="en-AU"/>
        </w:rPr>
      </w:pPr>
      <w:r w:rsidRPr="00DE06D5">
        <w:rPr>
          <w:rFonts w:ascii="Arial" w:eastAsia="Times New Roman" w:hAnsi="Arial" w:cs="Arial"/>
          <w:color w:val="222222"/>
          <w:lang w:eastAsia="en-AU"/>
        </w:rPr>
        <w:t xml:space="preserve">establishing priorities for food reformulation which may help consumers achieve dietary patterns that are consistent with the Australian Dietary Guidelines and protect and promote good health (such as reducing saturated fat, sugars and sodium content of processed foods, and increasing fruit, vegetables, fibre/wholegrain content of processed foods); </w:t>
      </w:r>
    </w:p>
    <w:p w:rsidR="00DE06D5" w:rsidRPr="00DE06D5" w:rsidRDefault="00DE06D5" w:rsidP="00DE06D5">
      <w:pPr>
        <w:pStyle w:val="ListParagraph"/>
        <w:numPr>
          <w:ilvl w:val="0"/>
          <w:numId w:val="4"/>
        </w:numPr>
        <w:ind w:left="357" w:hanging="357"/>
        <w:contextualSpacing w:val="0"/>
        <w:rPr>
          <w:rFonts w:ascii="Arial" w:eastAsia="Times New Roman" w:hAnsi="Arial" w:cs="Arial"/>
          <w:color w:val="222222"/>
          <w:lang w:eastAsia="en-AU"/>
        </w:rPr>
      </w:pPr>
      <w:r w:rsidRPr="00DE06D5">
        <w:rPr>
          <w:rFonts w:ascii="Arial" w:eastAsia="Times New Roman" w:hAnsi="Arial" w:cs="Arial"/>
          <w:color w:val="222222"/>
          <w:lang w:eastAsia="en-AU"/>
        </w:rPr>
        <w:lastRenderedPageBreak/>
        <w:t xml:space="preserve">assisting consumers to make healthier diet choices through increasing the availability of healthy food options across the food service industry (e.g. at supermarkets or Quick Service Restaurants), using serve sizes on food labels that are consistent with those set out in the Australian Dietary Guidelines and Australian Guide to Healthy Eating (where relevant), and promoting appropriate portion sizes; </w:t>
      </w:r>
    </w:p>
    <w:p w:rsidR="00DE06D5" w:rsidRPr="00DE06D5" w:rsidRDefault="00DE06D5" w:rsidP="00DE06D5">
      <w:pPr>
        <w:pStyle w:val="ListParagraph"/>
        <w:numPr>
          <w:ilvl w:val="0"/>
          <w:numId w:val="4"/>
        </w:numPr>
        <w:ind w:left="357" w:hanging="357"/>
        <w:contextualSpacing w:val="0"/>
        <w:rPr>
          <w:rFonts w:ascii="Arial" w:eastAsia="Times New Roman" w:hAnsi="Arial" w:cs="Arial"/>
          <w:color w:val="222222"/>
          <w:lang w:eastAsia="en-AU"/>
        </w:rPr>
      </w:pPr>
      <w:r w:rsidRPr="00DE06D5">
        <w:rPr>
          <w:rFonts w:ascii="Arial" w:eastAsia="Times New Roman" w:hAnsi="Arial" w:cs="Arial"/>
          <w:color w:val="222222"/>
          <w:lang w:eastAsia="en-AU"/>
        </w:rPr>
        <w:t xml:space="preserve">empowering and motivating Australians to make informed and responsible food decisions for themselves and their families by developing and disseminating (including via health professionals) information and tools that support consumers to achieve a diet consistent with the Australian Dietary Guidelines, including increasing consumption of whole foods such as fruits, vegetables, whole grains and core dairy; and </w:t>
      </w:r>
    </w:p>
    <w:p w:rsidR="00DE06D5" w:rsidRPr="00DE06D5" w:rsidRDefault="00DE06D5" w:rsidP="00DE06D5">
      <w:pPr>
        <w:pStyle w:val="ListParagraph"/>
        <w:numPr>
          <w:ilvl w:val="0"/>
          <w:numId w:val="4"/>
        </w:numPr>
        <w:ind w:left="357" w:hanging="357"/>
        <w:contextualSpacing w:val="0"/>
        <w:rPr>
          <w:rFonts w:ascii="Arial" w:eastAsia="Times New Roman" w:hAnsi="Arial" w:cs="Arial"/>
          <w:color w:val="222222"/>
          <w:lang w:eastAsia="en-AU"/>
        </w:rPr>
      </w:pPr>
      <w:proofErr w:type="gramStart"/>
      <w:r w:rsidRPr="00DE06D5">
        <w:rPr>
          <w:rFonts w:ascii="Arial" w:eastAsia="Times New Roman" w:hAnsi="Arial" w:cs="Arial"/>
          <w:color w:val="222222"/>
          <w:lang w:eastAsia="en-AU"/>
        </w:rPr>
        <w:t>monitoring</w:t>
      </w:r>
      <w:proofErr w:type="gramEnd"/>
      <w:r w:rsidRPr="00DE06D5">
        <w:rPr>
          <w:rFonts w:ascii="Arial" w:eastAsia="Times New Roman" w:hAnsi="Arial" w:cs="Arial"/>
          <w:color w:val="222222"/>
          <w:lang w:eastAsia="en-AU"/>
        </w:rPr>
        <w:t xml:space="preserve"> the effectiveness of the Partnership through consideration of changes in the food supply and food label information, and food and nutrient consumption patterns across the population, and within key population groups.</w:t>
      </w:r>
    </w:p>
    <w:p w:rsidR="00DE06D5" w:rsidRPr="00DE06D5" w:rsidRDefault="00DE06D5" w:rsidP="00DE06D5">
      <w:pPr>
        <w:pStyle w:val="Heading2"/>
        <w:rPr>
          <w:rFonts w:ascii="Arial" w:hAnsi="Arial" w:cs="Arial"/>
          <w:b/>
          <w:sz w:val="28"/>
          <w:szCs w:val="28"/>
        </w:rPr>
      </w:pPr>
      <w:r w:rsidRPr="00DE06D5">
        <w:rPr>
          <w:rFonts w:ascii="Arial" w:hAnsi="Arial" w:cs="Arial"/>
          <w:b/>
          <w:sz w:val="28"/>
          <w:szCs w:val="28"/>
        </w:rPr>
        <w:t>Governance</w:t>
      </w:r>
    </w:p>
    <w:p w:rsidR="00DE06D5" w:rsidRPr="00DE06D5" w:rsidRDefault="00DE06D5" w:rsidP="00DE06D5">
      <w:pPr>
        <w:rPr>
          <w:rFonts w:ascii="Arial" w:eastAsia="Times New Roman" w:hAnsi="Arial" w:cs="Arial"/>
          <w:color w:val="222222"/>
          <w:lang w:eastAsia="en-AU"/>
        </w:rPr>
      </w:pPr>
      <w:r w:rsidRPr="00DE06D5">
        <w:rPr>
          <w:rFonts w:ascii="Arial" w:eastAsia="Times New Roman" w:hAnsi="Arial" w:cs="Arial"/>
          <w:color w:val="222222"/>
          <w:lang w:eastAsia="en-AU"/>
        </w:rPr>
        <w:t xml:space="preserve">The </w:t>
      </w:r>
      <w:proofErr w:type="gramStart"/>
      <w:r w:rsidRPr="00DE06D5">
        <w:rPr>
          <w:rFonts w:ascii="Arial" w:eastAsia="Times New Roman" w:hAnsi="Arial" w:cs="Arial"/>
          <w:color w:val="222222"/>
          <w:lang w:eastAsia="en-AU"/>
        </w:rPr>
        <w:t>Healthy Food Partnership Executive Committee will be chaired by the Australian Government, with membership comprising</w:t>
      </w:r>
      <w:proofErr w:type="gramEnd"/>
      <w:r w:rsidRPr="00DE06D5">
        <w:rPr>
          <w:rFonts w:ascii="Arial" w:eastAsia="Times New Roman" w:hAnsi="Arial" w:cs="Arial"/>
          <w:color w:val="222222"/>
          <w:lang w:eastAsia="en-AU"/>
        </w:rPr>
        <w:t xml:space="preserve">: </w:t>
      </w:r>
    </w:p>
    <w:p w:rsidR="00DE06D5" w:rsidRPr="00DE06D5" w:rsidRDefault="00DE06D5" w:rsidP="00DE06D5">
      <w:pPr>
        <w:pStyle w:val="ListParagraph"/>
        <w:numPr>
          <w:ilvl w:val="0"/>
          <w:numId w:val="4"/>
        </w:numPr>
        <w:ind w:left="357" w:hanging="357"/>
        <w:contextualSpacing w:val="0"/>
        <w:rPr>
          <w:rFonts w:ascii="Arial" w:eastAsia="Times New Roman" w:hAnsi="Arial" w:cs="Arial"/>
          <w:color w:val="222222"/>
          <w:lang w:eastAsia="en-AU"/>
        </w:rPr>
      </w:pPr>
      <w:r w:rsidRPr="00DE06D5">
        <w:rPr>
          <w:rFonts w:ascii="Arial" w:eastAsia="Times New Roman" w:hAnsi="Arial" w:cs="Arial"/>
          <w:color w:val="222222"/>
          <w:lang w:eastAsia="en-AU"/>
        </w:rPr>
        <w:t xml:space="preserve">Commonwealth Minister responsible for food policy (Chair) (or their delegate) </w:t>
      </w:r>
    </w:p>
    <w:p w:rsidR="00DE06D5" w:rsidRPr="00DE06D5" w:rsidRDefault="00DE06D5" w:rsidP="00DE06D5">
      <w:pPr>
        <w:pStyle w:val="ListParagraph"/>
        <w:numPr>
          <w:ilvl w:val="0"/>
          <w:numId w:val="4"/>
        </w:numPr>
        <w:ind w:left="357" w:hanging="357"/>
        <w:contextualSpacing w:val="0"/>
        <w:rPr>
          <w:rFonts w:ascii="Arial" w:eastAsia="Times New Roman" w:hAnsi="Arial" w:cs="Arial"/>
          <w:color w:val="222222"/>
          <w:lang w:eastAsia="en-AU"/>
        </w:rPr>
      </w:pPr>
      <w:r w:rsidRPr="00DE06D5">
        <w:rPr>
          <w:rFonts w:ascii="Arial" w:eastAsia="Times New Roman" w:hAnsi="Arial" w:cs="Arial"/>
          <w:color w:val="222222"/>
          <w:lang w:eastAsia="en-AU"/>
        </w:rPr>
        <w:t xml:space="preserve">Australian Food and Grocery Council </w:t>
      </w:r>
    </w:p>
    <w:p w:rsidR="00DE06D5" w:rsidRPr="00DE06D5" w:rsidRDefault="00DE06D5" w:rsidP="00DE06D5">
      <w:pPr>
        <w:pStyle w:val="ListParagraph"/>
        <w:numPr>
          <w:ilvl w:val="0"/>
          <w:numId w:val="4"/>
        </w:numPr>
        <w:ind w:left="357" w:hanging="357"/>
        <w:contextualSpacing w:val="0"/>
        <w:rPr>
          <w:rFonts w:ascii="Arial" w:eastAsia="Times New Roman" w:hAnsi="Arial" w:cs="Arial"/>
          <w:color w:val="222222"/>
          <w:lang w:eastAsia="en-AU"/>
        </w:rPr>
      </w:pPr>
      <w:r w:rsidRPr="00DE06D5">
        <w:rPr>
          <w:rFonts w:ascii="Arial" w:eastAsia="Times New Roman" w:hAnsi="Arial" w:cs="Arial"/>
          <w:color w:val="222222"/>
          <w:lang w:eastAsia="en-AU"/>
        </w:rPr>
        <w:t xml:space="preserve">National Heart Foundation of Australia </w:t>
      </w:r>
    </w:p>
    <w:p w:rsidR="00DE06D5" w:rsidRPr="00DE06D5" w:rsidRDefault="00DE06D5" w:rsidP="00DE06D5">
      <w:pPr>
        <w:pStyle w:val="ListParagraph"/>
        <w:numPr>
          <w:ilvl w:val="0"/>
          <w:numId w:val="4"/>
        </w:numPr>
        <w:ind w:left="357" w:hanging="357"/>
        <w:contextualSpacing w:val="0"/>
        <w:rPr>
          <w:rFonts w:ascii="Arial" w:eastAsia="Times New Roman" w:hAnsi="Arial" w:cs="Arial"/>
          <w:color w:val="222222"/>
          <w:lang w:eastAsia="en-AU"/>
        </w:rPr>
      </w:pPr>
      <w:r w:rsidRPr="00DE06D5">
        <w:rPr>
          <w:rFonts w:ascii="Arial" w:eastAsia="Times New Roman" w:hAnsi="Arial" w:cs="Arial"/>
          <w:color w:val="222222"/>
          <w:lang w:eastAsia="en-AU"/>
        </w:rPr>
        <w:t xml:space="preserve">Woolworths </w:t>
      </w:r>
    </w:p>
    <w:p w:rsidR="00DE06D5" w:rsidRPr="00DE06D5" w:rsidRDefault="00DE06D5" w:rsidP="00DE06D5">
      <w:pPr>
        <w:pStyle w:val="ListParagraph"/>
        <w:numPr>
          <w:ilvl w:val="0"/>
          <w:numId w:val="4"/>
        </w:numPr>
        <w:ind w:left="357" w:hanging="357"/>
        <w:contextualSpacing w:val="0"/>
        <w:rPr>
          <w:rFonts w:ascii="Arial" w:eastAsia="Times New Roman" w:hAnsi="Arial" w:cs="Arial"/>
          <w:color w:val="222222"/>
          <w:lang w:eastAsia="en-AU"/>
        </w:rPr>
      </w:pPr>
      <w:r w:rsidRPr="00DE06D5">
        <w:rPr>
          <w:rFonts w:ascii="Arial" w:eastAsia="Times New Roman" w:hAnsi="Arial" w:cs="Arial"/>
          <w:color w:val="222222"/>
          <w:lang w:eastAsia="en-AU"/>
        </w:rPr>
        <w:t xml:space="preserve">Coles </w:t>
      </w:r>
    </w:p>
    <w:p w:rsidR="00DE06D5" w:rsidRPr="00DE06D5" w:rsidRDefault="00DE06D5" w:rsidP="00DE06D5">
      <w:pPr>
        <w:pStyle w:val="ListParagraph"/>
        <w:numPr>
          <w:ilvl w:val="0"/>
          <w:numId w:val="4"/>
        </w:numPr>
        <w:ind w:left="357" w:hanging="357"/>
        <w:contextualSpacing w:val="0"/>
        <w:rPr>
          <w:rFonts w:ascii="Arial" w:eastAsia="Times New Roman" w:hAnsi="Arial" w:cs="Arial"/>
          <w:color w:val="222222"/>
          <w:lang w:eastAsia="en-AU"/>
        </w:rPr>
      </w:pPr>
      <w:r w:rsidRPr="00DE06D5">
        <w:rPr>
          <w:rFonts w:ascii="Arial" w:eastAsia="Times New Roman" w:hAnsi="Arial" w:cs="Arial"/>
          <w:color w:val="222222"/>
          <w:lang w:eastAsia="en-AU"/>
        </w:rPr>
        <w:t xml:space="preserve">Metcash (Independent Grocers) </w:t>
      </w:r>
    </w:p>
    <w:p w:rsidR="00DE06D5" w:rsidRPr="00DE06D5" w:rsidRDefault="00DE06D5" w:rsidP="00DE06D5">
      <w:pPr>
        <w:pStyle w:val="ListParagraph"/>
        <w:numPr>
          <w:ilvl w:val="0"/>
          <w:numId w:val="4"/>
        </w:numPr>
        <w:ind w:left="357" w:hanging="357"/>
        <w:contextualSpacing w:val="0"/>
        <w:rPr>
          <w:rFonts w:ascii="Arial" w:eastAsia="Times New Roman" w:hAnsi="Arial" w:cs="Arial"/>
          <w:color w:val="222222"/>
          <w:lang w:eastAsia="en-AU"/>
        </w:rPr>
      </w:pPr>
      <w:r w:rsidRPr="00DE06D5">
        <w:rPr>
          <w:rFonts w:ascii="Arial" w:eastAsia="Times New Roman" w:hAnsi="Arial" w:cs="Arial"/>
          <w:color w:val="222222"/>
          <w:lang w:eastAsia="en-AU"/>
        </w:rPr>
        <w:t xml:space="preserve">Public Health Association of Australia </w:t>
      </w:r>
    </w:p>
    <w:p w:rsidR="00DE06D5" w:rsidRPr="00DE06D5" w:rsidRDefault="00DE06D5" w:rsidP="00DE06D5">
      <w:pPr>
        <w:pStyle w:val="ListParagraph"/>
        <w:numPr>
          <w:ilvl w:val="0"/>
          <w:numId w:val="4"/>
        </w:numPr>
        <w:ind w:left="357" w:hanging="357"/>
        <w:contextualSpacing w:val="0"/>
        <w:rPr>
          <w:rFonts w:ascii="Arial" w:eastAsia="Times New Roman" w:hAnsi="Arial" w:cs="Arial"/>
          <w:color w:val="222222"/>
          <w:lang w:eastAsia="en-AU"/>
        </w:rPr>
      </w:pPr>
      <w:r w:rsidRPr="00DE06D5">
        <w:rPr>
          <w:rFonts w:ascii="Arial" w:eastAsia="Times New Roman" w:hAnsi="Arial" w:cs="Arial"/>
          <w:color w:val="222222"/>
          <w:lang w:eastAsia="en-AU"/>
        </w:rPr>
        <w:t xml:space="preserve">Quick Service Restaurant Forum </w:t>
      </w:r>
    </w:p>
    <w:p w:rsidR="00DE06D5" w:rsidRPr="00DE06D5" w:rsidRDefault="00DE06D5" w:rsidP="00DE06D5">
      <w:pPr>
        <w:pStyle w:val="ListParagraph"/>
        <w:numPr>
          <w:ilvl w:val="0"/>
          <w:numId w:val="4"/>
        </w:numPr>
        <w:ind w:left="357" w:hanging="357"/>
        <w:contextualSpacing w:val="0"/>
        <w:rPr>
          <w:rFonts w:ascii="Arial" w:eastAsia="Times New Roman" w:hAnsi="Arial" w:cs="Arial"/>
          <w:color w:val="222222"/>
          <w:lang w:eastAsia="en-AU"/>
        </w:rPr>
      </w:pPr>
      <w:r w:rsidRPr="00DE06D5">
        <w:rPr>
          <w:rFonts w:ascii="Arial" w:eastAsia="Times New Roman" w:hAnsi="Arial" w:cs="Arial"/>
          <w:color w:val="222222"/>
          <w:lang w:eastAsia="en-AU"/>
        </w:rPr>
        <w:t xml:space="preserve">Food Standards Australia New Zealand </w:t>
      </w:r>
    </w:p>
    <w:p w:rsidR="00DE06D5" w:rsidRPr="00DE06D5" w:rsidRDefault="00DE06D5" w:rsidP="00DE06D5">
      <w:pPr>
        <w:pStyle w:val="ListParagraph"/>
        <w:numPr>
          <w:ilvl w:val="0"/>
          <w:numId w:val="4"/>
        </w:numPr>
        <w:ind w:left="357" w:hanging="357"/>
        <w:contextualSpacing w:val="0"/>
        <w:rPr>
          <w:rFonts w:ascii="Arial" w:eastAsia="Times New Roman" w:hAnsi="Arial" w:cs="Arial"/>
          <w:color w:val="222222"/>
          <w:lang w:eastAsia="en-AU"/>
        </w:rPr>
      </w:pPr>
      <w:r w:rsidRPr="00DE06D5">
        <w:rPr>
          <w:rFonts w:ascii="Arial" w:eastAsia="Times New Roman" w:hAnsi="Arial" w:cs="Arial"/>
          <w:color w:val="222222"/>
          <w:lang w:eastAsia="en-AU"/>
        </w:rPr>
        <w:t xml:space="preserve">Dietitians Association of Australia </w:t>
      </w:r>
    </w:p>
    <w:p w:rsidR="00DE06D5" w:rsidRPr="00DE06D5" w:rsidRDefault="00DE06D5" w:rsidP="00DE06D5">
      <w:pPr>
        <w:pStyle w:val="ListParagraph"/>
        <w:numPr>
          <w:ilvl w:val="0"/>
          <w:numId w:val="4"/>
        </w:numPr>
        <w:ind w:left="357" w:hanging="357"/>
        <w:contextualSpacing w:val="0"/>
        <w:rPr>
          <w:rFonts w:ascii="Arial" w:eastAsia="Times New Roman" w:hAnsi="Arial" w:cs="Arial"/>
          <w:color w:val="222222"/>
          <w:lang w:eastAsia="en-AU"/>
        </w:rPr>
      </w:pPr>
      <w:proofErr w:type="spellStart"/>
      <w:r w:rsidRPr="00DE06D5">
        <w:rPr>
          <w:rFonts w:ascii="Arial" w:eastAsia="Times New Roman" w:hAnsi="Arial" w:cs="Arial"/>
          <w:color w:val="222222"/>
          <w:lang w:eastAsia="en-AU"/>
        </w:rPr>
        <w:t>Ausveg</w:t>
      </w:r>
      <w:proofErr w:type="spellEnd"/>
      <w:r w:rsidRPr="00DE06D5">
        <w:rPr>
          <w:rFonts w:ascii="Arial" w:eastAsia="Times New Roman" w:hAnsi="Arial" w:cs="Arial"/>
          <w:color w:val="222222"/>
          <w:lang w:eastAsia="en-AU"/>
        </w:rPr>
        <w:t xml:space="preserve"> </w:t>
      </w:r>
    </w:p>
    <w:p w:rsidR="00DE06D5" w:rsidRPr="00DE06D5" w:rsidRDefault="00DE06D5" w:rsidP="00DE06D5">
      <w:pPr>
        <w:pStyle w:val="ListParagraph"/>
        <w:numPr>
          <w:ilvl w:val="0"/>
          <w:numId w:val="4"/>
        </w:numPr>
        <w:ind w:left="357" w:hanging="357"/>
        <w:contextualSpacing w:val="0"/>
        <w:rPr>
          <w:rFonts w:ascii="Arial" w:eastAsia="Times New Roman" w:hAnsi="Arial" w:cs="Arial"/>
          <w:color w:val="222222"/>
          <w:lang w:eastAsia="en-AU"/>
        </w:rPr>
      </w:pPr>
      <w:r w:rsidRPr="00DE06D5">
        <w:rPr>
          <w:rFonts w:ascii="Arial" w:eastAsia="Times New Roman" w:hAnsi="Arial" w:cs="Arial"/>
          <w:color w:val="222222"/>
          <w:lang w:eastAsia="en-AU"/>
        </w:rPr>
        <w:t xml:space="preserve">Meat and Livestock Australia </w:t>
      </w:r>
    </w:p>
    <w:p w:rsidR="00DE06D5" w:rsidRPr="00DE06D5" w:rsidRDefault="00DE06D5" w:rsidP="00DE06D5">
      <w:pPr>
        <w:pStyle w:val="ListParagraph"/>
        <w:numPr>
          <w:ilvl w:val="0"/>
          <w:numId w:val="4"/>
        </w:numPr>
        <w:ind w:left="357" w:hanging="357"/>
        <w:contextualSpacing w:val="0"/>
        <w:rPr>
          <w:rFonts w:ascii="Arial" w:eastAsia="Times New Roman" w:hAnsi="Arial" w:cs="Arial"/>
          <w:color w:val="222222"/>
          <w:lang w:eastAsia="en-AU"/>
        </w:rPr>
      </w:pPr>
      <w:r w:rsidRPr="00DE06D5">
        <w:rPr>
          <w:rFonts w:ascii="Arial" w:eastAsia="Times New Roman" w:hAnsi="Arial" w:cs="Arial"/>
          <w:color w:val="222222"/>
          <w:lang w:eastAsia="en-AU"/>
        </w:rPr>
        <w:t xml:space="preserve">Dairy Australia </w:t>
      </w:r>
    </w:p>
    <w:p w:rsidR="00DE06D5" w:rsidRPr="00DE06D5" w:rsidRDefault="00DE06D5" w:rsidP="00DE06D5">
      <w:pPr>
        <w:pStyle w:val="ListParagraph"/>
        <w:numPr>
          <w:ilvl w:val="0"/>
          <w:numId w:val="4"/>
        </w:numPr>
        <w:ind w:left="357" w:hanging="357"/>
        <w:contextualSpacing w:val="0"/>
        <w:rPr>
          <w:rFonts w:ascii="Arial" w:eastAsia="Times New Roman" w:hAnsi="Arial" w:cs="Arial"/>
          <w:color w:val="222222"/>
          <w:lang w:eastAsia="en-AU"/>
        </w:rPr>
      </w:pPr>
      <w:r w:rsidRPr="00DE06D5">
        <w:rPr>
          <w:rFonts w:ascii="Arial" w:eastAsia="Times New Roman" w:hAnsi="Arial" w:cs="Arial"/>
          <w:color w:val="222222"/>
          <w:lang w:eastAsia="en-AU"/>
        </w:rPr>
        <w:t xml:space="preserve">ALDI </w:t>
      </w:r>
    </w:p>
    <w:p w:rsidR="00DE06D5" w:rsidRPr="00DE06D5" w:rsidRDefault="00DE06D5" w:rsidP="00DE06D5">
      <w:pPr>
        <w:pStyle w:val="ListParagraph"/>
        <w:numPr>
          <w:ilvl w:val="0"/>
          <w:numId w:val="4"/>
        </w:numPr>
        <w:ind w:left="357" w:hanging="357"/>
        <w:contextualSpacing w:val="0"/>
        <w:rPr>
          <w:rFonts w:ascii="Arial" w:eastAsia="Times New Roman" w:hAnsi="Arial" w:cs="Arial"/>
          <w:color w:val="222222"/>
          <w:lang w:eastAsia="en-AU"/>
        </w:rPr>
      </w:pPr>
      <w:r w:rsidRPr="00DE06D5">
        <w:rPr>
          <w:rFonts w:ascii="Arial" w:eastAsia="Times New Roman" w:hAnsi="Arial" w:cs="Arial"/>
          <w:color w:val="222222"/>
          <w:lang w:eastAsia="en-AU"/>
        </w:rPr>
        <w:t xml:space="preserve">Restaurant and Catering Industry Association of Australia </w:t>
      </w:r>
    </w:p>
    <w:p w:rsidR="00DE06D5" w:rsidRPr="00DE06D5" w:rsidRDefault="00DE06D5" w:rsidP="00DE06D5">
      <w:pPr>
        <w:pStyle w:val="ListParagraph"/>
        <w:numPr>
          <w:ilvl w:val="0"/>
          <w:numId w:val="4"/>
        </w:numPr>
        <w:ind w:left="357" w:hanging="357"/>
        <w:contextualSpacing w:val="0"/>
        <w:rPr>
          <w:rFonts w:ascii="Arial" w:eastAsia="Times New Roman" w:hAnsi="Arial" w:cs="Arial"/>
          <w:color w:val="222222"/>
          <w:lang w:eastAsia="en-AU"/>
        </w:rPr>
      </w:pPr>
      <w:r w:rsidRPr="00DE06D5">
        <w:rPr>
          <w:rFonts w:ascii="Arial" w:eastAsia="Times New Roman" w:hAnsi="Arial" w:cs="Arial"/>
          <w:color w:val="222222"/>
          <w:lang w:eastAsia="en-AU"/>
        </w:rPr>
        <w:t>Department of Health</w:t>
      </w:r>
    </w:p>
    <w:p w:rsidR="00DE06D5" w:rsidRPr="00DE06D5" w:rsidRDefault="00DE06D5" w:rsidP="00DE06D5">
      <w:pPr>
        <w:rPr>
          <w:rFonts w:ascii="Arial" w:hAnsi="Arial" w:cs="Arial"/>
        </w:rPr>
      </w:pPr>
      <w:r w:rsidRPr="00DE06D5">
        <w:rPr>
          <w:rFonts w:ascii="Arial" w:eastAsia="Times New Roman" w:hAnsi="Arial" w:cs="Arial"/>
          <w:color w:val="222222"/>
          <w:lang w:eastAsia="en-AU"/>
        </w:rPr>
        <w:t xml:space="preserve">Any information provided to or discussed by Partnership participants will remain confidential unless </w:t>
      </w:r>
      <w:proofErr w:type="gramStart"/>
      <w:r w:rsidRPr="00DE06D5">
        <w:rPr>
          <w:rFonts w:ascii="Arial" w:eastAsia="Times New Roman" w:hAnsi="Arial" w:cs="Arial"/>
          <w:color w:val="222222"/>
          <w:lang w:eastAsia="en-AU"/>
        </w:rPr>
        <w:t>an agreement is made by the Executive Committee</w:t>
      </w:r>
      <w:proofErr w:type="gramEnd"/>
      <w:r w:rsidRPr="00DE06D5">
        <w:rPr>
          <w:rFonts w:ascii="Arial" w:eastAsia="Times New Roman" w:hAnsi="Arial" w:cs="Arial"/>
          <w:color w:val="222222"/>
          <w:lang w:eastAsia="en-AU"/>
        </w:rPr>
        <w:t xml:space="preserve"> with the provider of that information. Participants agree to contribute privately and consult with their relevant sectors accordingly.</w:t>
      </w:r>
      <w:r w:rsidRPr="00DE06D5">
        <w:rPr>
          <w:rFonts w:ascii="Arial" w:eastAsia="Times New Roman" w:hAnsi="Arial" w:cs="Arial"/>
          <w:color w:val="222222"/>
          <w:lang w:eastAsia="en-AU"/>
        </w:rPr>
        <w:br/>
      </w:r>
      <w:bookmarkStart w:id="0" w:name="_GoBack"/>
      <w:bookmarkEnd w:id="0"/>
      <w:r w:rsidRPr="00DE06D5">
        <w:rPr>
          <w:rFonts w:ascii="Arial" w:eastAsia="Times New Roman" w:hAnsi="Arial" w:cs="Arial"/>
          <w:color w:val="222222"/>
          <w:lang w:eastAsia="en-AU"/>
        </w:rPr>
        <w:br/>
        <w:t xml:space="preserve">Working Groups comprised of relevant stakeholders </w:t>
      </w:r>
      <w:proofErr w:type="gramStart"/>
      <w:r w:rsidRPr="00DE06D5">
        <w:rPr>
          <w:rFonts w:ascii="Arial" w:eastAsia="Times New Roman" w:hAnsi="Arial" w:cs="Arial"/>
          <w:color w:val="222222"/>
          <w:lang w:eastAsia="en-AU"/>
        </w:rPr>
        <w:t>may be formed</w:t>
      </w:r>
      <w:proofErr w:type="gramEnd"/>
      <w:r w:rsidRPr="00DE06D5">
        <w:rPr>
          <w:rFonts w:ascii="Arial" w:eastAsia="Times New Roman" w:hAnsi="Arial" w:cs="Arial"/>
          <w:color w:val="222222"/>
          <w:lang w:eastAsia="en-AU"/>
        </w:rPr>
        <w:t xml:space="preserve"> to take action according to specific food category or sector priorities. The Executive Committee will meet three times per year, with Working Groups to meet as needed.</w:t>
      </w:r>
      <w:r w:rsidRPr="00DE06D5">
        <w:rPr>
          <w:rFonts w:ascii="Arial" w:eastAsia="Times New Roman" w:hAnsi="Arial" w:cs="Arial"/>
          <w:color w:val="222222"/>
          <w:lang w:eastAsia="en-AU"/>
        </w:rPr>
        <w:br/>
      </w:r>
      <w:r w:rsidRPr="00DE06D5">
        <w:rPr>
          <w:rFonts w:ascii="Arial" w:eastAsia="Times New Roman" w:hAnsi="Arial" w:cs="Arial"/>
          <w:color w:val="222222"/>
          <w:lang w:eastAsia="en-AU"/>
        </w:rPr>
        <w:br/>
        <w:t>The Secretariat will be located within the Australian Government Department of Health.</w:t>
      </w:r>
    </w:p>
    <w:sectPr w:rsidR="00DE06D5" w:rsidRPr="00DE06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5A6D"/>
    <w:multiLevelType w:val="multilevel"/>
    <w:tmpl w:val="8664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353E4E"/>
    <w:multiLevelType w:val="multilevel"/>
    <w:tmpl w:val="CC16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0B1678"/>
    <w:multiLevelType w:val="hybridMultilevel"/>
    <w:tmpl w:val="49EE9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2D553C5"/>
    <w:multiLevelType w:val="multilevel"/>
    <w:tmpl w:val="08EE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D5"/>
    <w:rsid w:val="00280050"/>
    <w:rsid w:val="006D554A"/>
    <w:rsid w:val="00DE06D5"/>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A715D"/>
  <w15:chartTrackingRefBased/>
  <w15:docId w15:val="{23B83607-D5ED-4BDE-8667-CEF115DBB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06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E06D5"/>
    <w:pPr>
      <w:spacing w:before="240" w:after="120" w:line="240" w:lineRule="auto"/>
      <w:outlineLvl w:val="1"/>
    </w:pPr>
    <w:rPr>
      <w:rFonts w:ascii="Open Sans" w:eastAsia="Times New Roman" w:hAnsi="Open Sans"/>
      <w:color w:val="000000"/>
      <w:sz w:val="33"/>
      <w:szCs w:val="33"/>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06D5"/>
    <w:rPr>
      <w:rFonts w:ascii="Open Sans" w:eastAsia="Times New Roman" w:hAnsi="Open Sans"/>
      <w:color w:val="000000"/>
      <w:sz w:val="33"/>
      <w:szCs w:val="33"/>
      <w:lang w:eastAsia="en-AU"/>
    </w:rPr>
  </w:style>
  <w:style w:type="character" w:styleId="Strong">
    <w:name w:val="Strong"/>
    <w:basedOn w:val="DefaultParagraphFont"/>
    <w:uiPriority w:val="22"/>
    <w:qFormat/>
    <w:rsid w:val="00DE06D5"/>
    <w:rPr>
      <w:b/>
      <w:bCs/>
    </w:rPr>
  </w:style>
  <w:style w:type="character" w:customStyle="1" w:styleId="Heading1Char">
    <w:name w:val="Heading 1 Char"/>
    <w:basedOn w:val="DefaultParagraphFont"/>
    <w:link w:val="Heading1"/>
    <w:uiPriority w:val="9"/>
    <w:rsid w:val="00DE06D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E06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739401">
      <w:bodyDiv w:val="1"/>
      <w:marLeft w:val="0"/>
      <w:marRight w:val="0"/>
      <w:marTop w:val="0"/>
      <w:marBottom w:val="0"/>
      <w:divBdr>
        <w:top w:val="none" w:sz="0" w:space="0" w:color="auto"/>
        <w:left w:val="none" w:sz="0" w:space="0" w:color="auto"/>
        <w:bottom w:val="none" w:sz="0" w:space="0" w:color="auto"/>
        <w:right w:val="none" w:sz="0" w:space="0" w:color="auto"/>
      </w:divBdr>
      <w:divsChild>
        <w:div w:id="1451703353">
          <w:marLeft w:val="0"/>
          <w:marRight w:val="0"/>
          <w:marTop w:val="240"/>
          <w:marBottom w:val="480"/>
          <w:divBdr>
            <w:top w:val="none" w:sz="0" w:space="0" w:color="auto"/>
            <w:left w:val="none" w:sz="0" w:space="0" w:color="auto"/>
            <w:bottom w:val="none" w:sz="0" w:space="0" w:color="auto"/>
            <w:right w:val="none" w:sz="0" w:space="0" w:color="auto"/>
          </w:divBdr>
          <w:divsChild>
            <w:div w:id="1647973049">
              <w:marLeft w:val="0"/>
              <w:marRight w:val="0"/>
              <w:marTop w:val="0"/>
              <w:marBottom w:val="0"/>
              <w:divBdr>
                <w:top w:val="none" w:sz="0" w:space="0" w:color="auto"/>
                <w:left w:val="none" w:sz="0" w:space="0" w:color="auto"/>
                <w:bottom w:val="none" w:sz="0" w:space="0" w:color="auto"/>
                <w:right w:val="none" w:sz="0" w:space="0" w:color="auto"/>
              </w:divBdr>
              <w:divsChild>
                <w:div w:id="1851093286">
                  <w:marLeft w:val="0"/>
                  <w:marRight w:val="0"/>
                  <w:marTop w:val="0"/>
                  <w:marBottom w:val="0"/>
                  <w:divBdr>
                    <w:top w:val="none" w:sz="0" w:space="0" w:color="auto"/>
                    <w:left w:val="none" w:sz="0" w:space="0" w:color="auto"/>
                    <w:bottom w:val="none" w:sz="0" w:space="0" w:color="auto"/>
                    <w:right w:val="none" w:sz="0" w:space="0" w:color="auto"/>
                  </w:divBdr>
                  <w:divsChild>
                    <w:div w:id="1462580050">
                      <w:marLeft w:val="0"/>
                      <w:marRight w:val="0"/>
                      <w:marTop w:val="0"/>
                      <w:marBottom w:val="0"/>
                      <w:divBdr>
                        <w:top w:val="none" w:sz="0" w:space="0" w:color="auto"/>
                        <w:left w:val="none" w:sz="0" w:space="0" w:color="auto"/>
                        <w:bottom w:val="none" w:sz="0" w:space="0" w:color="auto"/>
                        <w:right w:val="none" w:sz="0" w:space="0" w:color="auto"/>
                      </w:divBdr>
                      <w:divsChild>
                        <w:div w:id="94392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684</Words>
  <Characters>3905</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Healthy Food Partnership Executive Committee Terms of reference</vt:lpstr>
      <vt:lpstr>    Scope</vt:lpstr>
      <vt:lpstr>    Governance</vt:lpstr>
    </vt:vector>
  </TitlesOfParts>
  <Company>Department of Health</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Mel</dc:creator>
  <cp:keywords/>
  <dc:description/>
  <cp:lastModifiedBy>MARTIN, Mel</cp:lastModifiedBy>
  <cp:revision>1</cp:revision>
  <dcterms:created xsi:type="dcterms:W3CDTF">2021-06-20T23:02:00Z</dcterms:created>
  <dcterms:modified xsi:type="dcterms:W3CDTF">2021-06-20T23:06:00Z</dcterms:modified>
</cp:coreProperties>
</file>