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AF07F" w14:textId="5644DDAD" w:rsidR="00262127" w:rsidRPr="00F623CB" w:rsidRDefault="00262127" w:rsidP="00F623CB">
      <w:pPr>
        <w:pStyle w:val="Subtitle"/>
      </w:pPr>
      <w:bookmarkStart w:id="0" w:name="_Toc427153112"/>
      <w:r w:rsidRPr="00F623CB">
        <w:t>Medicare Benefits Schedule Review Taskforce</w:t>
      </w:r>
    </w:p>
    <w:p w14:paraId="6B191C50" w14:textId="781333AB" w:rsidR="00262127" w:rsidRPr="00327C01" w:rsidRDefault="000801A7" w:rsidP="00F623CB">
      <w:pPr>
        <w:pStyle w:val="Title"/>
        <w:rPr>
          <w:sz w:val="60"/>
          <w:szCs w:val="60"/>
        </w:rPr>
      </w:pPr>
      <w:r>
        <w:rPr>
          <w:sz w:val="60"/>
          <w:szCs w:val="60"/>
        </w:rPr>
        <w:t xml:space="preserve">First </w:t>
      </w:r>
      <w:r w:rsidR="00CE0E68" w:rsidRPr="00327C01">
        <w:rPr>
          <w:sz w:val="60"/>
          <w:szCs w:val="60"/>
        </w:rPr>
        <w:t xml:space="preserve">Report from the </w:t>
      </w:r>
      <w:r w:rsidR="00B84C4F">
        <w:rPr>
          <w:sz w:val="60"/>
          <w:szCs w:val="60"/>
        </w:rPr>
        <w:t>Pathology</w:t>
      </w:r>
      <w:r w:rsidR="00B90986" w:rsidRPr="00327C01">
        <w:rPr>
          <w:sz w:val="60"/>
          <w:szCs w:val="60"/>
        </w:rPr>
        <w:t xml:space="preserve"> Clinical </w:t>
      </w:r>
      <w:r w:rsidR="00262127" w:rsidRPr="00327C01">
        <w:rPr>
          <w:sz w:val="60"/>
          <w:szCs w:val="60"/>
        </w:rPr>
        <w:t>C</w:t>
      </w:r>
      <w:r w:rsidR="00552935" w:rsidRPr="00327C01">
        <w:rPr>
          <w:sz w:val="60"/>
          <w:szCs w:val="60"/>
        </w:rPr>
        <w:t>ommittee</w:t>
      </w:r>
      <w:r w:rsidR="00CF4DD0">
        <w:rPr>
          <w:sz w:val="60"/>
          <w:szCs w:val="60"/>
        </w:rPr>
        <w:t xml:space="preserve"> </w:t>
      </w:r>
      <w:r w:rsidR="00F72CD9">
        <w:rPr>
          <w:sz w:val="60"/>
          <w:szCs w:val="60"/>
        </w:rPr>
        <w:t>– Endocrine </w:t>
      </w:r>
      <w:r>
        <w:rPr>
          <w:sz w:val="60"/>
          <w:szCs w:val="60"/>
        </w:rPr>
        <w:t>T</w:t>
      </w:r>
      <w:r w:rsidR="00CF4DD0">
        <w:rPr>
          <w:sz w:val="60"/>
          <w:szCs w:val="60"/>
        </w:rPr>
        <w:t>ests</w:t>
      </w:r>
    </w:p>
    <w:p w14:paraId="3D6023A5" w14:textId="77777777" w:rsidR="008A49F1" w:rsidRPr="009200D8" w:rsidRDefault="00A8103F" w:rsidP="00905497">
      <w:pPr>
        <w:pStyle w:val="Subtitle"/>
        <w:rPr>
          <w:rStyle w:val="IntenseReference"/>
          <w:bCs w:val="0"/>
          <w:i w:val="0"/>
          <w:smallCaps w:val="0"/>
          <w:sz w:val="20"/>
          <w:szCs w:val="20"/>
        </w:rPr>
      </w:pPr>
      <w:bookmarkStart w:id="1" w:name="_Toc448369494"/>
      <w:r>
        <w:t>2017</w:t>
      </w:r>
      <w:r w:rsidR="008A49F1" w:rsidRPr="009200D8">
        <w:rPr>
          <w:rStyle w:val="IntenseReference"/>
          <w:bCs w:val="0"/>
          <w:i w:val="0"/>
          <w:smallCaps w:val="0"/>
          <w:sz w:val="20"/>
          <w:szCs w:val="20"/>
        </w:rPr>
        <w:br w:type="page"/>
      </w:r>
    </w:p>
    <w:p w14:paraId="2C445113"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3B1222">
        <w:rPr>
          <w:rFonts w:cs="Arial"/>
          <w:b/>
          <w:bCs/>
          <w:color w:val="01653F"/>
          <w:sz w:val="32"/>
          <w:szCs w:val="28"/>
        </w:rPr>
        <w:lastRenderedPageBreak/>
        <w:t>Important note</w:t>
      </w:r>
    </w:p>
    <w:p w14:paraId="53E72177" w14:textId="516C032C"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bCs/>
        </w:rPr>
      </w:pPr>
      <w:r w:rsidRPr="00913EA8">
        <w:rPr>
          <w:rFonts w:cs="Arial"/>
          <w:bCs/>
        </w:rPr>
        <w:t xml:space="preserve">The views and recommendations in this review report from the </w:t>
      </w:r>
      <w:r w:rsidR="004942CA">
        <w:rPr>
          <w:rFonts w:cs="Arial"/>
          <w:bCs/>
        </w:rPr>
        <w:t>C</w:t>
      </w:r>
      <w:r w:rsidR="004942CA" w:rsidRPr="00913EA8">
        <w:rPr>
          <w:rFonts w:cs="Arial"/>
          <w:bCs/>
        </w:rPr>
        <w:t xml:space="preserve">linical </w:t>
      </w:r>
      <w:r w:rsidR="004942CA">
        <w:rPr>
          <w:rFonts w:cs="Arial"/>
          <w:bCs/>
        </w:rPr>
        <w:t>C</w:t>
      </w:r>
      <w:r w:rsidR="004942CA" w:rsidRPr="00913EA8">
        <w:rPr>
          <w:rFonts w:cs="Arial"/>
          <w:bCs/>
        </w:rPr>
        <w:t xml:space="preserve">ommittee </w:t>
      </w:r>
      <w:r w:rsidRPr="00913EA8">
        <w:rPr>
          <w:rFonts w:cs="Arial"/>
          <w:bCs/>
        </w:rPr>
        <w:t>have been released for the purpose of seeking the views of stakeholders.</w:t>
      </w:r>
    </w:p>
    <w:p w14:paraId="64FBAAB8"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noProof/>
        </w:rPr>
      </w:pPr>
      <w:r w:rsidRPr="00913EA8">
        <w:rPr>
          <w:rFonts w:cs="Arial"/>
          <w:bCs/>
        </w:rPr>
        <w:t>This report does not constitute the final position on these items</w:t>
      </w:r>
      <w:r w:rsidR="00E53564">
        <w:rPr>
          <w:rFonts w:cs="Arial"/>
          <w:bCs/>
        </w:rPr>
        <w:t>,</w:t>
      </w:r>
      <w:r w:rsidRPr="00913EA8">
        <w:rPr>
          <w:rFonts w:cs="Arial"/>
          <w:bCs/>
        </w:rPr>
        <w:t xml:space="preserve"> which is subject to:</w:t>
      </w:r>
    </w:p>
    <w:p w14:paraId="25D1428A"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AC60DB">
        <w:rPr>
          <w:rFonts w:eastAsia="MS Mincho"/>
        </w:rPr>
        <w:t>Stakeholder feedback</w:t>
      </w:r>
      <w:r w:rsidRPr="00F126D6">
        <w:rPr>
          <w:bCs/>
        </w:rPr>
        <w:t>;</w:t>
      </w:r>
    </w:p>
    <w:p w14:paraId="67F27EF9"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t>Then</w:t>
      </w:r>
    </w:p>
    <w:p w14:paraId="5CFE044D"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MBS</w:t>
      </w:r>
      <w:r w:rsidR="00E53564">
        <w:rPr>
          <w:bCs/>
        </w:rPr>
        <w:t xml:space="preserve"> </w:t>
      </w:r>
      <w:r>
        <w:rPr>
          <w:bCs/>
        </w:rPr>
        <w:t>R</w:t>
      </w:r>
      <w:r w:rsidRPr="00F126D6">
        <w:rPr>
          <w:bCs/>
        </w:rPr>
        <w:t xml:space="preserve">eview </w:t>
      </w:r>
      <w:r>
        <w:rPr>
          <w:bCs/>
        </w:rPr>
        <w:t>T</w:t>
      </w:r>
      <w:r w:rsidRPr="00F126D6">
        <w:rPr>
          <w:bCs/>
        </w:rPr>
        <w:t>askforce;</w:t>
      </w:r>
    </w:p>
    <w:p w14:paraId="17F7E2C1" w14:textId="77777777" w:rsidR="00F623CB" w:rsidRPr="001B6B24" w:rsidRDefault="00F623CB" w:rsidP="00F623CB">
      <w:pPr>
        <w:pStyle w:val="BoxText"/>
        <w:pBdr>
          <w:top w:val="single" w:sz="12" w:space="4" w:color="984806"/>
          <w:left w:val="single" w:sz="12" w:space="4" w:color="984806"/>
          <w:bottom w:val="single" w:sz="12" w:space="4" w:color="984806"/>
          <w:right w:val="single" w:sz="12" w:space="4" w:color="984806"/>
        </w:pBdr>
      </w:pPr>
      <w:r w:rsidRPr="00913EA8">
        <w:t xml:space="preserve">Then </w:t>
      </w:r>
      <w:r w:rsidRPr="001B6B24">
        <w:rPr>
          <w:i/>
        </w:rPr>
        <w:t>if endorsed</w:t>
      </w:r>
    </w:p>
    <w:p w14:paraId="1BC2C55B"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 xml:space="preserve">Consideration by the </w:t>
      </w:r>
      <w:r>
        <w:rPr>
          <w:bCs/>
        </w:rPr>
        <w:t>M</w:t>
      </w:r>
      <w:r w:rsidRPr="00F126D6">
        <w:rPr>
          <w:bCs/>
        </w:rPr>
        <w:t xml:space="preserve">inister for </w:t>
      </w:r>
      <w:r>
        <w:rPr>
          <w:bCs/>
        </w:rPr>
        <w:t>H</w:t>
      </w:r>
      <w:r w:rsidRPr="00F126D6">
        <w:rPr>
          <w:bCs/>
        </w:rPr>
        <w:t>ealth; and</w:t>
      </w:r>
    </w:p>
    <w:p w14:paraId="1A19F33A" w14:textId="77777777" w:rsidR="00F623CB" w:rsidRPr="001B6B24" w:rsidRDefault="00F623CB" w:rsidP="00F623CB">
      <w:pPr>
        <w:pStyle w:val="BoxBullet"/>
        <w:pBdr>
          <w:top w:val="single" w:sz="12" w:space="4" w:color="984806"/>
          <w:left w:val="single" w:sz="12" w:space="4" w:color="984806"/>
          <w:bottom w:val="single" w:sz="12" w:space="4" w:color="984806"/>
          <w:right w:val="single" w:sz="12" w:space="4" w:color="984806"/>
        </w:pBdr>
      </w:pPr>
      <w:r w:rsidRPr="00F126D6">
        <w:rPr>
          <w:bCs/>
        </w:rPr>
        <w:t>Government.</w:t>
      </w:r>
    </w:p>
    <w:p w14:paraId="7094B044" w14:textId="13B23018"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913EA8">
        <w:rPr>
          <w:rFonts w:cs="Arial"/>
          <w:bCs/>
        </w:rPr>
        <w:t xml:space="preserve">Stakeholders should provide comment on the recommendations via the </w:t>
      </w:r>
      <w:r w:rsidR="009B08ED" w:rsidRPr="007F345C">
        <w:rPr>
          <w:rFonts w:eastAsiaTheme="majorEastAsia"/>
        </w:rPr>
        <w:t>online consultation tool</w:t>
      </w:r>
      <w:r w:rsidRPr="007F345C">
        <w:rPr>
          <w:rFonts w:cs="Arial"/>
        </w:rPr>
        <w:t>.</w:t>
      </w:r>
    </w:p>
    <w:p w14:paraId="133B0363" w14:textId="77777777" w:rsidR="00F623CB" w:rsidRDefault="00F623CB" w:rsidP="00F623CB">
      <w:pPr>
        <w:pStyle w:val="BoxText"/>
        <w:pBdr>
          <w:top w:val="single" w:sz="12" w:space="4" w:color="984806"/>
          <w:left w:val="single" w:sz="12" w:space="4" w:color="984806"/>
          <w:bottom w:val="single" w:sz="12" w:space="4" w:color="984806"/>
          <w:right w:val="single" w:sz="12" w:space="4" w:color="984806"/>
        </w:pBdr>
        <w:rPr>
          <w:rFonts w:cs="Arial"/>
          <w:u w:val="single"/>
        </w:rPr>
      </w:pPr>
      <w:r w:rsidRPr="003B1222">
        <w:rPr>
          <w:rFonts w:cs="Arial"/>
          <w:b/>
          <w:bCs/>
          <w:color w:val="01653F"/>
        </w:rPr>
        <w:t>Confidentiality of comments:</w:t>
      </w:r>
    </w:p>
    <w:p w14:paraId="59FDA8FB" w14:textId="77777777" w:rsidR="00262127" w:rsidRPr="009200D8" w:rsidRDefault="00F623CB" w:rsidP="00F623CB">
      <w:pPr>
        <w:pStyle w:val="BoxText"/>
        <w:pBdr>
          <w:top w:val="single" w:sz="12" w:space="4" w:color="984806"/>
          <w:left w:val="single" w:sz="12" w:space="4" w:color="984806"/>
          <w:bottom w:val="single" w:sz="12" w:space="4" w:color="984806"/>
          <w:right w:val="single" w:sz="12" w:space="4" w:color="984806"/>
        </w:pBdr>
        <w:rPr>
          <w:rFonts w:cs="Arial"/>
        </w:rPr>
      </w:pPr>
      <w:r w:rsidRPr="00913EA8">
        <w:rPr>
          <w:rFonts w:cs="Arial"/>
          <w:bCs/>
        </w:rPr>
        <w:t xml:space="preserve">If you want your </w:t>
      </w:r>
      <w:r w:rsidR="004004C3">
        <w:rPr>
          <w:rFonts w:cs="Arial"/>
          <w:bCs/>
        </w:rPr>
        <w:t>feedback</w:t>
      </w:r>
      <w:r w:rsidR="00E53564">
        <w:rPr>
          <w:rFonts w:cs="Arial"/>
          <w:bCs/>
        </w:rPr>
        <w:t xml:space="preserve"> </w:t>
      </w:r>
      <w:r w:rsidRPr="00913EA8">
        <w:rPr>
          <w:rFonts w:cs="Arial"/>
          <w:bCs/>
        </w:rPr>
        <w:t xml:space="preserve">to remain confidential please mark it as such. It is important to be aware that confidential </w:t>
      </w:r>
      <w:r w:rsidR="004004C3">
        <w:rPr>
          <w:rFonts w:cs="Arial"/>
          <w:bCs/>
        </w:rPr>
        <w:t>feedback</w:t>
      </w:r>
      <w:r w:rsidR="00E53564">
        <w:rPr>
          <w:rFonts w:cs="Arial"/>
          <w:bCs/>
        </w:rPr>
        <w:t xml:space="preserve"> </w:t>
      </w:r>
      <w:r w:rsidRPr="00913EA8">
        <w:rPr>
          <w:rFonts w:cs="Arial"/>
          <w:bCs/>
        </w:rPr>
        <w:t>may still be subject to access under freedom of information law.</w:t>
      </w:r>
    </w:p>
    <w:p w14:paraId="734891FA" w14:textId="77777777" w:rsidR="00C14752" w:rsidRDefault="00C14752" w:rsidP="003F788A">
      <w:pPr>
        <w:spacing w:before="120" w:after="120"/>
        <w:rPr>
          <w:rFonts w:cs="Arial"/>
        </w:rPr>
        <w:sectPr w:rsidR="00C14752" w:rsidSect="00326D7D">
          <w:pgSz w:w="11906" w:h="16838" w:code="9"/>
          <w:pgMar w:top="1134" w:right="1440" w:bottom="1134" w:left="1440" w:header="720" w:footer="720" w:gutter="0"/>
          <w:paperSrc w:first="2" w:other="2"/>
          <w:cols w:space="720"/>
          <w:docGrid w:linePitch="326"/>
        </w:sectPr>
      </w:pPr>
    </w:p>
    <w:p w14:paraId="42151A22" w14:textId="77777777" w:rsidR="00C56DF9" w:rsidRPr="003B1222" w:rsidRDefault="00C56DF9" w:rsidP="003F788A">
      <w:pPr>
        <w:spacing w:before="120" w:after="120"/>
        <w:rPr>
          <w:rFonts w:cs="Arial"/>
          <w:b/>
          <w:color w:val="01653F"/>
          <w:sz w:val="32"/>
          <w:szCs w:val="32"/>
        </w:rPr>
      </w:pPr>
      <w:r w:rsidRPr="003B1222">
        <w:rPr>
          <w:rFonts w:cs="Arial"/>
          <w:b/>
          <w:color w:val="01653F"/>
          <w:sz w:val="32"/>
          <w:szCs w:val="32"/>
        </w:rPr>
        <w:lastRenderedPageBreak/>
        <w:t>Table of Contents</w:t>
      </w:r>
      <w:bookmarkEnd w:id="1"/>
    </w:p>
    <w:p w14:paraId="55CF7B63" w14:textId="77777777" w:rsidR="000E347D" w:rsidRDefault="007703B3">
      <w:pPr>
        <w:pStyle w:val="TOC1"/>
        <w:tabs>
          <w:tab w:val="left" w:pos="440"/>
          <w:tab w:val="right" w:leader="dot" w:pos="9016"/>
        </w:tabs>
        <w:rPr>
          <w:rFonts w:eastAsiaTheme="minorEastAsia" w:cstheme="minorBidi"/>
          <w:b w:val="0"/>
          <w:noProof/>
        </w:rPr>
      </w:pPr>
      <w:r>
        <w:fldChar w:fldCharType="begin"/>
      </w:r>
      <w:r>
        <w:instrText xml:space="preserve"> TOC \o "1-3" \h \z \u </w:instrText>
      </w:r>
      <w:r>
        <w:fldChar w:fldCharType="separate"/>
      </w:r>
      <w:hyperlink w:anchor="_Toc485296582" w:history="1">
        <w:r w:rsidR="000E347D" w:rsidRPr="00277E11">
          <w:rPr>
            <w:rStyle w:val="Hyperlink"/>
            <w:noProof/>
          </w:rPr>
          <w:t>1.</w:t>
        </w:r>
        <w:r w:rsidR="000E347D">
          <w:rPr>
            <w:rFonts w:eastAsiaTheme="minorEastAsia" w:cstheme="minorBidi"/>
            <w:b w:val="0"/>
            <w:noProof/>
          </w:rPr>
          <w:tab/>
        </w:r>
        <w:r w:rsidR="000E347D" w:rsidRPr="00277E11">
          <w:rPr>
            <w:rStyle w:val="Hyperlink"/>
            <w:noProof/>
          </w:rPr>
          <w:t>Executive Summary</w:t>
        </w:r>
        <w:r w:rsidR="000E347D">
          <w:rPr>
            <w:noProof/>
            <w:webHidden/>
          </w:rPr>
          <w:tab/>
        </w:r>
        <w:r w:rsidR="000E347D">
          <w:rPr>
            <w:noProof/>
            <w:webHidden/>
          </w:rPr>
          <w:fldChar w:fldCharType="begin"/>
        </w:r>
        <w:r w:rsidR="000E347D">
          <w:rPr>
            <w:noProof/>
            <w:webHidden/>
          </w:rPr>
          <w:instrText xml:space="preserve"> PAGEREF _Toc485296582 \h </w:instrText>
        </w:r>
        <w:r w:rsidR="000E347D">
          <w:rPr>
            <w:noProof/>
            <w:webHidden/>
          </w:rPr>
        </w:r>
        <w:r w:rsidR="000E347D">
          <w:rPr>
            <w:noProof/>
            <w:webHidden/>
          </w:rPr>
          <w:fldChar w:fldCharType="separate"/>
        </w:r>
        <w:r w:rsidR="000E347D">
          <w:rPr>
            <w:noProof/>
            <w:webHidden/>
          </w:rPr>
          <w:t>4</w:t>
        </w:r>
        <w:r w:rsidR="000E347D">
          <w:rPr>
            <w:noProof/>
            <w:webHidden/>
          </w:rPr>
          <w:fldChar w:fldCharType="end"/>
        </w:r>
      </w:hyperlink>
    </w:p>
    <w:p w14:paraId="13BD5FA2" w14:textId="77777777" w:rsidR="000E347D" w:rsidRDefault="0016786F">
      <w:pPr>
        <w:pStyle w:val="TOC2"/>
        <w:rPr>
          <w:rFonts w:eastAsiaTheme="minorEastAsia" w:cstheme="minorBidi"/>
          <w:noProof/>
        </w:rPr>
      </w:pPr>
      <w:hyperlink w:anchor="_Toc485296583" w:history="1">
        <w:r w:rsidR="000E347D" w:rsidRPr="00277E11">
          <w:rPr>
            <w:rStyle w:val="Hyperlink"/>
            <w:noProof/>
          </w:rPr>
          <w:t>1.1</w:t>
        </w:r>
        <w:r w:rsidR="000E347D">
          <w:rPr>
            <w:rFonts w:eastAsiaTheme="minorEastAsia" w:cstheme="minorBidi"/>
            <w:noProof/>
          </w:rPr>
          <w:tab/>
        </w:r>
        <w:r w:rsidR="000E347D" w:rsidRPr="00277E11">
          <w:rPr>
            <w:rStyle w:val="Hyperlink"/>
            <w:noProof/>
          </w:rPr>
          <w:t>Key recommendations</w:t>
        </w:r>
        <w:r w:rsidR="000E347D">
          <w:rPr>
            <w:noProof/>
            <w:webHidden/>
          </w:rPr>
          <w:tab/>
        </w:r>
        <w:r w:rsidR="000E347D">
          <w:rPr>
            <w:noProof/>
            <w:webHidden/>
          </w:rPr>
          <w:fldChar w:fldCharType="begin"/>
        </w:r>
        <w:r w:rsidR="000E347D">
          <w:rPr>
            <w:noProof/>
            <w:webHidden/>
          </w:rPr>
          <w:instrText xml:space="preserve"> PAGEREF _Toc485296583 \h </w:instrText>
        </w:r>
        <w:r w:rsidR="000E347D">
          <w:rPr>
            <w:noProof/>
            <w:webHidden/>
          </w:rPr>
        </w:r>
        <w:r w:rsidR="000E347D">
          <w:rPr>
            <w:noProof/>
            <w:webHidden/>
          </w:rPr>
          <w:fldChar w:fldCharType="separate"/>
        </w:r>
        <w:r w:rsidR="000E347D">
          <w:rPr>
            <w:noProof/>
            <w:webHidden/>
          </w:rPr>
          <w:t>4</w:t>
        </w:r>
        <w:r w:rsidR="000E347D">
          <w:rPr>
            <w:noProof/>
            <w:webHidden/>
          </w:rPr>
          <w:fldChar w:fldCharType="end"/>
        </w:r>
      </w:hyperlink>
    </w:p>
    <w:p w14:paraId="630A7515" w14:textId="77777777" w:rsidR="000E347D" w:rsidRDefault="0016786F">
      <w:pPr>
        <w:pStyle w:val="TOC2"/>
        <w:rPr>
          <w:rFonts w:eastAsiaTheme="minorEastAsia" w:cstheme="minorBidi"/>
          <w:noProof/>
        </w:rPr>
      </w:pPr>
      <w:hyperlink w:anchor="_Toc485296584" w:history="1">
        <w:r w:rsidR="000E347D" w:rsidRPr="00277E11">
          <w:rPr>
            <w:rStyle w:val="Hyperlink"/>
            <w:noProof/>
          </w:rPr>
          <w:t>1.2</w:t>
        </w:r>
        <w:r w:rsidR="000E347D">
          <w:rPr>
            <w:rFonts w:eastAsiaTheme="minorEastAsia" w:cstheme="minorBidi"/>
            <w:noProof/>
          </w:rPr>
          <w:tab/>
        </w:r>
        <w:r w:rsidR="000E347D" w:rsidRPr="00277E11">
          <w:rPr>
            <w:rStyle w:val="Hyperlink"/>
            <w:noProof/>
          </w:rPr>
          <w:t>Consumer engagement</w:t>
        </w:r>
        <w:r w:rsidR="000E347D">
          <w:rPr>
            <w:noProof/>
            <w:webHidden/>
          </w:rPr>
          <w:tab/>
        </w:r>
        <w:r w:rsidR="000E347D">
          <w:rPr>
            <w:noProof/>
            <w:webHidden/>
          </w:rPr>
          <w:fldChar w:fldCharType="begin"/>
        </w:r>
        <w:r w:rsidR="000E347D">
          <w:rPr>
            <w:noProof/>
            <w:webHidden/>
          </w:rPr>
          <w:instrText xml:space="preserve"> PAGEREF _Toc485296584 \h </w:instrText>
        </w:r>
        <w:r w:rsidR="000E347D">
          <w:rPr>
            <w:noProof/>
            <w:webHidden/>
          </w:rPr>
        </w:r>
        <w:r w:rsidR="000E347D">
          <w:rPr>
            <w:noProof/>
            <w:webHidden/>
          </w:rPr>
          <w:fldChar w:fldCharType="separate"/>
        </w:r>
        <w:r w:rsidR="000E347D">
          <w:rPr>
            <w:noProof/>
            <w:webHidden/>
          </w:rPr>
          <w:t>6</w:t>
        </w:r>
        <w:r w:rsidR="000E347D">
          <w:rPr>
            <w:noProof/>
            <w:webHidden/>
          </w:rPr>
          <w:fldChar w:fldCharType="end"/>
        </w:r>
      </w:hyperlink>
    </w:p>
    <w:p w14:paraId="233A9F6A" w14:textId="77777777" w:rsidR="000E347D" w:rsidRDefault="0016786F">
      <w:pPr>
        <w:pStyle w:val="TOC1"/>
        <w:tabs>
          <w:tab w:val="left" w:pos="440"/>
          <w:tab w:val="right" w:leader="dot" w:pos="9016"/>
        </w:tabs>
        <w:rPr>
          <w:rFonts w:eastAsiaTheme="minorEastAsia" w:cstheme="minorBidi"/>
          <w:b w:val="0"/>
          <w:noProof/>
        </w:rPr>
      </w:pPr>
      <w:hyperlink w:anchor="_Toc485296585" w:history="1">
        <w:r w:rsidR="000E347D" w:rsidRPr="00277E11">
          <w:rPr>
            <w:rStyle w:val="Hyperlink"/>
            <w:noProof/>
          </w:rPr>
          <w:t>2.</w:t>
        </w:r>
        <w:r w:rsidR="000E347D">
          <w:rPr>
            <w:rFonts w:eastAsiaTheme="minorEastAsia" w:cstheme="minorBidi"/>
            <w:b w:val="0"/>
            <w:noProof/>
          </w:rPr>
          <w:tab/>
        </w:r>
        <w:r w:rsidR="000E347D" w:rsidRPr="00277E11">
          <w:rPr>
            <w:rStyle w:val="Hyperlink"/>
            <w:noProof/>
          </w:rPr>
          <w:t>About the Medicare Benefits Schedule (MBS) Review</w:t>
        </w:r>
        <w:r w:rsidR="000E347D">
          <w:rPr>
            <w:noProof/>
            <w:webHidden/>
          </w:rPr>
          <w:tab/>
        </w:r>
        <w:r w:rsidR="000E347D">
          <w:rPr>
            <w:noProof/>
            <w:webHidden/>
          </w:rPr>
          <w:fldChar w:fldCharType="begin"/>
        </w:r>
        <w:r w:rsidR="000E347D">
          <w:rPr>
            <w:noProof/>
            <w:webHidden/>
          </w:rPr>
          <w:instrText xml:space="preserve"> PAGEREF _Toc485296585 \h </w:instrText>
        </w:r>
        <w:r w:rsidR="000E347D">
          <w:rPr>
            <w:noProof/>
            <w:webHidden/>
          </w:rPr>
        </w:r>
        <w:r w:rsidR="000E347D">
          <w:rPr>
            <w:noProof/>
            <w:webHidden/>
          </w:rPr>
          <w:fldChar w:fldCharType="separate"/>
        </w:r>
        <w:r w:rsidR="000E347D">
          <w:rPr>
            <w:noProof/>
            <w:webHidden/>
          </w:rPr>
          <w:t>8</w:t>
        </w:r>
        <w:r w:rsidR="000E347D">
          <w:rPr>
            <w:noProof/>
            <w:webHidden/>
          </w:rPr>
          <w:fldChar w:fldCharType="end"/>
        </w:r>
      </w:hyperlink>
    </w:p>
    <w:p w14:paraId="1B0277DB" w14:textId="77777777" w:rsidR="000E347D" w:rsidRDefault="0016786F">
      <w:pPr>
        <w:pStyle w:val="TOC2"/>
        <w:rPr>
          <w:rFonts w:eastAsiaTheme="minorEastAsia" w:cstheme="minorBidi"/>
          <w:noProof/>
        </w:rPr>
      </w:pPr>
      <w:hyperlink w:anchor="_Toc485296586" w:history="1">
        <w:r w:rsidR="000E347D" w:rsidRPr="00277E11">
          <w:rPr>
            <w:rStyle w:val="Hyperlink"/>
            <w:noProof/>
          </w:rPr>
          <w:t>2.1</w:t>
        </w:r>
        <w:r w:rsidR="000E347D">
          <w:rPr>
            <w:rFonts w:eastAsiaTheme="minorEastAsia" w:cstheme="minorBidi"/>
            <w:noProof/>
          </w:rPr>
          <w:tab/>
        </w:r>
        <w:r w:rsidR="000E347D" w:rsidRPr="00277E11">
          <w:rPr>
            <w:rStyle w:val="Hyperlink"/>
            <w:noProof/>
          </w:rPr>
          <w:t>Medicare and the MBS</w:t>
        </w:r>
        <w:r w:rsidR="000E347D">
          <w:rPr>
            <w:noProof/>
            <w:webHidden/>
          </w:rPr>
          <w:tab/>
        </w:r>
        <w:r w:rsidR="000E347D">
          <w:rPr>
            <w:noProof/>
            <w:webHidden/>
          </w:rPr>
          <w:fldChar w:fldCharType="begin"/>
        </w:r>
        <w:r w:rsidR="000E347D">
          <w:rPr>
            <w:noProof/>
            <w:webHidden/>
          </w:rPr>
          <w:instrText xml:space="preserve"> PAGEREF _Toc485296586 \h </w:instrText>
        </w:r>
        <w:r w:rsidR="000E347D">
          <w:rPr>
            <w:noProof/>
            <w:webHidden/>
          </w:rPr>
        </w:r>
        <w:r w:rsidR="000E347D">
          <w:rPr>
            <w:noProof/>
            <w:webHidden/>
          </w:rPr>
          <w:fldChar w:fldCharType="separate"/>
        </w:r>
        <w:r w:rsidR="000E347D">
          <w:rPr>
            <w:noProof/>
            <w:webHidden/>
          </w:rPr>
          <w:t>8</w:t>
        </w:r>
        <w:r w:rsidR="000E347D">
          <w:rPr>
            <w:noProof/>
            <w:webHidden/>
          </w:rPr>
          <w:fldChar w:fldCharType="end"/>
        </w:r>
      </w:hyperlink>
    </w:p>
    <w:p w14:paraId="48BCD7F0" w14:textId="77777777" w:rsidR="000E347D" w:rsidRDefault="0016786F">
      <w:pPr>
        <w:pStyle w:val="TOC2"/>
        <w:rPr>
          <w:rFonts w:eastAsiaTheme="minorEastAsia" w:cstheme="minorBidi"/>
          <w:noProof/>
        </w:rPr>
      </w:pPr>
      <w:hyperlink w:anchor="_Toc485296587" w:history="1">
        <w:r w:rsidR="000E347D" w:rsidRPr="00277E11">
          <w:rPr>
            <w:rStyle w:val="Hyperlink"/>
            <w:noProof/>
          </w:rPr>
          <w:t>2.2</w:t>
        </w:r>
        <w:r w:rsidR="000E347D">
          <w:rPr>
            <w:rFonts w:eastAsiaTheme="minorEastAsia" w:cstheme="minorBidi"/>
            <w:noProof/>
          </w:rPr>
          <w:tab/>
        </w:r>
        <w:r w:rsidR="000E347D" w:rsidRPr="00277E11">
          <w:rPr>
            <w:rStyle w:val="Hyperlink"/>
            <w:noProof/>
          </w:rPr>
          <w:t>What is the MBS Review Taskforce?</w:t>
        </w:r>
        <w:r w:rsidR="000E347D">
          <w:rPr>
            <w:noProof/>
            <w:webHidden/>
          </w:rPr>
          <w:tab/>
        </w:r>
        <w:r w:rsidR="000E347D">
          <w:rPr>
            <w:noProof/>
            <w:webHidden/>
          </w:rPr>
          <w:fldChar w:fldCharType="begin"/>
        </w:r>
        <w:r w:rsidR="000E347D">
          <w:rPr>
            <w:noProof/>
            <w:webHidden/>
          </w:rPr>
          <w:instrText xml:space="preserve"> PAGEREF _Toc485296587 \h </w:instrText>
        </w:r>
        <w:r w:rsidR="000E347D">
          <w:rPr>
            <w:noProof/>
            <w:webHidden/>
          </w:rPr>
        </w:r>
        <w:r w:rsidR="000E347D">
          <w:rPr>
            <w:noProof/>
            <w:webHidden/>
          </w:rPr>
          <w:fldChar w:fldCharType="separate"/>
        </w:r>
        <w:r w:rsidR="000E347D">
          <w:rPr>
            <w:noProof/>
            <w:webHidden/>
          </w:rPr>
          <w:t>8</w:t>
        </w:r>
        <w:r w:rsidR="000E347D">
          <w:rPr>
            <w:noProof/>
            <w:webHidden/>
          </w:rPr>
          <w:fldChar w:fldCharType="end"/>
        </w:r>
      </w:hyperlink>
    </w:p>
    <w:p w14:paraId="0FB4E1B1" w14:textId="77777777" w:rsidR="000E347D" w:rsidRDefault="0016786F">
      <w:pPr>
        <w:pStyle w:val="TOC2"/>
        <w:rPr>
          <w:rFonts w:eastAsiaTheme="minorEastAsia" w:cstheme="minorBidi"/>
          <w:noProof/>
        </w:rPr>
      </w:pPr>
      <w:hyperlink w:anchor="_Toc485296588" w:history="1">
        <w:r w:rsidR="000E347D" w:rsidRPr="00277E11">
          <w:rPr>
            <w:rStyle w:val="Hyperlink"/>
            <w:noProof/>
          </w:rPr>
          <w:t>2.3</w:t>
        </w:r>
        <w:r w:rsidR="000E347D">
          <w:rPr>
            <w:rFonts w:eastAsiaTheme="minorEastAsia" w:cstheme="minorBidi"/>
            <w:noProof/>
          </w:rPr>
          <w:tab/>
        </w:r>
        <w:r w:rsidR="000E347D" w:rsidRPr="00277E11">
          <w:rPr>
            <w:rStyle w:val="Hyperlink"/>
            <w:noProof/>
          </w:rPr>
          <w:t>The Taskforce’s approach</w:t>
        </w:r>
        <w:r w:rsidR="000E347D">
          <w:rPr>
            <w:noProof/>
            <w:webHidden/>
          </w:rPr>
          <w:tab/>
        </w:r>
        <w:r w:rsidR="000E347D">
          <w:rPr>
            <w:noProof/>
            <w:webHidden/>
          </w:rPr>
          <w:fldChar w:fldCharType="begin"/>
        </w:r>
        <w:r w:rsidR="000E347D">
          <w:rPr>
            <w:noProof/>
            <w:webHidden/>
          </w:rPr>
          <w:instrText xml:space="preserve"> PAGEREF _Toc485296588 \h </w:instrText>
        </w:r>
        <w:r w:rsidR="000E347D">
          <w:rPr>
            <w:noProof/>
            <w:webHidden/>
          </w:rPr>
        </w:r>
        <w:r w:rsidR="000E347D">
          <w:rPr>
            <w:noProof/>
            <w:webHidden/>
          </w:rPr>
          <w:fldChar w:fldCharType="separate"/>
        </w:r>
        <w:r w:rsidR="000E347D">
          <w:rPr>
            <w:noProof/>
            <w:webHidden/>
          </w:rPr>
          <w:t>9</w:t>
        </w:r>
        <w:r w:rsidR="000E347D">
          <w:rPr>
            <w:noProof/>
            <w:webHidden/>
          </w:rPr>
          <w:fldChar w:fldCharType="end"/>
        </w:r>
      </w:hyperlink>
    </w:p>
    <w:p w14:paraId="2942EC10" w14:textId="77777777" w:rsidR="000E347D" w:rsidRDefault="0016786F">
      <w:pPr>
        <w:pStyle w:val="TOC2"/>
        <w:rPr>
          <w:rFonts w:eastAsiaTheme="minorEastAsia" w:cstheme="minorBidi"/>
          <w:noProof/>
        </w:rPr>
      </w:pPr>
      <w:hyperlink w:anchor="_Toc485296589" w:history="1">
        <w:r w:rsidR="000E347D" w:rsidRPr="00277E11">
          <w:rPr>
            <w:rStyle w:val="Hyperlink"/>
            <w:noProof/>
          </w:rPr>
          <w:t>2.4</w:t>
        </w:r>
        <w:r w:rsidR="000E347D">
          <w:rPr>
            <w:rFonts w:eastAsiaTheme="minorEastAsia" w:cstheme="minorBidi"/>
            <w:noProof/>
          </w:rPr>
          <w:tab/>
        </w:r>
        <w:r w:rsidR="000E347D" w:rsidRPr="00277E11">
          <w:rPr>
            <w:rStyle w:val="Hyperlink"/>
            <w:noProof/>
          </w:rPr>
          <w:t>Prioritisation process</w:t>
        </w:r>
        <w:r w:rsidR="000E347D">
          <w:rPr>
            <w:noProof/>
            <w:webHidden/>
          </w:rPr>
          <w:tab/>
        </w:r>
        <w:r w:rsidR="000E347D">
          <w:rPr>
            <w:noProof/>
            <w:webHidden/>
          </w:rPr>
          <w:fldChar w:fldCharType="begin"/>
        </w:r>
        <w:r w:rsidR="000E347D">
          <w:rPr>
            <w:noProof/>
            <w:webHidden/>
          </w:rPr>
          <w:instrText xml:space="preserve"> PAGEREF _Toc485296589 \h </w:instrText>
        </w:r>
        <w:r w:rsidR="000E347D">
          <w:rPr>
            <w:noProof/>
            <w:webHidden/>
          </w:rPr>
        </w:r>
        <w:r w:rsidR="000E347D">
          <w:rPr>
            <w:noProof/>
            <w:webHidden/>
          </w:rPr>
          <w:fldChar w:fldCharType="separate"/>
        </w:r>
        <w:r w:rsidR="000E347D">
          <w:rPr>
            <w:noProof/>
            <w:webHidden/>
          </w:rPr>
          <w:t>9</w:t>
        </w:r>
        <w:r w:rsidR="000E347D">
          <w:rPr>
            <w:noProof/>
            <w:webHidden/>
          </w:rPr>
          <w:fldChar w:fldCharType="end"/>
        </w:r>
      </w:hyperlink>
    </w:p>
    <w:p w14:paraId="0766F476" w14:textId="77777777" w:rsidR="000E347D" w:rsidRDefault="0016786F">
      <w:pPr>
        <w:pStyle w:val="TOC1"/>
        <w:tabs>
          <w:tab w:val="left" w:pos="440"/>
          <w:tab w:val="right" w:leader="dot" w:pos="9016"/>
        </w:tabs>
        <w:rPr>
          <w:rFonts w:eastAsiaTheme="minorEastAsia" w:cstheme="minorBidi"/>
          <w:b w:val="0"/>
          <w:noProof/>
        </w:rPr>
      </w:pPr>
      <w:hyperlink w:anchor="_Toc485296590" w:history="1">
        <w:r w:rsidR="000E347D" w:rsidRPr="00277E11">
          <w:rPr>
            <w:rStyle w:val="Hyperlink"/>
            <w:noProof/>
          </w:rPr>
          <w:t>3.</w:t>
        </w:r>
        <w:r w:rsidR="000E347D">
          <w:rPr>
            <w:rFonts w:eastAsiaTheme="minorEastAsia" w:cstheme="minorBidi"/>
            <w:b w:val="0"/>
            <w:noProof/>
          </w:rPr>
          <w:tab/>
        </w:r>
        <w:r w:rsidR="000E347D" w:rsidRPr="00277E11">
          <w:rPr>
            <w:rStyle w:val="Hyperlink"/>
            <w:noProof/>
          </w:rPr>
          <w:t>About the Pathology Clinical Committee</w:t>
        </w:r>
        <w:r w:rsidR="000E347D">
          <w:rPr>
            <w:noProof/>
            <w:webHidden/>
          </w:rPr>
          <w:tab/>
        </w:r>
        <w:r w:rsidR="000E347D">
          <w:rPr>
            <w:noProof/>
            <w:webHidden/>
          </w:rPr>
          <w:fldChar w:fldCharType="begin"/>
        </w:r>
        <w:r w:rsidR="000E347D">
          <w:rPr>
            <w:noProof/>
            <w:webHidden/>
          </w:rPr>
          <w:instrText xml:space="preserve"> PAGEREF _Toc485296590 \h </w:instrText>
        </w:r>
        <w:r w:rsidR="000E347D">
          <w:rPr>
            <w:noProof/>
            <w:webHidden/>
          </w:rPr>
        </w:r>
        <w:r w:rsidR="000E347D">
          <w:rPr>
            <w:noProof/>
            <w:webHidden/>
          </w:rPr>
          <w:fldChar w:fldCharType="separate"/>
        </w:r>
        <w:r w:rsidR="000E347D">
          <w:rPr>
            <w:noProof/>
            <w:webHidden/>
          </w:rPr>
          <w:t>11</w:t>
        </w:r>
        <w:r w:rsidR="000E347D">
          <w:rPr>
            <w:noProof/>
            <w:webHidden/>
          </w:rPr>
          <w:fldChar w:fldCharType="end"/>
        </w:r>
      </w:hyperlink>
    </w:p>
    <w:p w14:paraId="13BD13C2" w14:textId="77777777" w:rsidR="000E347D" w:rsidRDefault="0016786F">
      <w:pPr>
        <w:pStyle w:val="TOC2"/>
        <w:rPr>
          <w:rFonts w:eastAsiaTheme="minorEastAsia" w:cstheme="minorBidi"/>
          <w:noProof/>
        </w:rPr>
      </w:pPr>
      <w:hyperlink w:anchor="_Toc485296591" w:history="1">
        <w:r w:rsidR="000E347D" w:rsidRPr="00277E11">
          <w:rPr>
            <w:rStyle w:val="Hyperlink"/>
            <w:noProof/>
          </w:rPr>
          <w:t>3.1</w:t>
        </w:r>
        <w:r w:rsidR="000E347D">
          <w:rPr>
            <w:rFonts w:eastAsiaTheme="minorEastAsia" w:cstheme="minorBidi"/>
            <w:noProof/>
          </w:rPr>
          <w:tab/>
        </w:r>
        <w:r w:rsidR="000E347D" w:rsidRPr="00277E11">
          <w:rPr>
            <w:rStyle w:val="Hyperlink"/>
            <w:noProof/>
          </w:rPr>
          <w:t>Pathology Clinical Committee members</w:t>
        </w:r>
        <w:r w:rsidR="000E347D">
          <w:rPr>
            <w:noProof/>
            <w:webHidden/>
          </w:rPr>
          <w:tab/>
        </w:r>
        <w:r w:rsidR="000E347D">
          <w:rPr>
            <w:noProof/>
            <w:webHidden/>
          </w:rPr>
          <w:fldChar w:fldCharType="begin"/>
        </w:r>
        <w:r w:rsidR="000E347D">
          <w:rPr>
            <w:noProof/>
            <w:webHidden/>
          </w:rPr>
          <w:instrText xml:space="preserve"> PAGEREF _Toc485296591 \h </w:instrText>
        </w:r>
        <w:r w:rsidR="000E347D">
          <w:rPr>
            <w:noProof/>
            <w:webHidden/>
          </w:rPr>
        </w:r>
        <w:r w:rsidR="000E347D">
          <w:rPr>
            <w:noProof/>
            <w:webHidden/>
          </w:rPr>
          <w:fldChar w:fldCharType="separate"/>
        </w:r>
        <w:r w:rsidR="000E347D">
          <w:rPr>
            <w:noProof/>
            <w:webHidden/>
          </w:rPr>
          <w:t>11</w:t>
        </w:r>
        <w:r w:rsidR="000E347D">
          <w:rPr>
            <w:noProof/>
            <w:webHidden/>
          </w:rPr>
          <w:fldChar w:fldCharType="end"/>
        </w:r>
      </w:hyperlink>
    </w:p>
    <w:p w14:paraId="57ABB87D" w14:textId="77777777" w:rsidR="000E347D" w:rsidRDefault="0016786F">
      <w:pPr>
        <w:pStyle w:val="TOC2"/>
        <w:rPr>
          <w:rFonts w:eastAsiaTheme="minorEastAsia" w:cstheme="minorBidi"/>
          <w:noProof/>
        </w:rPr>
      </w:pPr>
      <w:hyperlink w:anchor="_Toc485296592" w:history="1">
        <w:r w:rsidR="000E347D" w:rsidRPr="00277E11">
          <w:rPr>
            <w:rStyle w:val="Hyperlink"/>
            <w:noProof/>
          </w:rPr>
          <w:t>3.2</w:t>
        </w:r>
        <w:r w:rsidR="000E347D">
          <w:rPr>
            <w:rFonts w:eastAsiaTheme="minorEastAsia" w:cstheme="minorBidi"/>
            <w:noProof/>
          </w:rPr>
          <w:tab/>
        </w:r>
        <w:r w:rsidR="000E347D" w:rsidRPr="00277E11">
          <w:rPr>
            <w:rStyle w:val="Hyperlink"/>
            <w:noProof/>
          </w:rPr>
          <w:t>Chemical Working Group</w:t>
        </w:r>
        <w:r w:rsidR="000E347D">
          <w:rPr>
            <w:noProof/>
            <w:webHidden/>
          </w:rPr>
          <w:tab/>
        </w:r>
        <w:r w:rsidR="000E347D">
          <w:rPr>
            <w:noProof/>
            <w:webHidden/>
          </w:rPr>
          <w:fldChar w:fldCharType="begin"/>
        </w:r>
        <w:r w:rsidR="000E347D">
          <w:rPr>
            <w:noProof/>
            <w:webHidden/>
          </w:rPr>
          <w:instrText xml:space="preserve"> PAGEREF _Toc485296592 \h </w:instrText>
        </w:r>
        <w:r w:rsidR="000E347D">
          <w:rPr>
            <w:noProof/>
            <w:webHidden/>
          </w:rPr>
        </w:r>
        <w:r w:rsidR="000E347D">
          <w:rPr>
            <w:noProof/>
            <w:webHidden/>
          </w:rPr>
          <w:fldChar w:fldCharType="separate"/>
        </w:r>
        <w:r w:rsidR="000E347D">
          <w:rPr>
            <w:noProof/>
            <w:webHidden/>
          </w:rPr>
          <w:t>12</w:t>
        </w:r>
        <w:r w:rsidR="000E347D">
          <w:rPr>
            <w:noProof/>
            <w:webHidden/>
          </w:rPr>
          <w:fldChar w:fldCharType="end"/>
        </w:r>
      </w:hyperlink>
    </w:p>
    <w:p w14:paraId="71D18A65" w14:textId="77777777" w:rsidR="000E347D" w:rsidRDefault="0016786F">
      <w:pPr>
        <w:pStyle w:val="TOC2"/>
        <w:rPr>
          <w:rFonts w:eastAsiaTheme="minorEastAsia" w:cstheme="minorBidi"/>
          <w:noProof/>
        </w:rPr>
      </w:pPr>
      <w:hyperlink w:anchor="_Toc485296593" w:history="1">
        <w:r w:rsidR="000E347D" w:rsidRPr="00277E11">
          <w:rPr>
            <w:rStyle w:val="Hyperlink"/>
            <w:noProof/>
          </w:rPr>
          <w:t>3.3</w:t>
        </w:r>
        <w:r w:rsidR="000E347D">
          <w:rPr>
            <w:rFonts w:eastAsiaTheme="minorEastAsia" w:cstheme="minorBidi"/>
            <w:noProof/>
          </w:rPr>
          <w:tab/>
        </w:r>
        <w:r w:rsidR="000E347D" w:rsidRPr="00277E11">
          <w:rPr>
            <w:rStyle w:val="Hyperlink"/>
            <w:noProof/>
          </w:rPr>
          <w:t>Conflicts of interest</w:t>
        </w:r>
        <w:r w:rsidR="000E347D">
          <w:rPr>
            <w:noProof/>
            <w:webHidden/>
          </w:rPr>
          <w:tab/>
        </w:r>
        <w:r w:rsidR="000E347D">
          <w:rPr>
            <w:noProof/>
            <w:webHidden/>
          </w:rPr>
          <w:fldChar w:fldCharType="begin"/>
        </w:r>
        <w:r w:rsidR="000E347D">
          <w:rPr>
            <w:noProof/>
            <w:webHidden/>
          </w:rPr>
          <w:instrText xml:space="preserve"> PAGEREF _Toc485296593 \h </w:instrText>
        </w:r>
        <w:r w:rsidR="000E347D">
          <w:rPr>
            <w:noProof/>
            <w:webHidden/>
          </w:rPr>
        </w:r>
        <w:r w:rsidR="000E347D">
          <w:rPr>
            <w:noProof/>
            <w:webHidden/>
          </w:rPr>
          <w:fldChar w:fldCharType="separate"/>
        </w:r>
        <w:r w:rsidR="000E347D">
          <w:rPr>
            <w:noProof/>
            <w:webHidden/>
          </w:rPr>
          <w:t>13</w:t>
        </w:r>
        <w:r w:rsidR="000E347D">
          <w:rPr>
            <w:noProof/>
            <w:webHidden/>
          </w:rPr>
          <w:fldChar w:fldCharType="end"/>
        </w:r>
      </w:hyperlink>
    </w:p>
    <w:p w14:paraId="0EB72F9E" w14:textId="77777777" w:rsidR="000E347D" w:rsidRDefault="0016786F">
      <w:pPr>
        <w:pStyle w:val="TOC1"/>
        <w:tabs>
          <w:tab w:val="left" w:pos="440"/>
          <w:tab w:val="right" w:leader="dot" w:pos="9016"/>
        </w:tabs>
        <w:rPr>
          <w:rFonts w:eastAsiaTheme="minorEastAsia" w:cstheme="minorBidi"/>
          <w:b w:val="0"/>
          <w:noProof/>
        </w:rPr>
      </w:pPr>
      <w:hyperlink w:anchor="_Toc485296594" w:history="1">
        <w:r w:rsidR="000E347D" w:rsidRPr="00277E11">
          <w:rPr>
            <w:rStyle w:val="Hyperlink"/>
            <w:noProof/>
          </w:rPr>
          <w:t>4.</w:t>
        </w:r>
        <w:r w:rsidR="000E347D">
          <w:rPr>
            <w:rFonts w:eastAsiaTheme="minorEastAsia" w:cstheme="minorBidi"/>
            <w:b w:val="0"/>
            <w:noProof/>
          </w:rPr>
          <w:tab/>
        </w:r>
        <w:r w:rsidR="000E347D" w:rsidRPr="00277E11">
          <w:rPr>
            <w:rStyle w:val="Hyperlink"/>
            <w:noProof/>
          </w:rPr>
          <w:t>Areas of responsibility of the Pathology Clinical Committee</w:t>
        </w:r>
        <w:r w:rsidR="000E347D">
          <w:rPr>
            <w:noProof/>
            <w:webHidden/>
          </w:rPr>
          <w:tab/>
        </w:r>
        <w:r w:rsidR="000E347D">
          <w:rPr>
            <w:noProof/>
            <w:webHidden/>
          </w:rPr>
          <w:fldChar w:fldCharType="begin"/>
        </w:r>
        <w:r w:rsidR="000E347D">
          <w:rPr>
            <w:noProof/>
            <w:webHidden/>
          </w:rPr>
          <w:instrText xml:space="preserve"> PAGEREF _Toc485296594 \h </w:instrText>
        </w:r>
        <w:r w:rsidR="000E347D">
          <w:rPr>
            <w:noProof/>
            <w:webHidden/>
          </w:rPr>
        </w:r>
        <w:r w:rsidR="000E347D">
          <w:rPr>
            <w:noProof/>
            <w:webHidden/>
          </w:rPr>
          <w:fldChar w:fldCharType="separate"/>
        </w:r>
        <w:r w:rsidR="000E347D">
          <w:rPr>
            <w:noProof/>
            <w:webHidden/>
          </w:rPr>
          <w:t>14</w:t>
        </w:r>
        <w:r w:rsidR="000E347D">
          <w:rPr>
            <w:noProof/>
            <w:webHidden/>
          </w:rPr>
          <w:fldChar w:fldCharType="end"/>
        </w:r>
      </w:hyperlink>
    </w:p>
    <w:p w14:paraId="24AA7BAB" w14:textId="77777777" w:rsidR="000E347D" w:rsidRDefault="0016786F">
      <w:pPr>
        <w:pStyle w:val="TOC1"/>
        <w:tabs>
          <w:tab w:val="left" w:pos="440"/>
          <w:tab w:val="right" w:leader="dot" w:pos="9016"/>
        </w:tabs>
        <w:rPr>
          <w:rFonts w:eastAsiaTheme="minorEastAsia" w:cstheme="minorBidi"/>
          <w:b w:val="0"/>
          <w:noProof/>
        </w:rPr>
      </w:pPr>
      <w:hyperlink w:anchor="_Toc485296595" w:history="1">
        <w:r w:rsidR="000E347D" w:rsidRPr="00277E11">
          <w:rPr>
            <w:rStyle w:val="Hyperlink"/>
            <w:noProof/>
          </w:rPr>
          <w:t>5.</w:t>
        </w:r>
        <w:r w:rsidR="000E347D">
          <w:rPr>
            <w:rFonts w:eastAsiaTheme="minorEastAsia" w:cstheme="minorBidi"/>
            <w:b w:val="0"/>
            <w:noProof/>
          </w:rPr>
          <w:tab/>
        </w:r>
        <w:r w:rsidR="000E347D" w:rsidRPr="00277E11">
          <w:rPr>
            <w:rStyle w:val="Hyperlink"/>
            <w:noProof/>
          </w:rPr>
          <w:t>Recommendations for endocrine-related pathology tests</w:t>
        </w:r>
        <w:r w:rsidR="000E347D">
          <w:rPr>
            <w:noProof/>
            <w:webHidden/>
          </w:rPr>
          <w:tab/>
        </w:r>
        <w:r w:rsidR="000E347D">
          <w:rPr>
            <w:noProof/>
            <w:webHidden/>
          </w:rPr>
          <w:fldChar w:fldCharType="begin"/>
        </w:r>
        <w:r w:rsidR="000E347D">
          <w:rPr>
            <w:noProof/>
            <w:webHidden/>
          </w:rPr>
          <w:instrText xml:space="preserve"> PAGEREF _Toc485296595 \h </w:instrText>
        </w:r>
        <w:r w:rsidR="000E347D">
          <w:rPr>
            <w:noProof/>
            <w:webHidden/>
          </w:rPr>
        </w:r>
        <w:r w:rsidR="000E347D">
          <w:rPr>
            <w:noProof/>
            <w:webHidden/>
          </w:rPr>
          <w:fldChar w:fldCharType="separate"/>
        </w:r>
        <w:r w:rsidR="000E347D">
          <w:rPr>
            <w:noProof/>
            <w:webHidden/>
          </w:rPr>
          <w:t>16</w:t>
        </w:r>
        <w:r w:rsidR="000E347D">
          <w:rPr>
            <w:noProof/>
            <w:webHidden/>
          </w:rPr>
          <w:fldChar w:fldCharType="end"/>
        </w:r>
      </w:hyperlink>
    </w:p>
    <w:p w14:paraId="3B571C99" w14:textId="77777777" w:rsidR="000E347D" w:rsidRDefault="0016786F">
      <w:pPr>
        <w:pStyle w:val="TOC2"/>
        <w:rPr>
          <w:rFonts w:eastAsiaTheme="minorEastAsia" w:cstheme="minorBidi"/>
          <w:noProof/>
        </w:rPr>
      </w:pPr>
      <w:hyperlink w:anchor="_Toc485296596" w:history="1">
        <w:r w:rsidR="000E347D" w:rsidRPr="00277E11">
          <w:rPr>
            <w:rStyle w:val="Hyperlink"/>
            <w:noProof/>
          </w:rPr>
          <w:t>5.1</w:t>
        </w:r>
        <w:r w:rsidR="000E347D">
          <w:rPr>
            <w:rFonts w:eastAsiaTheme="minorEastAsia" w:cstheme="minorBidi"/>
            <w:noProof/>
          </w:rPr>
          <w:tab/>
        </w:r>
        <w:r w:rsidR="000E347D" w:rsidRPr="00277E11">
          <w:rPr>
            <w:rStyle w:val="Hyperlink"/>
            <w:noProof/>
          </w:rPr>
          <w:t>Thyroid stimulating hormone (TSH) tests and thyroid function tests (TFTs)</w:t>
        </w:r>
        <w:r w:rsidR="000E347D">
          <w:rPr>
            <w:noProof/>
            <w:webHidden/>
          </w:rPr>
          <w:tab/>
        </w:r>
        <w:r w:rsidR="000E347D">
          <w:rPr>
            <w:noProof/>
            <w:webHidden/>
          </w:rPr>
          <w:fldChar w:fldCharType="begin"/>
        </w:r>
        <w:r w:rsidR="000E347D">
          <w:rPr>
            <w:noProof/>
            <w:webHidden/>
          </w:rPr>
          <w:instrText xml:space="preserve"> PAGEREF _Toc485296596 \h </w:instrText>
        </w:r>
        <w:r w:rsidR="000E347D">
          <w:rPr>
            <w:noProof/>
            <w:webHidden/>
          </w:rPr>
        </w:r>
        <w:r w:rsidR="000E347D">
          <w:rPr>
            <w:noProof/>
            <w:webHidden/>
          </w:rPr>
          <w:fldChar w:fldCharType="separate"/>
        </w:r>
        <w:r w:rsidR="000E347D">
          <w:rPr>
            <w:noProof/>
            <w:webHidden/>
          </w:rPr>
          <w:t>16</w:t>
        </w:r>
        <w:r w:rsidR="000E347D">
          <w:rPr>
            <w:noProof/>
            <w:webHidden/>
          </w:rPr>
          <w:fldChar w:fldCharType="end"/>
        </w:r>
      </w:hyperlink>
    </w:p>
    <w:p w14:paraId="17F0EC61" w14:textId="77777777" w:rsidR="000E347D" w:rsidRDefault="0016786F">
      <w:pPr>
        <w:pStyle w:val="TOC3"/>
        <w:tabs>
          <w:tab w:val="left" w:pos="1320"/>
          <w:tab w:val="right" w:leader="dot" w:pos="9016"/>
        </w:tabs>
        <w:rPr>
          <w:rFonts w:eastAsiaTheme="minorEastAsia" w:cstheme="minorBidi"/>
          <w:i w:val="0"/>
          <w:noProof/>
        </w:rPr>
      </w:pPr>
      <w:hyperlink w:anchor="_Toc485296597" w:history="1">
        <w:r w:rsidR="000E347D" w:rsidRPr="00277E11">
          <w:rPr>
            <w:rStyle w:val="Hyperlink"/>
            <w:noProof/>
          </w:rPr>
          <w:t>5.1.1</w:t>
        </w:r>
        <w:r w:rsidR="000E347D">
          <w:rPr>
            <w:rFonts w:eastAsiaTheme="minorEastAsia" w:cstheme="minorBidi"/>
            <w:i w:val="0"/>
            <w:noProof/>
          </w:rPr>
          <w:tab/>
        </w:r>
        <w:r w:rsidR="000E347D" w:rsidRPr="00277E11">
          <w:rPr>
            <w:rStyle w:val="Hyperlink"/>
            <w:noProof/>
          </w:rPr>
          <w:t>TSH test: Items 66716, 66722–5, 66728, 66731 and 66734</w:t>
        </w:r>
        <w:r w:rsidR="000E347D">
          <w:rPr>
            <w:noProof/>
            <w:webHidden/>
          </w:rPr>
          <w:tab/>
        </w:r>
        <w:r w:rsidR="000E347D">
          <w:rPr>
            <w:noProof/>
            <w:webHidden/>
          </w:rPr>
          <w:fldChar w:fldCharType="begin"/>
        </w:r>
        <w:r w:rsidR="000E347D">
          <w:rPr>
            <w:noProof/>
            <w:webHidden/>
          </w:rPr>
          <w:instrText xml:space="preserve"> PAGEREF _Toc485296597 \h </w:instrText>
        </w:r>
        <w:r w:rsidR="000E347D">
          <w:rPr>
            <w:noProof/>
            <w:webHidden/>
          </w:rPr>
        </w:r>
        <w:r w:rsidR="000E347D">
          <w:rPr>
            <w:noProof/>
            <w:webHidden/>
          </w:rPr>
          <w:fldChar w:fldCharType="separate"/>
        </w:r>
        <w:r w:rsidR="000E347D">
          <w:rPr>
            <w:noProof/>
            <w:webHidden/>
          </w:rPr>
          <w:t>16</w:t>
        </w:r>
        <w:r w:rsidR="000E347D">
          <w:rPr>
            <w:noProof/>
            <w:webHidden/>
          </w:rPr>
          <w:fldChar w:fldCharType="end"/>
        </w:r>
      </w:hyperlink>
    </w:p>
    <w:p w14:paraId="10A91411" w14:textId="77777777" w:rsidR="000E347D" w:rsidRDefault="0016786F">
      <w:pPr>
        <w:pStyle w:val="TOC3"/>
        <w:tabs>
          <w:tab w:val="left" w:pos="1320"/>
          <w:tab w:val="right" w:leader="dot" w:pos="9016"/>
        </w:tabs>
        <w:rPr>
          <w:rFonts w:eastAsiaTheme="minorEastAsia" w:cstheme="minorBidi"/>
          <w:i w:val="0"/>
          <w:noProof/>
        </w:rPr>
      </w:pPr>
      <w:hyperlink w:anchor="_Toc485296598" w:history="1">
        <w:r w:rsidR="000E347D" w:rsidRPr="00277E11">
          <w:rPr>
            <w:rStyle w:val="Hyperlink"/>
            <w:noProof/>
          </w:rPr>
          <w:t>5.1.2</w:t>
        </w:r>
        <w:r w:rsidR="000E347D">
          <w:rPr>
            <w:rFonts w:eastAsiaTheme="minorEastAsia" w:cstheme="minorBidi"/>
            <w:i w:val="0"/>
            <w:noProof/>
          </w:rPr>
          <w:tab/>
        </w:r>
        <w:r w:rsidR="000E347D" w:rsidRPr="00277E11">
          <w:rPr>
            <w:rStyle w:val="Hyperlink"/>
            <w:noProof/>
          </w:rPr>
          <w:t>TFTs: Item 66719</w:t>
        </w:r>
        <w:r w:rsidR="000E347D">
          <w:rPr>
            <w:noProof/>
            <w:webHidden/>
          </w:rPr>
          <w:tab/>
        </w:r>
        <w:r w:rsidR="000E347D">
          <w:rPr>
            <w:noProof/>
            <w:webHidden/>
          </w:rPr>
          <w:fldChar w:fldCharType="begin"/>
        </w:r>
        <w:r w:rsidR="000E347D">
          <w:rPr>
            <w:noProof/>
            <w:webHidden/>
          </w:rPr>
          <w:instrText xml:space="preserve"> PAGEREF _Toc485296598 \h </w:instrText>
        </w:r>
        <w:r w:rsidR="000E347D">
          <w:rPr>
            <w:noProof/>
            <w:webHidden/>
          </w:rPr>
        </w:r>
        <w:r w:rsidR="000E347D">
          <w:rPr>
            <w:noProof/>
            <w:webHidden/>
          </w:rPr>
          <w:fldChar w:fldCharType="separate"/>
        </w:r>
        <w:r w:rsidR="000E347D">
          <w:rPr>
            <w:noProof/>
            <w:webHidden/>
          </w:rPr>
          <w:t>23</w:t>
        </w:r>
        <w:r w:rsidR="000E347D">
          <w:rPr>
            <w:noProof/>
            <w:webHidden/>
          </w:rPr>
          <w:fldChar w:fldCharType="end"/>
        </w:r>
      </w:hyperlink>
    </w:p>
    <w:p w14:paraId="417386F3" w14:textId="77777777" w:rsidR="000E347D" w:rsidRDefault="0016786F">
      <w:pPr>
        <w:pStyle w:val="TOC3"/>
        <w:tabs>
          <w:tab w:val="left" w:pos="1320"/>
          <w:tab w:val="right" w:leader="dot" w:pos="9016"/>
        </w:tabs>
        <w:rPr>
          <w:rFonts w:eastAsiaTheme="minorEastAsia" w:cstheme="minorBidi"/>
          <w:i w:val="0"/>
          <w:noProof/>
        </w:rPr>
      </w:pPr>
      <w:hyperlink w:anchor="_Toc485296599" w:history="1">
        <w:r w:rsidR="000E347D" w:rsidRPr="00277E11">
          <w:rPr>
            <w:rStyle w:val="Hyperlink"/>
            <w:noProof/>
          </w:rPr>
          <w:t>5.1.3</w:t>
        </w:r>
        <w:r w:rsidR="000E347D">
          <w:rPr>
            <w:rFonts w:eastAsiaTheme="minorEastAsia" w:cstheme="minorBidi"/>
            <w:i w:val="0"/>
            <w:noProof/>
          </w:rPr>
          <w:tab/>
        </w:r>
        <w:r w:rsidR="000E347D" w:rsidRPr="00277E11">
          <w:rPr>
            <w:rStyle w:val="Hyperlink"/>
            <w:noProof/>
          </w:rPr>
          <w:t>Proposed new item for TFTs</w:t>
        </w:r>
        <w:r w:rsidR="000E347D">
          <w:rPr>
            <w:noProof/>
            <w:webHidden/>
          </w:rPr>
          <w:tab/>
        </w:r>
        <w:r w:rsidR="000E347D">
          <w:rPr>
            <w:noProof/>
            <w:webHidden/>
          </w:rPr>
          <w:fldChar w:fldCharType="begin"/>
        </w:r>
        <w:r w:rsidR="000E347D">
          <w:rPr>
            <w:noProof/>
            <w:webHidden/>
          </w:rPr>
          <w:instrText xml:space="preserve"> PAGEREF _Toc485296599 \h </w:instrText>
        </w:r>
        <w:r w:rsidR="000E347D">
          <w:rPr>
            <w:noProof/>
            <w:webHidden/>
          </w:rPr>
        </w:r>
        <w:r w:rsidR="000E347D">
          <w:rPr>
            <w:noProof/>
            <w:webHidden/>
          </w:rPr>
          <w:fldChar w:fldCharType="separate"/>
        </w:r>
        <w:r w:rsidR="000E347D">
          <w:rPr>
            <w:noProof/>
            <w:webHidden/>
          </w:rPr>
          <w:t>27</w:t>
        </w:r>
        <w:r w:rsidR="000E347D">
          <w:rPr>
            <w:noProof/>
            <w:webHidden/>
          </w:rPr>
          <w:fldChar w:fldCharType="end"/>
        </w:r>
      </w:hyperlink>
    </w:p>
    <w:p w14:paraId="080CE9A7" w14:textId="77777777" w:rsidR="000E347D" w:rsidRDefault="0016786F">
      <w:pPr>
        <w:pStyle w:val="TOC2"/>
        <w:rPr>
          <w:rFonts w:eastAsiaTheme="minorEastAsia" w:cstheme="minorBidi"/>
          <w:noProof/>
        </w:rPr>
      </w:pPr>
      <w:hyperlink w:anchor="_Toc485296600" w:history="1">
        <w:r w:rsidR="000E347D" w:rsidRPr="00277E11">
          <w:rPr>
            <w:rStyle w:val="Hyperlink"/>
            <w:noProof/>
          </w:rPr>
          <w:t>5.2</w:t>
        </w:r>
        <w:r w:rsidR="000E347D">
          <w:rPr>
            <w:rFonts w:eastAsiaTheme="minorEastAsia" w:cstheme="minorBidi"/>
            <w:noProof/>
          </w:rPr>
          <w:tab/>
        </w:r>
        <w:r w:rsidR="000E347D" w:rsidRPr="00277E11">
          <w:rPr>
            <w:rStyle w:val="Hyperlink"/>
            <w:noProof/>
          </w:rPr>
          <w:t>Diabetes-related items: Items 66542, 66545, 66548, 66551, 66554, 66557, 66841 and 66560</w:t>
        </w:r>
        <w:r w:rsidR="000E347D">
          <w:rPr>
            <w:noProof/>
            <w:webHidden/>
          </w:rPr>
          <w:tab/>
        </w:r>
        <w:r w:rsidR="000E347D">
          <w:rPr>
            <w:noProof/>
            <w:webHidden/>
          </w:rPr>
          <w:fldChar w:fldCharType="begin"/>
        </w:r>
        <w:r w:rsidR="000E347D">
          <w:rPr>
            <w:noProof/>
            <w:webHidden/>
          </w:rPr>
          <w:instrText xml:space="preserve"> PAGEREF _Toc485296600 \h </w:instrText>
        </w:r>
        <w:r w:rsidR="000E347D">
          <w:rPr>
            <w:noProof/>
            <w:webHidden/>
          </w:rPr>
        </w:r>
        <w:r w:rsidR="000E347D">
          <w:rPr>
            <w:noProof/>
            <w:webHidden/>
          </w:rPr>
          <w:fldChar w:fldCharType="separate"/>
        </w:r>
        <w:r w:rsidR="000E347D">
          <w:rPr>
            <w:noProof/>
            <w:webHidden/>
          </w:rPr>
          <w:t>29</w:t>
        </w:r>
        <w:r w:rsidR="000E347D">
          <w:rPr>
            <w:noProof/>
            <w:webHidden/>
          </w:rPr>
          <w:fldChar w:fldCharType="end"/>
        </w:r>
      </w:hyperlink>
    </w:p>
    <w:p w14:paraId="726C692E" w14:textId="77777777" w:rsidR="000E347D" w:rsidRDefault="0016786F">
      <w:pPr>
        <w:pStyle w:val="TOC3"/>
        <w:tabs>
          <w:tab w:val="left" w:pos="1320"/>
          <w:tab w:val="right" w:leader="dot" w:pos="9016"/>
        </w:tabs>
        <w:rPr>
          <w:rFonts w:eastAsiaTheme="minorEastAsia" w:cstheme="minorBidi"/>
          <w:i w:val="0"/>
          <w:noProof/>
        </w:rPr>
      </w:pPr>
      <w:hyperlink w:anchor="_Toc485296601" w:history="1">
        <w:r w:rsidR="000E347D" w:rsidRPr="00277E11">
          <w:rPr>
            <w:rStyle w:val="Hyperlink"/>
            <w:noProof/>
          </w:rPr>
          <w:t>5.2.1</w:t>
        </w:r>
        <w:r w:rsidR="000E347D">
          <w:rPr>
            <w:rFonts w:eastAsiaTheme="minorEastAsia" w:cstheme="minorBidi"/>
            <w:i w:val="0"/>
            <w:noProof/>
          </w:rPr>
          <w:tab/>
        </w:r>
        <w:r w:rsidR="000E347D" w:rsidRPr="00277E11">
          <w:rPr>
            <w:rStyle w:val="Hyperlink"/>
            <w:noProof/>
          </w:rPr>
          <w:t>Oral glucose tolerance and challenge tests: Items 66542, 66545 and 66548</w:t>
        </w:r>
        <w:r w:rsidR="000E347D">
          <w:rPr>
            <w:noProof/>
            <w:webHidden/>
          </w:rPr>
          <w:tab/>
        </w:r>
        <w:r w:rsidR="000E347D">
          <w:rPr>
            <w:noProof/>
            <w:webHidden/>
          </w:rPr>
          <w:fldChar w:fldCharType="begin"/>
        </w:r>
        <w:r w:rsidR="000E347D">
          <w:rPr>
            <w:noProof/>
            <w:webHidden/>
          </w:rPr>
          <w:instrText xml:space="preserve"> PAGEREF _Toc485296601 \h </w:instrText>
        </w:r>
        <w:r w:rsidR="000E347D">
          <w:rPr>
            <w:noProof/>
            <w:webHidden/>
          </w:rPr>
        </w:r>
        <w:r w:rsidR="000E347D">
          <w:rPr>
            <w:noProof/>
            <w:webHidden/>
          </w:rPr>
          <w:fldChar w:fldCharType="separate"/>
        </w:r>
        <w:r w:rsidR="000E347D">
          <w:rPr>
            <w:noProof/>
            <w:webHidden/>
          </w:rPr>
          <w:t>30</w:t>
        </w:r>
        <w:r w:rsidR="000E347D">
          <w:rPr>
            <w:noProof/>
            <w:webHidden/>
          </w:rPr>
          <w:fldChar w:fldCharType="end"/>
        </w:r>
      </w:hyperlink>
    </w:p>
    <w:p w14:paraId="440C0EC9" w14:textId="77777777" w:rsidR="000E347D" w:rsidRDefault="0016786F">
      <w:pPr>
        <w:pStyle w:val="TOC3"/>
        <w:tabs>
          <w:tab w:val="left" w:pos="1320"/>
          <w:tab w:val="right" w:leader="dot" w:pos="9016"/>
        </w:tabs>
        <w:rPr>
          <w:rFonts w:eastAsiaTheme="minorEastAsia" w:cstheme="minorBidi"/>
          <w:i w:val="0"/>
          <w:noProof/>
        </w:rPr>
      </w:pPr>
      <w:hyperlink w:anchor="_Toc485296602" w:history="1">
        <w:r w:rsidR="000E347D" w:rsidRPr="00277E11">
          <w:rPr>
            <w:rStyle w:val="Hyperlink"/>
            <w:noProof/>
          </w:rPr>
          <w:t>5.2.2</w:t>
        </w:r>
        <w:r w:rsidR="000E347D">
          <w:rPr>
            <w:rFonts w:eastAsiaTheme="minorEastAsia" w:cstheme="minorBidi"/>
            <w:i w:val="0"/>
            <w:noProof/>
          </w:rPr>
          <w:tab/>
        </w:r>
        <w:r w:rsidR="000E347D" w:rsidRPr="00277E11">
          <w:rPr>
            <w:rStyle w:val="Hyperlink"/>
            <w:noProof/>
          </w:rPr>
          <w:t>Quantitation of glycated haemoglobin: Items 66551 and 66554</w:t>
        </w:r>
        <w:r w:rsidR="000E347D">
          <w:rPr>
            <w:noProof/>
            <w:webHidden/>
          </w:rPr>
          <w:tab/>
        </w:r>
        <w:r w:rsidR="000E347D">
          <w:rPr>
            <w:noProof/>
            <w:webHidden/>
          </w:rPr>
          <w:fldChar w:fldCharType="begin"/>
        </w:r>
        <w:r w:rsidR="000E347D">
          <w:rPr>
            <w:noProof/>
            <w:webHidden/>
          </w:rPr>
          <w:instrText xml:space="preserve"> PAGEREF _Toc485296602 \h </w:instrText>
        </w:r>
        <w:r w:rsidR="000E347D">
          <w:rPr>
            <w:noProof/>
            <w:webHidden/>
          </w:rPr>
        </w:r>
        <w:r w:rsidR="000E347D">
          <w:rPr>
            <w:noProof/>
            <w:webHidden/>
          </w:rPr>
          <w:fldChar w:fldCharType="separate"/>
        </w:r>
        <w:r w:rsidR="000E347D">
          <w:rPr>
            <w:noProof/>
            <w:webHidden/>
          </w:rPr>
          <w:t>32</w:t>
        </w:r>
        <w:r w:rsidR="000E347D">
          <w:rPr>
            <w:noProof/>
            <w:webHidden/>
          </w:rPr>
          <w:fldChar w:fldCharType="end"/>
        </w:r>
      </w:hyperlink>
    </w:p>
    <w:p w14:paraId="1D9FFF47" w14:textId="77777777" w:rsidR="000E347D" w:rsidRDefault="0016786F">
      <w:pPr>
        <w:pStyle w:val="TOC3"/>
        <w:tabs>
          <w:tab w:val="left" w:pos="1320"/>
          <w:tab w:val="right" w:leader="dot" w:pos="9016"/>
        </w:tabs>
        <w:rPr>
          <w:rFonts w:eastAsiaTheme="minorEastAsia" w:cstheme="minorBidi"/>
          <w:i w:val="0"/>
          <w:noProof/>
        </w:rPr>
      </w:pPr>
      <w:hyperlink w:anchor="_Toc485296603" w:history="1">
        <w:r w:rsidR="000E347D" w:rsidRPr="00277E11">
          <w:rPr>
            <w:rStyle w:val="Hyperlink"/>
            <w:noProof/>
          </w:rPr>
          <w:t>5.2.3</w:t>
        </w:r>
        <w:r w:rsidR="000E347D">
          <w:rPr>
            <w:rFonts w:eastAsiaTheme="minorEastAsia" w:cstheme="minorBidi"/>
            <w:i w:val="0"/>
            <w:noProof/>
          </w:rPr>
          <w:tab/>
        </w:r>
        <w:r w:rsidR="000E347D" w:rsidRPr="00277E11">
          <w:rPr>
            <w:rStyle w:val="Hyperlink"/>
            <w:noProof/>
          </w:rPr>
          <w:t>Quantitation of glycated haemoglobin: Item 66841</w:t>
        </w:r>
        <w:r w:rsidR="000E347D">
          <w:rPr>
            <w:noProof/>
            <w:webHidden/>
          </w:rPr>
          <w:tab/>
        </w:r>
        <w:r w:rsidR="000E347D">
          <w:rPr>
            <w:noProof/>
            <w:webHidden/>
          </w:rPr>
          <w:fldChar w:fldCharType="begin"/>
        </w:r>
        <w:r w:rsidR="000E347D">
          <w:rPr>
            <w:noProof/>
            <w:webHidden/>
          </w:rPr>
          <w:instrText xml:space="preserve"> PAGEREF _Toc485296603 \h </w:instrText>
        </w:r>
        <w:r w:rsidR="000E347D">
          <w:rPr>
            <w:noProof/>
            <w:webHidden/>
          </w:rPr>
        </w:r>
        <w:r w:rsidR="000E347D">
          <w:rPr>
            <w:noProof/>
            <w:webHidden/>
          </w:rPr>
          <w:fldChar w:fldCharType="separate"/>
        </w:r>
        <w:r w:rsidR="000E347D">
          <w:rPr>
            <w:noProof/>
            <w:webHidden/>
          </w:rPr>
          <w:t>33</w:t>
        </w:r>
        <w:r w:rsidR="000E347D">
          <w:rPr>
            <w:noProof/>
            <w:webHidden/>
          </w:rPr>
          <w:fldChar w:fldCharType="end"/>
        </w:r>
      </w:hyperlink>
    </w:p>
    <w:p w14:paraId="1E10FA7F" w14:textId="77777777" w:rsidR="000E347D" w:rsidRDefault="0016786F">
      <w:pPr>
        <w:pStyle w:val="TOC3"/>
        <w:tabs>
          <w:tab w:val="left" w:pos="1320"/>
          <w:tab w:val="right" w:leader="dot" w:pos="9016"/>
        </w:tabs>
        <w:rPr>
          <w:rFonts w:eastAsiaTheme="minorEastAsia" w:cstheme="minorBidi"/>
          <w:i w:val="0"/>
          <w:noProof/>
        </w:rPr>
      </w:pPr>
      <w:hyperlink w:anchor="_Toc485296604" w:history="1">
        <w:r w:rsidR="000E347D" w:rsidRPr="00277E11">
          <w:rPr>
            <w:rStyle w:val="Hyperlink"/>
            <w:noProof/>
          </w:rPr>
          <w:t>5.2.4</w:t>
        </w:r>
        <w:r w:rsidR="000E347D">
          <w:rPr>
            <w:rFonts w:eastAsiaTheme="minorEastAsia" w:cstheme="minorBidi"/>
            <w:i w:val="0"/>
            <w:noProof/>
          </w:rPr>
          <w:tab/>
        </w:r>
        <w:r w:rsidR="000E347D" w:rsidRPr="00277E11">
          <w:rPr>
            <w:rStyle w:val="Hyperlink"/>
            <w:noProof/>
          </w:rPr>
          <w:t>Quantitation of fructosamine: Item 66557</w:t>
        </w:r>
        <w:r w:rsidR="000E347D">
          <w:rPr>
            <w:noProof/>
            <w:webHidden/>
          </w:rPr>
          <w:tab/>
        </w:r>
        <w:r w:rsidR="000E347D">
          <w:rPr>
            <w:noProof/>
            <w:webHidden/>
          </w:rPr>
          <w:fldChar w:fldCharType="begin"/>
        </w:r>
        <w:r w:rsidR="000E347D">
          <w:rPr>
            <w:noProof/>
            <w:webHidden/>
          </w:rPr>
          <w:instrText xml:space="preserve"> PAGEREF _Toc485296604 \h </w:instrText>
        </w:r>
        <w:r w:rsidR="000E347D">
          <w:rPr>
            <w:noProof/>
            <w:webHidden/>
          </w:rPr>
        </w:r>
        <w:r w:rsidR="000E347D">
          <w:rPr>
            <w:noProof/>
            <w:webHidden/>
          </w:rPr>
          <w:fldChar w:fldCharType="separate"/>
        </w:r>
        <w:r w:rsidR="000E347D">
          <w:rPr>
            <w:noProof/>
            <w:webHidden/>
          </w:rPr>
          <w:t>36</w:t>
        </w:r>
        <w:r w:rsidR="000E347D">
          <w:rPr>
            <w:noProof/>
            <w:webHidden/>
          </w:rPr>
          <w:fldChar w:fldCharType="end"/>
        </w:r>
      </w:hyperlink>
    </w:p>
    <w:p w14:paraId="0C669A5B" w14:textId="77777777" w:rsidR="000E347D" w:rsidRDefault="0016786F">
      <w:pPr>
        <w:pStyle w:val="TOC3"/>
        <w:tabs>
          <w:tab w:val="left" w:pos="1320"/>
          <w:tab w:val="right" w:leader="dot" w:pos="9016"/>
        </w:tabs>
        <w:rPr>
          <w:rFonts w:eastAsiaTheme="minorEastAsia" w:cstheme="minorBidi"/>
          <w:i w:val="0"/>
          <w:noProof/>
        </w:rPr>
      </w:pPr>
      <w:hyperlink w:anchor="_Toc485296605" w:history="1">
        <w:r w:rsidR="000E347D" w:rsidRPr="00277E11">
          <w:rPr>
            <w:rStyle w:val="Hyperlink"/>
            <w:noProof/>
          </w:rPr>
          <w:t>5.2.5</w:t>
        </w:r>
        <w:r w:rsidR="000E347D">
          <w:rPr>
            <w:rFonts w:eastAsiaTheme="minorEastAsia" w:cstheme="minorBidi"/>
            <w:i w:val="0"/>
            <w:noProof/>
          </w:rPr>
          <w:tab/>
        </w:r>
        <w:r w:rsidR="000E347D" w:rsidRPr="00277E11">
          <w:rPr>
            <w:rStyle w:val="Hyperlink"/>
            <w:noProof/>
          </w:rPr>
          <w:t>Microalbumin: Item 66560</w:t>
        </w:r>
        <w:r w:rsidR="000E347D">
          <w:rPr>
            <w:noProof/>
            <w:webHidden/>
          </w:rPr>
          <w:tab/>
        </w:r>
        <w:r w:rsidR="000E347D">
          <w:rPr>
            <w:noProof/>
            <w:webHidden/>
          </w:rPr>
          <w:fldChar w:fldCharType="begin"/>
        </w:r>
        <w:r w:rsidR="000E347D">
          <w:rPr>
            <w:noProof/>
            <w:webHidden/>
          </w:rPr>
          <w:instrText xml:space="preserve"> PAGEREF _Toc485296605 \h </w:instrText>
        </w:r>
        <w:r w:rsidR="000E347D">
          <w:rPr>
            <w:noProof/>
            <w:webHidden/>
          </w:rPr>
        </w:r>
        <w:r w:rsidR="000E347D">
          <w:rPr>
            <w:noProof/>
            <w:webHidden/>
          </w:rPr>
          <w:fldChar w:fldCharType="separate"/>
        </w:r>
        <w:r w:rsidR="000E347D">
          <w:rPr>
            <w:noProof/>
            <w:webHidden/>
          </w:rPr>
          <w:t>38</w:t>
        </w:r>
        <w:r w:rsidR="000E347D">
          <w:rPr>
            <w:noProof/>
            <w:webHidden/>
          </w:rPr>
          <w:fldChar w:fldCharType="end"/>
        </w:r>
      </w:hyperlink>
    </w:p>
    <w:p w14:paraId="573C3BB8" w14:textId="77777777" w:rsidR="000E347D" w:rsidRDefault="0016786F">
      <w:pPr>
        <w:pStyle w:val="TOC2"/>
        <w:rPr>
          <w:rFonts w:eastAsiaTheme="minorEastAsia" w:cstheme="minorBidi"/>
          <w:noProof/>
        </w:rPr>
      </w:pPr>
      <w:hyperlink w:anchor="_Toc485296606" w:history="1">
        <w:r w:rsidR="000E347D" w:rsidRPr="00277E11">
          <w:rPr>
            <w:rStyle w:val="Hyperlink"/>
            <w:noProof/>
          </w:rPr>
          <w:t>5.3</w:t>
        </w:r>
        <w:r w:rsidR="000E347D">
          <w:rPr>
            <w:rFonts w:eastAsiaTheme="minorEastAsia" w:cstheme="minorBidi"/>
            <w:noProof/>
          </w:rPr>
          <w:tab/>
        </w:r>
        <w:r w:rsidR="000E347D" w:rsidRPr="00277E11">
          <w:rPr>
            <w:rStyle w:val="Hyperlink"/>
            <w:noProof/>
          </w:rPr>
          <w:t>Quantitation of hormones and hormone-binding proteins: Items 66695–8, 66701, 66704 and 66707</w:t>
        </w:r>
        <w:r w:rsidR="000E347D">
          <w:rPr>
            <w:noProof/>
            <w:webHidden/>
          </w:rPr>
          <w:tab/>
        </w:r>
        <w:r w:rsidR="000E347D">
          <w:rPr>
            <w:noProof/>
            <w:webHidden/>
          </w:rPr>
          <w:fldChar w:fldCharType="begin"/>
        </w:r>
        <w:r w:rsidR="000E347D">
          <w:rPr>
            <w:noProof/>
            <w:webHidden/>
          </w:rPr>
          <w:instrText xml:space="preserve"> PAGEREF _Toc485296606 \h </w:instrText>
        </w:r>
        <w:r w:rsidR="000E347D">
          <w:rPr>
            <w:noProof/>
            <w:webHidden/>
          </w:rPr>
        </w:r>
        <w:r w:rsidR="000E347D">
          <w:rPr>
            <w:noProof/>
            <w:webHidden/>
          </w:rPr>
          <w:fldChar w:fldCharType="separate"/>
        </w:r>
        <w:r w:rsidR="000E347D">
          <w:rPr>
            <w:noProof/>
            <w:webHidden/>
          </w:rPr>
          <w:t>41</w:t>
        </w:r>
        <w:r w:rsidR="000E347D">
          <w:rPr>
            <w:noProof/>
            <w:webHidden/>
          </w:rPr>
          <w:fldChar w:fldCharType="end"/>
        </w:r>
      </w:hyperlink>
    </w:p>
    <w:p w14:paraId="3CCBF78E" w14:textId="77777777" w:rsidR="000E347D" w:rsidRDefault="0016786F">
      <w:pPr>
        <w:pStyle w:val="TOC2"/>
        <w:rPr>
          <w:rFonts w:eastAsiaTheme="minorEastAsia" w:cstheme="minorBidi"/>
          <w:noProof/>
        </w:rPr>
      </w:pPr>
      <w:hyperlink w:anchor="_Toc485296607" w:history="1">
        <w:r w:rsidR="000E347D" w:rsidRPr="00277E11">
          <w:rPr>
            <w:rStyle w:val="Hyperlink"/>
            <w:noProof/>
          </w:rPr>
          <w:t>5.4</w:t>
        </w:r>
        <w:r w:rsidR="000E347D">
          <w:rPr>
            <w:rFonts w:eastAsiaTheme="minorEastAsia" w:cstheme="minorBidi"/>
            <w:noProof/>
          </w:rPr>
          <w:tab/>
        </w:r>
        <w:r w:rsidR="000E347D" w:rsidRPr="00277E11">
          <w:rPr>
            <w:rStyle w:val="Hyperlink"/>
            <w:noProof/>
          </w:rPr>
          <w:t>Thyroid antibodies to tissue antigens: Items 71165–71170</w:t>
        </w:r>
        <w:r w:rsidR="000E347D">
          <w:rPr>
            <w:noProof/>
            <w:webHidden/>
          </w:rPr>
          <w:tab/>
        </w:r>
        <w:r w:rsidR="000E347D">
          <w:rPr>
            <w:noProof/>
            <w:webHidden/>
          </w:rPr>
          <w:fldChar w:fldCharType="begin"/>
        </w:r>
        <w:r w:rsidR="000E347D">
          <w:rPr>
            <w:noProof/>
            <w:webHidden/>
          </w:rPr>
          <w:instrText xml:space="preserve"> PAGEREF _Toc485296607 \h </w:instrText>
        </w:r>
        <w:r w:rsidR="000E347D">
          <w:rPr>
            <w:noProof/>
            <w:webHidden/>
          </w:rPr>
        </w:r>
        <w:r w:rsidR="000E347D">
          <w:rPr>
            <w:noProof/>
            <w:webHidden/>
          </w:rPr>
          <w:fldChar w:fldCharType="separate"/>
        </w:r>
        <w:r w:rsidR="000E347D">
          <w:rPr>
            <w:noProof/>
            <w:webHidden/>
          </w:rPr>
          <w:t>42</w:t>
        </w:r>
        <w:r w:rsidR="000E347D">
          <w:rPr>
            <w:noProof/>
            <w:webHidden/>
          </w:rPr>
          <w:fldChar w:fldCharType="end"/>
        </w:r>
      </w:hyperlink>
    </w:p>
    <w:p w14:paraId="77E4EA22" w14:textId="77777777" w:rsidR="000E347D" w:rsidRDefault="0016786F">
      <w:pPr>
        <w:pStyle w:val="TOC2"/>
        <w:rPr>
          <w:rFonts w:eastAsiaTheme="minorEastAsia" w:cstheme="minorBidi"/>
          <w:noProof/>
        </w:rPr>
      </w:pPr>
      <w:hyperlink w:anchor="_Toc485296608" w:history="1">
        <w:r w:rsidR="000E347D" w:rsidRPr="00277E11">
          <w:rPr>
            <w:rStyle w:val="Hyperlink"/>
            <w:noProof/>
          </w:rPr>
          <w:t>5.5</w:t>
        </w:r>
        <w:r w:rsidR="000E347D">
          <w:rPr>
            <w:rFonts w:eastAsiaTheme="minorEastAsia" w:cstheme="minorBidi"/>
            <w:noProof/>
          </w:rPr>
          <w:tab/>
        </w:r>
        <w:r w:rsidR="000E347D" w:rsidRPr="00277E11">
          <w:rPr>
            <w:rStyle w:val="Hyperlink"/>
            <w:noProof/>
          </w:rPr>
          <w:t>Quantitation of products of collagen breakdown or formation: Items 66773 and 66776</w:t>
        </w:r>
        <w:r w:rsidR="000E347D">
          <w:rPr>
            <w:noProof/>
            <w:webHidden/>
          </w:rPr>
          <w:tab/>
        </w:r>
        <w:r w:rsidR="000E347D">
          <w:rPr>
            <w:noProof/>
            <w:webHidden/>
          </w:rPr>
          <w:fldChar w:fldCharType="begin"/>
        </w:r>
        <w:r w:rsidR="000E347D">
          <w:rPr>
            <w:noProof/>
            <w:webHidden/>
          </w:rPr>
          <w:instrText xml:space="preserve"> PAGEREF _Toc485296608 \h </w:instrText>
        </w:r>
        <w:r w:rsidR="000E347D">
          <w:rPr>
            <w:noProof/>
            <w:webHidden/>
          </w:rPr>
        </w:r>
        <w:r w:rsidR="000E347D">
          <w:rPr>
            <w:noProof/>
            <w:webHidden/>
          </w:rPr>
          <w:fldChar w:fldCharType="separate"/>
        </w:r>
        <w:r w:rsidR="000E347D">
          <w:rPr>
            <w:noProof/>
            <w:webHidden/>
          </w:rPr>
          <w:t>45</w:t>
        </w:r>
        <w:r w:rsidR="000E347D">
          <w:rPr>
            <w:noProof/>
            <w:webHidden/>
          </w:rPr>
          <w:fldChar w:fldCharType="end"/>
        </w:r>
      </w:hyperlink>
    </w:p>
    <w:p w14:paraId="23F71B9B" w14:textId="77777777" w:rsidR="000E347D" w:rsidRDefault="0016786F">
      <w:pPr>
        <w:pStyle w:val="TOC2"/>
        <w:rPr>
          <w:rFonts w:eastAsiaTheme="minorEastAsia" w:cstheme="minorBidi"/>
          <w:noProof/>
        </w:rPr>
      </w:pPr>
      <w:hyperlink w:anchor="_Toc485296609" w:history="1">
        <w:r w:rsidR="000E347D" w:rsidRPr="00277E11">
          <w:rPr>
            <w:rStyle w:val="Hyperlink"/>
            <w:noProof/>
          </w:rPr>
          <w:t>5.6</w:t>
        </w:r>
        <w:r w:rsidR="000E347D">
          <w:rPr>
            <w:rFonts w:eastAsiaTheme="minorEastAsia" w:cstheme="minorBidi"/>
            <w:noProof/>
          </w:rPr>
          <w:tab/>
        </w:r>
        <w:r w:rsidR="000E347D" w:rsidRPr="00277E11">
          <w:rPr>
            <w:rStyle w:val="Hyperlink"/>
            <w:noProof/>
          </w:rPr>
          <w:t>Adrenaline and other tests: Items 66779 and 66780</w:t>
        </w:r>
        <w:r w:rsidR="000E347D">
          <w:rPr>
            <w:noProof/>
            <w:webHidden/>
          </w:rPr>
          <w:tab/>
        </w:r>
        <w:r w:rsidR="000E347D">
          <w:rPr>
            <w:noProof/>
            <w:webHidden/>
          </w:rPr>
          <w:fldChar w:fldCharType="begin"/>
        </w:r>
        <w:r w:rsidR="000E347D">
          <w:rPr>
            <w:noProof/>
            <w:webHidden/>
          </w:rPr>
          <w:instrText xml:space="preserve"> PAGEREF _Toc485296609 \h </w:instrText>
        </w:r>
        <w:r w:rsidR="000E347D">
          <w:rPr>
            <w:noProof/>
            <w:webHidden/>
          </w:rPr>
        </w:r>
        <w:r w:rsidR="000E347D">
          <w:rPr>
            <w:noProof/>
            <w:webHidden/>
          </w:rPr>
          <w:fldChar w:fldCharType="separate"/>
        </w:r>
        <w:r w:rsidR="000E347D">
          <w:rPr>
            <w:noProof/>
            <w:webHidden/>
          </w:rPr>
          <w:t>46</w:t>
        </w:r>
        <w:r w:rsidR="000E347D">
          <w:rPr>
            <w:noProof/>
            <w:webHidden/>
          </w:rPr>
          <w:fldChar w:fldCharType="end"/>
        </w:r>
      </w:hyperlink>
    </w:p>
    <w:p w14:paraId="59EAC985" w14:textId="77777777" w:rsidR="000E347D" w:rsidRDefault="0016786F">
      <w:pPr>
        <w:pStyle w:val="TOC2"/>
        <w:rPr>
          <w:rFonts w:eastAsiaTheme="minorEastAsia" w:cstheme="minorBidi"/>
          <w:noProof/>
        </w:rPr>
      </w:pPr>
      <w:hyperlink w:anchor="_Toc485296610" w:history="1">
        <w:r w:rsidR="000E347D" w:rsidRPr="00277E11">
          <w:rPr>
            <w:rStyle w:val="Hyperlink"/>
            <w:noProof/>
          </w:rPr>
          <w:t>5.7</w:t>
        </w:r>
        <w:r w:rsidR="000E347D">
          <w:rPr>
            <w:rFonts w:eastAsiaTheme="minorEastAsia" w:cstheme="minorBidi"/>
            <w:noProof/>
          </w:rPr>
          <w:tab/>
        </w:r>
        <w:r w:rsidR="000E347D" w:rsidRPr="00277E11">
          <w:rPr>
            <w:rStyle w:val="Hyperlink"/>
            <w:noProof/>
          </w:rPr>
          <w:t>1, 25-dihydroxyvitamin D quantification: Items 66835–7</w:t>
        </w:r>
        <w:r w:rsidR="000E347D">
          <w:rPr>
            <w:noProof/>
            <w:webHidden/>
          </w:rPr>
          <w:tab/>
        </w:r>
        <w:r w:rsidR="000E347D">
          <w:rPr>
            <w:noProof/>
            <w:webHidden/>
          </w:rPr>
          <w:fldChar w:fldCharType="begin"/>
        </w:r>
        <w:r w:rsidR="000E347D">
          <w:rPr>
            <w:noProof/>
            <w:webHidden/>
          </w:rPr>
          <w:instrText xml:space="preserve"> PAGEREF _Toc485296610 \h </w:instrText>
        </w:r>
        <w:r w:rsidR="000E347D">
          <w:rPr>
            <w:noProof/>
            <w:webHidden/>
          </w:rPr>
        </w:r>
        <w:r w:rsidR="000E347D">
          <w:rPr>
            <w:noProof/>
            <w:webHidden/>
          </w:rPr>
          <w:fldChar w:fldCharType="separate"/>
        </w:r>
        <w:r w:rsidR="000E347D">
          <w:rPr>
            <w:noProof/>
            <w:webHidden/>
          </w:rPr>
          <w:t>47</w:t>
        </w:r>
        <w:r w:rsidR="000E347D">
          <w:rPr>
            <w:noProof/>
            <w:webHidden/>
          </w:rPr>
          <w:fldChar w:fldCharType="end"/>
        </w:r>
      </w:hyperlink>
    </w:p>
    <w:p w14:paraId="1F41E6B5" w14:textId="77777777" w:rsidR="000E347D" w:rsidRDefault="0016786F">
      <w:pPr>
        <w:pStyle w:val="TOC2"/>
        <w:rPr>
          <w:rFonts w:eastAsiaTheme="minorEastAsia" w:cstheme="minorBidi"/>
          <w:noProof/>
        </w:rPr>
      </w:pPr>
      <w:hyperlink w:anchor="_Toc485296611" w:history="1">
        <w:r w:rsidR="000E347D" w:rsidRPr="00277E11">
          <w:rPr>
            <w:rStyle w:val="Hyperlink"/>
            <w:noProof/>
          </w:rPr>
          <w:t>5.8</w:t>
        </w:r>
        <w:r w:rsidR="000E347D">
          <w:rPr>
            <w:rFonts w:eastAsiaTheme="minorEastAsia" w:cstheme="minorBidi"/>
            <w:noProof/>
          </w:rPr>
          <w:tab/>
        </w:r>
        <w:r w:rsidR="000E347D" w:rsidRPr="00277E11">
          <w:rPr>
            <w:rStyle w:val="Hyperlink"/>
            <w:noProof/>
          </w:rPr>
          <w:t>Hormone and other tests: Item 66686</w:t>
        </w:r>
        <w:r w:rsidR="000E347D">
          <w:rPr>
            <w:noProof/>
            <w:webHidden/>
          </w:rPr>
          <w:tab/>
        </w:r>
        <w:r w:rsidR="000E347D">
          <w:rPr>
            <w:noProof/>
            <w:webHidden/>
          </w:rPr>
          <w:fldChar w:fldCharType="begin"/>
        </w:r>
        <w:r w:rsidR="000E347D">
          <w:rPr>
            <w:noProof/>
            <w:webHidden/>
          </w:rPr>
          <w:instrText xml:space="preserve"> PAGEREF _Toc485296611 \h </w:instrText>
        </w:r>
        <w:r w:rsidR="000E347D">
          <w:rPr>
            <w:noProof/>
            <w:webHidden/>
          </w:rPr>
        </w:r>
        <w:r w:rsidR="000E347D">
          <w:rPr>
            <w:noProof/>
            <w:webHidden/>
          </w:rPr>
          <w:fldChar w:fldCharType="separate"/>
        </w:r>
        <w:r w:rsidR="000E347D">
          <w:rPr>
            <w:noProof/>
            <w:webHidden/>
          </w:rPr>
          <w:t>48</w:t>
        </w:r>
        <w:r w:rsidR="000E347D">
          <w:rPr>
            <w:noProof/>
            <w:webHidden/>
          </w:rPr>
          <w:fldChar w:fldCharType="end"/>
        </w:r>
      </w:hyperlink>
    </w:p>
    <w:p w14:paraId="3E3C7D1A" w14:textId="77777777" w:rsidR="000E347D" w:rsidRDefault="0016786F">
      <w:pPr>
        <w:pStyle w:val="TOC2"/>
        <w:rPr>
          <w:rFonts w:eastAsiaTheme="minorEastAsia" w:cstheme="minorBidi"/>
          <w:noProof/>
        </w:rPr>
      </w:pPr>
      <w:hyperlink w:anchor="_Toc485296612" w:history="1">
        <w:r w:rsidR="000E347D" w:rsidRPr="00277E11">
          <w:rPr>
            <w:rStyle w:val="Hyperlink"/>
            <w:noProof/>
          </w:rPr>
          <w:t>5.9</w:t>
        </w:r>
        <w:r w:rsidR="000E347D">
          <w:rPr>
            <w:rFonts w:eastAsiaTheme="minorEastAsia" w:cstheme="minorBidi"/>
            <w:noProof/>
          </w:rPr>
          <w:tab/>
        </w:r>
        <w:r w:rsidR="000E347D" w:rsidRPr="00277E11">
          <w:rPr>
            <w:rStyle w:val="Hyperlink"/>
            <w:noProof/>
          </w:rPr>
          <w:t>Quantification in saliva of cortisol: Items 66711–2 and 66714–5</w:t>
        </w:r>
        <w:r w:rsidR="000E347D">
          <w:rPr>
            <w:noProof/>
            <w:webHidden/>
          </w:rPr>
          <w:tab/>
        </w:r>
        <w:r w:rsidR="000E347D">
          <w:rPr>
            <w:noProof/>
            <w:webHidden/>
          </w:rPr>
          <w:fldChar w:fldCharType="begin"/>
        </w:r>
        <w:r w:rsidR="000E347D">
          <w:rPr>
            <w:noProof/>
            <w:webHidden/>
          </w:rPr>
          <w:instrText xml:space="preserve"> PAGEREF _Toc485296612 \h </w:instrText>
        </w:r>
        <w:r w:rsidR="000E347D">
          <w:rPr>
            <w:noProof/>
            <w:webHidden/>
          </w:rPr>
        </w:r>
        <w:r w:rsidR="000E347D">
          <w:rPr>
            <w:noProof/>
            <w:webHidden/>
          </w:rPr>
          <w:fldChar w:fldCharType="separate"/>
        </w:r>
        <w:r w:rsidR="000E347D">
          <w:rPr>
            <w:noProof/>
            <w:webHidden/>
          </w:rPr>
          <w:t>49</w:t>
        </w:r>
        <w:r w:rsidR="000E347D">
          <w:rPr>
            <w:noProof/>
            <w:webHidden/>
          </w:rPr>
          <w:fldChar w:fldCharType="end"/>
        </w:r>
      </w:hyperlink>
    </w:p>
    <w:p w14:paraId="319835FF" w14:textId="77777777" w:rsidR="000E347D" w:rsidRDefault="0016786F">
      <w:pPr>
        <w:pStyle w:val="TOC2"/>
        <w:rPr>
          <w:rFonts w:eastAsiaTheme="minorEastAsia" w:cstheme="minorBidi"/>
          <w:noProof/>
        </w:rPr>
      </w:pPr>
      <w:hyperlink w:anchor="_Toc485296613" w:history="1">
        <w:r w:rsidR="000E347D" w:rsidRPr="00277E11">
          <w:rPr>
            <w:rStyle w:val="Hyperlink"/>
            <w:noProof/>
          </w:rPr>
          <w:t>5.10</w:t>
        </w:r>
        <w:r w:rsidR="000E347D">
          <w:rPr>
            <w:rFonts w:eastAsiaTheme="minorEastAsia" w:cstheme="minorBidi"/>
            <w:noProof/>
          </w:rPr>
          <w:tab/>
        </w:r>
        <w:r w:rsidR="000E347D" w:rsidRPr="00277E11">
          <w:rPr>
            <w:rStyle w:val="Hyperlink"/>
            <w:noProof/>
          </w:rPr>
          <w:t>Electrophoresis of serum: Item 66539</w:t>
        </w:r>
        <w:r w:rsidR="000E347D">
          <w:rPr>
            <w:noProof/>
            <w:webHidden/>
          </w:rPr>
          <w:tab/>
        </w:r>
        <w:r w:rsidR="000E347D">
          <w:rPr>
            <w:noProof/>
            <w:webHidden/>
          </w:rPr>
          <w:fldChar w:fldCharType="begin"/>
        </w:r>
        <w:r w:rsidR="000E347D">
          <w:rPr>
            <w:noProof/>
            <w:webHidden/>
          </w:rPr>
          <w:instrText xml:space="preserve"> PAGEREF _Toc485296613 \h </w:instrText>
        </w:r>
        <w:r w:rsidR="000E347D">
          <w:rPr>
            <w:noProof/>
            <w:webHidden/>
          </w:rPr>
        </w:r>
        <w:r w:rsidR="000E347D">
          <w:rPr>
            <w:noProof/>
            <w:webHidden/>
          </w:rPr>
          <w:fldChar w:fldCharType="separate"/>
        </w:r>
        <w:r w:rsidR="000E347D">
          <w:rPr>
            <w:noProof/>
            <w:webHidden/>
          </w:rPr>
          <w:t>50</w:t>
        </w:r>
        <w:r w:rsidR="000E347D">
          <w:rPr>
            <w:noProof/>
            <w:webHidden/>
          </w:rPr>
          <w:fldChar w:fldCharType="end"/>
        </w:r>
      </w:hyperlink>
    </w:p>
    <w:p w14:paraId="375C5287" w14:textId="77777777" w:rsidR="000E347D" w:rsidRDefault="0016786F">
      <w:pPr>
        <w:pStyle w:val="TOC1"/>
        <w:tabs>
          <w:tab w:val="left" w:pos="440"/>
          <w:tab w:val="right" w:leader="dot" w:pos="9016"/>
        </w:tabs>
        <w:rPr>
          <w:rFonts w:eastAsiaTheme="minorEastAsia" w:cstheme="minorBidi"/>
          <w:b w:val="0"/>
          <w:noProof/>
        </w:rPr>
      </w:pPr>
      <w:hyperlink w:anchor="_Toc485296614" w:history="1">
        <w:r w:rsidR="000E347D" w:rsidRPr="00277E11">
          <w:rPr>
            <w:rStyle w:val="Hyperlink"/>
            <w:noProof/>
          </w:rPr>
          <w:t>6.</w:t>
        </w:r>
        <w:r w:rsidR="000E347D">
          <w:rPr>
            <w:rFonts w:eastAsiaTheme="minorEastAsia" w:cstheme="minorBidi"/>
            <w:b w:val="0"/>
            <w:noProof/>
          </w:rPr>
          <w:tab/>
        </w:r>
        <w:r w:rsidR="000E347D" w:rsidRPr="00277E11">
          <w:rPr>
            <w:rStyle w:val="Hyperlink"/>
            <w:noProof/>
          </w:rPr>
          <w:t>References</w:t>
        </w:r>
        <w:r w:rsidR="000E347D">
          <w:rPr>
            <w:noProof/>
            <w:webHidden/>
          </w:rPr>
          <w:tab/>
        </w:r>
        <w:r w:rsidR="000E347D">
          <w:rPr>
            <w:noProof/>
            <w:webHidden/>
          </w:rPr>
          <w:fldChar w:fldCharType="begin"/>
        </w:r>
        <w:r w:rsidR="000E347D">
          <w:rPr>
            <w:noProof/>
            <w:webHidden/>
          </w:rPr>
          <w:instrText xml:space="preserve"> PAGEREF _Toc485296614 \h </w:instrText>
        </w:r>
        <w:r w:rsidR="000E347D">
          <w:rPr>
            <w:noProof/>
            <w:webHidden/>
          </w:rPr>
        </w:r>
        <w:r w:rsidR="000E347D">
          <w:rPr>
            <w:noProof/>
            <w:webHidden/>
          </w:rPr>
          <w:fldChar w:fldCharType="separate"/>
        </w:r>
        <w:r w:rsidR="000E347D">
          <w:rPr>
            <w:noProof/>
            <w:webHidden/>
          </w:rPr>
          <w:t>52</w:t>
        </w:r>
        <w:r w:rsidR="000E347D">
          <w:rPr>
            <w:noProof/>
            <w:webHidden/>
          </w:rPr>
          <w:fldChar w:fldCharType="end"/>
        </w:r>
      </w:hyperlink>
    </w:p>
    <w:p w14:paraId="6BD6C52E" w14:textId="77777777" w:rsidR="000E347D" w:rsidRDefault="0016786F">
      <w:pPr>
        <w:pStyle w:val="TOC1"/>
        <w:tabs>
          <w:tab w:val="left" w:pos="440"/>
          <w:tab w:val="right" w:leader="dot" w:pos="9016"/>
        </w:tabs>
        <w:rPr>
          <w:rFonts w:eastAsiaTheme="minorEastAsia" w:cstheme="minorBidi"/>
          <w:b w:val="0"/>
          <w:noProof/>
        </w:rPr>
      </w:pPr>
      <w:hyperlink w:anchor="_Toc485296615" w:history="1">
        <w:r w:rsidR="000E347D" w:rsidRPr="00277E11">
          <w:rPr>
            <w:rStyle w:val="Hyperlink"/>
            <w:noProof/>
          </w:rPr>
          <w:t>7.</w:t>
        </w:r>
        <w:r w:rsidR="000E347D">
          <w:rPr>
            <w:rFonts w:eastAsiaTheme="minorEastAsia" w:cstheme="minorBidi"/>
            <w:b w:val="0"/>
            <w:noProof/>
          </w:rPr>
          <w:tab/>
        </w:r>
        <w:r w:rsidR="000E347D" w:rsidRPr="00277E11">
          <w:rPr>
            <w:rStyle w:val="Hyperlink"/>
            <w:noProof/>
          </w:rPr>
          <w:t>Glossary</w:t>
        </w:r>
        <w:r w:rsidR="000E347D">
          <w:rPr>
            <w:noProof/>
            <w:webHidden/>
          </w:rPr>
          <w:tab/>
        </w:r>
        <w:r w:rsidR="000E347D">
          <w:rPr>
            <w:noProof/>
            <w:webHidden/>
          </w:rPr>
          <w:fldChar w:fldCharType="begin"/>
        </w:r>
        <w:r w:rsidR="000E347D">
          <w:rPr>
            <w:noProof/>
            <w:webHidden/>
          </w:rPr>
          <w:instrText xml:space="preserve"> PAGEREF _Toc485296615 \h </w:instrText>
        </w:r>
        <w:r w:rsidR="000E347D">
          <w:rPr>
            <w:noProof/>
            <w:webHidden/>
          </w:rPr>
        </w:r>
        <w:r w:rsidR="000E347D">
          <w:rPr>
            <w:noProof/>
            <w:webHidden/>
          </w:rPr>
          <w:fldChar w:fldCharType="separate"/>
        </w:r>
        <w:r w:rsidR="000E347D">
          <w:rPr>
            <w:noProof/>
            <w:webHidden/>
          </w:rPr>
          <w:t>54</w:t>
        </w:r>
        <w:r w:rsidR="000E347D">
          <w:rPr>
            <w:noProof/>
            <w:webHidden/>
          </w:rPr>
          <w:fldChar w:fldCharType="end"/>
        </w:r>
      </w:hyperlink>
    </w:p>
    <w:p w14:paraId="29576222" w14:textId="77777777" w:rsidR="000E347D" w:rsidRDefault="0016786F">
      <w:pPr>
        <w:pStyle w:val="TOC1"/>
        <w:tabs>
          <w:tab w:val="left" w:pos="1320"/>
          <w:tab w:val="right" w:leader="dot" w:pos="9016"/>
        </w:tabs>
        <w:rPr>
          <w:rFonts w:eastAsiaTheme="minorEastAsia" w:cstheme="minorBidi"/>
          <w:b w:val="0"/>
          <w:noProof/>
        </w:rPr>
      </w:pPr>
      <w:hyperlink w:anchor="_Toc485296616" w:history="1">
        <w:r w:rsidR="000E347D" w:rsidRPr="00277E11">
          <w:rPr>
            <w:rStyle w:val="Hyperlink"/>
            <w:noProof/>
          </w:rPr>
          <w:t>Appendix A</w:t>
        </w:r>
        <w:r w:rsidR="000E347D">
          <w:rPr>
            <w:rFonts w:eastAsiaTheme="minorEastAsia" w:cstheme="minorBidi"/>
            <w:b w:val="0"/>
            <w:noProof/>
          </w:rPr>
          <w:tab/>
        </w:r>
        <w:r w:rsidR="000E347D" w:rsidRPr="00277E11">
          <w:rPr>
            <w:rStyle w:val="Hyperlink"/>
            <w:noProof/>
          </w:rPr>
          <w:t>Endocrine-related pathology test items– Recommendations list</w:t>
        </w:r>
        <w:r w:rsidR="000E347D">
          <w:rPr>
            <w:noProof/>
            <w:webHidden/>
          </w:rPr>
          <w:tab/>
        </w:r>
        <w:r w:rsidR="000E347D">
          <w:rPr>
            <w:noProof/>
            <w:webHidden/>
          </w:rPr>
          <w:fldChar w:fldCharType="begin"/>
        </w:r>
        <w:r w:rsidR="000E347D">
          <w:rPr>
            <w:noProof/>
            <w:webHidden/>
          </w:rPr>
          <w:instrText xml:space="preserve"> PAGEREF _Toc485296616 \h </w:instrText>
        </w:r>
        <w:r w:rsidR="000E347D">
          <w:rPr>
            <w:noProof/>
            <w:webHidden/>
          </w:rPr>
        </w:r>
        <w:r w:rsidR="000E347D">
          <w:rPr>
            <w:noProof/>
            <w:webHidden/>
          </w:rPr>
          <w:fldChar w:fldCharType="separate"/>
        </w:r>
        <w:r w:rsidR="000E347D">
          <w:rPr>
            <w:noProof/>
            <w:webHidden/>
          </w:rPr>
          <w:t>56</w:t>
        </w:r>
        <w:r w:rsidR="000E347D">
          <w:rPr>
            <w:noProof/>
            <w:webHidden/>
          </w:rPr>
          <w:fldChar w:fldCharType="end"/>
        </w:r>
      </w:hyperlink>
    </w:p>
    <w:p w14:paraId="185C85E6" w14:textId="77777777" w:rsidR="000E347D" w:rsidRDefault="0016786F">
      <w:pPr>
        <w:pStyle w:val="TOC1"/>
        <w:tabs>
          <w:tab w:val="left" w:pos="1320"/>
          <w:tab w:val="right" w:leader="dot" w:pos="9016"/>
        </w:tabs>
        <w:rPr>
          <w:rFonts w:eastAsiaTheme="minorEastAsia" w:cstheme="minorBidi"/>
          <w:b w:val="0"/>
          <w:noProof/>
        </w:rPr>
      </w:pPr>
      <w:hyperlink w:anchor="_Toc485296617" w:history="1">
        <w:r w:rsidR="000E347D" w:rsidRPr="00277E11">
          <w:rPr>
            <w:rStyle w:val="Hyperlink"/>
            <w:noProof/>
          </w:rPr>
          <w:t>Appendix B</w:t>
        </w:r>
        <w:r w:rsidR="000E347D">
          <w:rPr>
            <w:rFonts w:eastAsiaTheme="minorEastAsia" w:cstheme="minorBidi"/>
            <w:b w:val="0"/>
            <w:noProof/>
          </w:rPr>
          <w:tab/>
        </w:r>
        <w:r w:rsidR="000E347D" w:rsidRPr="00277E11">
          <w:rPr>
            <w:rStyle w:val="Hyperlink"/>
            <w:noProof/>
          </w:rPr>
          <w:t>Summary for consumers</w:t>
        </w:r>
        <w:r w:rsidR="000E347D">
          <w:rPr>
            <w:noProof/>
            <w:webHidden/>
          </w:rPr>
          <w:tab/>
        </w:r>
        <w:r w:rsidR="000E347D">
          <w:rPr>
            <w:noProof/>
            <w:webHidden/>
          </w:rPr>
          <w:fldChar w:fldCharType="begin"/>
        </w:r>
        <w:r w:rsidR="000E347D">
          <w:rPr>
            <w:noProof/>
            <w:webHidden/>
          </w:rPr>
          <w:instrText xml:space="preserve"> PAGEREF _Toc485296617 \h </w:instrText>
        </w:r>
        <w:r w:rsidR="000E347D">
          <w:rPr>
            <w:noProof/>
            <w:webHidden/>
          </w:rPr>
        </w:r>
        <w:r w:rsidR="000E347D">
          <w:rPr>
            <w:noProof/>
            <w:webHidden/>
          </w:rPr>
          <w:fldChar w:fldCharType="separate"/>
        </w:r>
        <w:r w:rsidR="000E347D">
          <w:rPr>
            <w:noProof/>
            <w:webHidden/>
          </w:rPr>
          <w:t>62</w:t>
        </w:r>
        <w:r w:rsidR="000E347D">
          <w:rPr>
            <w:noProof/>
            <w:webHidden/>
          </w:rPr>
          <w:fldChar w:fldCharType="end"/>
        </w:r>
      </w:hyperlink>
    </w:p>
    <w:p w14:paraId="7F1E8669" w14:textId="531A2D19" w:rsidR="00326D7D" w:rsidRPr="00C848B4" w:rsidRDefault="007703B3" w:rsidP="00C848B4">
      <w:pPr>
        <w:pStyle w:val="TableofFigures"/>
        <w:tabs>
          <w:tab w:val="left" w:pos="1100"/>
          <w:tab w:val="right" w:leader="dot" w:pos="9016"/>
        </w:tabs>
        <w:ind w:left="0" w:hanging="14"/>
        <w:rPr>
          <w:rStyle w:val="Hyperlink"/>
        </w:rPr>
      </w:pPr>
      <w:r>
        <w:fldChar w:fldCharType="end"/>
      </w:r>
      <w:r w:rsidR="00681471" w:rsidRPr="004F50BA">
        <w:br w:type="page"/>
      </w:r>
      <w:r w:rsidR="0011166D" w:rsidRPr="003B1222">
        <w:rPr>
          <w:b/>
          <w:bCs/>
          <w:noProof/>
          <w:color w:val="01653F"/>
          <w:sz w:val="32"/>
          <w:szCs w:val="32"/>
        </w:rPr>
        <w:lastRenderedPageBreak/>
        <w:t>List of Tables</w:t>
      </w:r>
    </w:p>
    <w:p w14:paraId="51176FF7" w14:textId="73BD9164" w:rsidR="00CD7A89" w:rsidRDefault="00240E05">
      <w:pPr>
        <w:pStyle w:val="TableofFigures"/>
        <w:tabs>
          <w:tab w:val="left" w:pos="880"/>
          <w:tab w:val="right" w:leader="dot" w:pos="9016"/>
        </w:tabs>
        <w:rPr>
          <w:rFonts w:eastAsiaTheme="minorEastAsia" w:cstheme="minorBidi"/>
          <w:noProof/>
          <w:sz w:val="22"/>
          <w:szCs w:val="22"/>
        </w:rPr>
      </w:pPr>
      <w:r w:rsidRPr="00C848B4">
        <w:rPr>
          <w:rStyle w:val="Hyperlink"/>
        </w:rPr>
        <w:fldChar w:fldCharType="begin"/>
      </w:r>
      <w:r w:rsidR="00266013" w:rsidRPr="00C848B4">
        <w:rPr>
          <w:rStyle w:val="Hyperlink"/>
        </w:rPr>
        <w:instrText xml:space="preserve"> TOC \h \z \t "Caption" \c </w:instrText>
      </w:r>
      <w:r w:rsidRPr="00C848B4">
        <w:rPr>
          <w:rStyle w:val="Hyperlink"/>
        </w:rPr>
        <w:fldChar w:fldCharType="separate"/>
      </w:r>
      <w:hyperlink w:anchor="_Toc472940493" w:history="1">
        <w:r w:rsidR="00CD7A89" w:rsidRPr="00D330BB">
          <w:rPr>
            <w:rStyle w:val="Hyperlink"/>
            <w:noProof/>
          </w:rPr>
          <w:t>Table 1:</w:t>
        </w:r>
        <w:r w:rsidR="00392426">
          <w:rPr>
            <w:rStyle w:val="Hyperlink"/>
            <w:noProof/>
          </w:rPr>
          <w:t xml:space="preserve"> </w:t>
        </w:r>
        <w:r w:rsidR="00CD7A89" w:rsidRPr="00D330BB">
          <w:rPr>
            <w:rStyle w:val="Hyperlink"/>
            <w:noProof/>
          </w:rPr>
          <w:t>Pathology Clinical Committee Members</w:t>
        </w:r>
        <w:r w:rsidR="00CD7A89">
          <w:rPr>
            <w:noProof/>
            <w:webHidden/>
          </w:rPr>
          <w:tab/>
        </w:r>
        <w:r>
          <w:rPr>
            <w:noProof/>
            <w:webHidden/>
          </w:rPr>
          <w:fldChar w:fldCharType="begin"/>
        </w:r>
        <w:r w:rsidR="00CD7A89">
          <w:rPr>
            <w:noProof/>
            <w:webHidden/>
          </w:rPr>
          <w:instrText xml:space="preserve"> PAGEREF _Toc472940493 \h </w:instrText>
        </w:r>
        <w:r>
          <w:rPr>
            <w:noProof/>
            <w:webHidden/>
          </w:rPr>
        </w:r>
        <w:r>
          <w:rPr>
            <w:noProof/>
            <w:webHidden/>
          </w:rPr>
          <w:fldChar w:fldCharType="separate"/>
        </w:r>
        <w:r w:rsidR="000E347D">
          <w:rPr>
            <w:noProof/>
            <w:webHidden/>
          </w:rPr>
          <w:t>11</w:t>
        </w:r>
        <w:r>
          <w:rPr>
            <w:noProof/>
            <w:webHidden/>
          </w:rPr>
          <w:fldChar w:fldCharType="end"/>
        </w:r>
      </w:hyperlink>
    </w:p>
    <w:p w14:paraId="0B2F4075" w14:textId="592B30EB" w:rsidR="00CD7A89" w:rsidRDefault="0016786F">
      <w:pPr>
        <w:pStyle w:val="TableofFigures"/>
        <w:tabs>
          <w:tab w:val="left" w:pos="880"/>
          <w:tab w:val="right" w:leader="dot" w:pos="9016"/>
        </w:tabs>
        <w:rPr>
          <w:rFonts w:eastAsiaTheme="minorEastAsia" w:cstheme="minorBidi"/>
          <w:noProof/>
          <w:sz w:val="22"/>
          <w:szCs w:val="22"/>
        </w:rPr>
      </w:pPr>
      <w:hyperlink w:anchor="_Toc472940494" w:history="1">
        <w:r w:rsidR="00CD7A89" w:rsidRPr="00D330BB">
          <w:rPr>
            <w:rStyle w:val="Hyperlink"/>
            <w:noProof/>
          </w:rPr>
          <w:t>Table 2:</w:t>
        </w:r>
        <w:r w:rsidR="00392426">
          <w:rPr>
            <w:rStyle w:val="Hyperlink"/>
            <w:noProof/>
          </w:rPr>
          <w:t xml:space="preserve"> </w:t>
        </w:r>
        <w:r w:rsidR="00CD7A89" w:rsidRPr="00D330BB">
          <w:rPr>
            <w:rStyle w:val="Hyperlink"/>
            <w:noProof/>
          </w:rPr>
          <w:t>Chemical Working Group Members</w:t>
        </w:r>
        <w:r w:rsidR="00CD7A89">
          <w:rPr>
            <w:noProof/>
            <w:webHidden/>
          </w:rPr>
          <w:tab/>
        </w:r>
        <w:r w:rsidR="00240E05">
          <w:rPr>
            <w:noProof/>
            <w:webHidden/>
          </w:rPr>
          <w:fldChar w:fldCharType="begin"/>
        </w:r>
        <w:r w:rsidR="00CD7A89">
          <w:rPr>
            <w:noProof/>
            <w:webHidden/>
          </w:rPr>
          <w:instrText xml:space="preserve"> PAGEREF _Toc472940494 \h </w:instrText>
        </w:r>
        <w:r w:rsidR="00240E05">
          <w:rPr>
            <w:noProof/>
            <w:webHidden/>
          </w:rPr>
        </w:r>
        <w:r w:rsidR="00240E05">
          <w:rPr>
            <w:noProof/>
            <w:webHidden/>
          </w:rPr>
          <w:fldChar w:fldCharType="separate"/>
        </w:r>
        <w:r w:rsidR="000E347D">
          <w:rPr>
            <w:noProof/>
            <w:webHidden/>
          </w:rPr>
          <w:t>13</w:t>
        </w:r>
        <w:r w:rsidR="00240E05">
          <w:rPr>
            <w:noProof/>
            <w:webHidden/>
          </w:rPr>
          <w:fldChar w:fldCharType="end"/>
        </w:r>
      </w:hyperlink>
    </w:p>
    <w:p w14:paraId="2EC8874C" w14:textId="69008B66" w:rsidR="00CD7A89" w:rsidRDefault="0016786F">
      <w:pPr>
        <w:pStyle w:val="TableofFigures"/>
        <w:tabs>
          <w:tab w:val="left" w:pos="1100"/>
          <w:tab w:val="right" w:leader="dot" w:pos="9016"/>
        </w:tabs>
        <w:rPr>
          <w:rFonts w:eastAsiaTheme="minorEastAsia" w:cstheme="minorBidi"/>
          <w:noProof/>
          <w:sz w:val="22"/>
          <w:szCs w:val="22"/>
        </w:rPr>
      </w:pPr>
      <w:hyperlink w:anchor="_Toc472940495" w:history="1">
        <w:r w:rsidR="00CD7A89" w:rsidRPr="00D330BB">
          <w:rPr>
            <w:rStyle w:val="Hyperlink"/>
            <w:noProof/>
          </w:rPr>
          <w:t>Table 3: Item introduction table for items 66716, 66722–5, 66728, 66731 and 66734</w:t>
        </w:r>
        <w:r w:rsidR="00CD7A89">
          <w:rPr>
            <w:noProof/>
            <w:webHidden/>
          </w:rPr>
          <w:tab/>
        </w:r>
        <w:r w:rsidR="00240E05">
          <w:rPr>
            <w:noProof/>
            <w:webHidden/>
          </w:rPr>
          <w:fldChar w:fldCharType="begin"/>
        </w:r>
        <w:r w:rsidR="00CD7A89">
          <w:rPr>
            <w:noProof/>
            <w:webHidden/>
          </w:rPr>
          <w:instrText xml:space="preserve"> PAGEREF _Toc472940495 \h </w:instrText>
        </w:r>
        <w:r w:rsidR="00240E05">
          <w:rPr>
            <w:noProof/>
            <w:webHidden/>
          </w:rPr>
        </w:r>
        <w:r w:rsidR="00240E05">
          <w:rPr>
            <w:noProof/>
            <w:webHidden/>
          </w:rPr>
          <w:fldChar w:fldCharType="separate"/>
        </w:r>
        <w:r w:rsidR="000E347D">
          <w:rPr>
            <w:noProof/>
            <w:webHidden/>
          </w:rPr>
          <w:t>16</w:t>
        </w:r>
        <w:r w:rsidR="00240E05">
          <w:rPr>
            <w:noProof/>
            <w:webHidden/>
          </w:rPr>
          <w:fldChar w:fldCharType="end"/>
        </w:r>
      </w:hyperlink>
    </w:p>
    <w:p w14:paraId="5DFB2A53" w14:textId="35EBBDB2" w:rsidR="00CD7A89" w:rsidRDefault="0016786F">
      <w:pPr>
        <w:pStyle w:val="TableofFigures"/>
        <w:tabs>
          <w:tab w:val="right" w:leader="dot" w:pos="9016"/>
        </w:tabs>
        <w:rPr>
          <w:rFonts w:eastAsiaTheme="minorEastAsia" w:cstheme="minorBidi"/>
          <w:noProof/>
          <w:sz w:val="22"/>
          <w:szCs w:val="22"/>
        </w:rPr>
      </w:pPr>
      <w:hyperlink w:anchor="_Toc472940496" w:history="1">
        <w:r w:rsidR="00CD7A89" w:rsidRPr="00D330BB">
          <w:rPr>
            <w:rStyle w:val="Hyperlink"/>
            <w:noProof/>
          </w:rPr>
          <w:t>Table 4: Current and proposed new item descriptor for item 66716</w:t>
        </w:r>
        <w:r w:rsidR="00CD7A89">
          <w:rPr>
            <w:noProof/>
            <w:webHidden/>
          </w:rPr>
          <w:tab/>
        </w:r>
        <w:r w:rsidR="00240E05">
          <w:rPr>
            <w:noProof/>
            <w:webHidden/>
          </w:rPr>
          <w:fldChar w:fldCharType="begin"/>
        </w:r>
        <w:r w:rsidR="00CD7A89">
          <w:rPr>
            <w:noProof/>
            <w:webHidden/>
          </w:rPr>
          <w:instrText xml:space="preserve"> PAGEREF _Toc472940496 \h </w:instrText>
        </w:r>
        <w:r w:rsidR="00240E05">
          <w:rPr>
            <w:noProof/>
            <w:webHidden/>
          </w:rPr>
        </w:r>
        <w:r w:rsidR="00240E05">
          <w:rPr>
            <w:noProof/>
            <w:webHidden/>
          </w:rPr>
          <w:fldChar w:fldCharType="separate"/>
        </w:r>
        <w:r w:rsidR="000E347D">
          <w:rPr>
            <w:noProof/>
            <w:webHidden/>
          </w:rPr>
          <w:t>22</w:t>
        </w:r>
        <w:r w:rsidR="00240E05">
          <w:rPr>
            <w:noProof/>
            <w:webHidden/>
          </w:rPr>
          <w:fldChar w:fldCharType="end"/>
        </w:r>
      </w:hyperlink>
    </w:p>
    <w:p w14:paraId="0793A971" w14:textId="2AC7216D" w:rsidR="00CD7A89" w:rsidRDefault="0016786F">
      <w:pPr>
        <w:pStyle w:val="TableofFigures"/>
        <w:tabs>
          <w:tab w:val="right" w:leader="dot" w:pos="9016"/>
        </w:tabs>
        <w:rPr>
          <w:rFonts w:eastAsiaTheme="minorEastAsia" w:cstheme="minorBidi"/>
          <w:noProof/>
          <w:sz w:val="22"/>
          <w:szCs w:val="22"/>
        </w:rPr>
      </w:pPr>
      <w:hyperlink w:anchor="_Toc472940497" w:history="1">
        <w:r w:rsidR="00CD7A89" w:rsidRPr="00D330BB">
          <w:rPr>
            <w:rStyle w:val="Hyperlink"/>
            <w:noProof/>
          </w:rPr>
          <w:t>Table 5: Item introduction table for item 66719</w:t>
        </w:r>
        <w:r w:rsidR="00CD7A89">
          <w:rPr>
            <w:noProof/>
            <w:webHidden/>
          </w:rPr>
          <w:tab/>
        </w:r>
        <w:r w:rsidR="00240E05">
          <w:rPr>
            <w:noProof/>
            <w:webHidden/>
          </w:rPr>
          <w:fldChar w:fldCharType="begin"/>
        </w:r>
        <w:r w:rsidR="00CD7A89">
          <w:rPr>
            <w:noProof/>
            <w:webHidden/>
          </w:rPr>
          <w:instrText xml:space="preserve"> PAGEREF _Toc472940497 \h </w:instrText>
        </w:r>
        <w:r w:rsidR="00240E05">
          <w:rPr>
            <w:noProof/>
            <w:webHidden/>
          </w:rPr>
        </w:r>
        <w:r w:rsidR="00240E05">
          <w:rPr>
            <w:noProof/>
            <w:webHidden/>
          </w:rPr>
          <w:fldChar w:fldCharType="separate"/>
        </w:r>
        <w:r w:rsidR="000E347D">
          <w:rPr>
            <w:noProof/>
            <w:webHidden/>
          </w:rPr>
          <w:t>23</w:t>
        </w:r>
        <w:r w:rsidR="00240E05">
          <w:rPr>
            <w:noProof/>
            <w:webHidden/>
          </w:rPr>
          <w:fldChar w:fldCharType="end"/>
        </w:r>
      </w:hyperlink>
    </w:p>
    <w:p w14:paraId="46D80E1F" w14:textId="345A0C38" w:rsidR="00CD7A89" w:rsidRDefault="0016786F">
      <w:pPr>
        <w:pStyle w:val="TableofFigures"/>
        <w:tabs>
          <w:tab w:val="right" w:leader="dot" w:pos="9016"/>
        </w:tabs>
        <w:rPr>
          <w:rFonts w:eastAsiaTheme="minorEastAsia" w:cstheme="minorBidi"/>
          <w:noProof/>
          <w:sz w:val="22"/>
          <w:szCs w:val="22"/>
        </w:rPr>
      </w:pPr>
      <w:hyperlink w:anchor="_Toc472940498" w:history="1">
        <w:r w:rsidR="00CD7A89" w:rsidRPr="00D330BB">
          <w:rPr>
            <w:rStyle w:val="Hyperlink"/>
            <w:noProof/>
          </w:rPr>
          <w:t>Table 6: Current and proposed new item descriptor for item 66719</w:t>
        </w:r>
        <w:r w:rsidR="00CD7A89">
          <w:rPr>
            <w:noProof/>
            <w:webHidden/>
          </w:rPr>
          <w:tab/>
        </w:r>
        <w:r w:rsidR="00240E05">
          <w:rPr>
            <w:noProof/>
            <w:webHidden/>
          </w:rPr>
          <w:fldChar w:fldCharType="begin"/>
        </w:r>
        <w:r w:rsidR="00CD7A89">
          <w:rPr>
            <w:noProof/>
            <w:webHidden/>
          </w:rPr>
          <w:instrText xml:space="preserve"> PAGEREF _Toc472940498 \h </w:instrText>
        </w:r>
        <w:r w:rsidR="00240E05">
          <w:rPr>
            <w:noProof/>
            <w:webHidden/>
          </w:rPr>
        </w:r>
        <w:r w:rsidR="00240E05">
          <w:rPr>
            <w:noProof/>
            <w:webHidden/>
          </w:rPr>
          <w:fldChar w:fldCharType="separate"/>
        </w:r>
        <w:r w:rsidR="000E347D">
          <w:rPr>
            <w:noProof/>
            <w:webHidden/>
          </w:rPr>
          <w:t>26</w:t>
        </w:r>
        <w:r w:rsidR="00240E05">
          <w:rPr>
            <w:noProof/>
            <w:webHidden/>
          </w:rPr>
          <w:fldChar w:fldCharType="end"/>
        </w:r>
      </w:hyperlink>
    </w:p>
    <w:p w14:paraId="69A28C55" w14:textId="7D938DF7" w:rsidR="00CD7A89" w:rsidRDefault="0016786F">
      <w:pPr>
        <w:pStyle w:val="TableofFigures"/>
        <w:tabs>
          <w:tab w:val="right" w:leader="dot" w:pos="9016"/>
        </w:tabs>
        <w:rPr>
          <w:rFonts w:eastAsiaTheme="minorEastAsia" w:cstheme="minorBidi"/>
          <w:noProof/>
          <w:sz w:val="22"/>
          <w:szCs w:val="22"/>
        </w:rPr>
      </w:pPr>
      <w:hyperlink w:anchor="_Toc472940499" w:history="1">
        <w:r w:rsidR="00CD7A89" w:rsidRPr="00D330BB">
          <w:rPr>
            <w:rStyle w:val="Hyperlink"/>
            <w:noProof/>
          </w:rPr>
          <w:t>Table 7: Proposed new item descriptor</w:t>
        </w:r>
        <w:r w:rsidR="00CD7A89">
          <w:rPr>
            <w:noProof/>
            <w:webHidden/>
          </w:rPr>
          <w:tab/>
        </w:r>
        <w:r w:rsidR="00240E05">
          <w:rPr>
            <w:noProof/>
            <w:webHidden/>
          </w:rPr>
          <w:fldChar w:fldCharType="begin"/>
        </w:r>
        <w:r w:rsidR="00CD7A89">
          <w:rPr>
            <w:noProof/>
            <w:webHidden/>
          </w:rPr>
          <w:instrText xml:space="preserve"> PAGEREF _Toc472940499 \h </w:instrText>
        </w:r>
        <w:r w:rsidR="00240E05">
          <w:rPr>
            <w:noProof/>
            <w:webHidden/>
          </w:rPr>
        </w:r>
        <w:r w:rsidR="00240E05">
          <w:rPr>
            <w:noProof/>
            <w:webHidden/>
          </w:rPr>
          <w:fldChar w:fldCharType="separate"/>
        </w:r>
        <w:r w:rsidR="000E347D">
          <w:rPr>
            <w:noProof/>
            <w:webHidden/>
          </w:rPr>
          <w:t>28</w:t>
        </w:r>
        <w:r w:rsidR="00240E05">
          <w:rPr>
            <w:noProof/>
            <w:webHidden/>
          </w:rPr>
          <w:fldChar w:fldCharType="end"/>
        </w:r>
      </w:hyperlink>
    </w:p>
    <w:p w14:paraId="1BEE8740" w14:textId="20BA43D4" w:rsidR="00CD7A89" w:rsidRDefault="0016786F">
      <w:pPr>
        <w:pStyle w:val="TableofFigures"/>
        <w:tabs>
          <w:tab w:val="right" w:leader="dot" w:pos="9016"/>
        </w:tabs>
        <w:rPr>
          <w:rFonts w:eastAsiaTheme="minorEastAsia" w:cstheme="minorBidi"/>
          <w:noProof/>
          <w:sz w:val="22"/>
          <w:szCs w:val="22"/>
        </w:rPr>
      </w:pPr>
      <w:hyperlink w:anchor="_Toc472940500" w:history="1">
        <w:r w:rsidR="00CD7A89" w:rsidRPr="00D330BB">
          <w:rPr>
            <w:rStyle w:val="Hyperlink"/>
            <w:noProof/>
            <w:lang w:val="en-US"/>
          </w:rPr>
          <w:t>Table 8: Item introduction table for items 66542, 66545, 66548, 66551, 66554, 66557, 66841 and 66560</w:t>
        </w:r>
        <w:r w:rsidR="00CD7A89">
          <w:rPr>
            <w:noProof/>
            <w:webHidden/>
          </w:rPr>
          <w:tab/>
        </w:r>
        <w:r w:rsidR="00240E05">
          <w:rPr>
            <w:noProof/>
            <w:webHidden/>
          </w:rPr>
          <w:fldChar w:fldCharType="begin"/>
        </w:r>
        <w:r w:rsidR="00CD7A89">
          <w:rPr>
            <w:noProof/>
            <w:webHidden/>
          </w:rPr>
          <w:instrText xml:space="preserve"> PAGEREF _Toc472940500 \h </w:instrText>
        </w:r>
        <w:r w:rsidR="00240E05">
          <w:rPr>
            <w:noProof/>
            <w:webHidden/>
          </w:rPr>
        </w:r>
        <w:r w:rsidR="00240E05">
          <w:rPr>
            <w:noProof/>
            <w:webHidden/>
          </w:rPr>
          <w:fldChar w:fldCharType="separate"/>
        </w:r>
        <w:r w:rsidR="000E347D">
          <w:rPr>
            <w:noProof/>
            <w:webHidden/>
          </w:rPr>
          <w:t>29</w:t>
        </w:r>
        <w:r w:rsidR="00240E05">
          <w:rPr>
            <w:noProof/>
            <w:webHidden/>
          </w:rPr>
          <w:fldChar w:fldCharType="end"/>
        </w:r>
      </w:hyperlink>
    </w:p>
    <w:p w14:paraId="28C76B15" w14:textId="24C8E2AD" w:rsidR="00CD7A89" w:rsidRDefault="0016786F">
      <w:pPr>
        <w:pStyle w:val="TableofFigures"/>
        <w:tabs>
          <w:tab w:val="right" w:leader="dot" w:pos="9016"/>
        </w:tabs>
        <w:rPr>
          <w:rFonts w:eastAsiaTheme="minorEastAsia" w:cstheme="minorBidi"/>
          <w:noProof/>
          <w:sz w:val="22"/>
          <w:szCs w:val="22"/>
        </w:rPr>
      </w:pPr>
      <w:hyperlink w:anchor="_Toc472940501" w:history="1">
        <w:r w:rsidR="00CD7A89" w:rsidRPr="00D330BB">
          <w:rPr>
            <w:rStyle w:val="Hyperlink"/>
            <w:noProof/>
            <w:lang w:val="en-US"/>
          </w:rPr>
          <w:t>Table 9: Current and proposed new item descriptor for item 66542</w:t>
        </w:r>
        <w:r w:rsidR="00CD7A89">
          <w:rPr>
            <w:noProof/>
            <w:webHidden/>
          </w:rPr>
          <w:tab/>
        </w:r>
        <w:r w:rsidR="00240E05">
          <w:rPr>
            <w:noProof/>
            <w:webHidden/>
          </w:rPr>
          <w:fldChar w:fldCharType="begin"/>
        </w:r>
        <w:r w:rsidR="00CD7A89">
          <w:rPr>
            <w:noProof/>
            <w:webHidden/>
          </w:rPr>
          <w:instrText xml:space="preserve"> PAGEREF _Toc472940501 \h </w:instrText>
        </w:r>
        <w:r w:rsidR="00240E05">
          <w:rPr>
            <w:noProof/>
            <w:webHidden/>
          </w:rPr>
        </w:r>
        <w:r w:rsidR="00240E05">
          <w:rPr>
            <w:noProof/>
            <w:webHidden/>
          </w:rPr>
          <w:fldChar w:fldCharType="separate"/>
        </w:r>
        <w:r w:rsidR="000E347D">
          <w:rPr>
            <w:noProof/>
            <w:webHidden/>
          </w:rPr>
          <w:t>31</w:t>
        </w:r>
        <w:r w:rsidR="00240E05">
          <w:rPr>
            <w:noProof/>
            <w:webHidden/>
          </w:rPr>
          <w:fldChar w:fldCharType="end"/>
        </w:r>
      </w:hyperlink>
    </w:p>
    <w:p w14:paraId="0563CD63" w14:textId="49ACC556" w:rsidR="00CD7A89" w:rsidRDefault="0016786F">
      <w:pPr>
        <w:pStyle w:val="TableofFigures"/>
        <w:tabs>
          <w:tab w:val="right" w:leader="dot" w:pos="9016"/>
        </w:tabs>
        <w:rPr>
          <w:rFonts w:eastAsiaTheme="minorEastAsia" w:cstheme="minorBidi"/>
          <w:noProof/>
          <w:sz w:val="22"/>
          <w:szCs w:val="22"/>
        </w:rPr>
      </w:pPr>
      <w:hyperlink w:anchor="_Toc472940502" w:history="1">
        <w:r w:rsidR="00CD7A89" w:rsidRPr="00D330BB">
          <w:rPr>
            <w:rStyle w:val="Hyperlink"/>
            <w:noProof/>
            <w:lang w:val="en-US"/>
          </w:rPr>
          <w:t>Table 10: Current and proposed new item descriptor for item 66841</w:t>
        </w:r>
        <w:r w:rsidR="00CD7A89">
          <w:rPr>
            <w:noProof/>
            <w:webHidden/>
          </w:rPr>
          <w:tab/>
        </w:r>
        <w:r w:rsidR="00240E05">
          <w:rPr>
            <w:noProof/>
            <w:webHidden/>
          </w:rPr>
          <w:fldChar w:fldCharType="begin"/>
        </w:r>
        <w:r w:rsidR="00CD7A89">
          <w:rPr>
            <w:noProof/>
            <w:webHidden/>
          </w:rPr>
          <w:instrText xml:space="preserve"> PAGEREF _Toc472940502 \h </w:instrText>
        </w:r>
        <w:r w:rsidR="00240E05">
          <w:rPr>
            <w:noProof/>
            <w:webHidden/>
          </w:rPr>
        </w:r>
        <w:r w:rsidR="00240E05">
          <w:rPr>
            <w:noProof/>
            <w:webHidden/>
          </w:rPr>
          <w:fldChar w:fldCharType="separate"/>
        </w:r>
        <w:r w:rsidR="000E347D">
          <w:rPr>
            <w:noProof/>
            <w:webHidden/>
          </w:rPr>
          <w:t>35</w:t>
        </w:r>
        <w:r w:rsidR="00240E05">
          <w:rPr>
            <w:noProof/>
            <w:webHidden/>
          </w:rPr>
          <w:fldChar w:fldCharType="end"/>
        </w:r>
      </w:hyperlink>
    </w:p>
    <w:p w14:paraId="60CB10C0" w14:textId="041B60D1" w:rsidR="00CD7A89" w:rsidRDefault="0016786F">
      <w:pPr>
        <w:pStyle w:val="TableofFigures"/>
        <w:tabs>
          <w:tab w:val="right" w:leader="dot" w:pos="9016"/>
        </w:tabs>
        <w:rPr>
          <w:rFonts w:eastAsiaTheme="minorEastAsia" w:cstheme="minorBidi"/>
          <w:noProof/>
          <w:sz w:val="22"/>
          <w:szCs w:val="22"/>
        </w:rPr>
      </w:pPr>
      <w:hyperlink w:anchor="_Toc472940503" w:history="1">
        <w:r w:rsidR="00CD7A89" w:rsidRPr="00D330BB">
          <w:rPr>
            <w:rStyle w:val="Hyperlink"/>
            <w:noProof/>
            <w:lang w:val="en-US"/>
          </w:rPr>
          <w:t>Table 11: Current and proposed new item descriptor for item 66557</w:t>
        </w:r>
        <w:r w:rsidR="00CD7A89">
          <w:rPr>
            <w:noProof/>
            <w:webHidden/>
          </w:rPr>
          <w:tab/>
        </w:r>
        <w:r w:rsidR="00240E05">
          <w:rPr>
            <w:noProof/>
            <w:webHidden/>
          </w:rPr>
          <w:fldChar w:fldCharType="begin"/>
        </w:r>
        <w:r w:rsidR="00CD7A89">
          <w:rPr>
            <w:noProof/>
            <w:webHidden/>
          </w:rPr>
          <w:instrText xml:space="preserve"> PAGEREF _Toc472940503 \h </w:instrText>
        </w:r>
        <w:r w:rsidR="00240E05">
          <w:rPr>
            <w:noProof/>
            <w:webHidden/>
          </w:rPr>
        </w:r>
        <w:r w:rsidR="00240E05">
          <w:rPr>
            <w:noProof/>
            <w:webHidden/>
          </w:rPr>
          <w:fldChar w:fldCharType="separate"/>
        </w:r>
        <w:r w:rsidR="000E347D">
          <w:rPr>
            <w:noProof/>
            <w:webHidden/>
          </w:rPr>
          <w:t>38</w:t>
        </w:r>
        <w:r w:rsidR="00240E05">
          <w:rPr>
            <w:noProof/>
            <w:webHidden/>
          </w:rPr>
          <w:fldChar w:fldCharType="end"/>
        </w:r>
      </w:hyperlink>
    </w:p>
    <w:p w14:paraId="694E8205" w14:textId="295DECF9" w:rsidR="00CD7A89" w:rsidRDefault="0016786F">
      <w:pPr>
        <w:pStyle w:val="TableofFigures"/>
        <w:tabs>
          <w:tab w:val="right" w:leader="dot" w:pos="9016"/>
        </w:tabs>
        <w:rPr>
          <w:rFonts w:eastAsiaTheme="minorEastAsia" w:cstheme="minorBidi"/>
          <w:noProof/>
          <w:sz w:val="22"/>
          <w:szCs w:val="22"/>
        </w:rPr>
      </w:pPr>
      <w:hyperlink w:anchor="_Toc472940504" w:history="1">
        <w:r w:rsidR="00CD7A89" w:rsidRPr="00D330BB">
          <w:rPr>
            <w:rStyle w:val="Hyperlink"/>
            <w:noProof/>
          </w:rPr>
          <w:t>Table 12: Current and proposed new item descriptor for item 66560</w:t>
        </w:r>
        <w:r w:rsidR="00CD7A89">
          <w:rPr>
            <w:noProof/>
            <w:webHidden/>
          </w:rPr>
          <w:tab/>
        </w:r>
        <w:r w:rsidR="00240E05">
          <w:rPr>
            <w:noProof/>
            <w:webHidden/>
          </w:rPr>
          <w:fldChar w:fldCharType="begin"/>
        </w:r>
        <w:r w:rsidR="00CD7A89">
          <w:rPr>
            <w:noProof/>
            <w:webHidden/>
          </w:rPr>
          <w:instrText xml:space="preserve"> PAGEREF _Toc472940504 \h </w:instrText>
        </w:r>
        <w:r w:rsidR="00240E05">
          <w:rPr>
            <w:noProof/>
            <w:webHidden/>
          </w:rPr>
        </w:r>
        <w:r w:rsidR="00240E05">
          <w:rPr>
            <w:noProof/>
            <w:webHidden/>
          </w:rPr>
          <w:fldChar w:fldCharType="separate"/>
        </w:r>
        <w:r w:rsidR="000E347D">
          <w:rPr>
            <w:noProof/>
            <w:webHidden/>
          </w:rPr>
          <w:t>40</w:t>
        </w:r>
        <w:r w:rsidR="00240E05">
          <w:rPr>
            <w:noProof/>
            <w:webHidden/>
          </w:rPr>
          <w:fldChar w:fldCharType="end"/>
        </w:r>
      </w:hyperlink>
    </w:p>
    <w:p w14:paraId="03DEE5B8" w14:textId="1358C508" w:rsidR="00CD7A89" w:rsidRDefault="0016786F">
      <w:pPr>
        <w:pStyle w:val="TableofFigures"/>
        <w:tabs>
          <w:tab w:val="right" w:leader="dot" w:pos="9016"/>
        </w:tabs>
        <w:rPr>
          <w:rFonts w:eastAsiaTheme="minorEastAsia" w:cstheme="minorBidi"/>
          <w:noProof/>
          <w:sz w:val="22"/>
          <w:szCs w:val="22"/>
        </w:rPr>
      </w:pPr>
      <w:hyperlink w:anchor="_Toc472940505" w:history="1">
        <w:r w:rsidR="00CD7A89" w:rsidRPr="00D330BB">
          <w:rPr>
            <w:rStyle w:val="Hyperlink"/>
            <w:noProof/>
          </w:rPr>
          <w:t>Table 13: Item introduction table for items 66695–8, 66701, 66704 and 66707</w:t>
        </w:r>
        <w:r w:rsidR="00CD7A89">
          <w:rPr>
            <w:noProof/>
            <w:webHidden/>
          </w:rPr>
          <w:tab/>
        </w:r>
        <w:r w:rsidR="00240E05">
          <w:rPr>
            <w:noProof/>
            <w:webHidden/>
          </w:rPr>
          <w:fldChar w:fldCharType="begin"/>
        </w:r>
        <w:r w:rsidR="00CD7A89">
          <w:rPr>
            <w:noProof/>
            <w:webHidden/>
          </w:rPr>
          <w:instrText xml:space="preserve"> PAGEREF _Toc472940505 \h </w:instrText>
        </w:r>
        <w:r w:rsidR="00240E05">
          <w:rPr>
            <w:noProof/>
            <w:webHidden/>
          </w:rPr>
        </w:r>
        <w:r w:rsidR="00240E05">
          <w:rPr>
            <w:noProof/>
            <w:webHidden/>
          </w:rPr>
          <w:fldChar w:fldCharType="separate"/>
        </w:r>
        <w:r w:rsidR="000E347D">
          <w:rPr>
            <w:noProof/>
            <w:webHidden/>
          </w:rPr>
          <w:t>41</w:t>
        </w:r>
        <w:r w:rsidR="00240E05">
          <w:rPr>
            <w:noProof/>
            <w:webHidden/>
          </w:rPr>
          <w:fldChar w:fldCharType="end"/>
        </w:r>
      </w:hyperlink>
    </w:p>
    <w:p w14:paraId="191F668A" w14:textId="4F8B7CB4" w:rsidR="00CD7A89" w:rsidRDefault="0016786F">
      <w:pPr>
        <w:pStyle w:val="TableofFigures"/>
        <w:tabs>
          <w:tab w:val="right" w:leader="dot" w:pos="9016"/>
        </w:tabs>
        <w:rPr>
          <w:rFonts w:eastAsiaTheme="minorEastAsia" w:cstheme="minorBidi"/>
          <w:noProof/>
          <w:sz w:val="22"/>
          <w:szCs w:val="22"/>
        </w:rPr>
      </w:pPr>
      <w:hyperlink w:anchor="_Toc472940506" w:history="1">
        <w:r w:rsidR="00CD7A89" w:rsidRPr="00D330BB">
          <w:rPr>
            <w:rStyle w:val="Hyperlink"/>
            <w:noProof/>
          </w:rPr>
          <w:t>Table 14: Item introduction table for items 71165–70</w:t>
        </w:r>
        <w:r w:rsidR="00CD7A89">
          <w:rPr>
            <w:noProof/>
            <w:webHidden/>
          </w:rPr>
          <w:tab/>
        </w:r>
        <w:r w:rsidR="00240E05">
          <w:rPr>
            <w:noProof/>
            <w:webHidden/>
          </w:rPr>
          <w:fldChar w:fldCharType="begin"/>
        </w:r>
        <w:r w:rsidR="00CD7A89">
          <w:rPr>
            <w:noProof/>
            <w:webHidden/>
          </w:rPr>
          <w:instrText xml:space="preserve"> PAGEREF _Toc472940506 \h </w:instrText>
        </w:r>
        <w:r w:rsidR="00240E05">
          <w:rPr>
            <w:noProof/>
            <w:webHidden/>
          </w:rPr>
        </w:r>
        <w:r w:rsidR="00240E05">
          <w:rPr>
            <w:noProof/>
            <w:webHidden/>
          </w:rPr>
          <w:fldChar w:fldCharType="separate"/>
        </w:r>
        <w:r w:rsidR="000E347D">
          <w:rPr>
            <w:noProof/>
            <w:webHidden/>
          </w:rPr>
          <w:t>42</w:t>
        </w:r>
        <w:r w:rsidR="00240E05">
          <w:rPr>
            <w:noProof/>
            <w:webHidden/>
          </w:rPr>
          <w:fldChar w:fldCharType="end"/>
        </w:r>
      </w:hyperlink>
    </w:p>
    <w:p w14:paraId="64AD736E" w14:textId="353BD318" w:rsidR="00CD7A89" w:rsidRDefault="0016786F">
      <w:pPr>
        <w:pStyle w:val="TableofFigures"/>
        <w:tabs>
          <w:tab w:val="right" w:leader="dot" w:pos="9016"/>
        </w:tabs>
        <w:rPr>
          <w:rFonts w:eastAsiaTheme="minorEastAsia" w:cstheme="minorBidi"/>
          <w:noProof/>
          <w:sz w:val="22"/>
          <w:szCs w:val="22"/>
        </w:rPr>
      </w:pPr>
      <w:hyperlink w:anchor="_Toc472940507" w:history="1">
        <w:r w:rsidR="00CD7A89" w:rsidRPr="00D330BB">
          <w:rPr>
            <w:rStyle w:val="Hyperlink"/>
            <w:noProof/>
          </w:rPr>
          <w:t>Table 15: Item introduction table for items 66773 and 66776</w:t>
        </w:r>
        <w:r w:rsidR="00CD7A89">
          <w:rPr>
            <w:noProof/>
            <w:webHidden/>
          </w:rPr>
          <w:tab/>
        </w:r>
        <w:r w:rsidR="00240E05">
          <w:rPr>
            <w:noProof/>
            <w:webHidden/>
          </w:rPr>
          <w:fldChar w:fldCharType="begin"/>
        </w:r>
        <w:r w:rsidR="00CD7A89">
          <w:rPr>
            <w:noProof/>
            <w:webHidden/>
          </w:rPr>
          <w:instrText xml:space="preserve"> PAGEREF _Toc472940507 \h </w:instrText>
        </w:r>
        <w:r w:rsidR="00240E05">
          <w:rPr>
            <w:noProof/>
            <w:webHidden/>
          </w:rPr>
        </w:r>
        <w:r w:rsidR="00240E05">
          <w:rPr>
            <w:noProof/>
            <w:webHidden/>
          </w:rPr>
          <w:fldChar w:fldCharType="separate"/>
        </w:r>
        <w:r w:rsidR="000E347D">
          <w:rPr>
            <w:noProof/>
            <w:webHidden/>
          </w:rPr>
          <w:t>45</w:t>
        </w:r>
        <w:r w:rsidR="00240E05">
          <w:rPr>
            <w:noProof/>
            <w:webHidden/>
          </w:rPr>
          <w:fldChar w:fldCharType="end"/>
        </w:r>
      </w:hyperlink>
    </w:p>
    <w:p w14:paraId="6D321EBF" w14:textId="531E010E" w:rsidR="00CD7A89" w:rsidRDefault="0016786F">
      <w:pPr>
        <w:pStyle w:val="TableofFigures"/>
        <w:tabs>
          <w:tab w:val="right" w:leader="dot" w:pos="9016"/>
        </w:tabs>
        <w:rPr>
          <w:rFonts w:eastAsiaTheme="minorEastAsia" w:cstheme="minorBidi"/>
          <w:noProof/>
          <w:sz w:val="22"/>
          <w:szCs w:val="22"/>
        </w:rPr>
      </w:pPr>
      <w:hyperlink w:anchor="_Toc472940508" w:history="1">
        <w:r w:rsidR="00CD7A89" w:rsidRPr="00D330BB">
          <w:rPr>
            <w:rStyle w:val="Hyperlink"/>
            <w:noProof/>
          </w:rPr>
          <w:t>Table 16: Item introduction table for items 66779 and 66780</w:t>
        </w:r>
        <w:r w:rsidR="00CD7A89">
          <w:rPr>
            <w:noProof/>
            <w:webHidden/>
          </w:rPr>
          <w:tab/>
        </w:r>
        <w:r w:rsidR="00240E05">
          <w:rPr>
            <w:noProof/>
            <w:webHidden/>
          </w:rPr>
          <w:fldChar w:fldCharType="begin"/>
        </w:r>
        <w:r w:rsidR="00CD7A89">
          <w:rPr>
            <w:noProof/>
            <w:webHidden/>
          </w:rPr>
          <w:instrText xml:space="preserve"> PAGEREF _Toc472940508 \h </w:instrText>
        </w:r>
        <w:r w:rsidR="00240E05">
          <w:rPr>
            <w:noProof/>
            <w:webHidden/>
          </w:rPr>
        </w:r>
        <w:r w:rsidR="00240E05">
          <w:rPr>
            <w:noProof/>
            <w:webHidden/>
          </w:rPr>
          <w:fldChar w:fldCharType="separate"/>
        </w:r>
        <w:r w:rsidR="000E347D">
          <w:rPr>
            <w:noProof/>
            <w:webHidden/>
          </w:rPr>
          <w:t>46</w:t>
        </w:r>
        <w:r w:rsidR="00240E05">
          <w:rPr>
            <w:noProof/>
            <w:webHidden/>
          </w:rPr>
          <w:fldChar w:fldCharType="end"/>
        </w:r>
      </w:hyperlink>
    </w:p>
    <w:p w14:paraId="36D272C8" w14:textId="411B5EE9" w:rsidR="00CD7A89" w:rsidRDefault="0016786F">
      <w:pPr>
        <w:pStyle w:val="TableofFigures"/>
        <w:tabs>
          <w:tab w:val="right" w:leader="dot" w:pos="9016"/>
        </w:tabs>
        <w:rPr>
          <w:rFonts w:eastAsiaTheme="minorEastAsia" w:cstheme="minorBidi"/>
          <w:noProof/>
          <w:sz w:val="22"/>
          <w:szCs w:val="22"/>
        </w:rPr>
      </w:pPr>
      <w:hyperlink w:anchor="_Toc472940509" w:history="1">
        <w:r w:rsidR="00CD7A89" w:rsidRPr="00D330BB">
          <w:rPr>
            <w:rStyle w:val="Hyperlink"/>
            <w:noProof/>
          </w:rPr>
          <w:t>Table 17: Item introduction table for items 66835–7</w:t>
        </w:r>
        <w:r w:rsidR="00CD7A89">
          <w:rPr>
            <w:noProof/>
            <w:webHidden/>
          </w:rPr>
          <w:tab/>
        </w:r>
        <w:r w:rsidR="00240E05">
          <w:rPr>
            <w:noProof/>
            <w:webHidden/>
          </w:rPr>
          <w:fldChar w:fldCharType="begin"/>
        </w:r>
        <w:r w:rsidR="00CD7A89">
          <w:rPr>
            <w:noProof/>
            <w:webHidden/>
          </w:rPr>
          <w:instrText xml:space="preserve"> PAGEREF _Toc472940509 \h </w:instrText>
        </w:r>
        <w:r w:rsidR="00240E05">
          <w:rPr>
            <w:noProof/>
            <w:webHidden/>
          </w:rPr>
        </w:r>
        <w:r w:rsidR="00240E05">
          <w:rPr>
            <w:noProof/>
            <w:webHidden/>
          </w:rPr>
          <w:fldChar w:fldCharType="separate"/>
        </w:r>
        <w:r w:rsidR="000E347D">
          <w:rPr>
            <w:noProof/>
            <w:webHidden/>
          </w:rPr>
          <w:t>47</w:t>
        </w:r>
        <w:r w:rsidR="00240E05">
          <w:rPr>
            <w:noProof/>
            <w:webHidden/>
          </w:rPr>
          <w:fldChar w:fldCharType="end"/>
        </w:r>
      </w:hyperlink>
    </w:p>
    <w:p w14:paraId="428A43FD" w14:textId="5214EEE7" w:rsidR="00CD7A89" w:rsidRDefault="0016786F">
      <w:pPr>
        <w:pStyle w:val="TableofFigures"/>
        <w:tabs>
          <w:tab w:val="right" w:leader="dot" w:pos="9016"/>
        </w:tabs>
        <w:rPr>
          <w:rFonts w:eastAsiaTheme="minorEastAsia" w:cstheme="minorBidi"/>
          <w:noProof/>
          <w:sz w:val="22"/>
          <w:szCs w:val="22"/>
        </w:rPr>
      </w:pPr>
      <w:hyperlink w:anchor="_Toc472940510" w:history="1">
        <w:r w:rsidR="00CD7A89" w:rsidRPr="00D330BB">
          <w:rPr>
            <w:rStyle w:val="Hyperlink"/>
            <w:noProof/>
          </w:rPr>
          <w:t>Table 18: Item introduction table for item 66686</w:t>
        </w:r>
        <w:r w:rsidR="00CD7A89">
          <w:rPr>
            <w:noProof/>
            <w:webHidden/>
          </w:rPr>
          <w:tab/>
        </w:r>
        <w:r w:rsidR="00240E05">
          <w:rPr>
            <w:noProof/>
            <w:webHidden/>
          </w:rPr>
          <w:fldChar w:fldCharType="begin"/>
        </w:r>
        <w:r w:rsidR="00CD7A89">
          <w:rPr>
            <w:noProof/>
            <w:webHidden/>
          </w:rPr>
          <w:instrText xml:space="preserve"> PAGEREF _Toc472940510 \h </w:instrText>
        </w:r>
        <w:r w:rsidR="00240E05">
          <w:rPr>
            <w:noProof/>
            <w:webHidden/>
          </w:rPr>
        </w:r>
        <w:r w:rsidR="00240E05">
          <w:rPr>
            <w:noProof/>
            <w:webHidden/>
          </w:rPr>
          <w:fldChar w:fldCharType="separate"/>
        </w:r>
        <w:r w:rsidR="000E347D">
          <w:rPr>
            <w:noProof/>
            <w:webHidden/>
          </w:rPr>
          <w:t>48</w:t>
        </w:r>
        <w:r w:rsidR="00240E05">
          <w:rPr>
            <w:noProof/>
            <w:webHidden/>
          </w:rPr>
          <w:fldChar w:fldCharType="end"/>
        </w:r>
      </w:hyperlink>
    </w:p>
    <w:p w14:paraId="4D5F18E0" w14:textId="081E0118" w:rsidR="00CD7A89" w:rsidRDefault="0016786F">
      <w:pPr>
        <w:pStyle w:val="TableofFigures"/>
        <w:tabs>
          <w:tab w:val="right" w:leader="dot" w:pos="9016"/>
        </w:tabs>
        <w:rPr>
          <w:rFonts w:eastAsiaTheme="minorEastAsia" w:cstheme="minorBidi"/>
          <w:noProof/>
          <w:sz w:val="22"/>
          <w:szCs w:val="22"/>
        </w:rPr>
      </w:pPr>
      <w:hyperlink w:anchor="_Toc472940511" w:history="1">
        <w:r w:rsidR="00CD7A89" w:rsidRPr="00D330BB">
          <w:rPr>
            <w:rStyle w:val="Hyperlink"/>
            <w:noProof/>
          </w:rPr>
          <w:t>Table 19: Item introduction table for items 66712–2 and 66714–5</w:t>
        </w:r>
        <w:r w:rsidR="00CD7A89">
          <w:rPr>
            <w:noProof/>
            <w:webHidden/>
          </w:rPr>
          <w:tab/>
        </w:r>
        <w:r w:rsidR="00240E05">
          <w:rPr>
            <w:noProof/>
            <w:webHidden/>
          </w:rPr>
          <w:fldChar w:fldCharType="begin"/>
        </w:r>
        <w:r w:rsidR="00CD7A89">
          <w:rPr>
            <w:noProof/>
            <w:webHidden/>
          </w:rPr>
          <w:instrText xml:space="preserve"> PAGEREF _Toc472940511 \h </w:instrText>
        </w:r>
        <w:r w:rsidR="00240E05">
          <w:rPr>
            <w:noProof/>
            <w:webHidden/>
          </w:rPr>
        </w:r>
        <w:r w:rsidR="00240E05">
          <w:rPr>
            <w:noProof/>
            <w:webHidden/>
          </w:rPr>
          <w:fldChar w:fldCharType="separate"/>
        </w:r>
        <w:r w:rsidR="000E347D">
          <w:rPr>
            <w:noProof/>
            <w:webHidden/>
          </w:rPr>
          <w:t>49</w:t>
        </w:r>
        <w:r w:rsidR="00240E05">
          <w:rPr>
            <w:noProof/>
            <w:webHidden/>
          </w:rPr>
          <w:fldChar w:fldCharType="end"/>
        </w:r>
      </w:hyperlink>
    </w:p>
    <w:p w14:paraId="544A2CA7" w14:textId="021C9BC9" w:rsidR="00CD7A89" w:rsidRDefault="0016786F">
      <w:pPr>
        <w:pStyle w:val="TableofFigures"/>
        <w:tabs>
          <w:tab w:val="right" w:leader="dot" w:pos="9016"/>
        </w:tabs>
        <w:rPr>
          <w:rFonts w:eastAsiaTheme="minorEastAsia" w:cstheme="minorBidi"/>
          <w:noProof/>
          <w:sz w:val="22"/>
          <w:szCs w:val="22"/>
        </w:rPr>
      </w:pPr>
      <w:hyperlink w:anchor="_Toc472940512" w:history="1">
        <w:r w:rsidR="00CD7A89" w:rsidRPr="00D330BB">
          <w:rPr>
            <w:rStyle w:val="Hyperlink"/>
            <w:noProof/>
          </w:rPr>
          <w:t>Table 20: Item introduction table for item 66539</w:t>
        </w:r>
        <w:r w:rsidR="00CD7A89">
          <w:rPr>
            <w:noProof/>
            <w:webHidden/>
          </w:rPr>
          <w:tab/>
        </w:r>
        <w:r w:rsidR="00240E05">
          <w:rPr>
            <w:noProof/>
            <w:webHidden/>
          </w:rPr>
          <w:fldChar w:fldCharType="begin"/>
        </w:r>
        <w:r w:rsidR="00CD7A89">
          <w:rPr>
            <w:noProof/>
            <w:webHidden/>
          </w:rPr>
          <w:instrText xml:space="preserve"> PAGEREF _Toc472940512 \h </w:instrText>
        </w:r>
        <w:r w:rsidR="00240E05">
          <w:rPr>
            <w:noProof/>
            <w:webHidden/>
          </w:rPr>
        </w:r>
        <w:r w:rsidR="00240E05">
          <w:rPr>
            <w:noProof/>
            <w:webHidden/>
          </w:rPr>
          <w:fldChar w:fldCharType="separate"/>
        </w:r>
        <w:r w:rsidR="000E347D">
          <w:rPr>
            <w:noProof/>
            <w:webHidden/>
          </w:rPr>
          <w:t>50</w:t>
        </w:r>
        <w:r w:rsidR="00240E05">
          <w:rPr>
            <w:noProof/>
            <w:webHidden/>
          </w:rPr>
          <w:fldChar w:fldCharType="end"/>
        </w:r>
      </w:hyperlink>
    </w:p>
    <w:p w14:paraId="3C9FF65C" w14:textId="1E912BFD" w:rsidR="00CD7A89" w:rsidRDefault="0016786F">
      <w:pPr>
        <w:pStyle w:val="TableofFigures"/>
        <w:tabs>
          <w:tab w:val="left" w:pos="1100"/>
          <w:tab w:val="right" w:leader="dot" w:pos="9016"/>
        </w:tabs>
        <w:rPr>
          <w:rFonts w:eastAsiaTheme="minorEastAsia" w:cstheme="minorBidi"/>
          <w:noProof/>
          <w:sz w:val="22"/>
          <w:szCs w:val="22"/>
        </w:rPr>
      </w:pPr>
      <w:hyperlink w:anchor="_Toc472940513" w:history="1">
        <w:r w:rsidR="00CD7A89" w:rsidRPr="00D330BB">
          <w:rPr>
            <w:rStyle w:val="Hyperlink"/>
            <w:noProof/>
            <w:lang w:val="en-US"/>
          </w:rPr>
          <w:t>Table A1:</w:t>
        </w:r>
        <w:r w:rsidR="00286922">
          <w:rPr>
            <w:rStyle w:val="Hyperlink"/>
            <w:noProof/>
            <w:lang w:val="en-US"/>
          </w:rPr>
          <w:t xml:space="preserve"> </w:t>
        </w:r>
        <w:r w:rsidR="00CD7A89" w:rsidRPr="00D330BB">
          <w:rPr>
            <w:rStyle w:val="Hyperlink"/>
            <w:noProof/>
            <w:lang w:val="en-US"/>
          </w:rPr>
          <w:t>Endocrine pathology MBS items considered by the committee</w:t>
        </w:r>
        <w:r w:rsidR="00CD7A89">
          <w:rPr>
            <w:noProof/>
            <w:webHidden/>
          </w:rPr>
          <w:tab/>
        </w:r>
        <w:r w:rsidR="00240E05">
          <w:rPr>
            <w:noProof/>
            <w:webHidden/>
          </w:rPr>
          <w:fldChar w:fldCharType="begin"/>
        </w:r>
        <w:r w:rsidR="00CD7A89">
          <w:rPr>
            <w:noProof/>
            <w:webHidden/>
          </w:rPr>
          <w:instrText xml:space="preserve"> PAGEREF _Toc472940513 \h </w:instrText>
        </w:r>
        <w:r w:rsidR="00240E05">
          <w:rPr>
            <w:noProof/>
            <w:webHidden/>
          </w:rPr>
        </w:r>
        <w:r w:rsidR="00240E05">
          <w:rPr>
            <w:noProof/>
            <w:webHidden/>
          </w:rPr>
          <w:fldChar w:fldCharType="separate"/>
        </w:r>
        <w:r w:rsidR="000E347D">
          <w:rPr>
            <w:noProof/>
            <w:webHidden/>
          </w:rPr>
          <w:t>56</w:t>
        </w:r>
        <w:r w:rsidR="00240E05">
          <w:rPr>
            <w:noProof/>
            <w:webHidden/>
          </w:rPr>
          <w:fldChar w:fldCharType="end"/>
        </w:r>
      </w:hyperlink>
    </w:p>
    <w:p w14:paraId="5FBAEC48" w14:textId="77777777" w:rsidR="00CD7A89" w:rsidRDefault="00240E05" w:rsidP="00C848B4">
      <w:pPr>
        <w:pStyle w:val="TableofFigures"/>
        <w:tabs>
          <w:tab w:val="left" w:pos="1100"/>
          <w:tab w:val="right" w:leader="dot" w:pos="9016"/>
        </w:tabs>
        <w:rPr>
          <w:noProof/>
        </w:rPr>
      </w:pPr>
      <w:r w:rsidRPr="00C848B4">
        <w:rPr>
          <w:rStyle w:val="Hyperlink"/>
        </w:rPr>
        <w:fldChar w:fldCharType="end"/>
      </w:r>
      <w:r w:rsidRPr="003D282A">
        <w:fldChar w:fldCharType="begin"/>
      </w:r>
      <w:r w:rsidR="0011166D" w:rsidRPr="003D282A">
        <w:instrText xml:space="preserve"> TOC \h \z \c "Table" </w:instrText>
      </w:r>
      <w:r w:rsidRPr="003D282A">
        <w:fldChar w:fldCharType="separate"/>
      </w:r>
    </w:p>
    <w:p w14:paraId="32903018" w14:textId="77777777" w:rsidR="00A07AFD" w:rsidRPr="003D282A" w:rsidRDefault="00240E05" w:rsidP="00C848B4">
      <w:pPr>
        <w:pStyle w:val="TableofFigures"/>
        <w:tabs>
          <w:tab w:val="left" w:pos="1100"/>
          <w:tab w:val="right" w:leader="dot" w:pos="9016"/>
        </w:tabs>
      </w:pPr>
      <w:r w:rsidRPr="003D282A">
        <w:fldChar w:fldCharType="end"/>
      </w:r>
      <w:r w:rsidR="00A07AFD" w:rsidRPr="003D282A">
        <w:br w:type="page"/>
      </w:r>
    </w:p>
    <w:p w14:paraId="6091E122" w14:textId="77777777" w:rsidR="00681471" w:rsidRPr="003B1222" w:rsidRDefault="00681471" w:rsidP="00681471">
      <w:pPr>
        <w:pStyle w:val="TableofFigures"/>
        <w:tabs>
          <w:tab w:val="right" w:leader="dot" w:pos="9016"/>
        </w:tabs>
        <w:rPr>
          <w:b/>
          <w:bCs/>
          <w:noProof/>
          <w:color w:val="01653F"/>
          <w:sz w:val="32"/>
          <w:szCs w:val="32"/>
        </w:rPr>
      </w:pPr>
      <w:r w:rsidRPr="003B1222">
        <w:rPr>
          <w:b/>
          <w:bCs/>
          <w:noProof/>
          <w:color w:val="01653F"/>
          <w:sz w:val="32"/>
          <w:szCs w:val="32"/>
        </w:rPr>
        <w:lastRenderedPageBreak/>
        <w:t xml:space="preserve">List of </w:t>
      </w:r>
      <w:r>
        <w:rPr>
          <w:b/>
          <w:bCs/>
          <w:noProof/>
          <w:color w:val="01653F"/>
          <w:sz w:val="32"/>
          <w:szCs w:val="32"/>
        </w:rPr>
        <w:t>Figures</w:t>
      </w:r>
    </w:p>
    <w:p w14:paraId="5776BC14" w14:textId="77777777" w:rsidR="00CD7A89" w:rsidRDefault="00240E05">
      <w:pPr>
        <w:pStyle w:val="TableofFigures"/>
        <w:tabs>
          <w:tab w:val="right" w:leader="dot" w:pos="9016"/>
        </w:tabs>
        <w:rPr>
          <w:rFonts w:eastAsiaTheme="minorEastAsia" w:cstheme="minorBidi"/>
          <w:noProof/>
          <w:sz w:val="22"/>
          <w:szCs w:val="22"/>
        </w:rPr>
      </w:pPr>
      <w:r>
        <w:rPr>
          <w:rFonts w:cs="Arial"/>
          <w:smallCaps/>
        </w:rPr>
        <w:fldChar w:fldCharType="begin"/>
      </w:r>
      <w:r w:rsidR="00E77470">
        <w:rPr>
          <w:rFonts w:cs="Arial"/>
        </w:rPr>
        <w:instrText xml:space="preserve"> TOC \t "Figure Caption" \c </w:instrText>
      </w:r>
      <w:r>
        <w:rPr>
          <w:rFonts w:cs="Arial"/>
          <w:smallCaps/>
        </w:rPr>
        <w:fldChar w:fldCharType="separate"/>
      </w:r>
      <w:r w:rsidR="00CD7A89">
        <w:rPr>
          <w:noProof/>
        </w:rPr>
        <w:t>Figure 1. Drivers of endocrine-related pathology test items growth FY 2010–15</w:t>
      </w:r>
      <w:r w:rsidR="00CD7A89">
        <w:rPr>
          <w:noProof/>
        </w:rPr>
        <w:tab/>
      </w:r>
      <w:r>
        <w:rPr>
          <w:noProof/>
        </w:rPr>
        <w:fldChar w:fldCharType="begin"/>
      </w:r>
      <w:r w:rsidR="00CD7A89">
        <w:rPr>
          <w:noProof/>
        </w:rPr>
        <w:instrText xml:space="preserve"> PAGEREF _Toc472940515 \h </w:instrText>
      </w:r>
      <w:r>
        <w:rPr>
          <w:noProof/>
        </w:rPr>
      </w:r>
      <w:r>
        <w:rPr>
          <w:noProof/>
        </w:rPr>
        <w:fldChar w:fldCharType="separate"/>
      </w:r>
      <w:r w:rsidR="000E347D">
        <w:rPr>
          <w:noProof/>
        </w:rPr>
        <w:t>15</w:t>
      </w:r>
      <w:r>
        <w:rPr>
          <w:noProof/>
        </w:rPr>
        <w:fldChar w:fldCharType="end"/>
      </w:r>
    </w:p>
    <w:p w14:paraId="011A263C" w14:textId="77777777" w:rsidR="00CD7A89" w:rsidRDefault="00CD7A89">
      <w:pPr>
        <w:pStyle w:val="TableofFigures"/>
        <w:tabs>
          <w:tab w:val="right" w:leader="dot" w:pos="9016"/>
        </w:tabs>
        <w:rPr>
          <w:rFonts w:eastAsiaTheme="minorEastAsia" w:cstheme="minorBidi"/>
          <w:noProof/>
          <w:sz w:val="22"/>
          <w:szCs w:val="22"/>
        </w:rPr>
      </w:pPr>
      <w:r>
        <w:rPr>
          <w:noProof/>
        </w:rPr>
        <w:t>Figure 2. Endocrine-related pathology tests item groups ordered by service volume</w:t>
      </w:r>
      <w:r>
        <w:rPr>
          <w:noProof/>
        </w:rPr>
        <w:tab/>
      </w:r>
      <w:r w:rsidR="00240E05">
        <w:rPr>
          <w:noProof/>
        </w:rPr>
        <w:fldChar w:fldCharType="begin"/>
      </w:r>
      <w:r>
        <w:rPr>
          <w:noProof/>
        </w:rPr>
        <w:instrText xml:space="preserve"> PAGEREF _Toc472940516 \h </w:instrText>
      </w:r>
      <w:r w:rsidR="00240E05">
        <w:rPr>
          <w:noProof/>
        </w:rPr>
      </w:r>
      <w:r w:rsidR="00240E05">
        <w:rPr>
          <w:noProof/>
        </w:rPr>
        <w:fldChar w:fldCharType="separate"/>
      </w:r>
      <w:r w:rsidR="000E347D">
        <w:rPr>
          <w:noProof/>
        </w:rPr>
        <w:t>15</w:t>
      </w:r>
      <w:r w:rsidR="00240E05">
        <w:rPr>
          <w:noProof/>
        </w:rPr>
        <w:fldChar w:fldCharType="end"/>
      </w:r>
    </w:p>
    <w:p w14:paraId="63396C8A" w14:textId="4B848BC3" w:rsidR="00CD7A89" w:rsidRDefault="00CD7A89">
      <w:pPr>
        <w:pStyle w:val="TableofFigures"/>
        <w:tabs>
          <w:tab w:val="left" w:pos="1100"/>
          <w:tab w:val="right" w:leader="dot" w:pos="9016"/>
        </w:tabs>
        <w:rPr>
          <w:rFonts w:eastAsiaTheme="minorEastAsia" w:cstheme="minorBidi"/>
          <w:noProof/>
          <w:sz w:val="22"/>
          <w:szCs w:val="22"/>
        </w:rPr>
      </w:pPr>
      <w:r>
        <w:rPr>
          <w:noProof/>
        </w:rPr>
        <w:t>Figure 3:</w:t>
      </w:r>
      <w:r w:rsidR="00392426">
        <w:rPr>
          <w:rFonts w:eastAsiaTheme="minorEastAsia" w:cstheme="minorBidi"/>
          <w:noProof/>
          <w:sz w:val="22"/>
          <w:szCs w:val="22"/>
        </w:rPr>
        <w:t xml:space="preserve"> </w:t>
      </w:r>
      <w:r>
        <w:rPr>
          <w:noProof/>
        </w:rPr>
        <w:t>Rates of TSH tests requested per 100 patients, 2014–15</w:t>
      </w:r>
      <w:r>
        <w:rPr>
          <w:noProof/>
        </w:rPr>
        <w:tab/>
      </w:r>
      <w:r w:rsidR="00240E05">
        <w:rPr>
          <w:noProof/>
        </w:rPr>
        <w:fldChar w:fldCharType="begin"/>
      </w:r>
      <w:r>
        <w:rPr>
          <w:noProof/>
        </w:rPr>
        <w:instrText xml:space="preserve"> PAGEREF _Toc472940517 \h </w:instrText>
      </w:r>
      <w:r w:rsidR="00240E05">
        <w:rPr>
          <w:noProof/>
        </w:rPr>
      </w:r>
      <w:r w:rsidR="00240E05">
        <w:rPr>
          <w:noProof/>
        </w:rPr>
        <w:fldChar w:fldCharType="separate"/>
      </w:r>
      <w:r w:rsidR="000E347D">
        <w:rPr>
          <w:noProof/>
        </w:rPr>
        <w:t>18</w:t>
      </w:r>
      <w:r w:rsidR="00240E05">
        <w:rPr>
          <w:noProof/>
        </w:rPr>
        <w:fldChar w:fldCharType="end"/>
      </w:r>
    </w:p>
    <w:p w14:paraId="2D05D270" w14:textId="77777777" w:rsidR="00262127" w:rsidRPr="00CF1E64" w:rsidRDefault="00240E05" w:rsidP="00F623CB">
      <w:pPr>
        <w:pStyle w:val="TableofFigures"/>
        <w:tabs>
          <w:tab w:val="right" w:leader="dot" w:pos="9016"/>
        </w:tabs>
        <w:rPr>
          <w:rFonts w:cs="Arial"/>
        </w:rPr>
      </w:pPr>
      <w:r>
        <w:rPr>
          <w:rFonts w:cs="Arial"/>
          <w:smallCaps/>
        </w:rPr>
        <w:fldChar w:fldCharType="end"/>
      </w:r>
      <w:r w:rsidR="00262127" w:rsidRPr="00CF1E64">
        <w:rPr>
          <w:rFonts w:cs="Arial"/>
        </w:rPr>
        <w:br w:type="page"/>
      </w:r>
    </w:p>
    <w:p w14:paraId="5366CBA2" w14:textId="77777777" w:rsidR="009837DB" w:rsidRPr="00EA0A9F" w:rsidRDefault="00262127" w:rsidP="00EA0A9F">
      <w:pPr>
        <w:pStyle w:val="Heading1"/>
      </w:pPr>
      <w:bookmarkStart w:id="2" w:name="_Toc485295711"/>
      <w:bookmarkStart w:id="3" w:name="_Toc485296582"/>
      <w:bookmarkEnd w:id="0"/>
      <w:r w:rsidRPr="00EA0A9F">
        <w:lastRenderedPageBreak/>
        <w:t>Executive Summary</w:t>
      </w:r>
      <w:bookmarkEnd w:id="2"/>
      <w:bookmarkEnd w:id="3"/>
    </w:p>
    <w:p w14:paraId="299EE17E" w14:textId="1AB09A29" w:rsidR="00463B1C" w:rsidRDefault="00FE088C" w:rsidP="00703DC7">
      <w:r w:rsidRPr="009200D8">
        <w:t>The Medicare Benefits Schedule (MBS) Review Taskforce (the Taskforce) is undertaking a program of work</w:t>
      </w:r>
      <w:r w:rsidR="00CF522D" w:rsidRPr="009200D8">
        <w:t xml:space="preserve"> that considers how more than 5700 items on the MBS can be aligned with contemporary clinical evidence and practice and improve health outcomes for patients. The Taskforce </w:t>
      </w:r>
      <w:r w:rsidR="009B08ED">
        <w:t xml:space="preserve">will </w:t>
      </w:r>
      <w:r w:rsidR="00CF522D" w:rsidRPr="009200D8">
        <w:t>also seek to identify any services that may be unnecessary, outdated or potentially unsafe.</w:t>
      </w:r>
    </w:p>
    <w:p w14:paraId="4F3D57DE" w14:textId="78E92980" w:rsidR="00A962D1" w:rsidRPr="009D0EED" w:rsidRDefault="00A962D1" w:rsidP="00A962D1">
      <w:r w:rsidRPr="009D0EED">
        <w:t>The Taskforce is committed to providing recommendations to the Minister</w:t>
      </w:r>
      <w:r w:rsidR="009B08ED">
        <w:t xml:space="preserve"> for Health</w:t>
      </w:r>
      <w:r w:rsidRPr="009D0EED">
        <w:t xml:space="preserve"> that will allow the MBS to deliver on each of these four key goals:</w:t>
      </w:r>
    </w:p>
    <w:p w14:paraId="7F60C938" w14:textId="14189671" w:rsidR="00A962D1" w:rsidRPr="003F788A" w:rsidRDefault="00463720" w:rsidP="00A962D1">
      <w:pPr>
        <w:pStyle w:val="NormalBulleted"/>
      </w:pPr>
      <w:r>
        <w:t>A</w:t>
      </w:r>
      <w:r w:rsidR="004942CA" w:rsidRPr="003F788A">
        <w:t xml:space="preserve">ffordable </w:t>
      </w:r>
      <w:r w:rsidR="00A962D1" w:rsidRPr="003F788A">
        <w:t>and universal access</w:t>
      </w:r>
      <w:r>
        <w:t>.</w:t>
      </w:r>
    </w:p>
    <w:p w14:paraId="3F1466ED" w14:textId="0E5036DC" w:rsidR="00A962D1" w:rsidRPr="003F788A" w:rsidRDefault="00463720" w:rsidP="00A962D1">
      <w:pPr>
        <w:pStyle w:val="NormalBulleted"/>
      </w:pPr>
      <w:r>
        <w:t>B</w:t>
      </w:r>
      <w:r w:rsidR="004942CA" w:rsidRPr="003F788A">
        <w:t xml:space="preserve">est </w:t>
      </w:r>
      <w:r w:rsidR="00A962D1" w:rsidRPr="003F788A">
        <w:t>practice health services</w:t>
      </w:r>
      <w:r>
        <w:t>.</w:t>
      </w:r>
    </w:p>
    <w:p w14:paraId="0CBD5610" w14:textId="3655462D" w:rsidR="00A962D1" w:rsidRPr="003F788A" w:rsidRDefault="00463720" w:rsidP="00A962D1">
      <w:pPr>
        <w:pStyle w:val="NormalBulleted"/>
      </w:pPr>
      <w:r>
        <w:t>V</w:t>
      </w:r>
      <w:r w:rsidR="004942CA" w:rsidRPr="003F788A">
        <w:t xml:space="preserve">alue </w:t>
      </w:r>
      <w:r w:rsidR="00A962D1" w:rsidRPr="003F788A">
        <w:t>for the individual patient</w:t>
      </w:r>
      <w:r>
        <w:t>.</w:t>
      </w:r>
    </w:p>
    <w:p w14:paraId="569B4D9F" w14:textId="3141B2AA" w:rsidR="00A962D1" w:rsidRDefault="00463720" w:rsidP="00A962D1">
      <w:pPr>
        <w:pStyle w:val="NormalBulleted"/>
      </w:pPr>
      <w:r>
        <w:t>V</w:t>
      </w:r>
      <w:r w:rsidR="004942CA" w:rsidRPr="003F788A">
        <w:t>alue</w:t>
      </w:r>
      <w:r w:rsidR="004942CA" w:rsidRPr="009D0EED">
        <w:t xml:space="preserve"> </w:t>
      </w:r>
      <w:r w:rsidR="00A962D1" w:rsidRPr="009D0EED">
        <w:t>for the health system</w:t>
      </w:r>
      <w:r w:rsidR="00A962D1">
        <w:t>.</w:t>
      </w:r>
    </w:p>
    <w:p w14:paraId="1EFDB43D" w14:textId="78BDD60B" w:rsidR="00A962D1" w:rsidRPr="009200D8" w:rsidRDefault="00A962D1" w:rsidP="00A962D1">
      <w:r w:rsidRPr="009200D8">
        <w:t xml:space="preserve">The Taskforce has endorsed a methodology whereby the necessary clinical review of MBS items is undertaken by </w:t>
      </w:r>
      <w:r w:rsidR="009B08ED">
        <w:t>C</w:t>
      </w:r>
      <w:r w:rsidR="004942CA" w:rsidRPr="009200D8">
        <w:t xml:space="preserve">linical </w:t>
      </w:r>
      <w:r w:rsidR="009B08ED">
        <w:t>C</w:t>
      </w:r>
      <w:r w:rsidR="004942CA" w:rsidRPr="009200D8">
        <w:t xml:space="preserve">ommittees and </w:t>
      </w:r>
      <w:r w:rsidR="009B08ED">
        <w:t>W</w:t>
      </w:r>
      <w:r w:rsidR="004942CA" w:rsidRPr="009200D8">
        <w:t xml:space="preserve">orking </w:t>
      </w:r>
      <w:r w:rsidR="009B08ED">
        <w:t>G</w:t>
      </w:r>
      <w:r w:rsidR="004942CA" w:rsidRPr="009200D8">
        <w:t>roups</w:t>
      </w:r>
      <w:r w:rsidRPr="009200D8">
        <w:t>.</w:t>
      </w:r>
      <w:r w:rsidR="004942CA">
        <w:t xml:space="preserve"> </w:t>
      </w:r>
      <w:r w:rsidRPr="009200D8">
        <w:t xml:space="preserve">The Taskforce has asked the </w:t>
      </w:r>
      <w:r w:rsidR="009B08ED">
        <w:t>C</w:t>
      </w:r>
      <w:r w:rsidR="004942CA" w:rsidRPr="009200D8">
        <w:t xml:space="preserve">linical </w:t>
      </w:r>
      <w:r w:rsidR="009B08ED">
        <w:t>C</w:t>
      </w:r>
      <w:r w:rsidR="004942CA" w:rsidRPr="009200D8">
        <w:t xml:space="preserve">ommittees </w:t>
      </w:r>
      <w:r w:rsidRPr="009200D8">
        <w:t xml:space="preserve">to undertake the following tasks: </w:t>
      </w:r>
    </w:p>
    <w:p w14:paraId="05F85C15" w14:textId="77777777" w:rsidR="00A962D1" w:rsidRPr="00BD5C8D" w:rsidRDefault="00A962D1" w:rsidP="00A962D1">
      <w:pPr>
        <w:pStyle w:val="Numbering"/>
        <w:rPr>
          <w:b w:val="0"/>
        </w:rPr>
      </w:pPr>
      <w:r w:rsidRPr="00BD5C8D">
        <w:rPr>
          <w:b w:val="0"/>
        </w:rPr>
        <w:t xml:space="preserve">Consider whether there are MBS items that are obsolete and should be removed from the MBS. </w:t>
      </w:r>
    </w:p>
    <w:p w14:paraId="23F155E4" w14:textId="77777777" w:rsidR="00A962D1" w:rsidRPr="00BD5C8D" w:rsidRDefault="00A962D1" w:rsidP="00A962D1">
      <w:pPr>
        <w:pStyle w:val="Numbering"/>
        <w:rPr>
          <w:b w:val="0"/>
        </w:rPr>
      </w:pPr>
      <w:r w:rsidRPr="00BD5C8D">
        <w:rPr>
          <w:b w:val="0"/>
        </w:rPr>
        <w:t xml:space="preserve">Consider identified priority reviews of selected MBS services. </w:t>
      </w:r>
    </w:p>
    <w:p w14:paraId="7C78D182" w14:textId="25C94B8D" w:rsidR="00A962D1" w:rsidRPr="00BD5C8D" w:rsidRDefault="00A962D1" w:rsidP="00A962D1">
      <w:pPr>
        <w:pStyle w:val="Numbering"/>
        <w:rPr>
          <w:b w:val="0"/>
        </w:rPr>
      </w:pPr>
      <w:r w:rsidRPr="00BD5C8D">
        <w:rPr>
          <w:b w:val="0"/>
        </w:rPr>
        <w:t xml:space="preserve">Develop a program of work to consider the balance of MBS services within its remit and items assigned to the </w:t>
      </w:r>
      <w:r w:rsidR="009B08ED">
        <w:rPr>
          <w:b w:val="0"/>
        </w:rPr>
        <w:t>C</w:t>
      </w:r>
      <w:r w:rsidR="004942CA" w:rsidRPr="00BD5C8D">
        <w:rPr>
          <w:b w:val="0"/>
        </w:rPr>
        <w:t>ommittee</w:t>
      </w:r>
      <w:r w:rsidRPr="00BD5C8D">
        <w:rPr>
          <w:b w:val="0"/>
        </w:rPr>
        <w:t xml:space="preserve">. </w:t>
      </w:r>
    </w:p>
    <w:p w14:paraId="420A6595" w14:textId="1F39239C" w:rsidR="00A962D1" w:rsidRPr="00A962D1" w:rsidRDefault="00A962D1" w:rsidP="00A962D1">
      <w:pPr>
        <w:pStyle w:val="Numbering"/>
        <w:rPr>
          <w:b w:val="0"/>
        </w:rPr>
      </w:pPr>
      <w:r w:rsidRPr="00BD5C8D">
        <w:rPr>
          <w:b w:val="0"/>
        </w:rPr>
        <w:t xml:space="preserve">Advise the Taskforce on relevant general MBS issues identified by the </w:t>
      </w:r>
      <w:r w:rsidR="004942CA">
        <w:rPr>
          <w:b w:val="0"/>
        </w:rPr>
        <w:t>c</w:t>
      </w:r>
      <w:r w:rsidR="004942CA" w:rsidRPr="00BD5C8D">
        <w:rPr>
          <w:b w:val="0"/>
        </w:rPr>
        <w:t xml:space="preserve">ommittee </w:t>
      </w:r>
      <w:r w:rsidRPr="00BD5C8D">
        <w:rPr>
          <w:b w:val="0"/>
        </w:rPr>
        <w:t>in th</w:t>
      </w:r>
      <w:r>
        <w:rPr>
          <w:b w:val="0"/>
        </w:rPr>
        <w:t xml:space="preserve">e course of its deliberations. </w:t>
      </w:r>
    </w:p>
    <w:p w14:paraId="23E7DAA0" w14:textId="178214A2" w:rsidR="00CF522D" w:rsidRPr="009200D8" w:rsidRDefault="00CF522D" w:rsidP="00703DC7">
      <w:r w:rsidRPr="009200D8">
        <w:t xml:space="preserve">The recommendations from the </w:t>
      </w:r>
      <w:r w:rsidR="009B08ED">
        <w:t>C</w:t>
      </w:r>
      <w:r w:rsidR="009B08ED" w:rsidRPr="009200D8">
        <w:t xml:space="preserve">linical </w:t>
      </w:r>
      <w:r w:rsidR="009B08ED">
        <w:t>C</w:t>
      </w:r>
      <w:r w:rsidR="004942CA" w:rsidRPr="009200D8">
        <w:t xml:space="preserve">ommittees </w:t>
      </w:r>
      <w:r w:rsidRPr="009200D8">
        <w:t xml:space="preserve">are released for stakeholder consultation. The </w:t>
      </w:r>
      <w:r w:rsidR="009B08ED">
        <w:t>C</w:t>
      </w:r>
      <w:r w:rsidR="004942CA" w:rsidRPr="009200D8">
        <w:t>linical</w:t>
      </w:r>
      <w:r w:rsidR="009B08ED">
        <w:t xml:space="preserve"> C</w:t>
      </w:r>
      <w:r w:rsidR="004942CA" w:rsidRPr="009200D8">
        <w:t xml:space="preserve">ommittees </w:t>
      </w:r>
      <w:r w:rsidRPr="009200D8">
        <w:t xml:space="preserve">will consider feedback from stakeholders then provide recommendations to the Taskforce in </w:t>
      </w:r>
      <w:r w:rsidR="009B08ED">
        <w:t>a R</w:t>
      </w:r>
      <w:r w:rsidR="004942CA" w:rsidRPr="009200D8">
        <w:t xml:space="preserve">eview </w:t>
      </w:r>
      <w:r w:rsidR="009B08ED">
        <w:t>R</w:t>
      </w:r>
      <w:r w:rsidR="004942CA" w:rsidRPr="009200D8">
        <w:t>eport</w:t>
      </w:r>
      <w:r w:rsidRPr="009200D8">
        <w:t xml:space="preserve">. The Taskforce will consider the </w:t>
      </w:r>
      <w:r w:rsidR="009B08ED">
        <w:t>R</w:t>
      </w:r>
      <w:r w:rsidR="00110719" w:rsidRPr="009200D8">
        <w:t xml:space="preserve">eview </w:t>
      </w:r>
      <w:r w:rsidR="009B08ED">
        <w:t>R</w:t>
      </w:r>
      <w:r w:rsidR="00110719" w:rsidRPr="009200D8">
        <w:t>eport</w:t>
      </w:r>
      <w:r w:rsidR="00110719">
        <w:t>s</w:t>
      </w:r>
      <w:r w:rsidR="00110719" w:rsidRPr="009200D8">
        <w:t xml:space="preserve"> </w:t>
      </w:r>
      <w:r w:rsidRPr="009200D8">
        <w:t xml:space="preserve">from </w:t>
      </w:r>
      <w:r w:rsidR="009B08ED">
        <w:t>C</w:t>
      </w:r>
      <w:r w:rsidR="00110719" w:rsidRPr="009200D8">
        <w:t xml:space="preserve">linical </w:t>
      </w:r>
      <w:r w:rsidR="009B08ED">
        <w:t>C</w:t>
      </w:r>
      <w:r w:rsidR="00110719" w:rsidRPr="009200D8">
        <w:t xml:space="preserve">ommittees </w:t>
      </w:r>
      <w:r w:rsidRPr="009200D8">
        <w:t>and stakeholder feedback before making recommendations to the Minister for</w:t>
      </w:r>
      <w:r w:rsidR="009B08ED">
        <w:t xml:space="preserve"> Health, for</w:t>
      </w:r>
      <w:r w:rsidRPr="009200D8">
        <w:t xml:space="preserve"> consideration by Government. </w:t>
      </w:r>
    </w:p>
    <w:p w14:paraId="10BAE945" w14:textId="603EDA87" w:rsidR="00CF522D" w:rsidRPr="009200D8" w:rsidRDefault="0093644A" w:rsidP="00AF11CA">
      <w:pPr>
        <w:spacing w:after="100" w:afterAutospacing="1"/>
      </w:pPr>
      <w:r w:rsidRPr="002F5343">
        <w:t>The Chemical Working</w:t>
      </w:r>
      <w:r w:rsidR="00361580">
        <w:t xml:space="preserve"> Group</w:t>
      </w:r>
      <w:r w:rsidRPr="002F5343">
        <w:t xml:space="preserve"> </w:t>
      </w:r>
      <w:r w:rsidR="009B08ED">
        <w:t xml:space="preserve">(the Working Group) </w:t>
      </w:r>
      <w:r w:rsidRPr="002F5343">
        <w:t xml:space="preserve">is one of six clinical </w:t>
      </w:r>
      <w:r w:rsidR="009B08ED">
        <w:t>W</w:t>
      </w:r>
      <w:r w:rsidRPr="002F5343">
        <w:t xml:space="preserve">orking </w:t>
      </w:r>
      <w:r w:rsidR="009B08ED">
        <w:t>G</w:t>
      </w:r>
      <w:r w:rsidRPr="002F5343">
        <w:t xml:space="preserve">roups established to support the work of the Pathology Clinical Committee (the Committee). </w:t>
      </w:r>
      <w:r w:rsidR="00CF522D" w:rsidRPr="002F5343">
        <w:t>The Committee</w:t>
      </w:r>
      <w:r w:rsidR="00CF522D" w:rsidRPr="009200D8">
        <w:t xml:space="preserve"> was established in </w:t>
      </w:r>
      <w:r w:rsidR="00AD6C1A">
        <w:t>2016</w:t>
      </w:r>
      <w:r w:rsidR="00CF522D" w:rsidRPr="009200D8">
        <w:t xml:space="preserve"> to make recommendations to the Taskforce on the review of MBS items in its area of responsibility, based on rapid evidence review and clinical expertise. </w:t>
      </w:r>
      <w:r w:rsidR="000869E6" w:rsidRPr="000B2F8F">
        <w:t xml:space="preserve">The Taskforce asked the Committee to </w:t>
      </w:r>
      <w:r w:rsidR="000869E6">
        <w:t xml:space="preserve">review </w:t>
      </w:r>
      <w:r w:rsidR="0012701C">
        <w:t xml:space="preserve">chemical </w:t>
      </w:r>
      <w:r w:rsidR="000869E6">
        <w:t>pathology testing.</w:t>
      </w:r>
    </w:p>
    <w:p w14:paraId="6D93B7EF" w14:textId="77777777" w:rsidR="00885208" w:rsidRPr="009200D8" w:rsidRDefault="00AD6C1A" w:rsidP="00F623CB">
      <w:pPr>
        <w:pStyle w:val="Heading2"/>
      </w:pPr>
      <w:bookmarkStart w:id="4" w:name="_Toc485295712"/>
      <w:bookmarkStart w:id="5" w:name="_Toc485296583"/>
      <w:r>
        <w:t>Key recommendations</w:t>
      </w:r>
      <w:bookmarkEnd w:id="4"/>
      <w:bookmarkEnd w:id="5"/>
    </w:p>
    <w:p w14:paraId="57042AAF" w14:textId="1AEA196C" w:rsidR="00AD6C1A" w:rsidRDefault="00AD6C1A" w:rsidP="000869E6">
      <w:pPr>
        <w:rPr>
          <w:lang w:val="en-US"/>
        </w:rPr>
      </w:pPr>
      <w:r w:rsidRPr="00AD6C1A">
        <w:rPr>
          <w:lang w:val="en-US"/>
        </w:rPr>
        <w:t xml:space="preserve">The </w:t>
      </w:r>
      <w:r w:rsidR="00E61F7E" w:rsidRPr="00AD6C1A">
        <w:rPr>
          <w:lang w:val="en-US"/>
        </w:rPr>
        <w:t xml:space="preserve">recommendations </w:t>
      </w:r>
      <w:r w:rsidR="00E61F7E">
        <w:rPr>
          <w:lang w:val="en-US"/>
        </w:rPr>
        <w:t xml:space="preserve">of the </w:t>
      </w:r>
      <w:r w:rsidR="00361580" w:rsidRPr="00AD6C1A">
        <w:rPr>
          <w:lang w:val="en-US"/>
        </w:rPr>
        <w:t xml:space="preserve">Committee </w:t>
      </w:r>
      <w:r w:rsidR="00361580">
        <w:rPr>
          <w:lang w:val="en-US"/>
        </w:rPr>
        <w:t>based on advice from the</w:t>
      </w:r>
      <w:r w:rsidR="00361580" w:rsidRPr="00AD6C1A">
        <w:rPr>
          <w:lang w:val="en-US"/>
        </w:rPr>
        <w:t xml:space="preserve"> </w:t>
      </w:r>
      <w:r w:rsidRPr="00AD6C1A">
        <w:rPr>
          <w:lang w:val="en-US"/>
        </w:rPr>
        <w:t>Working Group on endocrine test</w:t>
      </w:r>
      <w:r w:rsidR="009B61F0">
        <w:rPr>
          <w:lang w:val="en-US"/>
        </w:rPr>
        <w:t>s</w:t>
      </w:r>
      <w:r w:rsidRPr="00AD6C1A">
        <w:rPr>
          <w:lang w:val="en-US"/>
        </w:rPr>
        <w:t xml:space="preserve"> are that two items </w:t>
      </w:r>
      <w:r w:rsidR="00E61F7E">
        <w:rPr>
          <w:lang w:val="en-US"/>
        </w:rPr>
        <w:t xml:space="preserve">be </w:t>
      </w:r>
      <w:r w:rsidRPr="00AD6C1A">
        <w:rPr>
          <w:lang w:val="en-US"/>
        </w:rPr>
        <w:t xml:space="preserve">deleted, one added, 19 changed and </w:t>
      </w:r>
      <w:r w:rsidR="00E61F7E">
        <w:rPr>
          <w:lang w:val="en-US"/>
        </w:rPr>
        <w:t xml:space="preserve">10 </w:t>
      </w:r>
      <w:r w:rsidRPr="00AD6C1A">
        <w:rPr>
          <w:lang w:val="en-US"/>
        </w:rPr>
        <w:t xml:space="preserve">items remain unchanged. The </w:t>
      </w:r>
      <w:r w:rsidR="009B08ED">
        <w:rPr>
          <w:lang w:val="en-US"/>
        </w:rPr>
        <w:t>Working Group</w:t>
      </w:r>
      <w:r w:rsidR="009B08ED" w:rsidRPr="00AD6C1A">
        <w:rPr>
          <w:lang w:val="en-US"/>
        </w:rPr>
        <w:t xml:space="preserve"> </w:t>
      </w:r>
      <w:r w:rsidRPr="00AD6C1A">
        <w:rPr>
          <w:lang w:val="en-US"/>
        </w:rPr>
        <w:t xml:space="preserve">is yet to review three items: Hormones and other tests (item 66686) and Adrenaline and other tests (items 66779 and 66780). Major changes to items are listed </w:t>
      </w:r>
      <w:r w:rsidR="00E61F7E">
        <w:rPr>
          <w:lang w:val="en-US"/>
        </w:rPr>
        <w:t>below;</w:t>
      </w:r>
      <w:r w:rsidR="00E61F7E" w:rsidRPr="00AD6C1A">
        <w:rPr>
          <w:lang w:val="en-US"/>
        </w:rPr>
        <w:t xml:space="preserve"> </w:t>
      </w:r>
      <w:r w:rsidRPr="00AD6C1A">
        <w:rPr>
          <w:lang w:val="en-US"/>
        </w:rPr>
        <w:t xml:space="preserve">the </w:t>
      </w:r>
      <w:r w:rsidR="007703B3" w:rsidRPr="00AD6C1A">
        <w:rPr>
          <w:lang w:val="en-US"/>
        </w:rPr>
        <w:t>remainder</w:t>
      </w:r>
      <w:r w:rsidR="007703B3">
        <w:rPr>
          <w:lang w:val="en-US"/>
        </w:rPr>
        <w:t xml:space="preserve">s </w:t>
      </w:r>
      <w:r w:rsidRPr="00AD6C1A">
        <w:rPr>
          <w:lang w:val="en-US"/>
        </w:rPr>
        <w:t xml:space="preserve">are found in the body of </w:t>
      </w:r>
      <w:r w:rsidR="00E61F7E">
        <w:rPr>
          <w:lang w:val="en-US"/>
        </w:rPr>
        <w:t xml:space="preserve">this </w:t>
      </w:r>
      <w:r w:rsidRPr="00AD6C1A">
        <w:rPr>
          <w:lang w:val="en-US"/>
        </w:rPr>
        <w:t>report.</w:t>
      </w:r>
    </w:p>
    <w:p w14:paraId="55E653EA" w14:textId="77777777" w:rsidR="00AD6C1A" w:rsidRDefault="00AD6C1A" w:rsidP="00B65C81">
      <w:pPr>
        <w:pStyle w:val="NormalBulleted"/>
        <w:ind w:left="426" w:hanging="426"/>
        <w:rPr>
          <w:b/>
        </w:rPr>
      </w:pPr>
      <w:r w:rsidRPr="00965AE3">
        <w:rPr>
          <w:b/>
        </w:rPr>
        <w:t>Thyroid stimulating hormone (TSH) and thyroid function test (TFT) items</w:t>
      </w:r>
    </w:p>
    <w:p w14:paraId="632B8F44" w14:textId="77777777" w:rsidR="006C0A7E" w:rsidRPr="00070347" w:rsidRDefault="006C0A7E" w:rsidP="00B65C81">
      <w:pPr>
        <w:pStyle w:val="NormalBulleted"/>
        <w:numPr>
          <w:ilvl w:val="0"/>
          <w:numId w:val="0"/>
        </w:numPr>
        <w:spacing w:before="120"/>
        <w:ind w:left="431"/>
      </w:pPr>
      <w:r w:rsidRPr="00070347">
        <w:lastRenderedPageBreak/>
        <w:t>TSH tests and TFTs: items 66716, 66719, 66722–5, 66728, 66731 and 66734</w:t>
      </w:r>
    </w:p>
    <w:p w14:paraId="002E17C5" w14:textId="7F5569A5" w:rsidR="00AD6C1A" w:rsidRPr="00AD6C1A" w:rsidRDefault="00AD6C1A" w:rsidP="00B65C81">
      <w:pPr>
        <w:spacing w:before="0"/>
        <w:ind w:left="431"/>
        <w:rPr>
          <w:lang w:val="en-US"/>
        </w:rPr>
      </w:pPr>
      <w:r w:rsidRPr="00AD6C1A">
        <w:rPr>
          <w:lang w:val="en-US"/>
        </w:rPr>
        <w:t xml:space="preserve">The </w:t>
      </w:r>
      <w:r w:rsidR="00A8103F">
        <w:rPr>
          <w:lang w:val="en-US"/>
        </w:rPr>
        <w:t>Committee</w:t>
      </w:r>
      <w:r w:rsidRPr="00AD6C1A">
        <w:rPr>
          <w:lang w:val="en-US"/>
        </w:rPr>
        <w:t xml:space="preserve"> recommend</w:t>
      </w:r>
      <w:r w:rsidR="00A54B48">
        <w:rPr>
          <w:lang w:val="en-US"/>
        </w:rPr>
        <w:t>s</w:t>
      </w:r>
      <w:r w:rsidR="00D97F1C">
        <w:rPr>
          <w:lang w:val="en-US"/>
        </w:rPr>
        <w:t xml:space="preserve"> </w:t>
      </w:r>
      <w:r w:rsidRPr="00AD6C1A">
        <w:rPr>
          <w:lang w:val="en-US"/>
        </w:rPr>
        <w:t>that</w:t>
      </w:r>
      <w:r w:rsidR="00E61F7E">
        <w:rPr>
          <w:lang w:val="en-US"/>
        </w:rPr>
        <w:t>,</w:t>
      </w:r>
      <w:r w:rsidRPr="00AD6C1A">
        <w:rPr>
          <w:lang w:val="en-US"/>
        </w:rPr>
        <w:t xml:space="preserve"> in accordance with Choosing Wisely recommendations </w:t>
      </w:r>
      <w:r w:rsidR="00E61F7E">
        <w:rPr>
          <w:lang w:val="en-US"/>
        </w:rPr>
        <w:t xml:space="preserve">of </w:t>
      </w:r>
      <w:r w:rsidR="00E61F7E" w:rsidRPr="00AD6C1A">
        <w:rPr>
          <w:lang w:val="en-US"/>
        </w:rPr>
        <w:t xml:space="preserve">the Royal Australian College of General Practitioners (RACGP) </w:t>
      </w:r>
      <w:r w:rsidRPr="00AD6C1A">
        <w:rPr>
          <w:lang w:val="en-US"/>
        </w:rPr>
        <w:t xml:space="preserve">and international guidelines, TSH should not be used as a screening test in asymptomatic patients. The explanatory notes for TSH should note this and provide advice about the indications for testing and repeat testing. </w:t>
      </w:r>
    </w:p>
    <w:p w14:paraId="0352994B" w14:textId="1E7B0BAD" w:rsidR="001C3D07" w:rsidRDefault="00AD6C1A" w:rsidP="00B65C81">
      <w:pPr>
        <w:ind w:left="431"/>
        <w:rPr>
          <w:lang w:val="en-US"/>
        </w:rPr>
      </w:pPr>
      <w:r w:rsidRPr="00AD6C1A">
        <w:rPr>
          <w:lang w:val="en-US"/>
        </w:rPr>
        <w:t>The item descriptor and explanatory notes for TFTs should be amended to enable pathologist</w:t>
      </w:r>
      <w:r w:rsidR="001C3D07">
        <w:rPr>
          <w:lang w:val="en-US"/>
        </w:rPr>
        <w:t>-</w:t>
      </w:r>
      <w:r w:rsidRPr="00AD6C1A">
        <w:rPr>
          <w:lang w:val="en-US"/>
        </w:rPr>
        <w:t>determinable (or requested) testing of TFT</w:t>
      </w:r>
      <w:r>
        <w:rPr>
          <w:lang w:val="en-US"/>
        </w:rPr>
        <w:t>s</w:t>
      </w:r>
      <w:r w:rsidRPr="00AD6C1A">
        <w:rPr>
          <w:lang w:val="en-US"/>
        </w:rPr>
        <w:t xml:space="preserve"> when the most recently performed TSH is abnormal.</w:t>
      </w:r>
    </w:p>
    <w:p w14:paraId="12CF729F" w14:textId="47031CC6" w:rsidR="001C3D07" w:rsidRDefault="00AD6C1A" w:rsidP="00B65C81">
      <w:pPr>
        <w:ind w:left="431"/>
        <w:rPr>
          <w:lang w:val="en-US"/>
        </w:rPr>
      </w:pPr>
      <w:r w:rsidRPr="00AD6C1A">
        <w:rPr>
          <w:lang w:val="en-US"/>
        </w:rPr>
        <w:t xml:space="preserve">The TFTs item should </w:t>
      </w:r>
      <w:r w:rsidR="001C3D07" w:rsidRPr="00AD6C1A">
        <w:rPr>
          <w:lang w:val="en-US"/>
        </w:rPr>
        <w:t xml:space="preserve">be </w:t>
      </w:r>
      <w:r w:rsidRPr="00AD6C1A">
        <w:rPr>
          <w:lang w:val="en-US"/>
        </w:rPr>
        <w:t>further amended to reflect that another indication for TFTs is in circumstances that make TSH testing of thyroid function unreliable. Advice about these circumstances is now set out in the explanatory notes.</w:t>
      </w:r>
    </w:p>
    <w:p w14:paraId="3B6CEB3B" w14:textId="3BE1D3F2" w:rsidR="00AD6C1A" w:rsidRPr="00AD6C1A" w:rsidRDefault="00AD6C1A" w:rsidP="00B65C81">
      <w:pPr>
        <w:spacing w:after="240"/>
        <w:ind w:left="431"/>
        <w:rPr>
          <w:lang w:val="en-US"/>
        </w:rPr>
      </w:pPr>
      <w:r w:rsidRPr="00AD6C1A">
        <w:rPr>
          <w:lang w:val="en-US"/>
        </w:rPr>
        <w:t xml:space="preserve">The </w:t>
      </w:r>
      <w:r w:rsidR="00A8103F">
        <w:rPr>
          <w:lang w:val="en-US"/>
        </w:rPr>
        <w:t>Committee</w:t>
      </w:r>
      <w:r w:rsidRPr="00AD6C1A">
        <w:rPr>
          <w:lang w:val="en-US"/>
        </w:rPr>
        <w:t xml:space="preserve"> recommend</w:t>
      </w:r>
      <w:r w:rsidR="00A54B48">
        <w:rPr>
          <w:lang w:val="en-US"/>
        </w:rPr>
        <w:t>s</w:t>
      </w:r>
      <w:r w:rsidRPr="00AD6C1A">
        <w:rPr>
          <w:lang w:val="en-US"/>
        </w:rPr>
        <w:t xml:space="preserve"> add</w:t>
      </w:r>
      <w:r w:rsidR="00A54B48">
        <w:rPr>
          <w:lang w:val="en-US"/>
        </w:rPr>
        <w:t>ing</w:t>
      </w:r>
      <w:r w:rsidRPr="00AD6C1A">
        <w:rPr>
          <w:lang w:val="en-US"/>
        </w:rPr>
        <w:t xml:space="preserve"> a new item for TFTs to include all three tests: TSH, free thyroxine and free T3</w:t>
      </w:r>
      <w:r w:rsidR="00F42F9F">
        <w:rPr>
          <w:lang w:val="en-US"/>
        </w:rPr>
        <w:t>,</w:t>
      </w:r>
      <w:r w:rsidRPr="00AD6C1A">
        <w:rPr>
          <w:lang w:val="en-US"/>
        </w:rPr>
        <w:t xml:space="preserve"> as this is clinically valuable and provides additional information in a subgroup of patient</w:t>
      </w:r>
      <w:r>
        <w:rPr>
          <w:lang w:val="en-US"/>
        </w:rPr>
        <w:t>s with markedly suppressed TSH.</w:t>
      </w:r>
    </w:p>
    <w:p w14:paraId="5C891A33" w14:textId="77777777" w:rsidR="00AD6C1A" w:rsidRPr="00B65C81" w:rsidRDefault="00AD6C1A" w:rsidP="00B65C81">
      <w:pPr>
        <w:pStyle w:val="NormalBulleted"/>
        <w:spacing w:after="0"/>
        <w:rPr>
          <w:b/>
        </w:rPr>
      </w:pPr>
      <w:r w:rsidRPr="00B65C81">
        <w:rPr>
          <w:b/>
        </w:rPr>
        <w:t>Oral glucose tolerance test (OGTT) and oral glucose challenge test (OGCT) items</w:t>
      </w:r>
    </w:p>
    <w:p w14:paraId="12BEFDEE" w14:textId="7B4E340B" w:rsidR="00AD6C1A" w:rsidRPr="00AD6C1A" w:rsidRDefault="00AD6C1A" w:rsidP="00B65C81">
      <w:pPr>
        <w:spacing w:before="0" w:after="120"/>
        <w:ind w:left="431"/>
        <w:rPr>
          <w:lang w:val="en-US"/>
        </w:rPr>
      </w:pPr>
      <w:r w:rsidRPr="00AD6C1A">
        <w:rPr>
          <w:lang w:val="en-US"/>
        </w:rPr>
        <w:t xml:space="preserve">The </w:t>
      </w:r>
      <w:r w:rsidR="00A8103F">
        <w:rPr>
          <w:lang w:val="en-US"/>
        </w:rPr>
        <w:t>Committee</w:t>
      </w:r>
      <w:r w:rsidRPr="00AD6C1A">
        <w:rPr>
          <w:lang w:val="en-US"/>
        </w:rPr>
        <w:t xml:space="preserve"> recommend</w:t>
      </w:r>
      <w:r w:rsidR="00A54B48">
        <w:rPr>
          <w:lang w:val="en-US"/>
        </w:rPr>
        <w:t>s</w:t>
      </w:r>
      <w:r w:rsidRPr="00AD6C1A">
        <w:rPr>
          <w:lang w:val="en-US"/>
        </w:rPr>
        <w:t xml:space="preserve"> the obsolete item 66545 for OGTT be deleted to improve clinical quality. The </w:t>
      </w:r>
      <w:r w:rsidR="00A54B48">
        <w:rPr>
          <w:lang w:val="en-US"/>
        </w:rPr>
        <w:t>i</w:t>
      </w:r>
      <w:r w:rsidR="00A54B48" w:rsidRPr="00AD6C1A">
        <w:rPr>
          <w:lang w:val="en-US"/>
        </w:rPr>
        <w:t xml:space="preserve">tem </w:t>
      </w:r>
      <w:r w:rsidRPr="00AD6C1A">
        <w:rPr>
          <w:lang w:val="en-US"/>
        </w:rPr>
        <w:t>descriptor and explanatory notes of item 66542 should be revised to allow testing for patients whe</w:t>
      </w:r>
      <w:r w:rsidR="007B78D5">
        <w:rPr>
          <w:lang w:val="en-US"/>
        </w:rPr>
        <w:t>n</w:t>
      </w:r>
      <w:r w:rsidRPr="00AD6C1A">
        <w:rPr>
          <w:lang w:val="en-US"/>
        </w:rPr>
        <w:t xml:space="preserve"> </w:t>
      </w:r>
      <w:r w:rsidR="00A54B48">
        <w:rPr>
          <w:lang w:val="en-US"/>
        </w:rPr>
        <w:t>glycated haemoglobin (</w:t>
      </w:r>
      <w:r w:rsidRPr="00AD6C1A">
        <w:rPr>
          <w:lang w:val="en-US"/>
        </w:rPr>
        <w:t>HbA</w:t>
      </w:r>
      <w:r w:rsidR="00240E05" w:rsidRPr="00894AB0">
        <w:rPr>
          <w:lang w:val="en-US"/>
        </w:rPr>
        <w:t>1c</w:t>
      </w:r>
      <w:r w:rsidR="00A54B48">
        <w:rPr>
          <w:lang w:val="en-US"/>
        </w:rPr>
        <w:t>)</w:t>
      </w:r>
      <w:r w:rsidRPr="00AD6C1A">
        <w:rPr>
          <w:lang w:val="en-US"/>
        </w:rPr>
        <w:t xml:space="preserve"> measurement is unreliable (recognising that for most patients</w:t>
      </w:r>
      <w:r>
        <w:rPr>
          <w:lang w:val="en-US"/>
        </w:rPr>
        <w:t xml:space="preserve"> HbA</w:t>
      </w:r>
      <w:r w:rsidR="00240E05" w:rsidRPr="00894AB0">
        <w:rPr>
          <w:lang w:val="en-US"/>
        </w:rPr>
        <w:t>1c</w:t>
      </w:r>
      <w:r>
        <w:rPr>
          <w:lang w:val="en-US"/>
        </w:rPr>
        <w:t xml:space="preserve"> is the preferred test).</w:t>
      </w:r>
    </w:p>
    <w:p w14:paraId="4420606A" w14:textId="272CF117" w:rsidR="00AD6C1A" w:rsidRPr="00B65C81" w:rsidRDefault="00D63EA0" w:rsidP="00B65C81">
      <w:pPr>
        <w:pStyle w:val="NormalBulleted"/>
        <w:spacing w:after="0"/>
        <w:rPr>
          <w:b/>
        </w:rPr>
      </w:pPr>
      <w:r w:rsidRPr="00B65C81">
        <w:rPr>
          <w:b/>
        </w:rPr>
        <w:t xml:space="preserve">Quantitation </w:t>
      </w:r>
      <w:r w:rsidR="00AD6C1A" w:rsidRPr="00B65C81">
        <w:rPr>
          <w:b/>
        </w:rPr>
        <w:t>of glycated haemoglobin</w:t>
      </w:r>
    </w:p>
    <w:p w14:paraId="291F8AE4" w14:textId="20E8052C" w:rsidR="00AD6C1A" w:rsidRPr="00AD6C1A" w:rsidRDefault="00AD6C1A" w:rsidP="00B65C81">
      <w:pPr>
        <w:spacing w:before="0" w:after="120"/>
        <w:ind w:left="431"/>
        <w:rPr>
          <w:lang w:val="en-US"/>
        </w:rPr>
      </w:pPr>
      <w:r w:rsidRPr="00AD6C1A">
        <w:rPr>
          <w:lang w:val="en-US"/>
        </w:rPr>
        <w:t xml:space="preserve">The </w:t>
      </w:r>
      <w:r w:rsidR="00A54B48">
        <w:rPr>
          <w:lang w:val="en-US"/>
        </w:rPr>
        <w:t>Committee recommends</w:t>
      </w:r>
      <w:r w:rsidRPr="00AD6C1A">
        <w:rPr>
          <w:lang w:val="en-US"/>
        </w:rPr>
        <w:t xml:space="preserve"> item 66841 be changed to include specific indications for asymptomatic patients tested for diabetes mellitus in the explanatory notes. The maximum number of permissible tests under item 66841 should be increased to two per year to reflect current guidelines.</w:t>
      </w:r>
    </w:p>
    <w:p w14:paraId="3A201223" w14:textId="46EE5327" w:rsidR="00AD6C1A" w:rsidRPr="00B65C81" w:rsidRDefault="00D63EA0" w:rsidP="00B65C81">
      <w:pPr>
        <w:pStyle w:val="NormalBulleted"/>
        <w:spacing w:after="0"/>
        <w:rPr>
          <w:b/>
        </w:rPr>
      </w:pPr>
      <w:r w:rsidRPr="00B65C81">
        <w:rPr>
          <w:b/>
        </w:rPr>
        <w:t>Quantitation</w:t>
      </w:r>
      <w:r w:rsidR="00AD6C1A" w:rsidRPr="00B65C81">
        <w:rPr>
          <w:b/>
        </w:rPr>
        <w:t xml:space="preserve"> of fructosamine</w:t>
      </w:r>
    </w:p>
    <w:p w14:paraId="7B64A33A" w14:textId="6CC974FA" w:rsidR="00AD6C1A" w:rsidRPr="00AD6C1A" w:rsidRDefault="00AD6C1A" w:rsidP="00B65C81">
      <w:pPr>
        <w:spacing w:before="0" w:after="120"/>
        <w:ind w:left="720"/>
        <w:rPr>
          <w:lang w:val="en-US"/>
        </w:rPr>
      </w:pPr>
      <w:r w:rsidRPr="00AD6C1A">
        <w:rPr>
          <w:lang w:val="en-US"/>
        </w:rPr>
        <w:t xml:space="preserve">The </w:t>
      </w:r>
      <w:r w:rsidR="00A54B48">
        <w:rPr>
          <w:lang w:val="en-US"/>
        </w:rPr>
        <w:t>Committee recommends</w:t>
      </w:r>
      <w:r w:rsidRPr="00AD6C1A">
        <w:rPr>
          <w:lang w:val="en-US"/>
        </w:rPr>
        <w:t xml:space="preserve"> </w:t>
      </w:r>
      <w:r w:rsidR="00A54B48">
        <w:rPr>
          <w:lang w:val="en-US"/>
        </w:rPr>
        <w:t xml:space="preserve">the </w:t>
      </w:r>
      <w:r w:rsidRPr="00AD6C1A">
        <w:rPr>
          <w:lang w:val="en-US"/>
        </w:rPr>
        <w:t xml:space="preserve">item descriptor for item 66557 be changed to stipulate that the test is only conducted when </w:t>
      </w:r>
      <w:r w:rsidR="007C1C32">
        <w:t xml:space="preserve">HbA1c </w:t>
      </w:r>
      <w:r w:rsidRPr="00AD6C1A">
        <w:rPr>
          <w:lang w:val="en-US"/>
        </w:rPr>
        <w:t xml:space="preserve">is unreliable. The </w:t>
      </w:r>
      <w:r w:rsidR="00A8103F">
        <w:rPr>
          <w:lang w:val="en-US"/>
        </w:rPr>
        <w:t>Committee</w:t>
      </w:r>
      <w:r w:rsidR="00A54B48">
        <w:rPr>
          <w:lang w:val="en-US"/>
        </w:rPr>
        <w:t xml:space="preserve"> </w:t>
      </w:r>
      <w:r w:rsidRPr="00AD6C1A">
        <w:rPr>
          <w:lang w:val="en-US"/>
        </w:rPr>
        <w:t>also recommend</w:t>
      </w:r>
      <w:r w:rsidR="00A54B48">
        <w:rPr>
          <w:lang w:val="en-US"/>
        </w:rPr>
        <w:t>s</w:t>
      </w:r>
      <w:r w:rsidRPr="00AD6C1A">
        <w:rPr>
          <w:lang w:val="en-US"/>
        </w:rPr>
        <w:t xml:space="preserve"> that explanatory notes be added to specify the clinical circumstances </w:t>
      </w:r>
      <w:r w:rsidR="00A54B48">
        <w:rPr>
          <w:lang w:val="en-US"/>
        </w:rPr>
        <w:t xml:space="preserve">in which </w:t>
      </w:r>
      <w:r w:rsidRPr="00AD6C1A">
        <w:rPr>
          <w:lang w:val="en-US"/>
        </w:rPr>
        <w:t>testing is appropriate.</w:t>
      </w:r>
    </w:p>
    <w:p w14:paraId="5ED6D218" w14:textId="77777777" w:rsidR="00AD6C1A" w:rsidRPr="00B65C81" w:rsidRDefault="00AD6C1A" w:rsidP="00B65C81">
      <w:pPr>
        <w:pStyle w:val="NormalBulleted"/>
        <w:spacing w:after="0"/>
        <w:rPr>
          <w:b/>
        </w:rPr>
      </w:pPr>
      <w:r w:rsidRPr="00B65C81">
        <w:rPr>
          <w:b/>
        </w:rPr>
        <w:t>Microalbumin</w:t>
      </w:r>
    </w:p>
    <w:p w14:paraId="7246BD74" w14:textId="277B7D03" w:rsidR="00AD6C1A" w:rsidRPr="00AD6C1A" w:rsidRDefault="00AD6C1A" w:rsidP="00B65C81">
      <w:pPr>
        <w:spacing w:before="0" w:after="120"/>
        <w:ind w:left="431"/>
        <w:rPr>
          <w:lang w:val="en-US"/>
        </w:rPr>
      </w:pPr>
      <w:r w:rsidRPr="00AD6C1A">
        <w:rPr>
          <w:lang w:val="en-US"/>
        </w:rPr>
        <w:t xml:space="preserve">The </w:t>
      </w:r>
      <w:r w:rsidR="00A8103F">
        <w:rPr>
          <w:lang w:val="en-US"/>
        </w:rPr>
        <w:t>Committee</w:t>
      </w:r>
      <w:r w:rsidR="002A1285">
        <w:rPr>
          <w:lang w:val="en-US"/>
        </w:rPr>
        <w:t xml:space="preserve"> </w:t>
      </w:r>
      <w:r w:rsidRPr="00AD6C1A">
        <w:rPr>
          <w:lang w:val="en-US"/>
        </w:rPr>
        <w:t>recommend</w:t>
      </w:r>
      <w:r w:rsidR="002A1285">
        <w:rPr>
          <w:lang w:val="en-US"/>
        </w:rPr>
        <w:t>s</w:t>
      </w:r>
      <w:r w:rsidRPr="00AD6C1A">
        <w:rPr>
          <w:lang w:val="en-US"/>
        </w:rPr>
        <w:t xml:space="preserve"> that clinical requirements for testing be included in the explanatory notes for item 66560 and that testing is restricted to </w:t>
      </w:r>
      <w:r w:rsidR="002A1285">
        <w:rPr>
          <w:lang w:val="en-US"/>
        </w:rPr>
        <w:t>four</w:t>
      </w:r>
      <w:r w:rsidR="002A1285" w:rsidRPr="00AD6C1A">
        <w:rPr>
          <w:lang w:val="en-US"/>
        </w:rPr>
        <w:t xml:space="preserve"> </w:t>
      </w:r>
      <w:r w:rsidRPr="00AD6C1A">
        <w:rPr>
          <w:lang w:val="en-US"/>
        </w:rPr>
        <w:t xml:space="preserve">times within a 12-month period. The </w:t>
      </w:r>
      <w:r w:rsidR="00A8103F">
        <w:rPr>
          <w:lang w:val="en-US"/>
        </w:rPr>
        <w:t>Committee</w:t>
      </w:r>
      <w:r w:rsidR="002A1285">
        <w:rPr>
          <w:lang w:val="en-US"/>
        </w:rPr>
        <w:t xml:space="preserve"> </w:t>
      </w:r>
      <w:r w:rsidRPr="00AD6C1A">
        <w:rPr>
          <w:lang w:val="en-US"/>
        </w:rPr>
        <w:t>also recommended chang</w:t>
      </w:r>
      <w:r w:rsidR="002A1285">
        <w:rPr>
          <w:lang w:val="en-US"/>
        </w:rPr>
        <w:t>ing</w:t>
      </w:r>
      <w:r w:rsidRPr="00AD6C1A">
        <w:rPr>
          <w:lang w:val="en-US"/>
        </w:rPr>
        <w:t xml:space="preserve"> the name of the item descriptor to albumin</w:t>
      </w:r>
      <w:r w:rsidR="0079763C">
        <w:rPr>
          <w:lang w:val="en-US"/>
        </w:rPr>
        <w:t xml:space="preserve">: </w:t>
      </w:r>
      <w:r w:rsidRPr="00AD6C1A">
        <w:rPr>
          <w:lang w:val="en-US"/>
        </w:rPr>
        <w:t>creatinine ratio.</w:t>
      </w:r>
    </w:p>
    <w:p w14:paraId="1EDF0A12" w14:textId="77777777" w:rsidR="00AD6C1A" w:rsidRPr="00B65C81" w:rsidRDefault="00AD6C1A" w:rsidP="00B65C81">
      <w:pPr>
        <w:pStyle w:val="NormalBulleted"/>
        <w:spacing w:after="0"/>
        <w:rPr>
          <w:b/>
        </w:rPr>
      </w:pPr>
      <w:r w:rsidRPr="00B65C81">
        <w:rPr>
          <w:b/>
        </w:rPr>
        <w:t>Electrophoresis of serum</w:t>
      </w:r>
    </w:p>
    <w:p w14:paraId="6D9222FD" w14:textId="658E79B7" w:rsidR="00AD6C1A" w:rsidRDefault="00AD6C1A" w:rsidP="00B65C81">
      <w:pPr>
        <w:spacing w:before="0"/>
        <w:ind w:left="431"/>
        <w:rPr>
          <w:lang w:val="en-US"/>
        </w:rPr>
      </w:pPr>
      <w:r w:rsidRPr="00AD6C1A">
        <w:rPr>
          <w:lang w:val="en-US"/>
        </w:rPr>
        <w:t xml:space="preserve">The </w:t>
      </w:r>
      <w:r w:rsidR="00A8103F">
        <w:rPr>
          <w:lang w:val="en-US"/>
        </w:rPr>
        <w:t>Committee</w:t>
      </w:r>
      <w:r w:rsidR="002A1285">
        <w:rPr>
          <w:lang w:val="en-US"/>
        </w:rPr>
        <w:t xml:space="preserve"> </w:t>
      </w:r>
      <w:r w:rsidRPr="00AD6C1A">
        <w:rPr>
          <w:lang w:val="en-US"/>
        </w:rPr>
        <w:t>recommend</w:t>
      </w:r>
      <w:r w:rsidR="002A1285">
        <w:rPr>
          <w:lang w:val="en-US"/>
        </w:rPr>
        <w:t>s</w:t>
      </w:r>
      <w:r w:rsidRPr="00AD6C1A">
        <w:rPr>
          <w:lang w:val="en-US"/>
        </w:rPr>
        <w:t xml:space="preserve"> delet</w:t>
      </w:r>
      <w:r w:rsidR="002A1285">
        <w:rPr>
          <w:lang w:val="en-US"/>
        </w:rPr>
        <w:t>ing</w:t>
      </w:r>
      <w:r w:rsidRPr="00AD6C1A">
        <w:rPr>
          <w:lang w:val="en-US"/>
        </w:rPr>
        <w:t xml:space="preserve"> the obsolete item 66539 to modernise the MBS.</w:t>
      </w:r>
    </w:p>
    <w:p w14:paraId="1A552492" w14:textId="77777777" w:rsidR="00AD6C1A" w:rsidRPr="00354AC7" w:rsidRDefault="00AD6C1A" w:rsidP="000869E6">
      <w:pPr>
        <w:rPr>
          <w:lang w:val="en-US"/>
        </w:rPr>
      </w:pPr>
    </w:p>
    <w:p w14:paraId="4F68B4CD" w14:textId="77777777" w:rsidR="00A962D1" w:rsidRDefault="001629A1" w:rsidP="006E043E">
      <w:pPr>
        <w:pStyle w:val="Heading2"/>
      </w:pPr>
      <w:bookmarkStart w:id="6" w:name="_Toc485295713"/>
      <w:bookmarkStart w:id="7" w:name="_Toc485296584"/>
      <w:r>
        <w:t>Consumer engagement</w:t>
      </w:r>
      <w:bookmarkEnd w:id="6"/>
      <w:bookmarkEnd w:id="7"/>
    </w:p>
    <w:p w14:paraId="7EED0C69" w14:textId="4777AEE3" w:rsidR="000441C6" w:rsidRDefault="001629A1" w:rsidP="00A962D1">
      <w:r>
        <w:t>Th</w:t>
      </w:r>
      <w:r w:rsidRPr="001629A1">
        <w:t xml:space="preserve">e Committee believes it is important to find out from consumers if they will be helped or disadvantaged by the recommendations – and how, and why. </w:t>
      </w:r>
      <w:r w:rsidR="000441C6">
        <w:t xml:space="preserve">After </w:t>
      </w:r>
      <w:r w:rsidRPr="001629A1">
        <w:t>public consultation the Committee will assess the advice from consumers and decide whether any changes are needed to the recommendations.</w:t>
      </w:r>
    </w:p>
    <w:p w14:paraId="67022695" w14:textId="45641186" w:rsidR="00A962D1" w:rsidRDefault="001629A1" w:rsidP="00A962D1">
      <w:r w:rsidRPr="001629A1">
        <w:t>The Committee will then send the recommendations to the Taskforce. The Taskforce will consider the recommendations as well as the information provided by consumers to make sure all the important concerns are addressed. The Taskforce will then provide the recommendation</w:t>
      </w:r>
      <w:r w:rsidR="009B08ED">
        <w:t>s</w:t>
      </w:r>
      <w:r w:rsidRPr="001629A1">
        <w:t xml:space="preserve"> to government.</w:t>
      </w:r>
    </w:p>
    <w:p w14:paraId="588F0781" w14:textId="3CBBA493" w:rsidR="00751666" w:rsidRPr="00D97F1C" w:rsidRDefault="001629A1" w:rsidP="00965AE3">
      <w:pPr>
        <w:pStyle w:val="Bullet1"/>
        <w:rPr>
          <w:rFonts w:eastAsiaTheme="minorHAnsi"/>
        </w:rPr>
      </w:pPr>
      <w:r w:rsidRPr="00D97F1C">
        <w:t>The Committee brought together practitioners with experience in</w:t>
      </w:r>
      <w:r w:rsidR="008D6292" w:rsidRPr="00D97F1C">
        <w:t>,</w:t>
      </w:r>
      <w:r w:rsidRPr="00D97F1C">
        <w:t xml:space="preserve"> and commitment to</w:t>
      </w:r>
      <w:r w:rsidR="008D6292" w:rsidRPr="00D97F1C">
        <w:t>,</w:t>
      </w:r>
      <w:r w:rsidRPr="00D97F1C">
        <w:t xml:space="preserve"> the care of people with clinical diseases</w:t>
      </w:r>
      <w:r w:rsidR="008D6292" w:rsidRPr="00D97F1C">
        <w:t>,</w:t>
      </w:r>
      <w:r w:rsidRPr="00D97F1C">
        <w:t xml:space="preserve"> to examine how well the description of Medicare items match current clinical practice and meet the needs of Australians. Consumer representatives were on the Committee and </w:t>
      </w:r>
      <w:r w:rsidR="008D6292" w:rsidRPr="00D97F1C">
        <w:t xml:space="preserve">in </w:t>
      </w:r>
      <w:r w:rsidRPr="00D97F1C">
        <w:t xml:space="preserve">every </w:t>
      </w:r>
      <w:r w:rsidR="009B08ED">
        <w:t>W</w:t>
      </w:r>
      <w:r w:rsidR="008D6292" w:rsidRPr="00D97F1C">
        <w:t xml:space="preserve">orking </w:t>
      </w:r>
      <w:r w:rsidR="009B08ED">
        <w:t>G</w:t>
      </w:r>
      <w:r w:rsidR="008D6292" w:rsidRPr="00D97F1C">
        <w:t>roup</w:t>
      </w:r>
      <w:r w:rsidRPr="00D97F1C">
        <w:t xml:space="preserve">. </w:t>
      </w:r>
    </w:p>
    <w:p w14:paraId="021FD6DA" w14:textId="389253E4" w:rsidR="00751666" w:rsidRPr="00D97F1C" w:rsidRDefault="00751666" w:rsidP="00965AE3">
      <w:pPr>
        <w:pStyle w:val="Bullet1"/>
        <w:rPr>
          <w:rFonts w:eastAsiaTheme="minorHAnsi"/>
        </w:rPr>
      </w:pPr>
      <w:r w:rsidRPr="00D97F1C">
        <w:t xml:space="preserve">There is a list of all the reviewed items, written in plain English, in Appendix </w:t>
      </w:r>
      <w:r w:rsidR="008D6292" w:rsidRPr="00D97F1C">
        <w:t xml:space="preserve">B </w:t>
      </w:r>
      <w:r w:rsidRPr="00D97F1C">
        <w:t xml:space="preserve">– </w:t>
      </w:r>
      <w:r w:rsidRPr="00D97F1C">
        <w:rPr>
          <w:lang w:val="en-US"/>
        </w:rPr>
        <w:t>Summary for consumers</w:t>
      </w:r>
      <w:r w:rsidRPr="00D97F1C">
        <w:t>.</w:t>
      </w:r>
    </w:p>
    <w:p w14:paraId="1A822DC2" w14:textId="05A55E0E" w:rsidR="00751666" w:rsidRPr="00D97F1C" w:rsidRDefault="00751666" w:rsidP="00B65C81">
      <w:pPr>
        <w:pStyle w:val="Bullet1"/>
      </w:pPr>
      <w:r w:rsidRPr="00D97F1C">
        <w:t>Changes have been recommended for some items that are no longer up to date. Some items are no longer used, and some should not be used because clinical best</w:t>
      </w:r>
      <w:r w:rsidR="009B08ED">
        <w:t>-</w:t>
      </w:r>
      <w:r w:rsidRPr="00D97F1C">
        <w:t xml:space="preserve">practice has changed since they were originally </w:t>
      </w:r>
      <w:r w:rsidRPr="00D97F1C">
        <w:rPr>
          <w:lang w:val="en-US"/>
        </w:rPr>
        <w:t xml:space="preserve">described. These items have been recommended for deletion. </w:t>
      </w:r>
    </w:p>
    <w:p w14:paraId="0F2226AD" w14:textId="2E73C6A3" w:rsidR="00751666" w:rsidRPr="00D97F1C" w:rsidRDefault="008D6292" w:rsidP="00B65C81">
      <w:pPr>
        <w:pStyle w:val="Bullet1"/>
      </w:pPr>
      <w:r w:rsidRPr="00D97F1C">
        <w:rPr>
          <w:lang w:val="en-US"/>
        </w:rPr>
        <w:t xml:space="preserve">Most </w:t>
      </w:r>
      <w:r w:rsidR="00751666" w:rsidRPr="00D97F1C">
        <w:rPr>
          <w:lang w:val="en-US"/>
        </w:rPr>
        <w:t>of the work conducted by the Committee focused on clinical issues and t</w:t>
      </w:r>
      <w:r w:rsidR="00751666" w:rsidRPr="00D97F1C">
        <w:t>he provision of clinical services. As a result, the consumer representative relied frequently on the advice of the clinicians regarding how consumers would be affected.</w:t>
      </w:r>
    </w:p>
    <w:p w14:paraId="2C3271FF" w14:textId="06A34DA4" w:rsidR="00751666" w:rsidRPr="00D97F1C" w:rsidRDefault="00751666" w:rsidP="00B65C81">
      <w:pPr>
        <w:pStyle w:val="Bullet1"/>
      </w:pPr>
      <w:r w:rsidRPr="00D97F1C">
        <w:t>The consumer representative used the following framework to assess recommendations:</w:t>
      </w:r>
    </w:p>
    <w:p w14:paraId="264C117D" w14:textId="4015F8AC" w:rsidR="00751666" w:rsidRDefault="00751666" w:rsidP="00A8103F">
      <w:pPr>
        <w:pStyle w:val="Bullet2"/>
      </w:pPr>
      <w:r>
        <w:rPr>
          <w:b/>
          <w:bCs/>
        </w:rPr>
        <w:t>Safety</w:t>
      </w:r>
      <w:r>
        <w:t xml:space="preserve">: None of the recommendations negatively affect the safety of </w:t>
      </w:r>
      <w:r w:rsidR="00E27E69">
        <w:t xml:space="preserve">pathology </w:t>
      </w:r>
      <w:r>
        <w:t>services.</w:t>
      </w:r>
    </w:p>
    <w:p w14:paraId="4F47B7AF" w14:textId="77777777" w:rsidR="00751666" w:rsidRDefault="00751666" w:rsidP="00A8103F">
      <w:pPr>
        <w:pStyle w:val="Bullet2"/>
      </w:pPr>
      <w:r>
        <w:rPr>
          <w:b/>
          <w:bCs/>
        </w:rPr>
        <w:t>Quality</w:t>
      </w:r>
      <w:r>
        <w:t xml:space="preserve">: Many of the recommended changes are intended to improve quality, primarily by aligning the reimbursement system with evidence-based practice. </w:t>
      </w:r>
    </w:p>
    <w:p w14:paraId="0D5E9529" w14:textId="76C35967" w:rsidR="00751666" w:rsidRDefault="00751666" w:rsidP="00A8103F">
      <w:pPr>
        <w:pStyle w:val="Bullet2"/>
      </w:pPr>
      <w:r>
        <w:rPr>
          <w:b/>
          <w:bCs/>
        </w:rPr>
        <w:t>Access</w:t>
      </w:r>
      <w:r>
        <w:t>: The recommendations do not negatively affect appropriate access. However, some patient groups have been receiving services they do not need, which can result in either negative health impacts or unnecessary cost. Inappropriate access was restricted where possible.</w:t>
      </w:r>
    </w:p>
    <w:p w14:paraId="008CFE8B" w14:textId="2AC48E7F" w:rsidR="00751666" w:rsidRDefault="00751666" w:rsidP="00A8103F">
      <w:pPr>
        <w:pStyle w:val="Bullet2"/>
      </w:pPr>
      <w:r>
        <w:rPr>
          <w:b/>
          <w:bCs/>
        </w:rPr>
        <w:t>Effectiveness</w:t>
      </w:r>
      <w:r>
        <w:t>: None of the recommendations reduce the effectiveness of</w:t>
      </w:r>
      <w:r w:rsidR="0079763C">
        <w:t xml:space="preserve"> chemical pathology</w:t>
      </w:r>
      <w:r>
        <w:t xml:space="preserve"> services. The Committee did recommend that the </w:t>
      </w:r>
      <w:r w:rsidR="00307001">
        <w:t>Medical Services Advisory Committee</w:t>
      </w:r>
      <w:r w:rsidR="009B08ED">
        <w:t xml:space="preserve"> (MSAC)</w:t>
      </w:r>
      <w:r w:rsidR="00307001">
        <w:t xml:space="preserve"> </w:t>
      </w:r>
      <w:r>
        <w:t>consider allowing GPs to order</w:t>
      </w:r>
      <w:r w:rsidR="00E27E69">
        <w:t xml:space="preserve"> TFTs comprising TSH, free thyroxine and free T3 in patients with suppressed TSH to assess the risk of ongoing </w:t>
      </w:r>
      <w:r w:rsidR="00912EB3">
        <w:t xml:space="preserve">medical condition </w:t>
      </w:r>
      <w:r w:rsidR="00E27E69">
        <w:t xml:space="preserve">and </w:t>
      </w:r>
      <w:r w:rsidR="00912EB3">
        <w:t>diagnose other medical condition</w:t>
      </w:r>
      <w:r w:rsidR="00220C72">
        <w:t>s</w:t>
      </w:r>
      <w:r w:rsidR="00E27E69">
        <w:t xml:space="preserve">. </w:t>
      </w:r>
      <w:r>
        <w:t>.</w:t>
      </w:r>
    </w:p>
    <w:p w14:paraId="3C0DDA43" w14:textId="77777777" w:rsidR="00751666" w:rsidRDefault="00751666" w:rsidP="00A8103F">
      <w:pPr>
        <w:pStyle w:val="Bullet2"/>
      </w:pPr>
      <w:r>
        <w:rPr>
          <w:b/>
          <w:bCs/>
        </w:rPr>
        <w:t>Cost-effectiveness</w:t>
      </w:r>
      <w:r>
        <w:t xml:space="preserve">: The recommendations will have a positive effect on cost-effectiveness because they make it easier to determine which patient groups should have access to specific tests and treatments. </w:t>
      </w:r>
    </w:p>
    <w:p w14:paraId="7A7B05EB" w14:textId="77777777" w:rsidR="00751666" w:rsidRDefault="00751666" w:rsidP="00A8103F">
      <w:pPr>
        <w:pStyle w:val="Bullet2"/>
      </w:pPr>
      <w:r>
        <w:rPr>
          <w:b/>
          <w:bCs/>
        </w:rPr>
        <w:t>Accountability</w:t>
      </w:r>
      <w:r>
        <w:t>: Many of the changes include wording that facilitates future auditing for quality purposes.</w:t>
      </w:r>
    </w:p>
    <w:p w14:paraId="5C9EFBE9" w14:textId="77777777" w:rsidR="00751666" w:rsidRDefault="00751666" w:rsidP="00A8103F">
      <w:pPr>
        <w:pStyle w:val="Bullet2"/>
      </w:pPr>
      <w:r>
        <w:rPr>
          <w:b/>
          <w:bCs/>
        </w:rPr>
        <w:t>Data collection</w:t>
      </w:r>
      <w:r>
        <w:t>: Data collection for research, monitoring and auditing presents a huge opportunity for a revised MBS, and the recommendations should improve the opportunities to use this data for targeted research in the future.</w:t>
      </w:r>
    </w:p>
    <w:p w14:paraId="5A32F714" w14:textId="77777777" w:rsidR="001629A1" w:rsidRPr="004803B4" w:rsidRDefault="001629A1" w:rsidP="00A962D1"/>
    <w:p w14:paraId="703DA782" w14:textId="77777777" w:rsidR="000869E6" w:rsidRDefault="000869E6" w:rsidP="00F623CB">
      <w:pPr>
        <w:rPr>
          <w:rFonts w:eastAsiaTheme="minorHAnsi" w:cs="Arial"/>
          <w:b/>
          <w:bCs/>
          <w:kern w:val="32"/>
          <w:sz w:val="32"/>
          <w:szCs w:val="28"/>
          <w:lang w:val="en-US" w:eastAsia="en-US"/>
        </w:rPr>
      </w:pPr>
      <w:r>
        <w:br w:type="page"/>
      </w:r>
    </w:p>
    <w:p w14:paraId="08501FFD" w14:textId="77777777" w:rsidR="009837DB" w:rsidRPr="007E02E9" w:rsidRDefault="00817A04" w:rsidP="007E02E9">
      <w:pPr>
        <w:pStyle w:val="Heading1"/>
      </w:pPr>
      <w:bookmarkStart w:id="8" w:name="_Toc485295714"/>
      <w:bookmarkStart w:id="9" w:name="_Toc485296585"/>
      <w:r w:rsidRPr="007E02E9">
        <w:t>About the Medicare Benefits Schedule (MBS) Review</w:t>
      </w:r>
      <w:bookmarkEnd w:id="8"/>
      <w:bookmarkEnd w:id="9"/>
    </w:p>
    <w:p w14:paraId="04E7E6D5" w14:textId="77777777" w:rsidR="008A05B8" w:rsidRPr="007E02E9" w:rsidRDefault="00463B1C" w:rsidP="006A286B">
      <w:pPr>
        <w:pStyle w:val="Heading2"/>
      </w:pPr>
      <w:bookmarkStart w:id="10" w:name="_Toc485295715"/>
      <w:bookmarkStart w:id="11" w:name="_Toc485296586"/>
      <w:r w:rsidRPr="007E02E9">
        <w:t>Medicare and the MBS</w:t>
      </w:r>
      <w:bookmarkEnd w:id="10"/>
      <w:bookmarkEnd w:id="11"/>
    </w:p>
    <w:p w14:paraId="4F8F3C84" w14:textId="77777777" w:rsidR="006B0D15" w:rsidRPr="00175BCE" w:rsidRDefault="006B0D15" w:rsidP="007F345C">
      <w:r w:rsidRPr="007F345C">
        <w:rPr>
          <w:b/>
        </w:rPr>
        <w:t>What is Medicare?</w:t>
      </w:r>
    </w:p>
    <w:p w14:paraId="45116434" w14:textId="5FB22168" w:rsidR="006B0D15" w:rsidRPr="009D0EED" w:rsidRDefault="006B0D15" w:rsidP="003F788A">
      <w:pPr>
        <w:spacing w:before="120" w:after="120"/>
        <w:ind w:right="-330"/>
        <w:rPr>
          <w:rFonts w:cs="Arial"/>
          <w:lang w:val="en-US" w:eastAsia="en-US"/>
        </w:rPr>
      </w:pPr>
      <w:r w:rsidRPr="00253F2C">
        <w:rPr>
          <w:rFonts w:cs="Arial"/>
          <w:lang w:val="en-US" w:eastAsia="en-US"/>
        </w:rPr>
        <w:t>Medicare is Australia’s universal health scheme</w:t>
      </w:r>
      <w:r w:rsidR="00A13A3C" w:rsidRPr="009D0EED">
        <w:rPr>
          <w:rFonts w:cs="Arial"/>
          <w:lang w:val="en-US" w:eastAsia="en-US"/>
        </w:rPr>
        <w:t xml:space="preserve"> </w:t>
      </w:r>
      <w:r w:rsidR="00E130F6">
        <w:rPr>
          <w:rFonts w:cs="Arial"/>
          <w:lang w:val="en-US" w:eastAsia="en-US"/>
        </w:rPr>
        <w:t xml:space="preserve">that </w:t>
      </w:r>
      <w:r w:rsidR="00A13A3C" w:rsidRPr="009D0EED">
        <w:rPr>
          <w:rFonts w:cs="Arial"/>
          <w:lang w:val="en-US" w:eastAsia="en-US"/>
        </w:rPr>
        <w:t>enables</w:t>
      </w:r>
      <w:r w:rsidRPr="009D0EED">
        <w:rPr>
          <w:rFonts w:cs="Arial"/>
          <w:lang w:val="en-US" w:eastAsia="en-US"/>
        </w:rPr>
        <w:t xml:space="preserve"> all</w:t>
      </w:r>
      <w:r w:rsidR="00A473A6">
        <w:rPr>
          <w:rFonts w:cs="Arial"/>
          <w:lang w:val="en-US" w:eastAsia="en-US"/>
        </w:rPr>
        <w:t xml:space="preserve"> Australian residents</w:t>
      </w:r>
      <w:r w:rsidRPr="009D0EED">
        <w:rPr>
          <w:rFonts w:cs="Arial"/>
          <w:lang w:val="en-US" w:eastAsia="en-US"/>
        </w:rPr>
        <w:t xml:space="preserve"> (and some overseas visitors) </w:t>
      </w:r>
      <w:r w:rsidR="00F971B5" w:rsidRPr="009D0EED">
        <w:rPr>
          <w:rFonts w:cs="Arial"/>
          <w:lang w:val="en-US" w:eastAsia="en-US"/>
        </w:rPr>
        <w:t xml:space="preserve">to </w:t>
      </w:r>
      <w:r w:rsidR="00AE0B4C" w:rsidRPr="009D0EED">
        <w:rPr>
          <w:rFonts w:cs="Arial"/>
          <w:lang w:val="en-US" w:eastAsia="en-US"/>
        </w:rPr>
        <w:t>have</w:t>
      </w:r>
      <w:r w:rsidRPr="009D0EED">
        <w:rPr>
          <w:rFonts w:cs="Arial"/>
          <w:lang w:val="en-US" w:eastAsia="en-US"/>
        </w:rPr>
        <w:t xml:space="preserve"> access to a wide range of health services </w:t>
      </w:r>
      <w:r w:rsidR="00F971B5" w:rsidRPr="009D0EED">
        <w:rPr>
          <w:rFonts w:cs="Arial"/>
          <w:lang w:val="en-US" w:eastAsia="en-US"/>
        </w:rPr>
        <w:t xml:space="preserve">and medicines </w:t>
      </w:r>
      <w:r w:rsidRPr="009D0EED">
        <w:rPr>
          <w:rFonts w:cs="Arial"/>
          <w:lang w:val="en-US" w:eastAsia="en-US"/>
        </w:rPr>
        <w:t xml:space="preserve">at little or no cost. </w:t>
      </w:r>
    </w:p>
    <w:p w14:paraId="473DE6F9" w14:textId="2145469A" w:rsidR="007C00E1" w:rsidRDefault="00A13A3C" w:rsidP="00220C72">
      <w:pPr>
        <w:spacing w:before="120"/>
        <w:ind w:right="-329"/>
        <w:rPr>
          <w:rFonts w:cs="Arial"/>
        </w:rPr>
      </w:pPr>
      <w:r w:rsidRPr="009D0EED">
        <w:rPr>
          <w:rFonts w:cs="Arial"/>
        </w:rPr>
        <w:t>Introduced in 1984,</w:t>
      </w:r>
      <w:r w:rsidR="00E130F6">
        <w:rPr>
          <w:rFonts w:cs="Arial"/>
        </w:rPr>
        <w:t xml:space="preserve"> </w:t>
      </w:r>
      <w:r w:rsidR="006B0D15" w:rsidRPr="009D0EED">
        <w:rPr>
          <w:rFonts w:cs="Arial"/>
        </w:rPr>
        <w:t xml:space="preserve">Medicare </w:t>
      </w:r>
      <w:r w:rsidRPr="009D0EED">
        <w:rPr>
          <w:rFonts w:cs="Arial"/>
        </w:rPr>
        <w:t>has three components</w:t>
      </w:r>
      <w:r w:rsidR="00E130F6">
        <w:rPr>
          <w:rFonts w:cs="Arial"/>
        </w:rPr>
        <w:t>:</w:t>
      </w:r>
      <w:r w:rsidR="00E130F6" w:rsidRPr="009D0EED">
        <w:rPr>
          <w:rFonts w:cs="Arial"/>
        </w:rPr>
        <w:t xml:space="preserve"> </w:t>
      </w:r>
    </w:p>
    <w:p w14:paraId="2CD2AE42" w14:textId="79B2520A" w:rsidR="007C00E1" w:rsidRDefault="00A13A3C" w:rsidP="00220C72">
      <w:pPr>
        <w:pStyle w:val="NormalBulleted"/>
        <w:spacing w:before="60"/>
      </w:pPr>
      <w:r w:rsidRPr="00E130F6">
        <w:t>free public hospital services for public patients</w:t>
      </w:r>
    </w:p>
    <w:p w14:paraId="2973DE9D" w14:textId="78D73CE7" w:rsidR="007C00E1" w:rsidRDefault="00A13A3C" w:rsidP="00220C72">
      <w:pPr>
        <w:pStyle w:val="NormalBulleted"/>
      </w:pPr>
      <w:r w:rsidRPr="00E130F6">
        <w:t>subsidised drugs covered by the Pharmaceutical Benefits Scheme</w:t>
      </w:r>
      <w:r w:rsidR="00E130F6">
        <w:t xml:space="preserve"> (PBS)</w:t>
      </w:r>
    </w:p>
    <w:p w14:paraId="5D2FEF32" w14:textId="77777777" w:rsidR="007C00E1" w:rsidRPr="00220C72" w:rsidRDefault="00A13A3C" w:rsidP="00220C72">
      <w:pPr>
        <w:pStyle w:val="NormalBulleted"/>
      </w:pPr>
      <w:r w:rsidRPr="00E130F6">
        <w:t>subsidised health professional services listed on the Medicare Benefits Schedule (MBS</w:t>
      </w:r>
      <w:r w:rsidR="00F971B5" w:rsidRPr="00E130F6">
        <w:t>)</w:t>
      </w:r>
      <w:r w:rsidR="006B0D15" w:rsidRPr="00E130F6">
        <w:t>.</w:t>
      </w:r>
    </w:p>
    <w:p w14:paraId="12F839EB" w14:textId="77777777" w:rsidR="008A05B8" w:rsidRPr="00175BCE" w:rsidRDefault="008A05B8" w:rsidP="007F345C">
      <w:r w:rsidRPr="007F345C">
        <w:rPr>
          <w:b/>
        </w:rPr>
        <w:t>What is the Medicare Benefits Schedule (MBS)?</w:t>
      </w:r>
    </w:p>
    <w:p w14:paraId="57D29D4C" w14:textId="13F2E061" w:rsidR="008A05B8" w:rsidRPr="009D0EED" w:rsidRDefault="00D57793" w:rsidP="003F788A">
      <w:pPr>
        <w:spacing w:before="120" w:after="120"/>
        <w:ind w:right="-330"/>
        <w:rPr>
          <w:rFonts w:cs="Arial"/>
          <w:lang w:val="en-US" w:eastAsia="en-US"/>
        </w:rPr>
      </w:pPr>
      <w:r w:rsidRPr="00253F2C">
        <w:rPr>
          <w:rFonts w:cs="Arial"/>
          <w:lang w:val="en-US" w:eastAsia="en-US"/>
        </w:rPr>
        <w:t>The Medicare Benefits Schedule (MBS) is a listing of the</w:t>
      </w:r>
      <w:r w:rsidR="00A13A3C" w:rsidRPr="009D0EED">
        <w:rPr>
          <w:rFonts w:cs="Arial"/>
          <w:lang w:val="en-US" w:eastAsia="en-US"/>
        </w:rPr>
        <w:t xml:space="preserve"> health </w:t>
      </w:r>
      <w:r w:rsidR="00536EB8" w:rsidRPr="009D0EED">
        <w:rPr>
          <w:rFonts w:cs="Arial"/>
          <w:lang w:val="en-US" w:eastAsia="en-US"/>
        </w:rPr>
        <w:t>professional services</w:t>
      </w:r>
      <w:r w:rsidRPr="009D0EED">
        <w:rPr>
          <w:rFonts w:cs="Arial"/>
          <w:lang w:val="en-US" w:eastAsia="en-US"/>
        </w:rPr>
        <w:t xml:space="preserve"> subsidised by the Australian </w:t>
      </w:r>
      <w:r w:rsidR="007C1C32">
        <w:rPr>
          <w:rFonts w:cs="Arial"/>
          <w:lang w:val="en-US" w:eastAsia="en-US"/>
        </w:rPr>
        <w:t>G</w:t>
      </w:r>
      <w:r w:rsidR="00536EB8" w:rsidRPr="009D0EED">
        <w:rPr>
          <w:rFonts w:cs="Arial"/>
          <w:lang w:val="en-US" w:eastAsia="en-US"/>
        </w:rPr>
        <w:t>overnment. There</w:t>
      </w:r>
      <w:r w:rsidR="00F971B5" w:rsidRPr="009D0EED">
        <w:rPr>
          <w:rFonts w:cs="Arial"/>
          <w:lang w:val="en-US" w:eastAsia="en-US"/>
        </w:rPr>
        <w:t xml:space="preserve"> are </w:t>
      </w:r>
      <w:r w:rsidR="00967B0F">
        <w:rPr>
          <w:rFonts w:cs="Arial"/>
          <w:lang w:val="en-US" w:eastAsia="en-US"/>
        </w:rPr>
        <w:t xml:space="preserve">more than </w:t>
      </w:r>
      <w:r w:rsidR="00F971B5" w:rsidRPr="009D0EED">
        <w:rPr>
          <w:rFonts w:cs="Arial"/>
          <w:lang w:val="en-US" w:eastAsia="en-US"/>
        </w:rPr>
        <w:t xml:space="preserve">5700 MBS items </w:t>
      </w:r>
      <w:r w:rsidR="00967B0F">
        <w:rPr>
          <w:rFonts w:cs="Arial"/>
          <w:lang w:val="en-US" w:eastAsia="en-US"/>
        </w:rPr>
        <w:t xml:space="preserve">that </w:t>
      </w:r>
      <w:r w:rsidR="00536EB8" w:rsidRPr="009D0EED">
        <w:rPr>
          <w:rFonts w:cs="Arial"/>
          <w:lang w:val="en-US" w:eastAsia="en-US"/>
        </w:rPr>
        <w:t>provide</w:t>
      </w:r>
      <w:r w:rsidR="00967B0F">
        <w:rPr>
          <w:rFonts w:cs="Arial"/>
          <w:lang w:val="en-US" w:eastAsia="en-US"/>
        </w:rPr>
        <w:t xml:space="preserve"> </w:t>
      </w:r>
      <w:r w:rsidR="00A473A6">
        <w:rPr>
          <w:rFonts w:cs="Arial"/>
          <w:lang w:val="en-US" w:eastAsia="en-US"/>
        </w:rPr>
        <w:t>benefits to patients</w:t>
      </w:r>
      <w:r w:rsidR="00536EB8" w:rsidRPr="009D0EED">
        <w:rPr>
          <w:rFonts w:cs="Arial"/>
          <w:lang w:val="en-US" w:eastAsia="en-US"/>
        </w:rPr>
        <w:t xml:space="preserve"> for</w:t>
      </w:r>
      <w:r w:rsidR="00F971B5" w:rsidRPr="009D0EED">
        <w:rPr>
          <w:rFonts w:cs="Arial"/>
          <w:lang w:val="en-US" w:eastAsia="en-US"/>
        </w:rPr>
        <w:t xml:space="preserve"> a comprehensive range </w:t>
      </w:r>
      <w:r w:rsidR="0054443F" w:rsidRPr="009D0EED">
        <w:rPr>
          <w:rFonts w:cs="Arial"/>
          <w:lang w:val="en-US" w:eastAsia="en-US"/>
        </w:rPr>
        <w:t>of services</w:t>
      </w:r>
      <w:r w:rsidR="00967B0F">
        <w:rPr>
          <w:rFonts w:cs="Arial"/>
          <w:lang w:val="en-US" w:eastAsia="en-US"/>
        </w:rPr>
        <w:t>,</w:t>
      </w:r>
      <w:r w:rsidR="00F971B5" w:rsidRPr="009D0EED">
        <w:rPr>
          <w:rFonts w:cs="Arial"/>
          <w:lang w:val="en-US" w:eastAsia="en-US"/>
        </w:rPr>
        <w:t xml:space="preserve"> including consultations, diagnostic tests and operations. </w:t>
      </w:r>
    </w:p>
    <w:p w14:paraId="45E95DE7" w14:textId="77777777" w:rsidR="008A05B8" w:rsidRPr="009200D8" w:rsidRDefault="008A05B8" w:rsidP="006E043E">
      <w:pPr>
        <w:pStyle w:val="Heading2"/>
      </w:pPr>
      <w:bookmarkStart w:id="12" w:name="_Toc485295716"/>
      <w:bookmarkStart w:id="13" w:name="_Toc485296587"/>
      <w:r w:rsidRPr="009200D8">
        <w:t>What is the MBS Review Taskforce?</w:t>
      </w:r>
      <w:bookmarkEnd w:id="12"/>
      <w:bookmarkEnd w:id="13"/>
    </w:p>
    <w:p w14:paraId="218D1192" w14:textId="77777777" w:rsidR="00E5655B" w:rsidRPr="00B0157E" w:rsidRDefault="00E5655B" w:rsidP="00E5655B">
      <w:r w:rsidRPr="00B0157E">
        <w:t xml:space="preserve">The Government established </w:t>
      </w:r>
      <w:r>
        <w:t xml:space="preserve">the </w:t>
      </w:r>
      <w:r w:rsidRPr="00B0157E">
        <w:t xml:space="preserve">MBS Review Taskforce (the Taskforce) </w:t>
      </w:r>
      <w:r>
        <w:t xml:space="preserve">as an advisory body </w:t>
      </w:r>
      <w:r w:rsidRPr="00B0157E">
        <w:t xml:space="preserve">to </w:t>
      </w:r>
      <w:r>
        <w:t xml:space="preserve">review all of the 5,700 MBS items to ensure they are </w:t>
      </w:r>
      <w:r w:rsidRPr="00B0157E">
        <w:t xml:space="preserve">aligned with contemporary clinical evidence and practice </w:t>
      </w:r>
      <w:r>
        <w:t>and</w:t>
      </w:r>
      <w:r w:rsidRPr="00B0157E">
        <w:t xml:space="preserve"> improve health outcomes for patients. The Taskforce </w:t>
      </w:r>
      <w:r>
        <w:t xml:space="preserve">will also modernise the MBS by </w:t>
      </w:r>
      <w:r w:rsidRPr="00B0157E">
        <w:t>identify</w:t>
      </w:r>
      <w:r>
        <w:t>ing</w:t>
      </w:r>
      <w:r w:rsidRPr="00B0157E">
        <w:t xml:space="preserve"> any services that may be unnecessary, outdated or potentially unsafe. The </w:t>
      </w:r>
      <w:r>
        <w:t>Review</w:t>
      </w:r>
      <w:r w:rsidRPr="00B0157E">
        <w:t xml:space="preserve"> is clinician-led, and there are no targets for savings attached to the </w:t>
      </w:r>
      <w:r>
        <w:t>Review</w:t>
      </w:r>
      <w:r w:rsidRPr="00B0157E">
        <w:t xml:space="preserve">. </w:t>
      </w:r>
    </w:p>
    <w:p w14:paraId="15E43BF2" w14:textId="77777777" w:rsidR="008A05B8" w:rsidRPr="00175BCE" w:rsidRDefault="00202DB4" w:rsidP="007F345C">
      <w:r w:rsidRPr="007F345C">
        <w:rPr>
          <w:b/>
        </w:rPr>
        <w:t>What are the g</w:t>
      </w:r>
      <w:r w:rsidR="009A1898" w:rsidRPr="007F345C">
        <w:rPr>
          <w:b/>
        </w:rPr>
        <w:t>oals of the Taskforce?</w:t>
      </w:r>
    </w:p>
    <w:p w14:paraId="6FDC834F" w14:textId="77777777" w:rsidR="00AE0B4C" w:rsidRPr="009D0EED" w:rsidRDefault="00AE0B4C" w:rsidP="003F788A">
      <w:pPr>
        <w:spacing w:before="120" w:after="120"/>
        <w:rPr>
          <w:rFonts w:cs="Arial"/>
        </w:rPr>
      </w:pPr>
      <w:r w:rsidRPr="009D0EED">
        <w:rPr>
          <w:rFonts w:cs="Arial"/>
        </w:rPr>
        <w:t>The Taskforce is committed to providing recommendations to the Minister that will allow the MBS to deliver on each of these four key goals:</w:t>
      </w:r>
    </w:p>
    <w:p w14:paraId="79A66A14" w14:textId="77777777" w:rsidR="00AE0B4C" w:rsidRPr="000869E6" w:rsidRDefault="00AE0B4C" w:rsidP="000869E6">
      <w:pPr>
        <w:pStyle w:val="NormalBulleted"/>
      </w:pPr>
      <w:r w:rsidRPr="000869E6">
        <w:rPr>
          <w:b/>
        </w:rPr>
        <w:t>Affordable and universal access</w:t>
      </w:r>
      <w:r w:rsidRPr="000869E6">
        <w:t>—</w:t>
      </w:r>
      <w:r w:rsidR="00306AC2" w:rsidRPr="000869E6">
        <w:t>the</w:t>
      </w:r>
      <w:r w:rsidRPr="000869E6">
        <w:t xml:space="preserve"> evidence demonstrates that the MBS supports very good access to primary care services for most Australians, particularly in urban Australia. However, despite increases in the specialist workforce over the last decade, access to many specialist services remains problematic</w:t>
      </w:r>
      <w:r w:rsidR="00646BCE">
        <w:t>,</w:t>
      </w:r>
      <w:r w:rsidRPr="000869E6">
        <w:t xml:space="preserve"> with some rural patients being particularly under-serviced.</w:t>
      </w:r>
    </w:p>
    <w:p w14:paraId="00406F31" w14:textId="7448542A" w:rsidR="00AE0B4C" w:rsidRPr="000869E6" w:rsidRDefault="00AE0B4C" w:rsidP="000869E6">
      <w:pPr>
        <w:pStyle w:val="NormalBulleted"/>
      </w:pPr>
      <w:r w:rsidRPr="000869E6">
        <w:rPr>
          <w:b/>
        </w:rPr>
        <w:t>Best practice health services</w:t>
      </w:r>
      <w:r w:rsidRPr="000869E6">
        <w:t>—</w:t>
      </w:r>
      <w:r w:rsidR="00306AC2" w:rsidRPr="000869E6">
        <w:t>one</w:t>
      </w:r>
      <w:r w:rsidRPr="000869E6">
        <w:t xml:space="preserve"> of the core objectives of the Review is to modernise the MBS, ensuring that individual items and their descriptors are consistent with contemporary best practice and the evidence base whe</w:t>
      </w:r>
      <w:r w:rsidR="00646BCE">
        <w:t>n</w:t>
      </w:r>
      <w:r w:rsidRPr="000869E6">
        <w:t xml:space="preserve"> possible. Although the Medical Services Advisory Committee (MSAC) plays a crucial role in thoroughly evaluating new services, the vast </w:t>
      </w:r>
      <w:r w:rsidR="0054443F" w:rsidRPr="000869E6">
        <w:t>majority</w:t>
      </w:r>
      <w:r w:rsidR="006234D9">
        <w:t xml:space="preserve"> of existing MBS items pre-date this process and have</w:t>
      </w:r>
      <w:r w:rsidRPr="000869E6">
        <w:t xml:space="preserve"> never been reviewed.</w:t>
      </w:r>
    </w:p>
    <w:p w14:paraId="42F649E5" w14:textId="77777777" w:rsidR="00AE0B4C" w:rsidRPr="000869E6" w:rsidRDefault="00AE0B4C" w:rsidP="000869E6">
      <w:pPr>
        <w:pStyle w:val="NormalBulleted"/>
      </w:pPr>
      <w:r w:rsidRPr="000869E6">
        <w:rPr>
          <w:b/>
        </w:rPr>
        <w:t>Value for the individual patient</w:t>
      </w:r>
      <w:r w:rsidR="00306AC2" w:rsidRPr="000869E6">
        <w:t>—a</w:t>
      </w:r>
      <w:r w:rsidRPr="000869E6">
        <w:t>nother core objective of the Review is to have a</w:t>
      </w:r>
      <w:r w:rsidR="00646BCE">
        <w:t>n</w:t>
      </w:r>
      <w:r w:rsidRPr="000869E6">
        <w:t xml:space="preserve"> MBS that supports the delivery of services that are appropriate to the patient’s needs, provide real clinical value and do not expose the patient to unnecessary risk or expense.</w:t>
      </w:r>
    </w:p>
    <w:p w14:paraId="7D7DBEA4" w14:textId="77777777" w:rsidR="00AE0B4C" w:rsidRPr="000869E6" w:rsidRDefault="00AE0B4C" w:rsidP="000869E6">
      <w:pPr>
        <w:pStyle w:val="NormalBulleted"/>
      </w:pPr>
      <w:r w:rsidRPr="000869E6">
        <w:rPr>
          <w:b/>
        </w:rPr>
        <w:t>Value for the health system</w:t>
      </w:r>
      <w:r w:rsidR="00306AC2" w:rsidRPr="000869E6">
        <w:t>—a</w:t>
      </w:r>
      <w:r w:rsidRPr="000869E6">
        <w:t>chieving the above elements of the vision will go a long way to achieving improved value for the health system overall. Reducing the volume of services that provide little or no clinical benefit will enable resources to be redirected to new and existing services that have proven benefit and are underused, particularly for patients who cannot readily access those services currently.</w:t>
      </w:r>
    </w:p>
    <w:p w14:paraId="5C0789BF" w14:textId="4D077F89" w:rsidR="00715996" w:rsidRPr="009200D8" w:rsidRDefault="00715996" w:rsidP="006A286B">
      <w:pPr>
        <w:pStyle w:val="Heading2"/>
      </w:pPr>
      <w:bookmarkStart w:id="14" w:name="_Toc485295717"/>
      <w:bookmarkStart w:id="15" w:name="_Toc485296588"/>
      <w:r w:rsidRPr="009200D8">
        <w:t>The Taskforce’s approach</w:t>
      </w:r>
      <w:bookmarkEnd w:id="14"/>
      <w:bookmarkEnd w:id="15"/>
    </w:p>
    <w:p w14:paraId="283C3B15" w14:textId="77777777" w:rsidR="00715996" w:rsidRPr="009D0EED" w:rsidRDefault="00715996" w:rsidP="003F788A">
      <w:pPr>
        <w:spacing w:before="120" w:after="120"/>
        <w:rPr>
          <w:rFonts w:cs="Arial"/>
        </w:rPr>
      </w:pPr>
      <w:r w:rsidRPr="00253F2C">
        <w:rPr>
          <w:rFonts w:cs="Arial"/>
        </w:rPr>
        <w:t xml:space="preserve">The Taskforce is </w:t>
      </w:r>
      <w:r w:rsidR="00AE0B4C" w:rsidRPr="009D0EED">
        <w:rPr>
          <w:rFonts w:cs="Arial"/>
        </w:rPr>
        <w:t xml:space="preserve">reviewing the existing MBS items, with </w:t>
      </w:r>
      <w:r w:rsidRPr="009D0EED">
        <w:rPr>
          <w:rFonts w:cs="Arial"/>
        </w:rPr>
        <w:t>a</w:t>
      </w:r>
      <w:r w:rsidR="00646BCE">
        <w:rPr>
          <w:rFonts w:cs="Arial"/>
        </w:rPr>
        <w:t xml:space="preserve"> </w:t>
      </w:r>
      <w:r w:rsidRPr="009D0EED">
        <w:rPr>
          <w:rFonts w:cs="Arial"/>
        </w:rPr>
        <w:t xml:space="preserve">primary </w:t>
      </w:r>
      <w:r w:rsidR="00CE0E68" w:rsidRPr="009D0EED">
        <w:rPr>
          <w:rFonts w:cs="Arial"/>
        </w:rPr>
        <w:t>focus</w:t>
      </w:r>
      <w:r w:rsidR="00AE0B4C" w:rsidRPr="009D0EED">
        <w:rPr>
          <w:rFonts w:cs="Arial"/>
        </w:rPr>
        <w:t xml:space="preserve"> on ensuring that individual items and usage meet the definition of best practice. </w:t>
      </w:r>
    </w:p>
    <w:p w14:paraId="29B34E2D" w14:textId="42B3DC66" w:rsidR="00AE0B4C" w:rsidRPr="009D0EED" w:rsidRDefault="00AE0B4C" w:rsidP="003F788A">
      <w:pPr>
        <w:spacing w:before="120" w:after="120"/>
        <w:rPr>
          <w:rFonts w:cs="Arial"/>
        </w:rPr>
      </w:pPr>
      <w:r w:rsidRPr="009D0EED">
        <w:rPr>
          <w:rFonts w:cs="Arial"/>
        </w:rPr>
        <w:t xml:space="preserve">Within the Taskforce’s brief there is considerable scope to review and advise on all aspects </w:t>
      </w:r>
      <w:r w:rsidR="00463720">
        <w:rPr>
          <w:rFonts w:cs="Arial"/>
        </w:rPr>
        <w:t xml:space="preserve">that </w:t>
      </w:r>
      <w:r w:rsidRPr="009D0EED">
        <w:rPr>
          <w:rFonts w:cs="Arial"/>
        </w:rPr>
        <w:t xml:space="preserve">would contribute to a modern, transparent and responsive system. This includes not only making recommendations about new items or services being added to the MBS, but also about a MBS structure that could better accommodate changing health service models. </w:t>
      </w:r>
    </w:p>
    <w:p w14:paraId="5ECADB01" w14:textId="6C5F6CA6" w:rsidR="00AE0B4C" w:rsidRPr="009D0EED" w:rsidRDefault="00AE0B4C" w:rsidP="003F788A">
      <w:pPr>
        <w:spacing w:before="120" w:after="120"/>
        <w:rPr>
          <w:rFonts w:cs="Arial"/>
        </w:rPr>
      </w:pPr>
      <w:r w:rsidRPr="009D0EED">
        <w:rPr>
          <w:rFonts w:cs="Arial"/>
        </w:rPr>
        <w:t>The Taskforce has made a conscious decision to be ambitious in its approach and seize this unique opportunity to recommend changes to modernise the MBS on all levels, from the clinical detail of individual items</w:t>
      </w:r>
      <w:r w:rsidR="00463720">
        <w:rPr>
          <w:rFonts w:cs="Arial"/>
        </w:rPr>
        <w:t>,</w:t>
      </w:r>
      <w:r w:rsidRPr="009D0EED">
        <w:rPr>
          <w:rFonts w:cs="Arial"/>
        </w:rPr>
        <w:t xml:space="preserve"> </w:t>
      </w:r>
      <w:r w:rsidR="00463720">
        <w:rPr>
          <w:rFonts w:cs="Arial"/>
        </w:rPr>
        <w:t xml:space="preserve">through </w:t>
      </w:r>
      <w:r w:rsidRPr="009D0EED">
        <w:rPr>
          <w:rFonts w:cs="Arial"/>
        </w:rPr>
        <w:t xml:space="preserve">administrative rules and mechanisms, to structural, whole-of-MBS issues. </w:t>
      </w:r>
    </w:p>
    <w:p w14:paraId="27409A38" w14:textId="3DA702B3" w:rsidR="00AE0B4C" w:rsidRPr="009D0EED" w:rsidRDefault="00715996" w:rsidP="003F788A">
      <w:pPr>
        <w:spacing w:before="120" w:after="120"/>
        <w:rPr>
          <w:rFonts w:cs="Arial"/>
        </w:rPr>
      </w:pPr>
      <w:r w:rsidRPr="009D0EED">
        <w:rPr>
          <w:rFonts w:cs="Arial"/>
        </w:rPr>
        <w:t>The</w:t>
      </w:r>
      <w:r w:rsidR="00AE0B4C" w:rsidRPr="009D0EED">
        <w:rPr>
          <w:rFonts w:cs="Arial"/>
        </w:rPr>
        <w:t xml:space="preserve"> Taskforce will </w:t>
      </w:r>
      <w:r w:rsidRPr="009D0EED">
        <w:rPr>
          <w:rFonts w:cs="Arial"/>
        </w:rPr>
        <w:t>also develop a</w:t>
      </w:r>
      <w:r w:rsidR="00AE0B4C" w:rsidRPr="009D0EED">
        <w:rPr>
          <w:rFonts w:cs="Arial"/>
        </w:rPr>
        <w:t xml:space="preserve"> mechanism for the ongoing review of the MBS </w:t>
      </w:r>
      <w:r w:rsidR="00463720">
        <w:rPr>
          <w:rFonts w:cs="Arial"/>
        </w:rPr>
        <w:t xml:space="preserve">after </w:t>
      </w:r>
      <w:r w:rsidR="00AE0B4C" w:rsidRPr="009D0EED">
        <w:rPr>
          <w:rFonts w:cs="Arial"/>
        </w:rPr>
        <w:t>the current Review is concluded.</w:t>
      </w:r>
    </w:p>
    <w:p w14:paraId="74691C8C" w14:textId="0E5B4897" w:rsidR="00F971B5" w:rsidRPr="009D0EED" w:rsidRDefault="00F971B5" w:rsidP="003F788A">
      <w:pPr>
        <w:spacing w:before="120" w:after="120"/>
        <w:rPr>
          <w:rFonts w:cs="Arial"/>
        </w:rPr>
      </w:pPr>
      <w:r w:rsidRPr="009D0EED">
        <w:rPr>
          <w:rFonts w:cs="Arial"/>
        </w:rPr>
        <w:t>As the Review is to be clinician</w:t>
      </w:r>
      <w:r w:rsidR="00463720">
        <w:rPr>
          <w:rFonts w:cs="Arial"/>
        </w:rPr>
        <w:t xml:space="preserve"> </w:t>
      </w:r>
      <w:r w:rsidRPr="009D0EED">
        <w:rPr>
          <w:rFonts w:cs="Arial"/>
        </w:rPr>
        <w:t>led, the Taskforce has de</w:t>
      </w:r>
      <w:r w:rsidR="009A0DC4" w:rsidRPr="009D0EED">
        <w:rPr>
          <w:rFonts w:cs="Arial"/>
        </w:rPr>
        <w:t xml:space="preserve">cided that the detailed review of MBS items should be done by </w:t>
      </w:r>
      <w:r w:rsidR="00463720" w:rsidRPr="009D0EED">
        <w:rPr>
          <w:rFonts w:cs="Arial"/>
        </w:rPr>
        <w:t>clinical committees</w:t>
      </w:r>
      <w:r w:rsidR="009A0DC4" w:rsidRPr="009D0EED">
        <w:rPr>
          <w:rFonts w:cs="Arial"/>
        </w:rPr>
        <w:t xml:space="preserve">. The </w:t>
      </w:r>
      <w:r w:rsidR="00463720">
        <w:rPr>
          <w:rFonts w:cs="Arial"/>
        </w:rPr>
        <w:t>c</w:t>
      </w:r>
      <w:r w:rsidR="00463720" w:rsidRPr="009D0EED">
        <w:rPr>
          <w:rFonts w:cs="Arial"/>
        </w:rPr>
        <w:t xml:space="preserve">ommittees </w:t>
      </w:r>
      <w:r w:rsidR="009A0DC4" w:rsidRPr="009D0EED">
        <w:rPr>
          <w:rFonts w:cs="Arial"/>
        </w:rPr>
        <w:t>are broad based in their membership and members have been appointed in their individual capacity</w:t>
      </w:r>
      <w:r w:rsidR="0076332F">
        <w:rPr>
          <w:rFonts w:cs="Arial"/>
        </w:rPr>
        <w:t>,</w:t>
      </w:r>
      <w:r w:rsidR="009A0DC4" w:rsidRPr="009D0EED">
        <w:rPr>
          <w:rFonts w:cs="Arial"/>
        </w:rPr>
        <w:t xml:space="preserve"> not as representatives of any organisation. This draft report details the work done by the specific </w:t>
      </w:r>
      <w:r w:rsidR="00C600AB" w:rsidRPr="009D0EED">
        <w:rPr>
          <w:rFonts w:cs="Arial"/>
        </w:rPr>
        <w:t xml:space="preserve">clinical committee </w:t>
      </w:r>
      <w:r w:rsidR="0054443F" w:rsidRPr="009D0EED">
        <w:rPr>
          <w:rFonts w:cs="Arial"/>
        </w:rPr>
        <w:t>and describes</w:t>
      </w:r>
      <w:r w:rsidR="009A0DC4" w:rsidRPr="009D0EED">
        <w:rPr>
          <w:rFonts w:cs="Arial"/>
        </w:rPr>
        <w:t xml:space="preserve"> the </w:t>
      </w:r>
      <w:r w:rsidR="00C600AB">
        <w:rPr>
          <w:rFonts w:cs="Arial"/>
        </w:rPr>
        <w:t>c</w:t>
      </w:r>
      <w:r w:rsidR="00C600AB" w:rsidRPr="009D0EED">
        <w:rPr>
          <w:rFonts w:cs="Arial"/>
        </w:rPr>
        <w:t xml:space="preserve">ommittee’s </w:t>
      </w:r>
      <w:r w:rsidR="009A0DC4" w:rsidRPr="009D0EED">
        <w:rPr>
          <w:rFonts w:cs="Arial"/>
        </w:rPr>
        <w:t>recommendations and their rationale.</w:t>
      </w:r>
    </w:p>
    <w:p w14:paraId="7F792EA0" w14:textId="3A70E6C0" w:rsidR="004D72E6" w:rsidRDefault="007E588A" w:rsidP="003F788A">
      <w:pPr>
        <w:spacing w:before="120" w:after="120"/>
        <w:rPr>
          <w:rFonts w:cs="Arial"/>
        </w:rPr>
      </w:pPr>
      <w:r w:rsidRPr="009D0EED">
        <w:rPr>
          <w:rFonts w:cs="Arial"/>
        </w:rPr>
        <w:t>Th</w:t>
      </w:r>
      <w:r w:rsidR="00C80539">
        <w:rPr>
          <w:rFonts w:cs="Arial"/>
        </w:rPr>
        <w:t>e draft</w:t>
      </w:r>
      <w:r w:rsidRPr="009D0EED">
        <w:rPr>
          <w:rFonts w:cs="Arial"/>
        </w:rPr>
        <w:t xml:space="preserve"> report does not represent the final position of the </w:t>
      </w:r>
      <w:r w:rsidR="00C80539">
        <w:rPr>
          <w:rFonts w:cs="Arial"/>
        </w:rPr>
        <w:t>c</w:t>
      </w:r>
      <w:r w:rsidR="00C80539" w:rsidRPr="009D0EED">
        <w:rPr>
          <w:rFonts w:cs="Arial"/>
        </w:rPr>
        <w:t>ommittee</w:t>
      </w:r>
      <w:r w:rsidRPr="009D0EED">
        <w:rPr>
          <w:rFonts w:cs="Arial"/>
        </w:rPr>
        <w:t xml:space="preserve">. </w:t>
      </w:r>
      <w:r w:rsidR="00306AC2" w:rsidRPr="009D0EED">
        <w:rPr>
          <w:rFonts w:cs="Arial"/>
        </w:rPr>
        <w:t xml:space="preserve">A consultation process will inform recommendations of the </w:t>
      </w:r>
      <w:r w:rsidR="00C80539">
        <w:rPr>
          <w:rFonts w:cs="Arial"/>
        </w:rPr>
        <w:t>committee</w:t>
      </w:r>
      <w:r w:rsidR="00C80539" w:rsidRPr="009D0EED">
        <w:rPr>
          <w:rFonts w:cs="Arial"/>
        </w:rPr>
        <w:t xml:space="preserve"> </w:t>
      </w:r>
      <w:r w:rsidR="00CF3A42" w:rsidRPr="009D0EED">
        <w:rPr>
          <w:rFonts w:cs="Arial"/>
        </w:rPr>
        <w:t xml:space="preserve">and </w:t>
      </w:r>
      <w:r w:rsidR="00306AC2" w:rsidRPr="009D0EED">
        <w:rPr>
          <w:rFonts w:cs="Arial"/>
        </w:rPr>
        <w:t xml:space="preserve">assist </w:t>
      </w:r>
      <w:r w:rsidR="00440815">
        <w:rPr>
          <w:rFonts w:cs="Arial"/>
        </w:rPr>
        <w:t>it</w:t>
      </w:r>
      <w:r w:rsidR="00C600AB">
        <w:rPr>
          <w:rFonts w:cs="Arial"/>
        </w:rPr>
        <w:t xml:space="preserve"> </w:t>
      </w:r>
      <w:r w:rsidR="00306AC2" w:rsidRPr="009D0EED">
        <w:rPr>
          <w:rFonts w:cs="Arial"/>
        </w:rPr>
        <w:t>in finalising its report to t</w:t>
      </w:r>
      <w:r w:rsidR="00233CC6">
        <w:rPr>
          <w:rFonts w:cs="Arial"/>
        </w:rPr>
        <w:t xml:space="preserve">he </w:t>
      </w:r>
      <w:r w:rsidR="00306AC2" w:rsidRPr="009D0EED">
        <w:rPr>
          <w:rFonts w:cs="Arial"/>
        </w:rPr>
        <w:t xml:space="preserve">Taskforce. </w:t>
      </w:r>
    </w:p>
    <w:p w14:paraId="66FEB56C" w14:textId="609E8D7E" w:rsidR="00306AC2" w:rsidRPr="009D0EED" w:rsidRDefault="00C80539" w:rsidP="003F788A">
      <w:pPr>
        <w:spacing w:before="120" w:after="120"/>
        <w:rPr>
          <w:rFonts w:cs="Arial"/>
          <w:lang w:val="en-US" w:eastAsia="en-US"/>
        </w:rPr>
      </w:pPr>
      <w:r>
        <w:rPr>
          <w:rFonts w:cs="Arial"/>
        </w:rPr>
        <w:t xml:space="preserve">After </w:t>
      </w:r>
      <w:r w:rsidR="00306AC2" w:rsidRPr="009D0EED">
        <w:rPr>
          <w:rFonts w:cs="Arial"/>
        </w:rPr>
        <w:t xml:space="preserve">consultation the </w:t>
      </w:r>
      <w:r>
        <w:rPr>
          <w:rFonts w:cs="Arial"/>
        </w:rPr>
        <w:t>c</w:t>
      </w:r>
      <w:r w:rsidRPr="009D0EED">
        <w:rPr>
          <w:rFonts w:cs="Arial"/>
        </w:rPr>
        <w:t xml:space="preserve">ommittee </w:t>
      </w:r>
      <w:r w:rsidR="00306AC2" w:rsidRPr="009D0EED">
        <w:rPr>
          <w:rFonts w:cs="Arial"/>
        </w:rPr>
        <w:t xml:space="preserve">will provide its final advice to the Taskforce. </w:t>
      </w:r>
      <w:r w:rsidR="00306AC2" w:rsidRPr="009D0EED">
        <w:rPr>
          <w:rFonts w:cs="Arial"/>
          <w:lang w:val="en-US" w:eastAsia="en-US"/>
        </w:rPr>
        <w:t xml:space="preserve">The Taskforce will consider the </w:t>
      </w:r>
      <w:r>
        <w:rPr>
          <w:rFonts w:cs="Arial"/>
          <w:lang w:val="en-US" w:eastAsia="en-US"/>
        </w:rPr>
        <w:t>R</w:t>
      </w:r>
      <w:r w:rsidRPr="009D0EED">
        <w:rPr>
          <w:rFonts w:cs="Arial"/>
          <w:lang w:val="en-US" w:eastAsia="en-US"/>
        </w:rPr>
        <w:t xml:space="preserve">eview </w:t>
      </w:r>
      <w:r>
        <w:rPr>
          <w:rFonts w:cs="Arial"/>
          <w:lang w:val="en-US" w:eastAsia="en-US"/>
        </w:rPr>
        <w:t>R</w:t>
      </w:r>
      <w:r w:rsidRPr="009D0EED">
        <w:rPr>
          <w:rFonts w:cs="Arial"/>
          <w:lang w:val="en-US" w:eastAsia="en-US"/>
        </w:rPr>
        <w:t xml:space="preserve">eport </w:t>
      </w:r>
      <w:r w:rsidR="00306AC2" w:rsidRPr="009D0EED">
        <w:rPr>
          <w:rFonts w:cs="Arial"/>
          <w:lang w:val="en-US" w:eastAsia="en-US"/>
        </w:rPr>
        <w:t xml:space="preserve">from </w:t>
      </w:r>
      <w:r>
        <w:rPr>
          <w:rFonts w:cs="Arial"/>
          <w:lang w:val="en-US" w:eastAsia="en-US"/>
        </w:rPr>
        <w:t xml:space="preserve">the </w:t>
      </w:r>
      <w:r w:rsidRPr="009D0EED">
        <w:rPr>
          <w:rFonts w:cs="Arial"/>
          <w:lang w:val="en-US" w:eastAsia="en-US"/>
        </w:rPr>
        <w:t>clinical committee</w:t>
      </w:r>
      <w:r>
        <w:rPr>
          <w:rFonts w:cs="Arial"/>
          <w:lang w:val="en-US" w:eastAsia="en-US"/>
        </w:rPr>
        <w:t>s</w:t>
      </w:r>
      <w:r w:rsidRPr="009D0EED">
        <w:rPr>
          <w:rFonts w:cs="Arial"/>
          <w:lang w:val="en-US" w:eastAsia="en-US"/>
        </w:rPr>
        <w:t xml:space="preserve"> </w:t>
      </w:r>
      <w:r w:rsidR="00306AC2" w:rsidRPr="009D0EED">
        <w:rPr>
          <w:rFonts w:cs="Arial"/>
          <w:lang w:val="en-US" w:eastAsia="en-US"/>
        </w:rPr>
        <w:t xml:space="preserve">and stakeholder feedback before making recommendations to the Minister for consideration by Government. </w:t>
      </w:r>
    </w:p>
    <w:p w14:paraId="5482CF78" w14:textId="77777777" w:rsidR="00457693" w:rsidRPr="009200D8" w:rsidRDefault="00457693" w:rsidP="006A286B">
      <w:pPr>
        <w:pStyle w:val="Heading2"/>
      </w:pPr>
      <w:bookmarkStart w:id="16" w:name="_Toc485295718"/>
      <w:bookmarkStart w:id="17" w:name="_Toc485296589"/>
      <w:r w:rsidRPr="009200D8">
        <w:t>Prioritisation process</w:t>
      </w:r>
      <w:bookmarkEnd w:id="16"/>
      <w:bookmarkEnd w:id="17"/>
    </w:p>
    <w:p w14:paraId="395E0343" w14:textId="77777777" w:rsidR="00B35C48" w:rsidRDefault="00457693" w:rsidP="003F788A">
      <w:pPr>
        <w:spacing w:before="120" w:after="120"/>
        <w:rPr>
          <w:rFonts w:cs="Arial"/>
        </w:rPr>
      </w:pPr>
      <w:r w:rsidRPr="009D0EED">
        <w:rPr>
          <w:rFonts w:cs="Arial"/>
        </w:rPr>
        <w:t>All MBS items will be reviewed during the course of the MBS Review. However</w:t>
      </w:r>
      <w:r w:rsidR="00D8120A">
        <w:rPr>
          <w:rFonts w:cs="Arial"/>
        </w:rPr>
        <w:t>,</w:t>
      </w:r>
      <w:r w:rsidR="00C80539">
        <w:rPr>
          <w:rFonts w:cs="Arial"/>
        </w:rPr>
        <w:t xml:space="preserve"> </w:t>
      </w:r>
      <w:r w:rsidR="009A0DC4" w:rsidRPr="009D0EED">
        <w:rPr>
          <w:rFonts w:cs="Arial"/>
        </w:rPr>
        <w:t>given the breadth of</w:t>
      </w:r>
      <w:r w:rsidR="00C80539">
        <w:rPr>
          <w:rFonts w:cs="Arial"/>
        </w:rPr>
        <w:t>,</w:t>
      </w:r>
      <w:r w:rsidR="009A0DC4" w:rsidRPr="009D0EED">
        <w:rPr>
          <w:rFonts w:cs="Arial"/>
        </w:rPr>
        <w:t xml:space="preserve"> </w:t>
      </w:r>
      <w:r w:rsidR="000309CE" w:rsidRPr="009D0EED">
        <w:rPr>
          <w:rFonts w:cs="Arial"/>
        </w:rPr>
        <w:t>and timeframe for</w:t>
      </w:r>
      <w:r w:rsidR="00C80539">
        <w:rPr>
          <w:rFonts w:cs="Arial"/>
        </w:rPr>
        <w:t>,</w:t>
      </w:r>
      <w:r w:rsidR="000309CE" w:rsidRPr="009D0EED">
        <w:rPr>
          <w:rFonts w:cs="Arial"/>
        </w:rPr>
        <w:t xml:space="preserve"> </w:t>
      </w:r>
      <w:r w:rsidR="009A0DC4" w:rsidRPr="009D0EED">
        <w:rPr>
          <w:rFonts w:cs="Arial"/>
        </w:rPr>
        <w:t xml:space="preserve">the Review, each </w:t>
      </w:r>
      <w:r w:rsidR="00C80539" w:rsidRPr="009D0EED">
        <w:rPr>
          <w:rFonts w:cs="Arial"/>
        </w:rPr>
        <w:t xml:space="preserve">clinical committee </w:t>
      </w:r>
      <w:r w:rsidR="009A0DC4" w:rsidRPr="009D0EED">
        <w:rPr>
          <w:rFonts w:cs="Arial"/>
        </w:rPr>
        <w:t>has needed to develop a workplan and assign priorities</w:t>
      </w:r>
      <w:r w:rsidR="00C80539">
        <w:rPr>
          <w:rFonts w:cs="Arial"/>
        </w:rPr>
        <w:t>,</w:t>
      </w:r>
      <w:r w:rsidR="000309CE" w:rsidRPr="009D0EED">
        <w:rPr>
          <w:rFonts w:cs="Arial"/>
        </w:rPr>
        <w:t xml:space="preserve"> keeping in mind the objectives of the Review.</w:t>
      </w:r>
    </w:p>
    <w:p w14:paraId="66B004EB" w14:textId="70BC2235" w:rsidR="00457693" w:rsidRPr="009D0EED" w:rsidRDefault="000309CE" w:rsidP="003F788A">
      <w:pPr>
        <w:spacing w:before="120" w:after="120"/>
        <w:rPr>
          <w:rFonts w:cs="Arial"/>
        </w:rPr>
      </w:pPr>
      <w:r w:rsidRPr="009D0EED">
        <w:rPr>
          <w:rFonts w:cs="Arial"/>
        </w:rPr>
        <w:t xml:space="preserve">With a focus on </w:t>
      </w:r>
      <w:r w:rsidR="0054443F" w:rsidRPr="009D0EED">
        <w:rPr>
          <w:rFonts w:cs="Arial"/>
        </w:rPr>
        <w:t>improving the</w:t>
      </w:r>
      <w:r w:rsidRPr="009D0EED">
        <w:rPr>
          <w:rFonts w:cs="Arial"/>
        </w:rPr>
        <w:t xml:space="preserve"> clinical value of MBS services</w:t>
      </w:r>
      <w:r w:rsidR="0026678E" w:rsidRPr="009D0EED">
        <w:rPr>
          <w:rFonts w:cs="Arial"/>
        </w:rPr>
        <w:t>,</w:t>
      </w:r>
      <w:r w:rsidRPr="009D0EED">
        <w:rPr>
          <w:rFonts w:cs="Arial"/>
        </w:rPr>
        <w:t xml:space="preserve"> the </w:t>
      </w:r>
      <w:r w:rsidR="00C80539" w:rsidRPr="009D0EED">
        <w:rPr>
          <w:rFonts w:cs="Arial"/>
        </w:rPr>
        <w:t xml:space="preserve">clinical committees </w:t>
      </w:r>
      <w:r w:rsidRPr="009D0EED">
        <w:rPr>
          <w:rFonts w:cs="Arial"/>
        </w:rPr>
        <w:t xml:space="preserve">have taken account of factors including the volume </w:t>
      </w:r>
      <w:r w:rsidR="0026678E" w:rsidRPr="009D0EED">
        <w:rPr>
          <w:rFonts w:cs="Arial"/>
        </w:rPr>
        <w:t xml:space="preserve">of </w:t>
      </w:r>
      <w:r w:rsidRPr="009D0EED">
        <w:rPr>
          <w:rFonts w:cs="Arial"/>
        </w:rPr>
        <w:t xml:space="preserve">services, service </w:t>
      </w:r>
      <w:r w:rsidR="0026678E" w:rsidRPr="009D0EED">
        <w:rPr>
          <w:rFonts w:cs="Arial"/>
        </w:rPr>
        <w:t xml:space="preserve">patterns and </w:t>
      </w:r>
      <w:r w:rsidRPr="009D0EED">
        <w:rPr>
          <w:rFonts w:cs="Arial"/>
        </w:rPr>
        <w:t>growth</w:t>
      </w:r>
      <w:r w:rsidR="0026678E" w:rsidRPr="009D0EED">
        <w:rPr>
          <w:rFonts w:cs="Arial"/>
        </w:rPr>
        <w:t xml:space="preserve"> and variation in the per capita use of ser</w:t>
      </w:r>
      <w:r w:rsidR="00CF3A42" w:rsidRPr="009D0EED">
        <w:rPr>
          <w:rFonts w:cs="Arial"/>
        </w:rPr>
        <w:t>vices, to prioritise their work</w:t>
      </w:r>
      <w:r w:rsidR="00457693" w:rsidRPr="009D0EED">
        <w:rPr>
          <w:rFonts w:cs="Arial"/>
        </w:rPr>
        <w:t>.</w:t>
      </w:r>
      <w:r w:rsidR="00B35C48">
        <w:rPr>
          <w:rFonts w:cs="Arial"/>
        </w:rPr>
        <w:t xml:space="preserve"> </w:t>
      </w:r>
      <w:r w:rsidR="0026678E" w:rsidRPr="009D0EED">
        <w:rPr>
          <w:rFonts w:cs="Arial"/>
        </w:rPr>
        <w:t xml:space="preserve">In addition to MBS </w:t>
      </w:r>
      <w:r w:rsidR="0054443F" w:rsidRPr="009D0EED">
        <w:rPr>
          <w:rFonts w:cs="Arial"/>
        </w:rPr>
        <w:t>data, important</w:t>
      </w:r>
      <w:r w:rsidRPr="009D0EED">
        <w:rPr>
          <w:rFonts w:cs="Arial"/>
        </w:rPr>
        <w:t xml:space="preserve"> resource</w:t>
      </w:r>
      <w:r w:rsidR="0026678E" w:rsidRPr="009D0EED">
        <w:rPr>
          <w:rFonts w:cs="Arial"/>
        </w:rPr>
        <w:t>s</w:t>
      </w:r>
      <w:r w:rsidRPr="009D0EED">
        <w:rPr>
          <w:rFonts w:cs="Arial"/>
        </w:rPr>
        <w:t xml:space="preserve"> for the Taskforce and the Clinical Committees have i</w:t>
      </w:r>
      <w:r w:rsidR="0026678E" w:rsidRPr="009D0EED">
        <w:rPr>
          <w:rFonts w:cs="Arial"/>
        </w:rPr>
        <w:t>ncluded</w:t>
      </w:r>
      <w:r w:rsidR="00457693" w:rsidRPr="009D0EED">
        <w:rPr>
          <w:rFonts w:cs="Arial"/>
        </w:rPr>
        <w:t xml:space="preserve">: </w:t>
      </w:r>
    </w:p>
    <w:p w14:paraId="09B99493" w14:textId="7B9A307B" w:rsidR="00457693" w:rsidRPr="00490F36" w:rsidRDefault="00E5655B" w:rsidP="00490F36">
      <w:pPr>
        <w:pStyle w:val="NormalBulleted"/>
      </w:pPr>
      <w:r>
        <w:t>T</w:t>
      </w:r>
      <w:r w:rsidR="00B35C48" w:rsidRPr="00490F36">
        <w:t xml:space="preserve">he </w:t>
      </w:r>
      <w:r w:rsidR="00457693" w:rsidRPr="00490F36">
        <w:t>Choosing Wisely recommendations, both from Australian and internationally</w:t>
      </w:r>
      <w:r w:rsidR="00442A2B">
        <w:fldChar w:fldCharType="begin"/>
      </w:r>
      <w:r w:rsidR="00442A2B">
        <w:instrText xml:space="preserve"> ADDIN EN.CITE &lt;EndNote&gt;&lt;Cite&gt;&lt;Author&gt;Australia&lt;/Author&gt;&lt;Year&gt;2017&lt;/Year&gt;&lt;RecNum&gt;25&lt;/RecNum&gt;&lt;DisplayText&gt;&lt;style face="superscript"&gt;1-3&lt;/style&gt;&lt;/DisplayText&gt;&lt;record&gt;&lt;rec-number&gt;25&lt;/rec-number&gt;&lt;foreign-keys&gt;&lt;key app="EN" db-id="dfs5xeapdpddpyexds6ppreypt5sp9spp2a5" timestamp="1497403869"&gt;25&lt;/key&gt;&lt;/foreign-keys&gt;&lt;ref-type name="Web Page"&gt;12&lt;/ref-type&gt;&lt;contributors&gt;&lt;authors&gt;&lt;author&gt;Choosing Wisely Australia&lt;/author&gt;&lt;/authors&gt;&lt;/contributors&gt;&lt;titles&gt;&lt;title&gt;Tests, treatments, and procedures for healthcare providers and consumers to question&lt;/title&gt;&lt;/titles&gt;&lt;dates&gt;&lt;year&gt;2017&lt;/year&gt;&lt;/dates&gt;&lt;urls&gt;&lt;related-urls&gt;&lt;url&gt;http://www.choosingwisely.org.au/recommendations?displayby=MedicalTest&lt;/url&gt;&lt;/related-urls&gt;&lt;/urls&gt;&lt;custom1&gt;2017&lt;/custom1&gt;&lt;custom2&gt;14th June&lt;/custom2&gt;&lt;/record&gt;&lt;/Cite&gt;&lt;Cite&gt;&lt;Author&gt;Canada&lt;/Author&gt;&lt;Year&gt;2017&lt;/Year&gt;&lt;RecNum&gt;26&lt;/RecNum&gt;&lt;record&gt;&lt;rec-number&gt;26&lt;/rec-number&gt;&lt;foreign-keys&gt;&lt;key app="EN" db-id="dfs5xeapdpddpyexds6ppreypt5sp9spp2a5" timestamp="1497403869"&gt;26&lt;/key&gt;&lt;/foreign-keys&gt;&lt;ref-type name="Web Page"&gt;12&lt;/ref-type&gt;&lt;contributors&gt;&lt;authors&gt;&lt;author&gt;Choosing Wisely Canada&lt;/author&gt;&lt;/authors&gt;&lt;/contributors&gt;&lt;titles&gt;&lt;title&gt;The Lists&lt;/title&gt;&lt;/titles&gt;&lt;volume&gt;2017&lt;/volume&gt;&lt;number&gt;14th June&lt;/number&gt;&lt;dates&gt;&lt;year&gt;2017&lt;/year&gt;&lt;/dates&gt;&lt;urls&gt;&lt;related-urls&gt;&lt;url&gt;http://www.choosingwiselycanada.org/wp-content/uploads/2014/01/Choosing-Wisely-Canada-collection-of-lists.pdf&lt;/url&gt;&lt;/related-urls&gt;&lt;/urls&gt;&lt;/record&gt;&lt;/Cite&gt;&lt;Cite&gt;&lt;Author&gt;USA&lt;/Author&gt;&lt;Year&gt;2017&lt;/Year&gt;&lt;RecNum&gt;28&lt;/RecNum&gt;&lt;record&gt;&lt;rec-number&gt;28&lt;/rec-number&gt;&lt;foreign-keys&gt;&lt;key app="EN" db-id="dfs5xeapdpddpyexds6ppreypt5sp9spp2a5" timestamp="1497403869"&gt;28&lt;/key&gt;&lt;/foreign-keys&gt;&lt;ref-type name="Web Page"&gt;12&lt;/ref-type&gt;&lt;contributors&gt;&lt;authors&gt;&lt;author&gt;Choosing Wisely USA&lt;/author&gt;&lt;/authors&gt;&lt;/contributors&gt;&lt;titles&gt;&lt;title&gt;The Choosing Wisely Lists&lt;/title&gt;&lt;/titles&gt;&lt;volume&gt;2017&lt;/volume&gt;&lt;number&gt;14th June&lt;/number&gt;&lt;dates&gt;&lt;year&gt;2017&lt;/year&gt;&lt;/dates&gt;&lt;urls&gt;&lt;related-urls&gt;&lt;url&gt;http://www.choosingwisely.org/doctor-patient-lists/&lt;/url&gt;&lt;/related-urls&gt;&lt;/urls&gt;&lt;/record&gt;&lt;/Cite&gt;&lt;/EndNote&gt;</w:instrText>
      </w:r>
      <w:r w:rsidR="00442A2B">
        <w:fldChar w:fldCharType="separate"/>
      </w:r>
      <w:r w:rsidR="00442A2B" w:rsidRPr="00442A2B">
        <w:rPr>
          <w:noProof/>
          <w:vertAlign w:val="superscript"/>
        </w:rPr>
        <w:t>1-3</w:t>
      </w:r>
      <w:r w:rsidR="00442A2B">
        <w:fldChar w:fldCharType="end"/>
      </w:r>
    </w:p>
    <w:p w14:paraId="2F857FC7" w14:textId="732D994E" w:rsidR="00457693" w:rsidRPr="00490F36" w:rsidRDefault="00E5655B" w:rsidP="00490F36">
      <w:pPr>
        <w:pStyle w:val="NormalBulleted"/>
      </w:pPr>
      <w:r>
        <w:t>T</w:t>
      </w:r>
      <w:r w:rsidR="00B35C48">
        <w:t xml:space="preserve">he </w:t>
      </w:r>
      <w:r w:rsidR="00457693" w:rsidRPr="00490F36">
        <w:t>National Institute for Health and Care Excellence (NICE UK) Do Not Do recommendations and clinical guidance</w:t>
      </w:r>
      <w:r w:rsidR="00442A2B">
        <w:fldChar w:fldCharType="begin"/>
      </w:r>
      <w:r w:rsidR="00442A2B">
        <w:instrText xml:space="preserve"> ADDIN EN.CITE &lt;EndNote&gt;&lt;Cite&gt;&lt;Author&gt;Excellence&lt;/Author&gt;&lt;Year&gt;2017&lt;/Year&gt;&lt;RecNum&gt;27&lt;/RecNum&gt;&lt;DisplayText&gt;&lt;style face="superscript"&gt;4&lt;/style&gt;&lt;/DisplayText&gt;&lt;record&gt;&lt;rec-number&gt;27&lt;/rec-number&gt;&lt;foreign-keys&gt;&lt;key app="EN" db-id="dfs5xeapdpddpyexds6ppreypt5sp9spp2a5" timestamp="1497403869"&gt;27&lt;/key&gt;&lt;/foreign-keys&gt;&lt;ref-type name="Web Page"&gt;12&lt;/ref-type&gt;&lt;contributors&gt;&lt;authors&gt;&lt;author&gt;National Institute for Health and Care Excellence&lt;/author&gt;&lt;/authors&gt;&lt;/contributors&gt;&lt;titles&gt;&lt;title&gt;Do not do recommendations&lt;/title&gt;&lt;/titles&gt;&lt;volume&gt;2017&lt;/volume&gt;&lt;number&gt;14th June&lt;/number&gt;&lt;dates&gt;&lt;year&gt;2017&lt;/year&gt;&lt;/dates&gt;&lt;urls&gt;&lt;related-urls&gt;&lt;url&gt;https://www.nice.org.uk/savingsandproductivity/collection&lt;/url&gt;&lt;/related-urls&gt;&lt;/urls&gt;&lt;/record&gt;&lt;/Cite&gt;&lt;/EndNote&gt;</w:instrText>
      </w:r>
      <w:r w:rsidR="00442A2B">
        <w:fldChar w:fldCharType="separate"/>
      </w:r>
      <w:r w:rsidR="00442A2B" w:rsidRPr="00442A2B">
        <w:rPr>
          <w:noProof/>
          <w:vertAlign w:val="superscript"/>
        </w:rPr>
        <w:t>4</w:t>
      </w:r>
      <w:r w:rsidR="00442A2B">
        <w:fldChar w:fldCharType="end"/>
      </w:r>
    </w:p>
    <w:p w14:paraId="2F83CDDC" w14:textId="30151228" w:rsidR="004D72E6" w:rsidRPr="00490F36" w:rsidRDefault="00E5655B" w:rsidP="00490F36">
      <w:pPr>
        <w:pStyle w:val="NormalBulleted"/>
      </w:pPr>
      <w:r>
        <w:t>O</w:t>
      </w:r>
      <w:r w:rsidR="00B35C48" w:rsidRPr="00490F36">
        <w:t xml:space="preserve">ther </w:t>
      </w:r>
      <w:r w:rsidR="0026678E" w:rsidRPr="00490F36">
        <w:t>literature on low</w:t>
      </w:r>
      <w:r w:rsidR="00B35C48">
        <w:t>-</w:t>
      </w:r>
      <w:r w:rsidR="0026678E" w:rsidRPr="00490F36">
        <w:t>value care</w:t>
      </w:r>
      <w:r w:rsidR="00457693" w:rsidRPr="00490F36">
        <w:t>, including Elshaug et al’s</w:t>
      </w:r>
      <w:r w:rsidR="00877C64">
        <w:rPr>
          <w:vertAlign w:val="superscript"/>
        </w:rPr>
        <w:t xml:space="preserve"> </w:t>
      </w:r>
      <w:r w:rsidR="00B35C48">
        <w:t xml:space="preserve">(2012) </w:t>
      </w:r>
      <w:r w:rsidR="00240E05" w:rsidRPr="002F5343">
        <w:rPr>
          <w:i/>
        </w:rPr>
        <w:t>Medical Journal of Australia</w:t>
      </w:r>
      <w:r w:rsidR="004D72E6" w:rsidRPr="00490F36">
        <w:t xml:space="preserve"> article </w:t>
      </w:r>
      <w:r w:rsidR="00B35C48">
        <w:t xml:space="preserve"> </w:t>
      </w:r>
      <w:r w:rsidR="004D72E6" w:rsidRPr="00490F36">
        <w:t>on potentially low</w:t>
      </w:r>
      <w:r w:rsidR="00B35C48">
        <w:t>-</w:t>
      </w:r>
      <w:r w:rsidR="004D72E6" w:rsidRPr="00490F36">
        <w:t>value health services</w:t>
      </w:r>
      <w:r w:rsidR="00877C64">
        <w:fldChar w:fldCharType="begin"/>
      </w:r>
      <w:r w:rsidR="00877C64">
        <w:instrText xml:space="preserve"> ADDIN EN.CITE &lt;EndNote&gt;&lt;Cite&gt;&lt;Author&gt;Elshaug&lt;/Author&gt;&lt;Year&gt;2012&lt;/Year&gt;&lt;RecNum&gt;29&lt;/RecNum&gt;&lt;DisplayText&gt;&lt;style face="superscript"&gt;5&lt;/style&gt;&lt;/DisplayText&gt;&lt;record&gt;&lt;rec-number&gt;29&lt;/rec-number&gt;&lt;foreign-keys&gt;&lt;key app="EN" db-id="dfs5xeapdpddpyexds6ppreypt5sp9spp2a5" timestamp="1497404037"&gt;29&lt;/key&gt;&lt;/foreign-keys&gt;&lt;ref-type name="Journal Article"&gt;17&lt;/ref-type&gt;&lt;contributors&gt;&lt;authors&gt;&lt;author&gt;Elshaug, A. G.&lt;/author&gt;&lt;author&gt;Watt, A. M.&lt;/author&gt;&lt;author&gt;Mundy, L.&lt;/author&gt;&lt;author&gt;Willis, C. D.&lt;/author&gt;&lt;/authors&gt;&lt;/contributors&gt;&lt;auth-address&gt;Department of Health Care Policy, Harvard Medical School, Boston, MA, USA. elshaug@hcp.med.harvard.edu&lt;/auth-address&gt;&lt;titles&gt;&lt;title&gt;Over 150 potentially low-value health care practices: an Australian study&lt;/title&gt;&lt;secondary-title&gt;Med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Australia&lt;/abbr-1&gt;&lt;/alt-periodical&gt;&lt;pages&gt;556-60&lt;/pages&gt;&lt;volume&gt;197&lt;/volume&gt;&lt;number&gt;10&lt;/number&gt;&lt;edition&gt;2012/11/21&lt;/edition&gt;&lt;keywords&gt;&lt;keyword&gt;Australia&lt;/keyword&gt;&lt;keyword&gt;Health Services/*standards&lt;/keyword&gt;&lt;keyword&gt;Humans&lt;/keyword&gt;&lt;keyword&gt;Insurance Benefits&lt;/keyword&gt;&lt;keyword&gt;National Health Programs&lt;/keyword&gt;&lt;keyword&gt;Patient Safety&lt;/keyword&gt;&lt;keyword&gt;*Quality of Health Care&lt;/keyword&gt;&lt;keyword&gt;*Unnecessary Procedures&lt;/keyword&gt;&lt;/keywords&gt;&lt;dates&gt;&lt;year&gt;2012&lt;/year&gt;&lt;pub-dates&gt;&lt;date&gt;Nov 19&lt;/date&gt;&lt;/pub-dates&gt;&lt;/dates&gt;&lt;isbn&gt;1326-5377 (Electronic)&amp;#xD;0025-729X (Linking)&lt;/isbn&gt;&lt;accession-num&gt;23163685&lt;/accession-num&gt;&lt;work-type&gt;Research Support, Non-U.S. Gov&amp;apos;t&lt;/work-type&gt;&lt;urls&gt;&lt;related-urls&gt;&lt;url&gt;https://www.ncbi.nlm.nih.gov/pubmed/23163685&lt;/url&gt;&lt;/related-urls&gt;&lt;/urls&gt;&lt;language&gt;eng&lt;/language&gt;&lt;/record&gt;&lt;/Cite&gt;&lt;/EndNote&gt;</w:instrText>
      </w:r>
      <w:r w:rsidR="00877C64">
        <w:fldChar w:fldCharType="separate"/>
      </w:r>
      <w:r w:rsidR="00877C64" w:rsidRPr="00877C64">
        <w:rPr>
          <w:noProof/>
          <w:vertAlign w:val="superscript"/>
        </w:rPr>
        <w:t>5</w:t>
      </w:r>
      <w:r w:rsidR="00877C64">
        <w:fldChar w:fldCharType="end"/>
      </w:r>
    </w:p>
    <w:p w14:paraId="6E7D3F38" w14:textId="3B7CEECA" w:rsidR="007703B3" w:rsidRDefault="00E5655B" w:rsidP="00490F36">
      <w:pPr>
        <w:pStyle w:val="NormalBulleted"/>
      </w:pPr>
      <w:r>
        <w:t>T</w:t>
      </w:r>
      <w:r w:rsidR="00B35C48" w:rsidRPr="00490F36">
        <w:t xml:space="preserve">he </w:t>
      </w:r>
      <w:r w:rsidR="00332C4D">
        <w:t>Australian Commission on Safety</w:t>
      </w:r>
      <w:r w:rsidR="004D72E6" w:rsidRPr="00490F36">
        <w:t xml:space="preserve"> and </w:t>
      </w:r>
      <w:r w:rsidR="00332C4D">
        <w:t>Quality</w:t>
      </w:r>
      <w:r w:rsidR="00C516B5">
        <w:t xml:space="preserve"> in Health Care’s (AC</w:t>
      </w:r>
      <w:r w:rsidR="004D72E6" w:rsidRPr="00490F36">
        <w:t>S</w:t>
      </w:r>
      <w:r w:rsidR="00C516B5">
        <w:t>Q</w:t>
      </w:r>
      <w:r w:rsidR="004D72E6" w:rsidRPr="00490F36">
        <w:t xml:space="preserve">HC) </w:t>
      </w:r>
      <w:r w:rsidR="004D72E6" w:rsidRPr="007F345C">
        <w:rPr>
          <w:i/>
        </w:rPr>
        <w:t xml:space="preserve">Atlas of </w:t>
      </w:r>
      <w:r w:rsidR="00332C4D" w:rsidRPr="007F345C">
        <w:rPr>
          <w:i/>
        </w:rPr>
        <w:t xml:space="preserve">Healthcare </w:t>
      </w:r>
      <w:r w:rsidR="004D72E6" w:rsidRPr="007F345C">
        <w:rPr>
          <w:i/>
        </w:rPr>
        <w:t>Variation</w:t>
      </w:r>
      <w:r w:rsidR="004D72E6" w:rsidRPr="00490F36">
        <w:t>.</w:t>
      </w:r>
      <w:r w:rsidR="00877C64">
        <w:fldChar w:fldCharType="begin"/>
      </w:r>
      <w:r w:rsidR="00877C64">
        <w:instrText xml:space="preserve"> ADDIN EN.CITE &lt;EndNote&gt;&lt;Cite&gt;&lt;Author&gt;Care&lt;/Author&gt;&lt;Year&gt;2017&lt;/Year&gt;&lt;RecNum&gt;30&lt;/RecNum&gt;&lt;DisplayText&gt;&lt;style face="superscript"&gt;6&lt;/style&gt;&lt;/DisplayText&gt;&lt;record&gt;&lt;rec-number&gt;30&lt;/rec-number&gt;&lt;foreign-keys&gt;&lt;key app="EN" db-id="dfs5xeapdpddpyexds6ppreypt5sp9spp2a5" timestamp="1497404245"&gt;30&lt;/key&gt;&lt;/foreign-keys&gt;&lt;ref-type name="Web Page"&gt;12&lt;/ref-type&gt;&lt;contributors&gt;&lt;authors&gt;&lt;author&gt;Australian Commission on Safety and Quality in Health Care&lt;/author&gt;&lt;/authors&gt;&lt;/contributors&gt;&lt;titles&gt;&lt;title&gt;The Australian Atlas of Healthcare Variation&lt;/title&gt;&lt;/titles&gt;&lt;volume&gt;2017&lt;/volume&gt;&lt;number&gt;14th June&lt;/number&gt;&lt;dates&gt;&lt;year&gt;2017&lt;/year&gt;&lt;/dates&gt;&lt;urls&gt;&lt;related-urls&gt;&lt;url&gt;https://www.safetyandquality.gov.au/atlas/&lt;/url&gt;&lt;/related-urls&gt;&lt;/urls&gt;&lt;/record&gt;&lt;/Cite&gt;&lt;/EndNote&gt;</w:instrText>
      </w:r>
      <w:r w:rsidR="00877C64">
        <w:fldChar w:fldCharType="separate"/>
      </w:r>
      <w:r w:rsidR="00877C64" w:rsidRPr="00877C64">
        <w:rPr>
          <w:noProof/>
          <w:vertAlign w:val="superscript"/>
        </w:rPr>
        <w:t>6</w:t>
      </w:r>
      <w:r w:rsidR="00877C64">
        <w:fldChar w:fldCharType="end"/>
      </w:r>
    </w:p>
    <w:p w14:paraId="0F4A9684" w14:textId="631DDDC4" w:rsidR="004D72E6" w:rsidRPr="00490F36" w:rsidRDefault="007703B3" w:rsidP="00DA4A23">
      <w:pPr>
        <w:spacing w:before="0" w:after="0" w:line="240" w:lineRule="auto"/>
      </w:pPr>
      <w:r>
        <w:br w:type="page"/>
      </w:r>
    </w:p>
    <w:p w14:paraId="55EF406D" w14:textId="77777777" w:rsidR="004D72E6" w:rsidRPr="009200D8" w:rsidRDefault="004D72E6" w:rsidP="007E02E9">
      <w:pPr>
        <w:pStyle w:val="Heading1"/>
      </w:pPr>
      <w:bookmarkStart w:id="18" w:name="_Toc485295719"/>
      <w:bookmarkStart w:id="19" w:name="_Toc485296590"/>
      <w:r w:rsidRPr="009200D8">
        <w:t>About the</w:t>
      </w:r>
      <w:r w:rsidR="00B35C48">
        <w:t xml:space="preserve"> </w:t>
      </w:r>
      <w:r w:rsidR="00B84C4F">
        <w:t>Pathology Clinical</w:t>
      </w:r>
      <w:r w:rsidR="00B35C48">
        <w:t xml:space="preserve"> </w:t>
      </w:r>
      <w:r w:rsidR="00437F91">
        <w:t>Committee</w:t>
      </w:r>
      <w:bookmarkEnd w:id="18"/>
      <w:bookmarkEnd w:id="19"/>
    </w:p>
    <w:p w14:paraId="27D8CA2F" w14:textId="491BE2CB" w:rsidR="00437F91" w:rsidRDefault="00437F91" w:rsidP="00437F91">
      <w:pPr>
        <w:rPr>
          <w:lang w:val="en-US" w:eastAsia="en-US"/>
        </w:rPr>
      </w:pPr>
      <w:bookmarkStart w:id="20" w:name="_Toc455669872"/>
      <w:r w:rsidRPr="00684817">
        <w:rPr>
          <w:lang w:val="en-US" w:eastAsia="en-US"/>
        </w:rPr>
        <w:t xml:space="preserve">The </w:t>
      </w:r>
      <w:r w:rsidR="00DB090A">
        <w:rPr>
          <w:lang w:val="en-US" w:eastAsia="en-US"/>
        </w:rPr>
        <w:t>Pathology</w:t>
      </w:r>
      <w:r w:rsidRPr="00684817">
        <w:rPr>
          <w:lang w:val="en-US" w:eastAsia="en-US"/>
        </w:rPr>
        <w:t xml:space="preserve"> Clinical Committee (the Committee) was established in </w:t>
      </w:r>
      <w:r w:rsidR="00AD6C1A">
        <w:rPr>
          <w:lang w:val="en-US" w:eastAsia="en-US"/>
        </w:rPr>
        <w:t>2016</w:t>
      </w:r>
      <w:r w:rsidRPr="00684817">
        <w:rPr>
          <w:lang w:val="en-US" w:eastAsia="en-US"/>
        </w:rPr>
        <w:t xml:space="preserve"> to make recommendations to the MBS Review Taskforce on the review of MBS items within its remit, based on rapid evidence review and clinical expertise.</w:t>
      </w:r>
      <w:r w:rsidR="00220C72">
        <w:rPr>
          <w:lang w:val="en-US" w:eastAsia="en-US"/>
        </w:rPr>
        <w:t xml:space="preserve"> </w:t>
      </w:r>
    </w:p>
    <w:p w14:paraId="42D13E12" w14:textId="77777777" w:rsidR="004D72E6" w:rsidRDefault="00B84C4F" w:rsidP="006A286B">
      <w:pPr>
        <w:pStyle w:val="Heading2"/>
      </w:pPr>
      <w:bookmarkStart w:id="21" w:name="_Toc485295720"/>
      <w:bookmarkStart w:id="22" w:name="_Toc485296591"/>
      <w:r>
        <w:t>Pathology</w:t>
      </w:r>
      <w:r w:rsidR="004D72E6">
        <w:t xml:space="preserve"> Clinical Committee m</w:t>
      </w:r>
      <w:r w:rsidR="004D72E6" w:rsidRPr="009200D8">
        <w:t>embers</w:t>
      </w:r>
      <w:bookmarkEnd w:id="20"/>
      <w:bookmarkEnd w:id="21"/>
      <w:bookmarkEnd w:id="22"/>
    </w:p>
    <w:p w14:paraId="2D6B4237" w14:textId="51C6665B" w:rsidR="006101B0" w:rsidRPr="006101B0" w:rsidRDefault="006101B0" w:rsidP="006101B0">
      <w:pPr>
        <w:rPr>
          <w:lang w:val="en-US" w:eastAsia="en-US"/>
        </w:rPr>
      </w:pPr>
      <w:r>
        <w:rPr>
          <w:lang w:val="en-US" w:eastAsia="en-US"/>
        </w:rPr>
        <w:t>It is noted that the majority of the Committee members share a common conflict of interest in reviewing items that are a source</w:t>
      </w:r>
      <w:r w:rsidR="0027331F">
        <w:rPr>
          <w:lang w:val="en-US" w:eastAsia="en-US"/>
        </w:rPr>
        <w:t xml:space="preserve"> of revenue for them (i.e. Committee members claim the items under review). This conflict is inherent in a clinician-led process, and having been acknowledged by the Committee and the Taskforce, it was agreed that this should not prevent a clinician from participating in the review.</w:t>
      </w:r>
    </w:p>
    <w:p w14:paraId="70471FF0" w14:textId="77777777" w:rsidR="004D72E6" w:rsidRPr="003744BA" w:rsidRDefault="004D72E6" w:rsidP="003744BA">
      <w:pPr>
        <w:pStyle w:val="Caption"/>
      </w:pPr>
      <w:bookmarkStart w:id="23" w:name="_Ref457116071"/>
      <w:bookmarkStart w:id="24" w:name="_Toc458355135"/>
      <w:bookmarkStart w:id="25" w:name="_Toc472940493"/>
      <w:bookmarkStart w:id="26" w:name="_Toc472940514"/>
      <w:r w:rsidRPr="003744BA">
        <w:t xml:space="preserve">Table </w:t>
      </w:r>
      <w:r w:rsidR="0016786F">
        <w:fldChar w:fldCharType="begin"/>
      </w:r>
      <w:r w:rsidR="0016786F">
        <w:instrText xml:space="preserve"> SEQ Table \* ARABIC </w:instrText>
      </w:r>
      <w:r w:rsidR="0016786F">
        <w:fldChar w:fldCharType="separate"/>
      </w:r>
      <w:r w:rsidR="00235892">
        <w:rPr>
          <w:noProof/>
        </w:rPr>
        <w:t>1</w:t>
      </w:r>
      <w:r w:rsidR="0016786F">
        <w:rPr>
          <w:noProof/>
        </w:rPr>
        <w:fldChar w:fldCharType="end"/>
      </w:r>
      <w:bookmarkEnd w:id="23"/>
      <w:r w:rsidRPr="003744BA">
        <w:t>:</w:t>
      </w:r>
      <w:r w:rsidRPr="003744BA">
        <w:tab/>
      </w:r>
      <w:r w:rsidR="00B84C4F" w:rsidRPr="003744BA">
        <w:t>Pathology</w:t>
      </w:r>
      <w:r w:rsidRPr="003744BA">
        <w:t xml:space="preserve"> Clinical Committee Members</w:t>
      </w:r>
      <w:bookmarkEnd w:id="24"/>
      <w:bookmarkEnd w:id="25"/>
      <w:bookmarkEnd w:id="26"/>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his table contains a list of the members of the Pathology Clinical Committee. It also contains a list of their positions and conflicts of interest."/>
      </w:tblPr>
      <w:tblGrid>
        <w:gridCol w:w="2354"/>
        <w:gridCol w:w="3982"/>
        <w:gridCol w:w="2690"/>
      </w:tblGrid>
      <w:tr w:rsidR="004D72E6" w:rsidRPr="00F648DD" w14:paraId="1560E671" w14:textId="77777777" w:rsidTr="00A74C6B">
        <w:trPr>
          <w:tblHeader/>
        </w:trPr>
        <w:tc>
          <w:tcPr>
            <w:tcW w:w="1304" w:type="pct"/>
            <w:shd w:val="clear" w:color="auto" w:fill="auto"/>
          </w:tcPr>
          <w:p w14:paraId="73A12D80" w14:textId="77777777" w:rsidR="004D72E6" w:rsidRPr="00F648DD" w:rsidRDefault="004D72E6" w:rsidP="00F648DD">
            <w:pPr>
              <w:rPr>
                <w:b/>
              </w:rPr>
            </w:pPr>
            <w:r w:rsidRPr="00F648DD">
              <w:rPr>
                <w:b/>
              </w:rPr>
              <w:t>Name</w:t>
            </w:r>
          </w:p>
        </w:tc>
        <w:tc>
          <w:tcPr>
            <w:tcW w:w="2206" w:type="pct"/>
            <w:shd w:val="clear" w:color="auto" w:fill="auto"/>
          </w:tcPr>
          <w:p w14:paraId="095B7653" w14:textId="337D77F0" w:rsidR="004D72E6" w:rsidRPr="00F648DD" w:rsidRDefault="004D72E6" w:rsidP="00F648DD">
            <w:pPr>
              <w:rPr>
                <w:b/>
              </w:rPr>
            </w:pPr>
            <w:r w:rsidRPr="00F648DD">
              <w:rPr>
                <w:b/>
              </w:rPr>
              <w:t>Position/</w:t>
            </w:r>
            <w:r w:rsidR="00B43352">
              <w:rPr>
                <w:b/>
              </w:rPr>
              <w:t>o</w:t>
            </w:r>
            <w:r w:rsidRPr="00F648DD">
              <w:rPr>
                <w:b/>
              </w:rPr>
              <w:t>rganisation</w:t>
            </w:r>
          </w:p>
        </w:tc>
        <w:tc>
          <w:tcPr>
            <w:tcW w:w="1490" w:type="pct"/>
            <w:shd w:val="clear" w:color="auto" w:fill="auto"/>
          </w:tcPr>
          <w:p w14:paraId="14D6F425" w14:textId="77777777" w:rsidR="004D72E6" w:rsidRPr="00F648DD" w:rsidRDefault="004D72E6" w:rsidP="00F648DD">
            <w:pPr>
              <w:rPr>
                <w:b/>
              </w:rPr>
            </w:pPr>
            <w:r w:rsidRPr="00F648DD">
              <w:rPr>
                <w:b/>
              </w:rPr>
              <w:t>Declared conflict of interest</w:t>
            </w:r>
          </w:p>
        </w:tc>
      </w:tr>
      <w:tr w:rsidR="00A666C1" w:rsidRPr="00804630" w14:paraId="2221A7E6" w14:textId="77777777" w:rsidTr="00A74C6B">
        <w:trPr>
          <w:trHeight w:val="549"/>
        </w:trPr>
        <w:tc>
          <w:tcPr>
            <w:tcW w:w="1304" w:type="pct"/>
            <w:hideMark/>
          </w:tcPr>
          <w:p w14:paraId="41753CF7" w14:textId="77777777" w:rsidR="00A666C1" w:rsidRPr="00804630" w:rsidRDefault="00A666C1" w:rsidP="00A666C1">
            <w:pPr>
              <w:spacing w:before="40"/>
            </w:pPr>
            <w:r>
              <w:rPr>
                <w:bCs/>
                <w:color w:val="000000"/>
              </w:rPr>
              <w:t>Associate Professor Peter Stewart</w:t>
            </w:r>
          </w:p>
        </w:tc>
        <w:tc>
          <w:tcPr>
            <w:tcW w:w="2206" w:type="pct"/>
          </w:tcPr>
          <w:p w14:paraId="49B0A73F" w14:textId="6F6EEE5A" w:rsidR="00A666C1" w:rsidRPr="00804630" w:rsidRDefault="00A666C1" w:rsidP="00A666C1">
            <w:pPr>
              <w:autoSpaceDE w:val="0"/>
              <w:autoSpaceDN w:val="0"/>
              <w:adjustRightInd w:val="0"/>
              <w:spacing w:before="60" w:line="276" w:lineRule="auto"/>
            </w:pPr>
            <w:r w:rsidRPr="00CB798C">
              <w:t>Royal Prince Alfred Hospital (Public)</w:t>
            </w:r>
          </w:p>
        </w:tc>
        <w:tc>
          <w:tcPr>
            <w:tcW w:w="1490" w:type="pct"/>
            <w:shd w:val="clear" w:color="auto" w:fill="auto"/>
          </w:tcPr>
          <w:p w14:paraId="190CFBB9" w14:textId="29C9B87A" w:rsidR="00A666C1" w:rsidRPr="00804630" w:rsidRDefault="001A128A" w:rsidP="00A666C1">
            <w:pPr>
              <w:spacing w:before="40"/>
            </w:pPr>
            <w:r>
              <w:t>None</w:t>
            </w:r>
          </w:p>
        </w:tc>
      </w:tr>
      <w:tr w:rsidR="001A128A" w:rsidRPr="00804630" w14:paraId="71310119" w14:textId="77777777" w:rsidTr="00A74C6B">
        <w:trPr>
          <w:trHeight w:val="842"/>
        </w:trPr>
        <w:tc>
          <w:tcPr>
            <w:tcW w:w="1304" w:type="pct"/>
            <w:hideMark/>
          </w:tcPr>
          <w:p w14:paraId="0032E52C" w14:textId="77777777" w:rsidR="001A128A" w:rsidRPr="00804630" w:rsidRDefault="001A128A" w:rsidP="001A128A">
            <w:pPr>
              <w:spacing w:before="40"/>
            </w:pPr>
            <w:r>
              <w:rPr>
                <w:bCs/>
                <w:color w:val="000000"/>
              </w:rPr>
              <w:t xml:space="preserve">Professor Rita Horvath </w:t>
            </w:r>
          </w:p>
        </w:tc>
        <w:tc>
          <w:tcPr>
            <w:tcW w:w="2206" w:type="pct"/>
          </w:tcPr>
          <w:p w14:paraId="3B8E6874" w14:textId="77777777" w:rsidR="001A128A" w:rsidRPr="00804630" w:rsidRDefault="001A128A" w:rsidP="001A128A">
            <w:pPr>
              <w:autoSpaceDE w:val="0"/>
              <w:autoSpaceDN w:val="0"/>
              <w:adjustRightInd w:val="0"/>
              <w:spacing w:before="60" w:line="276" w:lineRule="auto"/>
            </w:pPr>
            <w:r w:rsidRPr="00CB798C">
              <w:t>South Eastern Area Laboratory Services (Public)</w:t>
            </w:r>
          </w:p>
        </w:tc>
        <w:tc>
          <w:tcPr>
            <w:tcW w:w="1490" w:type="pct"/>
            <w:shd w:val="clear" w:color="auto" w:fill="auto"/>
          </w:tcPr>
          <w:p w14:paraId="614A0F12" w14:textId="5014D14A" w:rsidR="001A128A" w:rsidRPr="00804630" w:rsidRDefault="001A128A" w:rsidP="001A128A">
            <w:pPr>
              <w:spacing w:before="40"/>
            </w:pPr>
            <w:r w:rsidRPr="00FE583F">
              <w:t>None</w:t>
            </w:r>
          </w:p>
        </w:tc>
      </w:tr>
      <w:tr w:rsidR="001A128A" w:rsidRPr="00804630" w14:paraId="7B6EA520" w14:textId="77777777" w:rsidTr="00A74C6B">
        <w:trPr>
          <w:trHeight w:val="945"/>
        </w:trPr>
        <w:tc>
          <w:tcPr>
            <w:tcW w:w="1304" w:type="pct"/>
            <w:hideMark/>
          </w:tcPr>
          <w:p w14:paraId="00041AF1" w14:textId="77777777" w:rsidR="001A128A" w:rsidRPr="00804630" w:rsidRDefault="001A128A" w:rsidP="001A128A">
            <w:pPr>
              <w:spacing w:before="40"/>
            </w:pPr>
            <w:r>
              <w:rPr>
                <w:bCs/>
                <w:color w:val="000000"/>
              </w:rPr>
              <w:t xml:space="preserve">Dr Debra Norris </w:t>
            </w:r>
          </w:p>
        </w:tc>
        <w:tc>
          <w:tcPr>
            <w:tcW w:w="2206" w:type="pct"/>
          </w:tcPr>
          <w:p w14:paraId="388A3098" w14:textId="77777777" w:rsidR="001A128A" w:rsidRPr="00804630" w:rsidRDefault="001A128A" w:rsidP="001A128A">
            <w:pPr>
              <w:autoSpaceDE w:val="0"/>
              <w:autoSpaceDN w:val="0"/>
              <w:adjustRightInd w:val="0"/>
              <w:spacing w:before="60" w:line="276" w:lineRule="auto"/>
            </w:pPr>
            <w:r w:rsidRPr="00CB798C">
              <w:t>QML Pathology (Primary)</w:t>
            </w:r>
          </w:p>
        </w:tc>
        <w:tc>
          <w:tcPr>
            <w:tcW w:w="1490" w:type="pct"/>
            <w:shd w:val="clear" w:color="auto" w:fill="auto"/>
          </w:tcPr>
          <w:p w14:paraId="28771508" w14:textId="2E1A1424" w:rsidR="001A128A" w:rsidRPr="00804630" w:rsidRDefault="001A128A" w:rsidP="001A128A">
            <w:pPr>
              <w:spacing w:before="40"/>
            </w:pPr>
            <w:r w:rsidRPr="00FE583F">
              <w:t>None</w:t>
            </w:r>
          </w:p>
        </w:tc>
      </w:tr>
      <w:tr w:rsidR="001A128A" w:rsidRPr="00804630" w14:paraId="60FDAB16" w14:textId="77777777" w:rsidTr="00A74C6B">
        <w:trPr>
          <w:trHeight w:val="450"/>
        </w:trPr>
        <w:tc>
          <w:tcPr>
            <w:tcW w:w="1304" w:type="pct"/>
            <w:hideMark/>
          </w:tcPr>
          <w:p w14:paraId="5EC1B8EE" w14:textId="77777777" w:rsidR="001A128A" w:rsidRPr="00804630" w:rsidRDefault="001A128A" w:rsidP="001A128A">
            <w:pPr>
              <w:spacing w:before="40"/>
            </w:pPr>
            <w:r>
              <w:rPr>
                <w:bCs/>
                <w:color w:val="000000"/>
              </w:rPr>
              <w:t xml:space="preserve">Dr Michael Harrison </w:t>
            </w:r>
          </w:p>
        </w:tc>
        <w:tc>
          <w:tcPr>
            <w:tcW w:w="2206" w:type="pct"/>
          </w:tcPr>
          <w:p w14:paraId="48E0697D" w14:textId="77777777" w:rsidR="001A128A" w:rsidRPr="00804630" w:rsidRDefault="001A128A" w:rsidP="001A128A">
            <w:pPr>
              <w:spacing w:before="60"/>
            </w:pPr>
            <w:r w:rsidRPr="00CB798C">
              <w:t>Sullivan Nicolaides Pathology (Sonic)</w:t>
            </w:r>
          </w:p>
        </w:tc>
        <w:tc>
          <w:tcPr>
            <w:tcW w:w="1490" w:type="pct"/>
            <w:shd w:val="clear" w:color="auto" w:fill="auto"/>
          </w:tcPr>
          <w:p w14:paraId="643BB0E2" w14:textId="00AD77D0" w:rsidR="001A128A" w:rsidRPr="00804630" w:rsidRDefault="001A128A" w:rsidP="001A128A">
            <w:pPr>
              <w:spacing w:before="40"/>
            </w:pPr>
            <w:r w:rsidRPr="00FE583F">
              <w:t>None</w:t>
            </w:r>
          </w:p>
        </w:tc>
      </w:tr>
      <w:tr w:rsidR="001A128A" w:rsidRPr="00804630" w14:paraId="1560CF15" w14:textId="77777777" w:rsidTr="00A74C6B">
        <w:trPr>
          <w:trHeight w:val="633"/>
        </w:trPr>
        <w:tc>
          <w:tcPr>
            <w:tcW w:w="1304" w:type="pct"/>
            <w:hideMark/>
          </w:tcPr>
          <w:p w14:paraId="5B56B581" w14:textId="57335CD1" w:rsidR="001A128A" w:rsidRPr="00804630" w:rsidRDefault="001A128A" w:rsidP="001A128A">
            <w:pPr>
              <w:spacing w:before="40"/>
            </w:pPr>
            <w:r>
              <w:rPr>
                <w:bCs/>
                <w:color w:val="000000"/>
              </w:rPr>
              <w:t xml:space="preserve">Associate Professor Ken Sikaris </w:t>
            </w:r>
          </w:p>
        </w:tc>
        <w:tc>
          <w:tcPr>
            <w:tcW w:w="2206" w:type="pct"/>
          </w:tcPr>
          <w:p w14:paraId="287DF3E6" w14:textId="77777777" w:rsidR="001A128A" w:rsidRPr="00804630" w:rsidRDefault="001A128A" w:rsidP="001A128A">
            <w:pPr>
              <w:autoSpaceDE w:val="0"/>
              <w:autoSpaceDN w:val="0"/>
              <w:adjustRightInd w:val="0"/>
              <w:spacing w:before="60" w:line="276" w:lineRule="auto"/>
            </w:pPr>
            <w:r w:rsidRPr="00CB798C">
              <w:t>Melbourne Pathology (Sonic)</w:t>
            </w:r>
          </w:p>
        </w:tc>
        <w:tc>
          <w:tcPr>
            <w:tcW w:w="1490" w:type="pct"/>
            <w:shd w:val="clear" w:color="auto" w:fill="auto"/>
          </w:tcPr>
          <w:p w14:paraId="030296D3" w14:textId="5E178F76" w:rsidR="001A128A" w:rsidRPr="00804630" w:rsidRDefault="001A128A" w:rsidP="001A128A">
            <w:pPr>
              <w:spacing w:before="40"/>
            </w:pPr>
            <w:r w:rsidRPr="00FE583F">
              <w:t>None</w:t>
            </w:r>
          </w:p>
        </w:tc>
      </w:tr>
      <w:tr w:rsidR="001A128A" w:rsidRPr="00804630" w14:paraId="1660B5FC" w14:textId="77777777" w:rsidTr="00A74C6B">
        <w:trPr>
          <w:trHeight w:val="716"/>
        </w:trPr>
        <w:tc>
          <w:tcPr>
            <w:tcW w:w="1304" w:type="pct"/>
            <w:hideMark/>
          </w:tcPr>
          <w:p w14:paraId="3DF51579" w14:textId="77777777" w:rsidR="001A128A" w:rsidRPr="00804630" w:rsidRDefault="001A128A" w:rsidP="001A128A">
            <w:pPr>
              <w:spacing w:before="40"/>
            </w:pPr>
            <w:r>
              <w:rPr>
                <w:bCs/>
                <w:color w:val="000000"/>
              </w:rPr>
              <w:t xml:space="preserve">Dr Melody Caramins </w:t>
            </w:r>
          </w:p>
        </w:tc>
        <w:tc>
          <w:tcPr>
            <w:tcW w:w="2206" w:type="pct"/>
          </w:tcPr>
          <w:p w14:paraId="7E45A050" w14:textId="77777777" w:rsidR="001A128A" w:rsidRPr="00804630" w:rsidRDefault="001A128A" w:rsidP="001A128A">
            <w:pPr>
              <w:spacing w:before="60"/>
            </w:pPr>
            <w:r w:rsidRPr="00CB798C">
              <w:t>Specialist Diagnostic Services (Primary)</w:t>
            </w:r>
          </w:p>
        </w:tc>
        <w:tc>
          <w:tcPr>
            <w:tcW w:w="1490" w:type="pct"/>
            <w:shd w:val="clear" w:color="auto" w:fill="auto"/>
          </w:tcPr>
          <w:p w14:paraId="502429B4" w14:textId="75B956EB" w:rsidR="001A128A" w:rsidRPr="00804630" w:rsidRDefault="001A128A" w:rsidP="001A128A">
            <w:pPr>
              <w:spacing w:before="40"/>
            </w:pPr>
            <w:r w:rsidRPr="00FE583F">
              <w:t>None</w:t>
            </w:r>
          </w:p>
        </w:tc>
      </w:tr>
      <w:tr w:rsidR="001A128A" w:rsidRPr="00804630" w14:paraId="357136F2" w14:textId="77777777" w:rsidTr="00A74C6B">
        <w:trPr>
          <w:trHeight w:val="1052"/>
        </w:trPr>
        <w:tc>
          <w:tcPr>
            <w:tcW w:w="1304" w:type="pct"/>
            <w:hideMark/>
          </w:tcPr>
          <w:p w14:paraId="173244FD" w14:textId="77777777" w:rsidR="001A128A" w:rsidRPr="00804630" w:rsidRDefault="001A128A" w:rsidP="001A128A">
            <w:pPr>
              <w:spacing w:before="40"/>
            </w:pPr>
            <w:r>
              <w:rPr>
                <w:bCs/>
                <w:color w:val="000000"/>
              </w:rPr>
              <w:t xml:space="preserve">Dr John Rowell </w:t>
            </w:r>
          </w:p>
        </w:tc>
        <w:tc>
          <w:tcPr>
            <w:tcW w:w="2206" w:type="pct"/>
          </w:tcPr>
          <w:p w14:paraId="7E8D597A" w14:textId="77777777" w:rsidR="001A128A" w:rsidRPr="00804630" w:rsidRDefault="001A128A" w:rsidP="001A128A">
            <w:pPr>
              <w:autoSpaceDE w:val="0"/>
              <w:autoSpaceDN w:val="0"/>
              <w:adjustRightInd w:val="0"/>
              <w:spacing w:before="60" w:line="276" w:lineRule="auto"/>
            </w:pPr>
            <w:r w:rsidRPr="00CB798C">
              <w:t>Royal Brisbane &amp; Women's Hospital</w:t>
            </w:r>
          </w:p>
        </w:tc>
        <w:tc>
          <w:tcPr>
            <w:tcW w:w="1490" w:type="pct"/>
            <w:shd w:val="clear" w:color="auto" w:fill="auto"/>
          </w:tcPr>
          <w:p w14:paraId="0FAE86AC" w14:textId="100A2335" w:rsidR="001A128A" w:rsidRPr="00804630" w:rsidRDefault="001A128A" w:rsidP="001A128A">
            <w:pPr>
              <w:spacing w:before="40"/>
            </w:pPr>
            <w:r w:rsidRPr="00FE583F">
              <w:t>None</w:t>
            </w:r>
          </w:p>
        </w:tc>
      </w:tr>
      <w:tr w:rsidR="001A128A" w:rsidRPr="00804630" w14:paraId="00322A56" w14:textId="77777777" w:rsidTr="00A74C6B">
        <w:trPr>
          <w:trHeight w:val="315"/>
        </w:trPr>
        <w:tc>
          <w:tcPr>
            <w:tcW w:w="1304" w:type="pct"/>
            <w:hideMark/>
          </w:tcPr>
          <w:p w14:paraId="5355C02C" w14:textId="00363660" w:rsidR="001A128A" w:rsidRPr="00804630" w:rsidRDefault="001A128A" w:rsidP="001A128A">
            <w:pPr>
              <w:spacing w:before="40"/>
            </w:pPr>
            <w:r>
              <w:rPr>
                <w:bCs/>
                <w:color w:val="000000"/>
              </w:rPr>
              <w:t>Professor Dominic Mallon</w:t>
            </w:r>
          </w:p>
        </w:tc>
        <w:tc>
          <w:tcPr>
            <w:tcW w:w="2206" w:type="pct"/>
          </w:tcPr>
          <w:p w14:paraId="1BBA4528" w14:textId="77777777" w:rsidR="001A128A" w:rsidRPr="00804630" w:rsidRDefault="001A128A" w:rsidP="001A128A">
            <w:pPr>
              <w:autoSpaceDE w:val="0"/>
              <w:autoSpaceDN w:val="0"/>
              <w:adjustRightInd w:val="0"/>
              <w:spacing w:before="60" w:line="276" w:lineRule="auto"/>
            </w:pPr>
            <w:r w:rsidRPr="00CB798C">
              <w:t>PathWest</w:t>
            </w:r>
          </w:p>
        </w:tc>
        <w:tc>
          <w:tcPr>
            <w:tcW w:w="1490" w:type="pct"/>
            <w:shd w:val="clear" w:color="auto" w:fill="auto"/>
          </w:tcPr>
          <w:p w14:paraId="53FBDBF5" w14:textId="3103DB2B" w:rsidR="001A128A" w:rsidRPr="00804630" w:rsidRDefault="001A128A" w:rsidP="001A128A">
            <w:pPr>
              <w:spacing w:before="40"/>
            </w:pPr>
            <w:r w:rsidRPr="00FE583F">
              <w:t>None</w:t>
            </w:r>
          </w:p>
        </w:tc>
      </w:tr>
      <w:tr w:rsidR="001A128A" w:rsidRPr="00804630" w14:paraId="3D2DE4DF" w14:textId="77777777" w:rsidTr="00A74C6B">
        <w:trPr>
          <w:trHeight w:val="630"/>
        </w:trPr>
        <w:tc>
          <w:tcPr>
            <w:tcW w:w="1304" w:type="pct"/>
            <w:hideMark/>
          </w:tcPr>
          <w:p w14:paraId="1F8EE10A" w14:textId="77777777" w:rsidR="001A128A" w:rsidRPr="00804630" w:rsidRDefault="001A128A" w:rsidP="001A128A">
            <w:pPr>
              <w:spacing w:before="40"/>
            </w:pPr>
            <w:r>
              <w:rPr>
                <w:bCs/>
                <w:color w:val="000000"/>
              </w:rPr>
              <w:t>Dr Peter Roberts</w:t>
            </w:r>
          </w:p>
        </w:tc>
        <w:tc>
          <w:tcPr>
            <w:tcW w:w="2206" w:type="pct"/>
          </w:tcPr>
          <w:p w14:paraId="475BEE29" w14:textId="77777777" w:rsidR="001A128A" w:rsidRPr="00804630" w:rsidRDefault="001A128A" w:rsidP="001A128A">
            <w:pPr>
              <w:autoSpaceDE w:val="0"/>
              <w:autoSpaceDN w:val="0"/>
              <w:adjustRightInd w:val="0"/>
              <w:spacing w:before="60" w:line="276" w:lineRule="auto"/>
            </w:pPr>
            <w:r w:rsidRPr="00CB798C">
              <w:t>Ryde Hospital (AESM)</w:t>
            </w:r>
          </w:p>
        </w:tc>
        <w:tc>
          <w:tcPr>
            <w:tcW w:w="1490" w:type="pct"/>
            <w:shd w:val="clear" w:color="auto" w:fill="auto"/>
          </w:tcPr>
          <w:p w14:paraId="2CCC8598" w14:textId="08602DE3" w:rsidR="001A128A" w:rsidRPr="00804630" w:rsidRDefault="001A128A" w:rsidP="001A128A">
            <w:pPr>
              <w:spacing w:before="40"/>
            </w:pPr>
            <w:r w:rsidRPr="00FE583F">
              <w:t>None</w:t>
            </w:r>
          </w:p>
        </w:tc>
      </w:tr>
      <w:tr w:rsidR="001A128A" w:rsidRPr="00804630" w14:paraId="4D8C115B" w14:textId="77777777" w:rsidTr="006A286B">
        <w:trPr>
          <w:trHeight w:val="437"/>
        </w:trPr>
        <w:tc>
          <w:tcPr>
            <w:tcW w:w="1304" w:type="pct"/>
            <w:hideMark/>
          </w:tcPr>
          <w:p w14:paraId="5E64E0E5" w14:textId="687C9F2E" w:rsidR="001A128A" w:rsidRPr="00804630" w:rsidRDefault="001A128A" w:rsidP="001A128A">
            <w:pPr>
              <w:spacing w:before="40"/>
            </w:pPr>
            <w:r>
              <w:rPr>
                <w:bCs/>
                <w:color w:val="000000"/>
              </w:rPr>
              <w:t>Associate Professor Anthony Landgren</w:t>
            </w:r>
          </w:p>
        </w:tc>
        <w:tc>
          <w:tcPr>
            <w:tcW w:w="2206" w:type="pct"/>
          </w:tcPr>
          <w:p w14:paraId="5F148A34" w14:textId="77777777" w:rsidR="001A128A" w:rsidRPr="00804630" w:rsidRDefault="001A128A" w:rsidP="001A128A">
            <w:pPr>
              <w:autoSpaceDE w:val="0"/>
              <w:autoSpaceDN w:val="0"/>
              <w:adjustRightInd w:val="0"/>
              <w:spacing w:before="60" w:line="276" w:lineRule="auto"/>
            </w:pPr>
            <w:r w:rsidRPr="00CB798C">
              <w:t>Australian Clinical Labs</w:t>
            </w:r>
          </w:p>
        </w:tc>
        <w:tc>
          <w:tcPr>
            <w:tcW w:w="1490" w:type="pct"/>
            <w:shd w:val="clear" w:color="auto" w:fill="auto"/>
          </w:tcPr>
          <w:p w14:paraId="3206E500" w14:textId="12C7B6F3" w:rsidR="001A128A" w:rsidRPr="00804630" w:rsidRDefault="001A128A" w:rsidP="001A128A">
            <w:pPr>
              <w:spacing w:before="40"/>
            </w:pPr>
            <w:r w:rsidRPr="00FE583F">
              <w:t>None</w:t>
            </w:r>
          </w:p>
        </w:tc>
      </w:tr>
    </w:tbl>
    <w:p w14:paraId="12B0735D" w14:textId="36DD71E0" w:rsidR="00C75FBD" w:rsidRDefault="00C75FBD">
      <w:r>
        <w:br w:type="page"/>
      </w:r>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his table contains a list of the members of the Pathology Clinical Committee. It also contains a list of their positions and conflicts of interest."/>
      </w:tblPr>
      <w:tblGrid>
        <w:gridCol w:w="2354"/>
        <w:gridCol w:w="3982"/>
        <w:gridCol w:w="2690"/>
      </w:tblGrid>
      <w:tr w:rsidR="007C1C32" w:rsidRPr="00F648DD" w14:paraId="1393CCDE" w14:textId="77777777" w:rsidTr="006B3527">
        <w:trPr>
          <w:tblHeader/>
        </w:trPr>
        <w:tc>
          <w:tcPr>
            <w:tcW w:w="1304" w:type="pct"/>
            <w:shd w:val="clear" w:color="auto" w:fill="auto"/>
          </w:tcPr>
          <w:p w14:paraId="3C133A4D" w14:textId="77777777" w:rsidR="007C1C32" w:rsidRPr="00F648DD" w:rsidRDefault="007C1C32" w:rsidP="006B3527">
            <w:pPr>
              <w:rPr>
                <w:b/>
              </w:rPr>
            </w:pPr>
            <w:r w:rsidRPr="00F648DD">
              <w:rPr>
                <w:b/>
              </w:rPr>
              <w:t>Name</w:t>
            </w:r>
          </w:p>
        </w:tc>
        <w:tc>
          <w:tcPr>
            <w:tcW w:w="2206" w:type="pct"/>
            <w:shd w:val="clear" w:color="auto" w:fill="auto"/>
          </w:tcPr>
          <w:p w14:paraId="48B07FA1" w14:textId="77777777" w:rsidR="007C1C32" w:rsidRPr="00F648DD" w:rsidRDefault="007C1C32" w:rsidP="006B3527">
            <w:pPr>
              <w:rPr>
                <w:b/>
              </w:rPr>
            </w:pPr>
            <w:r w:rsidRPr="00F648DD">
              <w:rPr>
                <w:b/>
              </w:rPr>
              <w:t>Position/</w:t>
            </w:r>
            <w:r>
              <w:rPr>
                <w:b/>
              </w:rPr>
              <w:t>o</w:t>
            </w:r>
            <w:r w:rsidRPr="00F648DD">
              <w:rPr>
                <w:b/>
              </w:rPr>
              <w:t>rganisation</w:t>
            </w:r>
          </w:p>
        </w:tc>
        <w:tc>
          <w:tcPr>
            <w:tcW w:w="1490" w:type="pct"/>
            <w:shd w:val="clear" w:color="auto" w:fill="auto"/>
          </w:tcPr>
          <w:p w14:paraId="361D0D4B" w14:textId="77777777" w:rsidR="007C1C32" w:rsidRPr="00F648DD" w:rsidRDefault="007C1C32" w:rsidP="006B3527">
            <w:pPr>
              <w:rPr>
                <w:b/>
              </w:rPr>
            </w:pPr>
            <w:r w:rsidRPr="00F648DD">
              <w:rPr>
                <w:b/>
              </w:rPr>
              <w:t>Declared conflict of interest</w:t>
            </w:r>
          </w:p>
        </w:tc>
      </w:tr>
      <w:tr w:rsidR="001A128A" w:rsidRPr="00804630" w14:paraId="770EDA53" w14:textId="77777777" w:rsidTr="00A74C6B">
        <w:trPr>
          <w:trHeight w:val="630"/>
        </w:trPr>
        <w:tc>
          <w:tcPr>
            <w:tcW w:w="1304" w:type="pct"/>
            <w:hideMark/>
          </w:tcPr>
          <w:p w14:paraId="1182C087" w14:textId="611F8EA6" w:rsidR="001A128A" w:rsidRPr="00804630" w:rsidRDefault="001A128A" w:rsidP="001A128A">
            <w:pPr>
              <w:spacing w:before="40"/>
            </w:pPr>
            <w:r>
              <w:rPr>
                <w:bCs/>
                <w:color w:val="000000"/>
              </w:rPr>
              <w:t xml:space="preserve">Associate Professor Mary-Jo Waters </w:t>
            </w:r>
          </w:p>
        </w:tc>
        <w:tc>
          <w:tcPr>
            <w:tcW w:w="2206" w:type="pct"/>
          </w:tcPr>
          <w:p w14:paraId="6020C72B" w14:textId="77777777" w:rsidR="001A128A" w:rsidRPr="00804630" w:rsidRDefault="001A128A" w:rsidP="001A128A">
            <w:pPr>
              <w:autoSpaceDE w:val="0"/>
              <w:autoSpaceDN w:val="0"/>
              <w:adjustRightInd w:val="0"/>
              <w:spacing w:before="60" w:line="276" w:lineRule="auto"/>
            </w:pPr>
            <w:r w:rsidRPr="007962E8">
              <w:t>St Vincent's Pathology (CHA)</w:t>
            </w:r>
          </w:p>
        </w:tc>
        <w:tc>
          <w:tcPr>
            <w:tcW w:w="1490" w:type="pct"/>
            <w:shd w:val="clear" w:color="auto" w:fill="auto"/>
          </w:tcPr>
          <w:p w14:paraId="6485AB70" w14:textId="4127A507" w:rsidR="001A128A" w:rsidRPr="00804630" w:rsidRDefault="001A128A" w:rsidP="001A128A">
            <w:pPr>
              <w:spacing w:before="40"/>
            </w:pPr>
            <w:r w:rsidRPr="00FE583F">
              <w:t>None</w:t>
            </w:r>
          </w:p>
        </w:tc>
      </w:tr>
      <w:tr w:rsidR="001A128A" w:rsidRPr="00804630" w14:paraId="5FDA7FF0" w14:textId="77777777" w:rsidTr="00A74C6B">
        <w:trPr>
          <w:trHeight w:val="630"/>
        </w:trPr>
        <w:tc>
          <w:tcPr>
            <w:tcW w:w="1304" w:type="pct"/>
          </w:tcPr>
          <w:p w14:paraId="0FDA9EE9" w14:textId="2F65E9A6" w:rsidR="001A128A" w:rsidRDefault="001A128A" w:rsidP="001A128A">
            <w:pPr>
              <w:spacing w:before="40"/>
              <w:rPr>
                <w:bCs/>
                <w:color w:val="000000"/>
              </w:rPr>
            </w:pPr>
            <w:r>
              <w:rPr>
                <w:bCs/>
                <w:color w:val="000000"/>
              </w:rPr>
              <w:t>Professor Richard Maclsaac</w:t>
            </w:r>
          </w:p>
        </w:tc>
        <w:tc>
          <w:tcPr>
            <w:tcW w:w="2206" w:type="pct"/>
          </w:tcPr>
          <w:p w14:paraId="510F14C1" w14:textId="77777777" w:rsidR="001A128A" w:rsidRDefault="001A128A" w:rsidP="001A128A">
            <w:pPr>
              <w:autoSpaceDE w:val="0"/>
              <w:autoSpaceDN w:val="0"/>
              <w:adjustRightInd w:val="0"/>
              <w:spacing w:before="60" w:line="276" w:lineRule="auto"/>
              <w:rPr>
                <w:color w:val="000000"/>
              </w:rPr>
            </w:pPr>
            <w:r w:rsidRPr="007962E8">
              <w:t>St Vincent's Hospital</w:t>
            </w:r>
          </w:p>
        </w:tc>
        <w:tc>
          <w:tcPr>
            <w:tcW w:w="1490" w:type="pct"/>
            <w:shd w:val="clear" w:color="auto" w:fill="auto"/>
          </w:tcPr>
          <w:p w14:paraId="4A9C0E39" w14:textId="049CFA8A" w:rsidR="001A128A" w:rsidRDefault="001A128A" w:rsidP="001A128A">
            <w:pPr>
              <w:spacing w:before="40"/>
            </w:pPr>
            <w:r w:rsidRPr="00FE583F">
              <w:t>None</w:t>
            </w:r>
          </w:p>
        </w:tc>
      </w:tr>
      <w:tr w:rsidR="001A128A" w:rsidRPr="00804630" w14:paraId="5DBD4190" w14:textId="77777777" w:rsidTr="00A74C6B">
        <w:trPr>
          <w:trHeight w:val="630"/>
        </w:trPr>
        <w:tc>
          <w:tcPr>
            <w:tcW w:w="1304" w:type="pct"/>
          </w:tcPr>
          <w:p w14:paraId="5C6B1538" w14:textId="77777777" w:rsidR="001A128A" w:rsidRDefault="001A128A" w:rsidP="001A128A">
            <w:pPr>
              <w:spacing w:before="40"/>
              <w:rPr>
                <w:bCs/>
                <w:color w:val="000000"/>
              </w:rPr>
            </w:pPr>
            <w:r>
              <w:rPr>
                <w:bCs/>
                <w:color w:val="000000"/>
              </w:rPr>
              <w:t>Dr Emil Djakic</w:t>
            </w:r>
          </w:p>
        </w:tc>
        <w:tc>
          <w:tcPr>
            <w:tcW w:w="2206" w:type="pct"/>
          </w:tcPr>
          <w:p w14:paraId="1319E8ED" w14:textId="3A202A3C" w:rsidR="001A128A" w:rsidRDefault="001A128A" w:rsidP="001A128A">
            <w:pPr>
              <w:autoSpaceDE w:val="0"/>
              <w:autoSpaceDN w:val="0"/>
              <w:adjustRightInd w:val="0"/>
              <w:spacing w:before="60" w:line="276" w:lineRule="auto"/>
              <w:rPr>
                <w:color w:val="000000"/>
              </w:rPr>
            </w:pPr>
            <w:r w:rsidRPr="007962E8">
              <w:t xml:space="preserve">General </w:t>
            </w:r>
            <w:r>
              <w:t>p</w:t>
            </w:r>
            <w:r w:rsidRPr="007962E8">
              <w:t>ractitioner</w:t>
            </w:r>
          </w:p>
        </w:tc>
        <w:tc>
          <w:tcPr>
            <w:tcW w:w="1490" w:type="pct"/>
            <w:shd w:val="clear" w:color="auto" w:fill="auto"/>
          </w:tcPr>
          <w:p w14:paraId="64098EEF" w14:textId="7534B110" w:rsidR="001A128A" w:rsidRDefault="001A128A" w:rsidP="001A128A">
            <w:pPr>
              <w:spacing w:before="40"/>
            </w:pPr>
            <w:r w:rsidRPr="00FE583F">
              <w:t>None</w:t>
            </w:r>
          </w:p>
        </w:tc>
      </w:tr>
      <w:tr w:rsidR="001A128A" w:rsidRPr="00804630" w14:paraId="76A497E9" w14:textId="77777777" w:rsidTr="00A74C6B">
        <w:trPr>
          <w:trHeight w:val="630"/>
        </w:trPr>
        <w:tc>
          <w:tcPr>
            <w:tcW w:w="1304" w:type="pct"/>
          </w:tcPr>
          <w:p w14:paraId="408909E1" w14:textId="77777777" w:rsidR="001A128A" w:rsidRDefault="001A128A" w:rsidP="001A128A">
            <w:pPr>
              <w:spacing w:before="40"/>
              <w:rPr>
                <w:bCs/>
                <w:color w:val="000000"/>
              </w:rPr>
            </w:pPr>
            <w:r>
              <w:rPr>
                <w:bCs/>
                <w:color w:val="000000"/>
              </w:rPr>
              <w:t>Dr Bev Rowbotham</w:t>
            </w:r>
          </w:p>
        </w:tc>
        <w:tc>
          <w:tcPr>
            <w:tcW w:w="2206" w:type="pct"/>
          </w:tcPr>
          <w:p w14:paraId="644CCB09" w14:textId="77777777" w:rsidR="001A128A" w:rsidRDefault="001A128A" w:rsidP="001A128A">
            <w:pPr>
              <w:autoSpaceDE w:val="0"/>
              <w:autoSpaceDN w:val="0"/>
              <w:adjustRightInd w:val="0"/>
              <w:spacing w:before="60" w:line="276" w:lineRule="auto"/>
            </w:pPr>
            <w:r>
              <w:t>MBS Taskforce</w:t>
            </w:r>
          </w:p>
        </w:tc>
        <w:tc>
          <w:tcPr>
            <w:tcW w:w="1490" w:type="pct"/>
            <w:shd w:val="clear" w:color="auto" w:fill="auto"/>
          </w:tcPr>
          <w:p w14:paraId="7116115A" w14:textId="357C2AB3" w:rsidR="001A128A" w:rsidRDefault="001A128A" w:rsidP="001A128A">
            <w:pPr>
              <w:spacing w:before="40"/>
            </w:pPr>
            <w:r w:rsidRPr="00FE583F">
              <w:t>None</w:t>
            </w:r>
          </w:p>
        </w:tc>
      </w:tr>
      <w:tr w:rsidR="001A128A" w:rsidRPr="00804630" w14:paraId="37A75F28" w14:textId="77777777" w:rsidTr="00A74C6B">
        <w:trPr>
          <w:trHeight w:val="630"/>
        </w:trPr>
        <w:tc>
          <w:tcPr>
            <w:tcW w:w="1304" w:type="pct"/>
          </w:tcPr>
          <w:p w14:paraId="2364CD57" w14:textId="77777777" w:rsidR="001A128A" w:rsidRDefault="001A128A" w:rsidP="001A128A">
            <w:pPr>
              <w:spacing w:before="40"/>
              <w:rPr>
                <w:bCs/>
                <w:color w:val="000000"/>
              </w:rPr>
            </w:pPr>
            <w:r>
              <w:rPr>
                <w:bCs/>
                <w:color w:val="000000"/>
              </w:rPr>
              <w:t>Dr Jill Thistlethwaite</w:t>
            </w:r>
          </w:p>
        </w:tc>
        <w:tc>
          <w:tcPr>
            <w:tcW w:w="2206" w:type="pct"/>
          </w:tcPr>
          <w:p w14:paraId="6D265AA5" w14:textId="7EBF07D7" w:rsidR="001A128A" w:rsidRDefault="001A128A" w:rsidP="001A128A">
            <w:pPr>
              <w:autoSpaceDE w:val="0"/>
              <w:autoSpaceDN w:val="0"/>
              <w:adjustRightInd w:val="0"/>
              <w:spacing w:before="60" w:line="276" w:lineRule="auto"/>
            </w:pPr>
            <w:r>
              <w:t>General practitioner</w:t>
            </w:r>
          </w:p>
        </w:tc>
        <w:tc>
          <w:tcPr>
            <w:tcW w:w="1490" w:type="pct"/>
            <w:shd w:val="clear" w:color="auto" w:fill="auto"/>
          </w:tcPr>
          <w:p w14:paraId="73705630" w14:textId="5B457BCB" w:rsidR="001A128A" w:rsidRDefault="001A128A" w:rsidP="001A128A">
            <w:pPr>
              <w:spacing w:before="40"/>
            </w:pPr>
            <w:r w:rsidRPr="00FE583F">
              <w:t>None</w:t>
            </w:r>
          </w:p>
        </w:tc>
      </w:tr>
      <w:tr w:rsidR="001A128A" w:rsidRPr="00804630" w14:paraId="6584AA9C" w14:textId="77777777" w:rsidTr="00A74C6B">
        <w:trPr>
          <w:trHeight w:val="630"/>
        </w:trPr>
        <w:tc>
          <w:tcPr>
            <w:tcW w:w="1304" w:type="pct"/>
          </w:tcPr>
          <w:p w14:paraId="2AFA54C7" w14:textId="77777777" w:rsidR="001A128A" w:rsidRDefault="001A128A" w:rsidP="001A128A">
            <w:pPr>
              <w:spacing w:before="40"/>
              <w:rPr>
                <w:bCs/>
                <w:color w:val="000000"/>
              </w:rPr>
            </w:pPr>
            <w:r>
              <w:rPr>
                <w:bCs/>
                <w:color w:val="000000"/>
              </w:rPr>
              <w:t>Dr Gary Lum</w:t>
            </w:r>
          </w:p>
        </w:tc>
        <w:tc>
          <w:tcPr>
            <w:tcW w:w="2206" w:type="pct"/>
          </w:tcPr>
          <w:p w14:paraId="60932890" w14:textId="77777777" w:rsidR="001A128A" w:rsidRDefault="001A128A" w:rsidP="001A128A">
            <w:pPr>
              <w:autoSpaceDE w:val="0"/>
              <w:autoSpaceDN w:val="0"/>
              <w:adjustRightInd w:val="0"/>
              <w:spacing w:before="60" w:line="276" w:lineRule="auto"/>
              <w:rPr>
                <w:color w:val="000000"/>
              </w:rPr>
            </w:pPr>
            <w:r>
              <w:t>Department of Health</w:t>
            </w:r>
            <w:r w:rsidRPr="00AA0871">
              <w:t xml:space="preserve"> Medical Advisor</w:t>
            </w:r>
          </w:p>
        </w:tc>
        <w:tc>
          <w:tcPr>
            <w:tcW w:w="1490" w:type="pct"/>
            <w:shd w:val="clear" w:color="auto" w:fill="auto"/>
          </w:tcPr>
          <w:p w14:paraId="08880717" w14:textId="7924A535" w:rsidR="001A128A" w:rsidRDefault="001A128A" w:rsidP="001A128A">
            <w:pPr>
              <w:spacing w:before="40"/>
            </w:pPr>
            <w:r w:rsidRPr="00E315F6">
              <w:t>None</w:t>
            </w:r>
          </w:p>
        </w:tc>
      </w:tr>
      <w:tr w:rsidR="001A128A" w:rsidRPr="00804630" w14:paraId="3BC88BF7" w14:textId="77777777" w:rsidTr="00A74C6B">
        <w:trPr>
          <w:trHeight w:val="630"/>
        </w:trPr>
        <w:tc>
          <w:tcPr>
            <w:tcW w:w="1304" w:type="pct"/>
          </w:tcPr>
          <w:p w14:paraId="2D9217C9" w14:textId="77777777" w:rsidR="001A128A" w:rsidRDefault="001A128A" w:rsidP="001A128A">
            <w:pPr>
              <w:spacing w:before="40"/>
              <w:rPr>
                <w:bCs/>
                <w:color w:val="000000"/>
              </w:rPr>
            </w:pPr>
            <w:r>
              <w:rPr>
                <w:bCs/>
                <w:color w:val="000000"/>
              </w:rPr>
              <w:t>Ms Valerie Hanrahan</w:t>
            </w:r>
          </w:p>
        </w:tc>
        <w:tc>
          <w:tcPr>
            <w:tcW w:w="2206" w:type="pct"/>
          </w:tcPr>
          <w:p w14:paraId="27740D44" w14:textId="6CC3EAD7" w:rsidR="00380A8B" w:rsidRDefault="00380A8B" w:rsidP="001A128A">
            <w:pPr>
              <w:autoSpaceDE w:val="0"/>
              <w:autoSpaceDN w:val="0"/>
              <w:adjustRightInd w:val="0"/>
              <w:spacing w:before="60" w:line="276" w:lineRule="auto"/>
            </w:pPr>
            <w:r w:rsidRPr="00380A8B">
              <w:t>MBS Review Representative Consumer</w:t>
            </w:r>
          </w:p>
          <w:p w14:paraId="58A75030" w14:textId="77777777" w:rsidR="001A128A" w:rsidRDefault="001A128A" w:rsidP="001A128A">
            <w:pPr>
              <w:autoSpaceDE w:val="0"/>
              <w:autoSpaceDN w:val="0"/>
              <w:adjustRightInd w:val="0"/>
              <w:spacing w:before="60" w:line="276" w:lineRule="auto"/>
              <w:rPr>
                <w:color w:val="000000"/>
              </w:rPr>
            </w:pPr>
            <w:r w:rsidRPr="00AA0871">
              <w:t>Consumers Health Forum</w:t>
            </w:r>
          </w:p>
        </w:tc>
        <w:tc>
          <w:tcPr>
            <w:tcW w:w="1490" w:type="pct"/>
            <w:shd w:val="clear" w:color="auto" w:fill="auto"/>
          </w:tcPr>
          <w:p w14:paraId="25BC16EF" w14:textId="55610574" w:rsidR="001A128A" w:rsidRDefault="001A128A" w:rsidP="001A128A">
            <w:pPr>
              <w:spacing w:before="40"/>
            </w:pPr>
            <w:r w:rsidRPr="00E315F6">
              <w:t>None</w:t>
            </w:r>
          </w:p>
        </w:tc>
      </w:tr>
      <w:tr w:rsidR="001A128A" w:rsidRPr="00804630" w14:paraId="1AA0312A" w14:textId="77777777" w:rsidTr="00A74C6B">
        <w:trPr>
          <w:trHeight w:val="630"/>
        </w:trPr>
        <w:tc>
          <w:tcPr>
            <w:tcW w:w="1304" w:type="pct"/>
          </w:tcPr>
          <w:p w14:paraId="17AE64F7" w14:textId="18921F60" w:rsidR="001A128A" w:rsidRDefault="001A128A" w:rsidP="001A128A">
            <w:pPr>
              <w:spacing w:before="40"/>
              <w:rPr>
                <w:bCs/>
                <w:color w:val="000000"/>
              </w:rPr>
            </w:pPr>
            <w:r>
              <w:rPr>
                <w:bCs/>
                <w:color w:val="000000"/>
              </w:rPr>
              <w:t>Dr Robyn Lind</w:t>
            </w:r>
            <w:r w:rsidR="00A2436B">
              <w:rPr>
                <w:bCs/>
                <w:color w:val="000000"/>
              </w:rPr>
              <w:t>n</w:t>
            </w:r>
            <w:r>
              <w:rPr>
                <w:bCs/>
                <w:color w:val="000000"/>
              </w:rPr>
              <w:t>er</w:t>
            </w:r>
          </w:p>
        </w:tc>
        <w:tc>
          <w:tcPr>
            <w:tcW w:w="2206" w:type="pct"/>
          </w:tcPr>
          <w:p w14:paraId="1864103B" w14:textId="77777777" w:rsidR="001A128A" w:rsidRDefault="001A128A" w:rsidP="001A128A">
            <w:pPr>
              <w:autoSpaceDE w:val="0"/>
              <w:autoSpaceDN w:val="0"/>
              <w:adjustRightInd w:val="0"/>
              <w:spacing w:before="60" w:line="276" w:lineRule="auto"/>
              <w:rPr>
                <w:color w:val="000000"/>
              </w:rPr>
            </w:pPr>
            <w:r w:rsidRPr="00AA0871">
              <w:t>National Prescribing Service</w:t>
            </w:r>
          </w:p>
        </w:tc>
        <w:tc>
          <w:tcPr>
            <w:tcW w:w="1490" w:type="pct"/>
            <w:shd w:val="clear" w:color="auto" w:fill="auto"/>
          </w:tcPr>
          <w:p w14:paraId="51CF5943" w14:textId="56CAEAFC" w:rsidR="001A128A" w:rsidRDefault="001A128A" w:rsidP="001A128A">
            <w:pPr>
              <w:spacing w:before="40"/>
            </w:pPr>
            <w:r w:rsidRPr="00E315F6">
              <w:t>None</w:t>
            </w:r>
          </w:p>
        </w:tc>
      </w:tr>
      <w:tr w:rsidR="001A128A" w:rsidRPr="00804630" w14:paraId="1BAA7AD9" w14:textId="77777777" w:rsidTr="00A74C6B">
        <w:trPr>
          <w:trHeight w:val="630"/>
        </w:trPr>
        <w:tc>
          <w:tcPr>
            <w:tcW w:w="1304" w:type="pct"/>
          </w:tcPr>
          <w:p w14:paraId="0E8AD939" w14:textId="21DDFAC9" w:rsidR="001A128A" w:rsidRDefault="001A128A" w:rsidP="001A128A">
            <w:pPr>
              <w:spacing w:before="40"/>
              <w:rPr>
                <w:bCs/>
                <w:color w:val="000000"/>
              </w:rPr>
            </w:pPr>
          </w:p>
        </w:tc>
        <w:tc>
          <w:tcPr>
            <w:tcW w:w="2206" w:type="pct"/>
          </w:tcPr>
          <w:p w14:paraId="7FBC25B0" w14:textId="23441A78" w:rsidR="001A128A" w:rsidRDefault="001A128A" w:rsidP="001A128A">
            <w:pPr>
              <w:autoSpaceDE w:val="0"/>
              <w:autoSpaceDN w:val="0"/>
              <w:adjustRightInd w:val="0"/>
              <w:spacing w:before="60" w:line="276" w:lineRule="auto"/>
              <w:rPr>
                <w:color w:val="000000"/>
              </w:rPr>
            </w:pPr>
          </w:p>
        </w:tc>
        <w:tc>
          <w:tcPr>
            <w:tcW w:w="1490" w:type="pct"/>
            <w:shd w:val="clear" w:color="auto" w:fill="auto"/>
          </w:tcPr>
          <w:p w14:paraId="6FFEC3CD" w14:textId="06B8426B" w:rsidR="001A128A" w:rsidRDefault="001A128A" w:rsidP="001A128A">
            <w:pPr>
              <w:spacing w:before="40"/>
            </w:pPr>
          </w:p>
        </w:tc>
      </w:tr>
    </w:tbl>
    <w:p w14:paraId="7637958B" w14:textId="77777777" w:rsidR="00B84C4F" w:rsidRDefault="00B84C4F" w:rsidP="006A286B">
      <w:pPr>
        <w:pStyle w:val="Heading2"/>
      </w:pPr>
      <w:bookmarkStart w:id="27" w:name="_Toc485295721"/>
      <w:bookmarkStart w:id="28" w:name="_Toc485296592"/>
      <w:r>
        <w:t>Chemical Working Group</w:t>
      </w:r>
      <w:bookmarkEnd w:id="27"/>
      <w:bookmarkEnd w:id="28"/>
    </w:p>
    <w:p w14:paraId="4D70F6F9" w14:textId="43F6CBB1" w:rsidR="00DB090A" w:rsidRDefault="00DB090A" w:rsidP="00DB090A">
      <w:r>
        <w:t xml:space="preserve">The Chemical Working Group is one of six clinical </w:t>
      </w:r>
      <w:r w:rsidR="00E5655B">
        <w:t>W</w:t>
      </w:r>
      <w:r>
        <w:t xml:space="preserve">orking </w:t>
      </w:r>
      <w:r w:rsidR="00E5655B">
        <w:t>G</w:t>
      </w:r>
      <w:r>
        <w:t xml:space="preserve">roups that have been established to support the work of the Pathology Clinical Committee. It was established to review chemical pathology items, and make recommendations to the Pathology Clinical Committee based on rapid evidence review and clinical expertise. </w:t>
      </w:r>
      <w:r w:rsidR="00361580">
        <w:t xml:space="preserve">Their recommendations were </w:t>
      </w:r>
      <w:r>
        <w:t xml:space="preserve">endorsed by the Pathology Clinical Committee to go out for public comment </w:t>
      </w:r>
      <w:r w:rsidR="00563F39">
        <w:t xml:space="preserve">before </w:t>
      </w:r>
      <w:r>
        <w:t xml:space="preserve">MBS Taskforce consideration. </w:t>
      </w:r>
    </w:p>
    <w:p w14:paraId="01BF8381" w14:textId="1CBFAC00" w:rsidR="00B84C4F" w:rsidRPr="00B84C4F" w:rsidRDefault="00DB090A" w:rsidP="00B84C4F">
      <w:r>
        <w:t xml:space="preserve">The Chemical Working </w:t>
      </w:r>
      <w:r w:rsidR="00563F39">
        <w:t xml:space="preserve">Group </w:t>
      </w:r>
      <w:r>
        <w:t xml:space="preserve">consists of </w:t>
      </w:r>
      <w:r w:rsidR="00563F39">
        <w:t xml:space="preserve">nine </w:t>
      </w:r>
      <w:r>
        <w:t xml:space="preserve">members, whose names, positions/organisations and declared conflicts of interest are listed in Table 2 below. </w:t>
      </w:r>
      <w:r w:rsidR="00B84C4F">
        <w:t>The following members were involved in the C</w:t>
      </w:r>
      <w:r>
        <w:t>hemical Working Group</w:t>
      </w:r>
      <w:r w:rsidR="00B84C4F">
        <w:t xml:space="preserve"> and have since resigned from the working group. Dr Nimalie Perera was involved from June to August 2016, Dr Glenn Edwards was involved from June to November 2016 and Dr Simon Morgan from October to November 2016. These members resigned before finalisation of the report.</w:t>
      </w:r>
    </w:p>
    <w:p w14:paraId="2B24A58F" w14:textId="77777777" w:rsidR="00862EC7" w:rsidRDefault="00862EC7">
      <w:pPr>
        <w:spacing w:before="0" w:after="0" w:line="240" w:lineRule="auto"/>
        <w:rPr>
          <w:rFonts w:eastAsiaTheme="minorHAnsi" w:cs="Arial"/>
          <w:i/>
          <w:sz w:val="20"/>
          <w:szCs w:val="22"/>
          <w:lang w:eastAsia="en-US"/>
        </w:rPr>
      </w:pPr>
      <w:bookmarkStart w:id="29" w:name="_Toc472940494"/>
      <w:r>
        <w:br w:type="page"/>
      </w:r>
    </w:p>
    <w:p w14:paraId="37F0338C" w14:textId="77777777" w:rsidR="00B84C4F" w:rsidRPr="003744BA" w:rsidRDefault="00B84C4F" w:rsidP="003744BA">
      <w:pPr>
        <w:pStyle w:val="Caption"/>
      </w:pPr>
      <w:r w:rsidRPr="003744BA">
        <w:t>Table 2:</w:t>
      </w:r>
      <w:r w:rsidRPr="003744BA">
        <w:tab/>
        <w:t>Chemical Working Group Members</w:t>
      </w:r>
      <w:bookmarkEnd w:id="29"/>
    </w:p>
    <w:tbl>
      <w:tblPr>
        <w:tblStyle w:val="TableGrid"/>
        <w:tblW w:w="5000" w:type="pct"/>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Description w:val="This is a list of the Chemical Working Group members. It also lists their positions and conflict of interest."/>
      </w:tblPr>
      <w:tblGrid>
        <w:gridCol w:w="2354"/>
        <w:gridCol w:w="3982"/>
        <w:gridCol w:w="2690"/>
      </w:tblGrid>
      <w:tr w:rsidR="00B84C4F" w:rsidRPr="00F648DD" w14:paraId="05153C09" w14:textId="77777777" w:rsidTr="00B84C4F">
        <w:trPr>
          <w:tblHeader/>
        </w:trPr>
        <w:tc>
          <w:tcPr>
            <w:tcW w:w="1304" w:type="pct"/>
            <w:shd w:val="clear" w:color="auto" w:fill="auto"/>
          </w:tcPr>
          <w:p w14:paraId="14F64F1D" w14:textId="77777777" w:rsidR="00B84C4F" w:rsidRPr="00F648DD" w:rsidRDefault="00B84C4F" w:rsidP="00B84C4F">
            <w:pPr>
              <w:rPr>
                <w:b/>
              </w:rPr>
            </w:pPr>
            <w:r w:rsidRPr="00F648DD">
              <w:rPr>
                <w:b/>
              </w:rPr>
              <w:t>Name</w:t>
            </w:r>
          </w:p>
        </w:tc>
        <w:tc>
          <w:tcPr>
            <w:tcW w:w="2206" w:type="pct"/>
            <w:shd w:val="clear" w:color="auto" w:fill="auto"/>
          </w:tcPr>
          <w:p w14:paraId="4845C96D" w14:textId="16C99951" w:rsidR="00B84C4F" w:rsidRPr="00F648DD" w:rsidRDefault="00B84C4F" w:rsidP="00862EC7">
            <w:pPr>
              <w:rPr>
                <w:b/>
              </w:rPr>
            </w:pPr>
            <w:r w:rsidRPr="00F648DD">
              <w:rPr>
                <w:b/>
              </w:rPr>
              <w:t>Position/</w:t>
            </w:r>
            <w:r w:rsidR="00862EC7">
              <w:rPr>
                <w:b/>
              </w:rPr>
              <w:t>o</w:t>
            </w:r>
            <w:r w:rsidR="00862EC7" w:rsidRPr="00F648DD">
              <w:rPr>
                <w:b/>
              </w:rPr>
              <w:t>rganisation</w:t>
            </w:r>
          </w:p>
        </w:tc>
        <w:tc>
          <w:tcPr>
            <w:tcW w:w="1490" w:type="pct"/>
            <w:shd w:val="clear" w:color="auto" w:fill="auto"/>
          </w:tcPr>
          <w:p w14:paraId="384D35C9" w14:textId="77777777" w:rsidR="00B84C4F" w:rsidRPr="00F648DD" w:rsidRDefault="00B84C4F" w:rsidP="00B84C4F">
            <w:pPr>
              <w:rPr>
                <w:b/>
              </w:rPr>
            </w:pPr>
            <w:r w:rsidRPr="00F648DD">
              <w:rPr>
                <w:b/>
              </w:rPr>
              <w:t>Declared conflict of interest</w:t>
            </w:r>
          </w:p>
        </w:tc>
      </w:tr>
      <w:tr w:rsidR="00B84C4F" w:rsidRPr="00804630" w14:paraId="28D49D1A" w14:textId="77777777" w:rsidTr="00B84C4F">
        <w:trPr>
          <w:trHeight w:val="549"/>
        </w:trPr>
        <w:tc>
          <w:tcPr>
            <w:tcW w:w="1304" w:type="pct"/>
            <w:hideMark/>
          </w:tcPr>
          <w:p w14:paraId="1AACDAD9" w14:textId="77777777" w:rsidR="00B84C4F" w:rsidRPr="00804630" w:rsidRDefault="00B84C4F" w:rsidP="00B84C4F">
            <w:pPr>
              <w:spacing w:before="40"/>
            </w:pPr>
            <w:r w:rsidRPr="00E72750">
              <w:rPr>
                <w:rFonts w:cs="Arial"/>
                <w:szCs w:val="20"/>
                <w:lang w:val="en-GB"/>
              </w:rPr>
              <w:t xml:space="preserve">Professor </w:t>
            </w:r>
            <w:r>
              <w:rPr>
                <w:rFonts w:cs="Arial"/>
                <w:szCs w:val="20"/>
                <w:lang w:val="en-GB"/>
              </w:rPr>
              <w:t>Hans Schneider</w:t>
            </w:r>
            <w:r w:rsidRPr="00E72750">
              <w:rPr>
                <w:rFonts w:cs="Arial"/>
                <w:szCs w:val="20"/>
                <w:lang w:val="en-GB"/>
              </w:rPr>
              <w:t xml:space="preserve"> (Chair)</w:t>
            </w:r>
          </w:p>
        </w:tc>
        <w:tc>
          <w:tcPr>
            <w:tcW w:w="2206" w:type="pct"/>
          </w:tcPr>
          <w:p w14:paraId="7454656F" w14:textId="77777777" w:rsidR="00B84C4F" w:rsidRPr="00FE52A2" w:rsidRDefault="00B84C4F" w:rsidP="00B84C4F">
            <w:pPr>
              <w:pStyle w:val="02Tabletext"/>
              <w:spacing w:after="20"/>
              <w:rPr>
                <w:rFonts w:cs="Arial"/>
                <w:szCs w:val="20"/>
                <w:lang w:val="en-GB"/>
              </w:rPr>
            </w:pPr>
            <w:r w:rsidRPr="00FE52A2">
              <w:rPr>
                <w:rFonts w:cs="Arial"/>
                <w:szCs w:val="20"/>
                <w:lang w:val="en-GB"/>
              </w:rPr>
              <w:t>Director of Pathology, Alfred Pathology Service (Melbourne);</w:t>
            </w:r>
          </w:p>
          <w:p w14:paraId="64C452C6" w14:textId="77777777" w:rsidR="00B84C4F" w:rsidRPr="00FE52A2" w:rsidRDefault="00B84C4F" w:rsidP="00B84C4F">
            <w:pPr>
              <w:pStyle w:val="02Tabletext"/>
              <w:spacing w:after="20"/>
              <w:rPr>
                <w:rFonts w:cs="Arial"/>
                <w:szCs w:val="20"/>
                <w:lang w:val="en-GB"/>
              </w:rPr>
            </w:pPr>
            <w:r w:rsidRPr="00FE52A2">
              <w:rPr>
                <w:rFonts w:cs="Arial"/>
                <w:szCs w:val="20"/>
                <w:lang w:val="en-GB"/>
              </w:rPr>
              <w:t xml:space="preserve">Adjunct Clinical Professor, Central Clinical School, Monash University; </w:t>
            </w:r>
          </w:p>
          <w:p w14:paraId="5AA87515" w14:textId="77777777" w:rsidR="00B84C4F" w:rsidRPr="00804630" w:rsidRDefault="00B84C4F" w:rsidP="00B84C4F">
            <w:pPr>
              <w:autoSpaceDE w:val="0"/>
              <w:autoSpaceDN w:val="0"/>
              <w:adjustRightInd w:val="0"/>
              <w:spacing w:before="60" w:line="276" w:lineRule="auto"/>
            </w:pPr>
            <w:r w:rsidRPr="00FE52A2">
              <w:rPr>
                <w:rFonts w:cs="Arial"/>
                <w:szCs w:val="20"/>
                <w:lang w:val="en-GB"/>
              </w:rPr>
              <w:t>President, Public Pathology Australia</w:t>
            </w:r>
          </w:p>
        </w:tc>
        <w:tc>
          <w:tcPr>
            <w:tcW w:w="1490" w:type="pct"/>
            <w:shd w:val="clear" w:color="auto" w:fill="auto"/>
          </w:tcPr>
          <w:p w14:paraId="0BA089D6" w14:textId="77777777" w:rsidR="00B84C4F" w:rsidRPr="00804630" w:rsidRDefault="00B84C4F" w:rsidP="00B84C4F">
            <w:pPr>
              <w:spacing w:before="40"/>
            </w:pPr>
            <w:r w:rsidRPr="0060679E">
              <w:rPr>
                <w:rFonts w:cs="Arial"/>
                <w:szCs w:val="20"/>
                <w:lang w:val="en-GB"/>
              </w:rPr>
              <w:t xml:space="preserve">Is the main biller of the tests at the Alfred, </w:t>
            </w:r>
            <w:r>
              <w:rPr>
                <w:rFonts w:cs="Arial"/>
                <w:szCs w:val="20"/>
                <w:lang w:val="en-GB"/>
              </w:rPr>
              <w:t>100% of the proceeds are donated to the public hospital.</w:t>
            </w:r>
          </w:p>
        </w:tc>
      </w:tr>
      <w:tr w:rsidR="00B84C4F" w:rsidRPr="00804630" w14:paraId="22CC8F47" w14:textId="77777777" w:rsidTr="00B84C4F">
        <w:trPr>
          <w:trHeight w:val="842"/>
        </w:trPr>
        <w:tc>
          <w:tcPr>
            <w:tcW w:w="1304" w:type="pct"/>
            <w:hideMark/>
          </w:tcPr>
          <w:p w14:paraId="7F9BB76C" w14:textId="77777777" w:rsidR="00B84C4F" w:rsidRPr="00804630" w:rsidRDefault="00B84C4F" w:rsidP="00B84C4F">
            <w:pPr>
              <w:spacing w:before="40"/>
            </w:pPr>
            <w:r>
              <w:rPr>
                <w:rFonts w:cs="Arial"/>
                <w:szCs w:val="20"/>
                <w:lang w:val="en-GB"/>
              </w:rPr>
              <w:t>Dr Lawrie Bott</w:t>
            </w:r>
          </w:p>
        </w:tc>
        <w:tc>
          <w:tcPr>
            <w:tcW w:w="2206" w:type="pct"/>
          </w:tcPr>
          <w:p w14:paraId="13D8A74B" w14:textId="77777777" w:rsidR="00B84C4F" w:rsidRPr="00804630" w:rsidRDefault="00B84C4F" w:rsidP="00B84C4F">
            <w:pPr>
              <w:autoSpaceDE w:val="0"/>
              <w:autoSpaceDN w:val="0"/>
              <w:adjustRightInd w:val="0"/>
              <w:spacing w:before="60" w:line="276" w:lineRule="auto"/>
            </w:pPr>
            <w:r w:rsidRPr="00FE52A2">
              <w:rPr>
                <w:rFonts w:cs="Arial"/>
                <w:szCs w:val="20"/>
                <w:lang w:val="en-GB"/>
              </w:rPr>
              <w:t>Pathologist, Sonic Healthcare</w:t>
            </w:r>
            <w:r w:rsidR="00862EC7">
              <w:rPr>
                <w:rFonts w:cs="Arial"/>
                <w:szCs w:val="20"/>
                <w:lang w:val="en-GB"/>
              </w:rPr>
              <w:t>,</w:t>
            </w:r>
            <w:r w:rsidRPr="00FE52A2">
              <w:rPr>
                <w:rFonts w:cs="Arial"/>
                <w:szCs w:val="20"/>
                <w:lang w:val="en-GB"/>
              </w:rPr>
              <w:t xml:space="preserve"> Hobart</w:t>
            </w:r>
          </w:p>
        </w:tc>
        <w:tc>
          <w:tcPr>
            <w:tcW w:w="1490" w:type="pct"/>
            <w:shd w:val="clear" w:color="auto" w:fill="auto"/>
          </w:tcPr>
          <w:p w14:paraId="7996A1DD" w14:textId="4EA49612" w:rsidR="00B84C4F" w:rsidRPr="00804630" w:rsidRDefault="00B84C4F" w:rsidP="00B84C4F">
            <w:pPr>
              <w:spacing w:before="40"/>
            </w:pPr>
            <w:r w:rsidRPr="00A624B5">
              <w:rPr>
                <w:rFonts w:cs="Arial"/>
                <w:szCs w:val="18"/>
              </w:rPr>
              <w:t>Provider of MBS</w:t>
            </w:r>
            <w:r w:rsidR="00862EC7">
              <w:rPr>
                <w:rFonts w:cs="Arial"/>
                <w:szCs w:val="18"/>
              </w:rPr>
              <w:t>-</w:t>
            </w:r>
            <w:r w:rsidRPr="00A624B5">
              <w:rPr>
                <w:rFonts w:cs="Arial"/>
                <w:szCs w:val="18"/>
              </w:rPr>
              <w:t>funded services reviewed by this Committee</w:t>
            </w:r>
            <w:r w:rsidRPr="00A624B5">
              <w:rPr>
                <w:rFonts w:cs="Arial"/>
                <w:szCs w:val="18"/>
                <w:lang w:val="en-GB"/>
              </w:rPr>
              <w:t>.</w:t>
            </w:r>
          </w:p>
        </w:tc>
      </w:tr>
      <w:tr w:rsidR="00B84C4F" w:rsidRPr="00804630" w14:paraId="09A569AE" w14:textId="77777777" w:rsidTr="00B84C4F">
        <w:trPr>
          <w:trHeight w:val="945"/>
        </w:trPr>
        <w:tc>
          <w:tcPr>
            <w:tcW w:w="1304" w:type="pct"/>
            <w:hideMark/>
          </w:tcPr>
          <w:p w14:paraId="1CA1512A" w14:textId="77777777" w:rsidR="00B84C4F" w:rsidRPr="00804630" w:rsidRDefault="00B84C4F" w:rsidP="00B84C4F">
            <w:pPr>
              <w:spacing w:before="40"/>
            </w:pPr>
            <w:r w:rsidRPr="006B6E6F">
              <w:rPr>
                <w:rFonts w:cs="Arial"/>
                <w:szCs w:val="20"/>
                <w:lang w:val="en-GB"/>
              </w:rPr>
              <w:t>Dr David Deam</w:t>
            </w:r>
          </w:p>
        </w:tc>
        <w:tc>
          <w:tcPr>
            <w:tcW w:w="2206" w:type="pct"/>
          </w:tcPr>
          <w:p w14:paraId="73B37ED6" w14:textId="77777777" w:rsidR="00B84C4F" w:rsidRPr="00804630" w:rsidRDefault="00B84C4F" w:rsidP="00B84C4F">
            <w:pPr>
              <w:autoSpaceDE w:val="0"/>
              <w:autoSpaceDN w:val="0"/>
              <w:adjustRightInd w:val="0"/>
              <w:spacing w:before="60" w:line="276" w:lineRule="auto"/>
            </w:pPr>
            <w:r w:rsidRPr="00FE52A2">
              <w:rPr>
                <w:lang w:val="en-GB"/>
              </w:rPr>
              <w:t>Chemical Pathologist, Australian Clinical Labs</w:t>
            </w:r>
          </w:p>
        </w:tc>
        <w:tc>
          <w:tcPr>
            <w:tcW w:w="1490" w:type="pct"/>
            <w:shd w:val="clear" w:color="auto" w:fill="auto"/>
          </w:tcPr>
          <w:p w14:paraId="4815DBFE" w14:textId="65ACE98C" w:rsidR="00B84C4F" w:rsidRPr="00804630" w:rsidRDefault="00B84C4F" w:rsidP="00B84C4F">
            <w:pPr>
              <w:spacing w:before="40"/>
            </w:pPr>
            <w:r w:rsidRPr="00A624B5">
              <w:rPr>
                <w:rFonts w:cs="Arial"/>
                <w:szCs w:val="18"/>
              </w:rPr>
              <w:t>Provider of MBS</w:t>
            </w:r>
            <w:r w:rsidR="00862EC7">
              <w:rPr>
                <w:rFonts w:cs="Arial"/>
                <w:szCs w:val="18"/>
              </w:rPr>
              <w:t>-</w:t>
            </w:r>
            <w:r w:rsidRPr="00A624B5">
              <w:rPr>
                <w:rFonts w:cs="Arial"/>
                <w:szCs w:val="18"/>
              </w:rPr>
              <w:t>funded services reviewed by this Committee</w:t>
            </w:r>
            <w:r w:rsidRPr="00A624B5">
              <w:rPr>
                <w:rFonts w:cs="Arial"/>
                <w:szCs w:val="18"/>
                <w:lang w:val="en-GB"/>
              </w:rPr>
              <w:t>.</w:t>
            </w:r>
          </w:p>
        </w:tc>
      </w:tr>
      <w:tr w:rsidR="00B84C4F" w:rsidRPr="00804630" w14:paraId="28D98C5D" w14:textId="77777777" w:rsidTr="00B84C4F">
        <w:trPr>
          <w:trHeight w:val="450"/>
        </w:trPr>
        <w:tc>
          <w:tcPr>
            <w:tcW w:w="1304" w:type="pct"/>
            <w:hideMark/>
          </w:tcPr>
          <w:p w14:paraId="29D3F9DA" w14:textId="77777777" w:rsidR="00B84C4F" w:rsidRPr="00804630" w:rsidRDefault="00B84C4F" w:rsidP="00B84C4F">
            <w:pPr>
              <w:spacing w:before="40"/>
            </w:pPr>
            <w:r>
              <w:rPr>
                <w:rFonts w:cs="Arial"/>
                <w:szCs w:val="20"/>
                <w:lang w:val="en-GB"/>
              </w:rPr>
              <w:t>Dr Alan McNeil</w:t>
            </w:r>
          </w:p>
        </w:tc>
        <w:tc>
          <w:tcPr>
            <w:tcW w:w="2206" w:type="pct"/>
          </w:tcPr>
          <w:p w14:paraId="4424D82B" w14:textId="77777777" w:rsidR="00B84C4F" w:rsidRPr="00804630" w:rsidRDefault="00B84C4F" w:rsidP="00B84C4F">
            <w:pPr>
              <w:spacing w:before="60"/>
            </w:pPr>
            <w:r w:rsidRPr="00FE52A2">
              <w:rPr>
                <w:lang w:val="en-GB"/>
              </w:rPr>
              <w:t>Chemical Pathologist, Dorevitch Pathology</w:t>
            </w:r>
            <w:r w:rsidR="00862EC7">
              <w:rPr>
                <w:lang w:val="en-GB"/>
              </w:rPr>
              <w:t>,</w:t>
            </w:r>
            <w:r w:rsidRPr="00FE52A2">
              <w:rPr>
                <w:lang w:val="en-GB"/>
              </w:rPr>
              <w:t xml:space="preserve"> Melbourne</w:t>
            </w:r>
          </w:p>
        </w:tc>
        <w:tc>
          <w:tcPr>
            <w:tcW w:w="1490" w:type="pct"/>
            <w:shd w:val="clear" w:color="auto" w:fill="auto"/>
          </w:tcPr>
          <w:p w14:paraId="5485B765" w14:textId="77777777" w:rsidR="00B84C4F" w:rsidRPr="00804630" w:rsidRDefault="00B84C4F" w:rsidP="00B84C4F">
            <w:pPr>
              <w:spacing w:before="40"/>
            </w:pPr>
            <w:r w:rsidRPr="00A624B5">
              <w:rPr>
                <w:rFonts w:cs="Arial"/>
                <w:szCs w:val="18"/>
                <w:lang w:val="en-GB"/>
              </w:rPr>
              <w:t>Nil</w:t>
            </w:r>
          </w:p>
        </w:tc>
      </w:tr>
      <w:tr w:rsidR="00B84C4F" w:rsidRPr="00804630" w14:paraId="20A07D50" w14:textId="77777777" w:rsidTr="00B84C4F">
        <w:trPr>
          <w:trHeight w:val="633"/>
        </w:trPr>
        <w:tc>
          <w:tcPr>
            <w:tcW w:w="1304" w:type="pct"/>
            <w:hideMark/>
          </w:tcPr>
          <w:p w14:paraId="3CEA8A20" w14:textId="77777777" w:rsidR="00B84C4F" w:rsidRPr="00804630" w:rsidRDefault="00B84C4F" w:rsidP="00B84C4F">
            <w:pPr>
              <w:spacing w:before="40"/>
            </w:pPr>
            <w:r>
              <w:rPr>
                <w:rFonts w:cs="Arial"/>
                <w:szCs w:val="20"/>
                <w:lang w:val="en-GB"/>
              </w:rPr>
              <w:t>Dr Trina Gregory</w:t>
            </w:r>
          </w:p>
        </w:tc>
        <w:tc>
          <w:tcPr>
            <w:tcW w:w="2206" w:type="pct"/>
          </w:tcPr>
          <w:p w14:paraId="0CC1CC43" w14:textId="77777777" w:rsidR="00B84C4F" w:rsidRPr="00804630" w:rsidRDefault="00B84C4F" w:rsidP="00B84C4F">
            <w:pPr>
              <w:autoSpaceDE w:val="0"/>
              <w:autoSpaceDN w:val="0"/>
              <w:adjustRightInd w:val="0"/>
              <w:spacing w:before="60" w:line="276" w:lineRule="auto"/>
            </w:pPr>
            <w:r w:rsidRPr="00A92A4D">
              <w:rPr>
                <w:rFonts w:cs="Arial"/>
                <w:szCs w:val="20"/>
                <w:lang w:val="en-GB"/>
              </w:rPr>
              <w:t xml:space="preserve">Clinical </w:t>
            </w:r>
            <w:r>
              <w:rPr>
                <w:rFonts w:cs="Arial"/>
                <w:szCs w:val="20"/>
                <w:lang w:val="en-GB"/>
              </w:rPr>
              <w:t>D</w:t>
            </w:r>
            <w:r w:rsidRPr="00A92A4D">
              <w:rPr>
                <w:rFonts w:cs="Arial"/>
                <w:szCs w:val="20"/>
                <w:lang w:val="en-GB"/>
              </w:rPr>
              <w:t>irector</w:t>
            </w:r>
            <w:r>
              <w:rPr>
                <w:rFonts w:cs="Arial"/>
                <w:szCs w:val="20"/>
                <w:lang w:val="en-GB"/>
              </w:rPr>
              <w:t>,</w:t>
            </w:r>
            <w:r w:rsidRPr="00A92A4D">
              <w:rPr>
                <w:rFonts w:cs="Arial"/>
                <w:szCs w:val="20"/>
                <w:lang w:val="en-GB"/>
              </w:rPr>
              <w:t xml:space="preserve"> Watson </w:t>
            </w:r>
            <w:r>
              <w:rPr>
                <w:rFonts w:cs="Arial"/>
                <w:szCs w:val="20"/>
                <w:lang w:val="en-GB"/>
              </w:rPr>
              <w:t>G</w:t>
            </w:r>
            <w:r w:rsidRPr="00A92A4D">
              <w:rPr>
                <w:rFonts w:cs="Arial"/>
                <w:szCs w:val="20"/>
                <w:lang w:val="en-GB"/>
              </w:rPr>
              <w:t xml:space="preserve">eneral </w:t>
            </w:r>
            <w:r>
              <w:rPr>
                <w:rFonts w:cs="Arial"/>
                <w:szCs w:val="20"/>
                <w:lang w:val="en-GB"/>
              </w:rPr>
              <w:t>P</w:t>
            </w:r>
            <w:r w:rsidRPr="00A92A4D">
              <w:rPr>
                <w:rFonts w:cs="Arial"/>
                <w:szCs w:val="20"/>
                <w:lang w:val="en-GB"/>
              </w:rPr>
              <w:t>ractice</w:t>
            </w:r>
            <w:r>
              <w:rPr>
                <w:rFonts w:cs="Arial"/>
                <w:szCs w:val="20"/>
                <w:lang w:val="en-GB"/>
              </w:rPr>
              <w:t>,</w:t>
            </w:r>
            <w:r w:rsidRPr="00A92A4D">
              <w:rPr>
                <w:rFonts w:cs="Arial"/>
                <w:szCs w:val="20"/>
                <w:lang w:val="en-GB"/>
              </w:rPr>
              <w:t xml:space="preserve"> ACT</w:t>
            </w:r>
          </w:p>
        </w:tc>
        <w:tc>
          <w:tcPr>
            <w:tcW w:w="1490" w:type="pct"/>
            <w:shd w:val="clear" w:color="auto" w:fill="auto"/>
          </w:tcPr>
          <w:p w14:paraId="01C5E9A1" w14:textId="77777777" w:rsidR="00B84C4F" w:rsidRPr="00804630" w:rsidRDefault="00B84C4F" w:rsidP="00B84C4F">
            <w:pPr>
              <w:spacing w:before="40"/>
            </w:pPr>
            <w:r w:rsidRPr="00A624B5">
              <w:rPr>
                <w:rFonts w:cs="Arial"/>
                <w:szCs w:val="18"/>
                <w:lang w:val="en-GB"/>
              </w:rPr>
              <w:t>Requester of pathology</w:t>
            </w:r>
          </w:p>
        </w:tc>
      </w:tr>
      <w:tr w:rsidR="00B84C4F" w:rsidRPr="00804630" w14:paraId="55443942" w14:textId="77777777" w:rsidTr="00B84C4F">
        <w:trPr>
          <w:trHeight w:val="716"/>
        </w:trPr>
        <w:tc>
          <w:tcPr>
            <w:tcW w:w="1304" w:type="pct"/>
            <w:hideMark/>
          </w:tcPr>
          <w:p w14:paraId="47F425E7" w14:textId="77777777" w:rsidR="00B84C4F" w:rsidRPr="00804630" w:rsidRDefault="00B84C4F" w:rsidP="00B84C4F">
            <w:pPr>
              <w:spacing w:before="40"/>
            </w:pPr>
            <w:r>
              <w:rPr>
                <w:rFonts w:cs="Arial"/>
                <w:szCs w:val="20"/>
                <w:lang w:val="en-GB"/>
              </w:rPr>
              <w:t>Ms Helen Maxwell-Wright</w:t>
            </w:r>
          </w:p>
        </w:tc>
        <w:tc>
          <w:tcPr>
            <w:tcW w:w="2206" w:type="pct"/>
          </w:tcPr>
          <w:p w14:paraId="46526C75" w14:textId="77777777" w:rsidR="00171DB2" w:rsidRDefault="00171DB2" w:rsidP="00171DB2">
            <w:pPr>
              <w:autoSpaceDE w:val="0"/>
              <w:autoSpaceDN w:val="0"/>
              <w:adjustRightInd w:val="0"/>
              <w:spacing w:before="60" w:line="276" w:lineRule="auto"/>
            </w:pPr>
            <w:r w:rsidRPr="00380A8B">
              <w:t>MBS Review Representative Consumer</w:t>
            </w:r>
          </w:p>
          <w:p w14:paraId="7C5EF677" w14:textId="77777777" w:rsidR="00B84C4F" w:rsidRPr="00804630" w:rsidRDefault="00B84C4F" w:rsidP="00B84C4F">
            <w:pPr>
              <w:spacing w:before="60"/>
            </w:pPr>
            <w:r w:rsidRPr="00FE52A2">
              <w:rPr>
                <w:rFonts w:cs="Arial"/>
                <w:szCs w:val="20"/>
                <w:lang w:val="en-GB"/>
              </w:rPr>
              <w:t>Director</w:t>
            </w:r>
            <w:r>
              <w:rPr>
                <w:rFonts w:cs="Arial"/>
                <w:szCs w:val="20"/>
                <w:lang w:val="en-GB"/>
              </w:rPr>
              <w:t>,</w:t>
            </w:r>
            <w:r w:rsidRPr="00FE52A2">
              <w:rPr>
                <w:rFonts w:cs="Arial"/>
                <w:szCs w:val="20"/>
                <w:lang w:val="en-GB"/>
              </w:rPr>
              <w:t xml:space="preserve"> Maxwell-Wright Associates</w:t>
            </w:r>
          </w:p>
        </w:tc>
        <w:tc>
          <w:tcPr>
            <w:tcW w:w="1490" w:type="pct"/>
            <w:shd w:val="clear" w:color="auto" w:fill="auto"/>
          </w:tcPr>
          <w:p w14:paraId="6222347B" w14:textId="77777777" w:rsidR="00B84C4F" w:rsidRPr="00804630" w:rsidRDefault="00B84C4F" w:rsidP="00B84C4F">
            <w:pPr>
              <w:spacing w:before="40"/>
            </w:pPr>
            <w:r w:rsidRPr="00A624B5">
              <w:rPr>
                <w:rFonts w:cs="Arial"/>
                <w:sz w:val="18"/>
                <w:szCs w:val="18"/>
                <w:lang w:val="en-GB" w:eastAsia="en-US"/>
              </w:rPr>
              <w:t>Nil</w:t>
            </w:r>
          </w:p>
        </w:tc>
      </w:tr>
    </w:tbl>
    <w:p w14:paraId="35558C5E" w14:textId="77777777" w:rsidR="00B84C4F" w:rsidRPr="00B84C4F" w:rsidRDefault="00B84C4F" w:rsidP="00B84C4F">
      <w:pPr>
        <w:rPr>
          <w:lang w:val="en-US" w:eastAsia="en-US"/>
        </w:rPr>
      </w:pPr>
    </w:p>
    <w:p w14:paraId="2DF6C180" w14:textId="77777777" w:rsidR="004D72E6" w:rsidRPr="009200D8" w:rsidRDefault="004D72E6" w:rsidP="006A286B">
      <w:pPr>
        <w:pStyle w:val="Heading2"/>
      </w:pPr>
      <w:bookmarkStart w:id="30" w:name="_Toc485295722"/>
      <w:bookmarkStart w:id="31" w:name="_Toc485296593"/>
      <w:r>
        <w:t>Conflicts of i</w:t>
      </w:r>
      <w:r w:rsidRPr="009200D8">
        <w:t>nterest</w:t>
      </w:r>
      <w:bookmarkEnd w:id="30"/>
      <w:bookmarkEnd w:id="31"/>
    </w:p>
    <w:p w14:paraId="6E6A0CAF" w14:textId="59465C77" w:rsidR="007D0DF0" w:rsidRDefault="004D72E6" w:rsidP="006A286B">
      <w:pPr>
        <w:spacing w:before="120" w:after="120"/>
        <w:rPr>
          <w:rFonts w:cs="Arial"/>
          <w:lang w:val="en-US" w:eastAsia="en-US"/>
        </w:rPr>
      </w:pPr>
      <w:r w:rsidRPr="009D0EED">
        <w:rPr>
          <w:rFonts w:cs="Arial"/>
          <w:lang w:val="en-US" w:eastAsia="en-US"/>
        </w:rPr>
        <w:t xml:space="preserve">All members of the Taskforce, </w:t>
      </w:r>
      <w:r w:rsidR="00E5655B">
        <w:rPr>
          <w:rFonts w:cs="Arial"/>
          <w:lang w:val="en-US" w:eastAsia="en-US"/>
        </w:rPr>
        <w:t>C</w:t>
      </w:r>
      <w:r w:rsidR="007D0DF0" w:rsidRPr="009D0EED">
        <w:rPr>
          <w:rFonts w:cs="Arial"/>
          <w:lang w:val="en-US" w:eastAsia="en-US"/>
        </w:rPr>
        <w:t xml:space="preserve">linical </w:t>
      </w:r>
      <w:r w:rsidR="00E5655B">
        <w:rPr>
          <w:rFonts w:cs="Arial"/>
          <w:lang w:val="en-US" w:eastAsia="en-US"/>
        </w:rPr>
        <w:t>C</w:t>
      </w:r>
      <w:r w:rsidR="007D0DF0" w:rsidRPr="009D0EED">
        <w:rPr>
          <w:rFonts w:cs="Arial"/>
          <w:lang w:val="en-US" w:eastAsia="en-US"/>
        </w:rPr>
        <w:t xml:space="preserve">ommittees and </w:t>
      </w:r>
      <w:r w:rsidR="00E5655B">
        <w:rPr>
          <w:rFonts w:cs="Arial"/>
          <w:lang w:val="en-US" w:eastAsia="en-US"/>
        </w:rPr>
        <w:t>W</w:t>
      </w:r>
      <w:r w:rsidR="007D0DF0" w:rsidRPr="009D0EED">
        <w:rPr>
          <w:rFonts w:cs="Arial"/>
          <w:lang w:val="en-US" w:eastAsia="en-US"/>
        </w:rPr>
        <w:t xml:space="preserve">orking </w:t>
      </w:r>
      <w:r w:rsidR="00E5655B">
        <w:rPr>
          <w:rFonts w:cs="Arial"/>
          <w:lang w:val="en-US" w:eastAsia="en-US"/>
        </w:rPr>
        <w:t>G</w:t>
      </w:r>
      <w:r w:rsidR="007D0DF0" w:rsidRPr="009D0EED">
        <w:rPr>
          <w:rFonts w:cs="Arial"/>
          <w:lang w:val="en-US" w:eastAsia="en-US"/>
        </w:rPr>
        <w:t xml:space="preserve">roups </w:t>
      </w:r>
      <w:r w:rsidRPr="009D0EED">
        <w:rPr>
          <w:rFonts w:cs="Arial"/>
          <w:lang w:val="en-US" w:eastAsia="en-US"/>
        </w:rPr>
        <w:t>are asked to declare any conflicts of interest at the start of their involvement and reminded to update their declarations periodically.</w:t>
      </w:r>
    </w:p>
    <w:p w14:paraId="757596D3" w14:textId="77777777" w:rsidR="004D72E6" w:rsidRPr="007C5386" w:rsidRDefault="004D72E6" w:rsidP="006A286B">
      <w:pPr>
        <w:spacing w:before="120" w:after="120"/>
        <w:rPr>
          <w:rFonts w:eastAsiaTheme="minorHAnsi"/>
        </w:rPr>
      </w:pPr>
      <w:r w:rsidRPr="007C5386">
        <w:br w:type="page"/>
      </w:r>
    </w:p>
    <w:p w14:paraId="3B28033B" w14:textId="77777777" w:rsidR="00B84C4F" w:rsidRDefault="004D72E6" w:rsidP="007E02E9">
      <w:pPr>
        <w:pStyle w:val="Heading1"/>
      </w:pPr>
      <w:bookmarkStart w:id="32" w:name="_Toc485295723"/>
      <w:bookmarkStart w:id="33" w:name="_Toc485296594"/>
      <w:r w:rsidRPr="009200D8">
        <w:t xml:space="preserve">Areas of responsibility of the </w:t>
      </w:r>
      <w:r w:rsidR="00B84C4F">
        <w:t>Pathology</w:t>
      </w:r>
      <w:r w:rsidR="00A74C6B">
        <w:t xml:space="preserve"> Clinical Committee</w:t>
      </w:r>
      <w:bookmarkEnd w:id="32"/>
      <w:bookmarkEnd w:id="33"/>
    </w:p>
    <w:p w14:paraId="61F74D16" w14:textId="5F6A4311" w:rsidR="00B84C4F" w:rsidRPr="00B84C4F" w:rsidRDefault="00B84C4F" w:rsidP="00965AE3">
      <w:pPr>
        <w:rPr>
          <w:lang w:val="en-US"/>
        </w:rPr>
      </w:pPr>
      <w:r w:rsidRPr="00B84C4F">
        <w:rPr>
          <w:lang w:val="en-US"/>
        </w:rPr>
        <w:t xml:space="preserve">The </w:t>
      </w:r>
      <w:r w:rsidR="00AF11CA">
        <w:rPr>
          <w:lang w:val="en-US"/>
        </w:rPr>
        <w:t xml:space="preserve">review </w:t>
      </w:r>
      <w:r w:rsidR="00361580">
        <w:rPr>
          <w:lang w:val="en-US"/>
        </w:rPr>
        <w:t>process of the services covered in the report commen</w:t>
      </w:r>
      <w:r w:rsidR="00AF11CA">
        <w:rPr>
          <w:lang w:val="en-US"/>
        </w:rPr>
        <w:t>ced</w:t>
      </w:r>
      <w:r w:rsidR="00361580">
        <w:rPr>
          <w:lang w:val="en-US"/>
        </w:rPr>
        <w:t xml:space="preserve"> with review by the </w:t>
      </w:r>
      <w:r w:rsidR="00361580" w:rsidRPr="00B84C4F">
        <w:rPr>
          <w:lang w:val="en-US"/>
        </w:rPr>
        <w:t>E</w:t>
      </w:r>
      <w:r w:rsidR="00361580">
        <w:rPr>
          <w:lang w:val="en-US"/>
        </w:rPr>
        <w:t xml:space="preserve">ndocrinology </w:t>
      </w:r>
      <w:r w:rsidR="006E47CC">
        <w:rPr>
          <w:lang w:val="en-US"/>
        </w:rPr>
        <w:t>Clinical Committee of</w:t>
      </w:r>
      <w:r w:rsidR="00361580">
        <w:rPr>
          <w:lang w:val="en-US"/>
        </w:rPr>
        <w:t xml:space="preserve"> </w:t>
      </w:r>
      <w:r w:rsidRPr="00B84C4F">
        <w:rPr>
          <w:lang w:val="en-US"/>
        </w:rPr>
        <w:t>60 endocrine-related items on the Medicare Benefits Schedule (MBS)</w:t>
      </w:r>
      <w:r w:rsidR="00361580">
        <w:rPr>
          <w:lang w:val="en-US"/>
        </w:rPr>
        <w:t xml:space="preserve">. The </w:t>
      </w:r>
      <w:r w:rsidR="006E47CC">
        <w:rPr>
          <w:lang w:val="en-US"/>
        </w:rPr>
        <w:t>Endocrinology Clinical Committee</w:t>
      </w:r>
      <w:r w:rsidR="00AC4318">
        <w:rPr>
          <w:lang w:val="en-US"/>
        </w:rPr>
        <w:t xml:space="preserve"> </w:t>
      </w:r>
      <w:r w:rsidRPr="00B84C4F">
        <w:rPr>
          <w:lang w:val="en-US"/>
        </w:rPr>
        <w:t xml:space="preserve">made recommendations to the Taskforce and relevant committees, based on rapid evidence review and clinical expertise. </w:t>
      </w:r>
    </w:p>
    <w:p w14:paraId="6755286C" w14:textId="5EC6C87A" w:rsidR="00B84C4F" w:rsidRPr="00B84C4F" w:rsidRDefault="00B84C4F" w:rsidP="00B84C4F">
      <w:pPr>
        <w:rPr>
          <w:lang w:val="en-US"/>
        </w:rPr>
      </w:pPr>
      <w:r w:rsidRPr="00B84C4F">
        <w:rPr>
          <w:lang w:val="en-US"/>
        </w:rPr>
        <w:t xml:space="preserve">Of these 60 items, 43 were related to endocrine pathology tests. The review of these 43 items was performed from a requesting clinician’s perspective and were provided as </w:t>
      </w:r>
      <w:r w:rsidR="00361580">
        <w:rPr>
          <w:lang w:val="en-US"/>
        </w:rPr>
        <w:t>advice</w:t>
      </w:r>
      <w:r w:rsidR="00361580" w:rsidRPr="00B84C4F">
        <w:rPr>
          <w:lang w:val="en-US"/>
        </w:rPr>
        <w:t xml:space="preserve"> </w:t>
      </w:r>
      <w:r w:rsidRPr="00B84C4F">
        <w:rPr>
          <w:lang w:val="en-US"/>
        </w:rPr>
        <w:t xml:space="preserve">to the Pathology Clinical Committee </w:t>
      </w:r>
      <w:r w:rsidR="00361580">
        <w:rPr>
          <w:lang w:val="en-US"/>
        </w:rPr>
        <w:t xml:space="preserve">and </w:t>
      </w:r>
      <w:r w:rsidR="00687DAD">
        <w:rPr>
          <w:lang w:val="en-US"/>
        </w:rPr>
        <w:t>its</w:t>
      </w:r>
      <w:r w:rsidR="00361580">
        <w:rPr>
          <w:lang w:val="en-US"/>
        </w:rPr>
        <w:t xml:space="preserve"> Chemical Working Group</w:t>
      </w:r>
    </w:p>
    <w:p w14:paraId="48FC927F" w14:textId="6DF12103" w:rsidR="00B84C4F" w:rsidRPr="00B84C4F" w:rsidRDefault="00B84C4F" w:rsidP="00B84C4F">
      <w:pPr>
        <w:rPr>
          <w:lang w:val="en-US"/>
        </w:rPr>
      </w:pPr>
      <w:r w:rsidRPr="00B84C4F">
        <w:rPr>
          <w:lang w:val="en-US"/>
        </w:rPr>
        <w:t>The C</w:t>
      </w:r>
      <w:r w:rsidR="00DB090A">
        <w:rPr>
          <w:lang w:val="en-US"/>
        </w:rPr>
        <w:t>hemical Working Group</w:t>
      </w:r>
      <w:r w:rsidRPr="00B84C4F">
        <w:rPr>
          <w:lang w:val="en-US"/>
        </w:rPr>
        <w:t xml:space="preserve"> reviewed the </w:t>
      </w:r>
      <w:r w:rsidR="006E47CC">
        <w:rPr>
          <w:lang w:val="en-US"/>
        </w:rPr>
        <w:t xml:space="preserve">Endocrinology Clinical </w:t>
      </w:r>
      <w:r w:rsidR="00B85B41">
        <w:rPr>
          <w:lang w:val="en-US"/>
        </w:rPr>
        <w:t>Committee</w:t>
      </w:r>
      <w:r w:rsidR="00B85B41" w:rsidRPr="00B84C4F">
        <w:rPr>
          <w:lang w:val="en-US"/>
        </w:rPr>
        <w:t xml:space="preserve"> report</w:t>
      </w:r>
      <w:r w:rsidRPr="00B84C4F">
        <w:rPr>
          <w:lang w:val="en-US"/>
        </w:rPr>
        <w:t xml:space="preserve"> on the 43 items relating to endocrine pathology tests</w:t>
      </w:r>
      <w:r w:rsidR="00DB090A">
        <w:rPr>
          <w:lang w:val="en-US"/>
        </w:rPr>
        <w:t xml:space="preserve"> and made recommendations to </w:t>
      </w:r>
      <w:r w:rsidR="00551DC2">
        <w:rPr>
          <w:lang w:val="en-US"/>
        </w:rPr>
        <w:t>the</w:t>
      </w:r>
      <w:r w:rsidR="00551DC2" w:rsidRPr="00B84C4F">
        <w:rPr>
          <w:lang w:val="en-US"/>
        </w:rPr>
        <w:t xml:space="preserve"> Pathology Clinical Committee</w:t>
      </w:r>
      <w:r w:rsidRPr="00B84C4F">
        <w:rPr>
          <w:lang w:val="en-US"/>
        </w:rPr>
        <w:t xml:space="preserve">. This review was from a chemical pathology perspective with input from a GP who is a permanent member of the group. Subsequently the recommendations were discussed with the </w:t>
      </w:r>
      <w:r w:rsidR="006E47CC">
        <w:rPr>
          <w:lang w:val="en-US"/>
        </w:rPr>
        <w:t>Endocrinology Clinical Committee</w:t>
      </w:r>
      <w:r w:rsidRPr="00B84C4F">
        <w:rPr>
          <w:lang w:val="en-US"/>
        </w:rPr>
        <w:t xml:space="preserve">. This report presents the </w:t>
      </w:r>
      <w:r w:rsidR="00551DC2" w:rsidRPr="00B84C4F">
        <w:rPr>
          <w:lang w:val="en-US"/>
        </w:rPr>
        <w:t xml:space="preserve">Pathology Clinical Committee </w:t>
      </w:r>
      <w:r w:rsidRPr="00B84C4F">
        <w:rPr>
          <w:lang w:val="en-US"/>
        </w:rPr>
        <w:t xml:space="preserve">recommendations, with reference to the </w:t>
      </w:r>
      <w:r w:rsidR="006E47CC">
        <w:rPr>
          <w:lang w:val="en-US"/>
        </w:rPr>
        <w:t>Endocrinology Clinical Committee</w:t>
      </w:r>
      <w:r w:rsidR="00AF11CA">
        <w:rPr>
          <w:lang w:val="en-US"/>
        </w:rPr>
        <w:t xml:space="preserve"> </w:t>
      </w:r>
      <w:r w:rsidRPr="00B84C4F">
        <w:rPr>
          <w:lang w:val="en-US"/>
        </w:rPr>
        <w:t xml:space="preserve">report that was made available to the </w:t>
      </w:r>
      <w:r w:rsidR="00551DC2" w:rsidRPr="00B84C4F">
        <w:rPr>
          <w:lang w:val="en-US"/>
        </w:rPr>
        <w:t xml:space="preserve">Pathology Clinical Committee </w:t>
      </w:r>
      <w:r w:rsidRPr="00B84C4F">
        <w:rPr>
          <w:lang w:val="en-US"/>
        </w:rPr>
        <w:t xml:space="preserve">for review and discussion </w:t>
      </w:r>
      <w:r w:rsidR="00E42E23">
        <w:rPr>
          <w:lang w:val="en-US"/>
        </w:rPr>
        <w:t xml:space="preserve">before </w:t>
      </w:r>
      <w:r w:rsidRPr="00B84C4F">
        <w:rPr>
          <w:lang w:val="en-US"/>
        </w:rPr>
        <w:t>making recommendations.</w:t>
      </w:r>
    </w:p>
    <w:p w14:paraId="1C8CF51F" w14:textId="1D96FE4F" w:rsidR="00B84C4F" w:rsidRPr="00B84C4F" w:rsidRDefault="00B84C4F" w:rsidP="00B84C4F">
      <w:pPr>
        <w:rPr>
          <w:lang w:val="en-US"/>
        </w:rPr>
      </w:pPr>
      <w:r w:rsidRPr="00B84C4F">
        <w:rPr>
          <w:lang w:val="en-US"/>
        </w:rPr>
        <w:t xml:space="preserve">A list of the </w:t>
      </w:r>
      <w:r w:rsidR="006E47CC">
        <w:rPr>
          <w:lang w:val="en-US"/>
        </w:rPr>
        <w:t xml:space="preserve">Endocrinology Clinical </w:t>
      </w:r>
      <w:r w:rsidR="004200CD">
        <w:rPr>
          <w:lang w:val="en-US"/>
        </w:rPr>
        <w:t>Committee</w:t>
      </w:r>
      <w:r w:rsidR="004200CD" w:rsidRPr="00B84C4F">
        <w:rPr>
          <w:lang w:val="en-US"/>
        </w:rPr>
        <w:t xml:space="preserve"> recommendations</w:t>
      </w:r>
      <w:r w:rsidRPr="00B84C4F">
        <w:rPr>
          <w:lang w:val="en-US"/>
        </w:rPr>
        <w:t xml:space="preserve"> can be found in Appendix A</w:t>
      </w:r>
      <w:r w:rsidR="00E42E23">
        <w:rPr>
          <w:lang w:val="en-US"/>
        </w:rPr>
        <w:t xml:space="preserve"> </w:t>
      </w:r>
      <w:r w:rsidR="00E42E23" w:rsidRPr="00B84C4F">
        <w:rPr>
          <w:lang w:val="en-US"/>
        </w:rPr>
        <w:t xml:space="preserve">of this report </w:t>
      </w:r>
      <w:r w:rsidRPr="00B84C4F">
        <w:rPr>
          <w:lang w:val="en-US"/>
        </w:rPr>
        <w:t xml:space="preserve">for comparison with the recommendations proposed by </w:t>
      </w:r>
      <w:r w:rsidR="0001359C" w:rsidRPr="00B84C4F">
        <w:rPr>
          <w:lang w:val="en-US"/>
        </w:rPr>
        <w:t xml:space="preserve">the </w:t>
      </w:r>
      <w:r w:rsidR="0001359C" w:rsidRPr="00551DC2">
        <w:rPr>
          <w:lang w:val="en-US"/>
        </w:rPr>
        <w:t>Pathology</w:t>
      </w:r>
      <w:r w:rsidR="00551DC2" w:rsidRPr="00B84C4F">
        <w:rPr>
          <w:lang w:val="en-US"/>
        </w:rPr>
        <w:t xml:space="preserve"> Clinical Committee</w:t>
      </w:r>
      <w:r w:rsidRPr="00B84C4F">
        <w:rPr>
          <w:lang w:val="en-US"/>
        </w:rPr>
        <w:t xml:space="preserve">. </w:t>
      </w:r>
    </w:p>
    <w:p w14:paraId="66A457B6" w14:textId="5CFF9294" w:rsidR="00A74C6B" w:rsidRDefault="00B84C4F" w:rsidP="00B84C4F">
      <w:pPr>
        <w:rPr>
          <w:lang w:val="en-US"/>
        </w:rPr>
      </w:pPr>
      <w:r w:rsidRPr="00B84C4F">
        <w:rPr>
          <w:lang w:val="en-US"/>
        </w:rPr>
        <w:t xml:space="preserve">The 43 endocrine-related pathology test items include thyroid function testing, diabetes-related testing, and other hormone testing. In </w:t>
      </w:r>
      <w:r w:rsidR="00636BA9">
        <w:rPr>
          <w:lang w:val="en-US"/>
        </w:rPr>
        <w:t>the</w:t>
      </w:r>
      <w:r w:rsidR="00636BA9" w:rsidRPr="00B84C4F">
        <w:rPr>
          <w:lang w:val="en-US"/>
        </w:rPr>
        <w:t xml:space="preserve"> </w:t>
      </w:r>
      <w:r w:rsidRPr="00B84C4F">
        <w:rPr>
          <w:lang w:val="en-US"/>
        </w:rPr>
        <w:t>2014/15</w:t>
      </w:r>
      <w:r w:rsidR="00636BA9">
        <w:rPr>
          <w:lang w:val="en-US"/>
        </w:rPr>
        <w:t xml:space="preserve"> financial year</w:t>
      </w:r>
      <w:r w:rsidRPr="00B84C4F">
        <w:rPr>
          <w:lang w:val="en-US"/>
        </w:rPr>
        <w:t xml:space="preserve"> these items accounted for </w:t>
      </w:r>
      <w:r w:rsidR="00636BA9">
        <w:rPr>
          <w:lang w:val="en-US"/>
        </w:rPr>
        <w:t xml:space="preserve">about </w:t>
      </w:r>
      <w:r w:rsidRPr="00B84C4F">
        <w:rPr>
          <w:lang w:val="en-US"/>
        </w:rPr>
        <w:t xml:space="preserve">12.6 million services and $324 million in benefits. Over the past </w:t>
      </w:r>
      <w:r w:rsidR="00636BA9">
        <w:rPr>
          <w:lang w:val="en-US"/>
        </w:rPr>
        <w:t xml:space="preserve">5 </w:t>
      </w:r>
      <w:r w:rsidRPr="00B84C4F">
        <w:rPr>
          <w:lang w:val="en-US"/>
        </w:rPr>
        <w:t>years, service volumes have increased by 6.1 per cent per year, and benefits have increased by 6.3 per cent per year. This growth is largely explained by an increase in the number of services per capita (Figure 1). TSH quantitation, diabetes-related items and TFTs account for most o</w:t>
      </w:r>
      <w:r>
        <w:rPr>
          <w:lang w:val="en-US"/>
        </w:rPr>
        <w:t>f the total services (Figure 2)</w:t>
      </w:r>
      <w:r w:rsidR="00A74C6B" w:rsidRPr="008745D9">
        <w:rPr>
          <w:lang w:val="en-US"/>
        </w:rPr>
        <w:t>.</w:t>
      </w:r>
    </w:p>
    <w:p w14:paraId="49C5DCD3" w14:textId="7A57CF47" w:rsidR="00070347" w:rsidRPr="003744BA" w:rsidRDefault="00B84C4F" w:rsidP="003744BA">
      <w:pPr>
        <w:pStyle w:val="FigureCaption"/>
      </w:pPr>
      <w:bookmarkStart w:id="34" w:name="_Toc472940515"/>
      <w:r w:rsidRPr="003744BA">
        <w:t xml:space="preserve">Figure 1. </w:t>
      </w:r>
      <w:r w:rsidR="003744BA" w:rsidRPr="003744BA">
        <w:t xml:space="preserve">Drivers of </w:t>
      </w:r>
      <w:r w:rsidR="00B96558">
        <w:t xml:space="preserve">growth in utilisation of </w:t>
      </w:r>
      <w:r w:rsidR="003744BA" w:rsidRPr="003744BA">
        <w:t>endocrine-related pathology test items</w:t>
      </w:r>
      <w:r w:rsidR="00B96558">
        <w:t xml:space="preserve">, </w:t>
      </w:r>
      <w:r w:rsidR="003744BA" w:rsidRPr="003744BA">
        <w:t>2010–15</w:t>
      </w:r>
      <w:bookmarkEnd w:id="34"/>
      <w:r w:rsidR="00BA6B22">
        <w:t xml:space="preserve"> financial year</w:t>
      </w:r>
      <w:r w:rsidR="00B96558">
        <w:t>.</w:t>
      </w:r>
      <w:r w:rsidR="007C00E1">
        <w:t xml:space="preserve"> </w:t>
      </w:r>
    </w:p>
    <w:p w14:paraId="46B56038" w14:textId="5D7D2C53" w:rsidR="00B84C4F" w:rsidRDefault="00DC677E" w:rsidP="00B84C4F">
      <w:pPr>
        <w:rPr>
          <w:lang w:val="en-US"/>
        </w:rPr>
      </w:pPr>
      <w:r w:rsidRPr="00DC677E">
        <w:rPr>
          <w:noProof/>
        </w:rPr>
        <w:drawing>
          <wp:inline distT="0" distB="0" distL="0" distR="0" wp14:anchorId="486B0FBF" wp14:editId="3C55A6D2">
            <wp:extent cx="4906645" cy="3679190"/>
            <wp:effectExtent l="0" t="0" r="8255" b="0"/>
            <wp:docPr id="2" name="Picture 3" descr="Overall, total benefits increased by 6.3 per cent, reflecting the total increase in the number of services (6.1 per cent). This was mainly attributable to an increase in the number of services per 100,000 patients (4.7 per cent) rather than the number of benefits per service (up 0.3 per cent) or population increase (1.3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06645" cy="3679190"/>
                    </a:xfrm>
                    <a:prstGeom prst="rect">
                      <a:avLst/>
                    </a:prstGeom>
                    <a:solidFill>
                      <a:srgbClr val="FFFFFF"/>
                    </a:solidFill>
                    <a:ln w="9525" cap="flat" cmpd="sng" algn="ctr">
                      <a:noFill/>
                      <a:prstDash val="solid"/>
                      <a:round/>
                      <a:headEnd type="none" w="med" len="med"/>
                      <a:tailEnd type="none" w="med" len="med"/>
                    </a:ln>
                  </pic:spPr>
                </pic:pic>
              </a:graphicData>
            </a:graphic>
          </wp:inline>
        </w:drawing>
      </w:r>
    </w:p>
    <w:p w14:paraId="37392ED1" w14:textId="77777777" w:rsidR="00283024" w:rsidRPr="00354AC7" w:rsidRDefault="00283024" w:rsidP="00B84C4F">
      <w:pPr>
        <w:rPr>
          <w:lang w:val="en-US"/>
        </w:rPr>
      </w:pPr>
    </w:p>
    <w:p w14:paraId="2B0D2F90" w14:textId="2865D073" w:rsidR="005359FF" w:rsidRPr="003744BA" w:rsidRDefault="00A666C1" w:rsidP="00C82E3C">
      <w:pPr>
        <w:pStyle w:val="FigureCaption"/>
        <w:spacing w:before="0"/>
        <w:ind w:left="714"/>
      </w:pPr>
      <w:bookmarkStart w:id="35" w:name="_Toc472940516"/>
      <w:r w:rsidRPr="003744BA">
        <w:t>Figure 2</w:t>
      </w:r>
      <w:r w:rsidR="003744BA" w:rsidRPr="003744BA">
        <w:t>. Endocrine-related pathology tests item groups by service volume</w:t>
      </w:r>
      <w:bookmarkEnd w:id="35"/>
      <w:r w:rsidR="00DC677E">
        <w:t>, 2014–15</w:t>
      </w:r>
      <w:r w:rsidR="00A13193">
        <w:t>.</w:t>
      </w:r>
      <w:r w:rsidR="00DC677E">
        <w:t xml:space="preserve"> </w:t>
      </w:r>
    </w:p>
    <w:p w14:paraId="0B7F2932" w14:textId="77777777" w:rsidR="00051058" w:rsidRPr="00A666C1" w:rsidRDefault="00051058" w:rsidP="00A666C1">
      <w:pPr>
        <w:spacing w:before="0" w:after="0" w:line="240" w:lineRule="auto"/>
        <w:rPr>
          <w:lang w:val="en-US" w:eastAsia="en-US"/>
        </w:rPr>
      </w:pPr>
      <w:r w:rsidRPr="00A666C1">
        <w:rPr>
          <w:noProof/>
        </w:rPr>
        <w:drawing>
          <wp:inline distT="0" distB="0" distL="0" distR="0" wp14:anchorId="285C0C87" wp14:editId="6E5954B5">
            <wp:extent cx="4906645" cy="3679190"/>
            <wp:effectExtent l="0" t="0" r="8255" b="0"/>
            <wp:docPr id="3" name="Picture 3" descr="Groups with service volumes &gt; 1000 were, in decreasing order:&#10;1. TSH tests (item numbers 66716 and 66722–66734): 41.6 per cent of total services, 4.4 per cent compound annual growth rate (CAGR), $136.7 million in benefits.&#10;2. Diabetes-related items (item numbers 66542–8, 66551–4, 66841, 66557 and 66560): 23.2 per cent of total services, 4.6 per cent CAGR, $47.1 million in benefits.&#10;3. TFT (item number 66719): 17.4 per cent of total services, 11.1 per cent CAGR, $66.5 million in benefits.&#10;4. Quantitation of hormones or binding proteins (item numbers 66695–66707): 10.1 per cent of total services, 7.0 per cent CAGR, $50.5 million in benefit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06645" cy="3679190"/>
                    </a:xfrm>
                    <a:prstGeom prst="rect">
                      <a:avLst/>
                    </a:prstGeom>
                    <a:solidFill>
                      <a:srgbClr val="FFFFFF"/>
                    </a:solidFill>
                    <a:ln w="9525" cap="flat" cmpd="sng" algn="ctr">
                      <a:noFill/>
                      <a:prstDash val="solid"/>
                      <a:round/>
                      <a:headEnd type="none" w="med" len="med"/>
                      <a:tailEnd type="none" w="med" len="med"/>
                    </a:ln>
                  </pic:spPr>
                </pic:pic>
              </a:graphicData>
            </a:graphic>
          </wp:inline>
        </w:drawing>
      </w:r>
    </w:p>
    <w:p w14:paraId="7B08BA0B" w14:textId="77777777" w:rsidR="00C75FBD" w:rsidRPr="006273CA" w:rsidRDefault="00C75FBD" w:rsidP="00C75FBD">
      <w:pPr>
        <w:spacing w:before="0"/>
        <w:rPr>
          <w:b/>
          <w:bCs/>
          <w:sz w:val="18"/>
          <w:szCs w:val="18"/>
        </w:rPr>
      </w:pPr>
      <w:r w:rsidRPr="006273CA">
        <w:rPr>
          <w:b/>
          <w:bCs/>
          <w:sz w:val="18"/>
          <w:szCs w:val="18"/>
        </w:rPr>
        <w:t>Source: Department of Health, unpublished data, date of processing, accessed on 10 October 2016</w:t>
      </w:r>
    </w:p>
    <w:p w14:paraId="3AE2AE0B" w14:textId="77777777" w:rsidR="000B18FD" w:rsidRDefault="000B18FD">
      <w:pPr>
        <w:spacing w:before="0" w:after="0" w:line="240" w:lineRule="auto"/>
        <w:rPr>
          <w:rFonts w:eastAsiaTheme="minorHAnsi" w:cs="Arial"/>
          <w:szCs w:val="22"/>
          <w:lang w:val="en-US" w:eastAsia="en-US"/>
        </w:rPr>
      </w:pPr>
      <w:r>
        <w:rPr>
          <w:lang w:val="en-US" w:eastAsia="en-US"/>
        </w:rPr>
        <w:br w:type="page"/>
      </w:r>
    </w:p>
    <w:p w14:paraId="253BA85A" w14:textId="77777777" w:rsidR="004D72E6" w:rsidRPr="009200D8" w:rsidRDefault="00070347" w:rsidP="003F788A">
      <w:pPr>
        <w:pStyle w:val="Heading1"/>
      </w:pPr>
      <w:bookmarkStart w:id="36" w:name="_Toc485295724"/>
      <w:bookmarkStart w:id="37" w:name="_Toc485296595"/>
      <w:r>
        <w:t>Recommendations for endocrine-related pathology tests</w:t>
      </w:r>
      <w:bookmarkEnd w:id="36"/>
      <w:bookmarkEnd w:id="37"/>
    </w:p>
    <w:p w14:paraId="7CB63BB0" w14:textId="77777777" w:rsidR="00070347" w:rsidRPr="00070347" w:rsidRDefault="00070347" w:rsidP="00070347">
      <w:pPr>
        <w:pStyle w:val="Heading2"/>
      </w:pPr>
      <w:bookmarkStart w:id="38" w:name="_Toc485295725"/>
      <w:bookmarkStart w:id="39" w:name="_Toc485296596"/>
      <w:r w:rsidRPr="00070347">
        <w:t>Thyroid stimulating hormone (TSH) tests and thyroid function tests (TFTs)</w:t>
      </w:r>
      <w:bookmarkEnd w:id="38"/>
      <w:bookmarkEnd w:id="39"/>
    </w:p>
    <w:p w14:paraId="761CDB93" w14:textId="77777777" w:rsidR="00070347" w:rsidRPr="00070347" w:rsidRDefault="00070347" w:rsidP="00070347">
      <w:pPr>
        <w:rPr>
          <w:b/>
        </w:rPr>
      </w:pPr>
      <w:r w:rsidRPr="00070347">
        <w:rPr>
          <w:b/>
        </w:rPr>
        <w:t>TSH tests and TFTs: items 66716, 66719, 66722–5, 66728, 66731 and 66734</w:t>
      </w:r>
    </w:p>
    <w:p w14:paraId="4C20945B" w14:textId="7BFCD086" w:rsidR="00EF493A" w:rsidRDefault="00070347" w:rsidP="00070347">
      <w:pPr>
        <w:rPr>
          <w:lang w:val="en-GB" w:eastAsia="en-US"/>
        </w:rPr>
      </w:pPr>
      <w:r w:rsidRPr="00070347">
        <w:rPr>
          <w:lang w:val="en-GB" w:eastAsia="en-US"/>
        </w:rPr>
        <w:t xml:space="preserve">In </w:t>
      </w:r>
      <w:r w:rsidR="00BA6B22">
        <w:rPr>
          <w:lang w:val="en-GB" w:eastAsia="en-US"/>
        </w:rPr>
        <w:t xml:space="preserve">the </w:t>
      </w:r>
      <w:r w:rsidRPr="00070347">
        <w:rPr>
          <w:lang w:val="en-GB" w:eastAsia="en-US"/>
        </w:rPr>
        <w:t>2014</w:t>
      </w:r>
      <w:r w:rsidR="00BA6B22">
        <w:rPr>
          <w:lang w:val="en-GB" w:eastAsia="en-US"/>
        </w:rPr>
        <w:t>–</w:t>
      </w:r>
      <w:r w:rsidRPr="00070347">
        <w:rPr>
          <w:lang w:val="en-GB" w:eastAsia="en-US"/>
        </w:rPr>
        <w:t xml:space="preserve">15 </w:t>
      </w:r>
      <w:r w:rsidR="00BA6B22">
        <w:rPr>
          <w:lang w:val="en-GB" w:eastAsia="en-US"/>
        </w:rPr>
        <w:t xml:space="preserve">financial year </w:t>
      </w:r>
      <w:r w:rsidR="00EF493A">
        <w:rPr>
          <w:lang w:val="en-GB" w:eastAsia="en-US"/>
        </w:rPr>
        <w:t xml:space="preserve">about </w:t>
      </w:r>
      <w:r w:rsidRPr="00070347">
        <w:rPr>
          <w:lang w:val="en-GB" w:eastAsia="en-US"/>
        </w:rPr>
        <w:t>one in four Australians (5.7 million patients) had either a TSH test or a TFT.</w:t>
      </w:r>
      <w:r w:rsidR="00240E05" w:rsidRPr="00070347">
        <w:rPr>
          <w:lang w:val="en-GB" w:eastAsia="en-US"/>
        </w:rPr>
        <w:fldChar w:fldCharType="begin"/>
      </w:r>
      <w:r w:rsidR="00877C64">
        <w:rPr>
          <w:lang w:val="en-GB" w:eastAsia="en-US"/>
        </w:rPr>
        <w:instrText xml:space="preserve"> ADDIN EN.CITE &lt;EndNote&gt;&lt;Cite&gt;&lt;Author&gt;Department of Health&lt;/Author&gt;&lt;Year&gt;2016&lt;/Year&gt;&lt;RecNum&gt;17&lt;/RecNum&gt;&lt;DisplayText&gt;&lt;style face="superscript"&gt;7&lt;/style&gt;&lt;/DisplayText&gt;&lt;record&gt;&lt;rec-number&gt;17&lt;/rec-number&gt;&lt;foreign-keys&gt;&lt;key app="EN" db-id="dfs5xeapdpddpyexds6ppreypt5sp9spp2a5" timestamp="1477349234"&gt;17&lt;/key&gt;&lt;/foreign-keys&gt;&lt;ref-type name="Dataset"&gt;59&lt;/ref-type&gt;&lt;contributors&gt;&lt;authors&gt;&lt;author&gt;Department of Health,&lt;/author&gt;&lt;/authors&gt;&lt;/contributors&gt;&lt;titles&gt;&lt;title&gt;MBS data – Q210381-02&lt;/title&gt;&lt;/titles&gt;&lt;dates&gt;&lt;year&gt;2016&lt;/year&gt;&lt;/dates&gt;&lt;urls&gt;&lt;/urls&gt;&lt;access-date&gt;26.10.2016&lt;/access-date&gt;&lt;/record&gt;&lt;/Cite&gt;&lt;/EndNote&gt;</w:instrText>
      </w:r>
      <w:r w:rsidR="00240E05" w:rsidRPr="00070347">
        <w:rPr>
          <w:lang w:val="en-GB" w:eastAsia="en-US"/>
        </w:rPr>
        <w:fldChar w:fldCharType="separate"/>
      </w:r>
      <w:r w:rsidR="00877C64" w:rsidRPr="00877C64">
        <w:rPr>
          <w:noProof/>
          <w:vertAlign w:val="superscript"/>
          <w:lang w:val="en-GB" w:eastAsia="en-US"/>
        </w:rPr>
        <w:t>7</w:t>
      </w:r>
      <w:r w:rsidR="00240E05" w:rsidRPr="00070347">
        <w:rPr>
          <w:lang w:val="en-US" w:eastAsia="en-US"/>
        </w:rPr>
        <w:fldChar w:fldCharType="end"/>
      </w:r>
      <w:r w:rsidRPr="00070347">
        <w:rPr>
          <w:lang w:val="en-GB" w:eastAsia="en-US"/>
        </w:rPr>
        <w:t xml:space="preserve"> A total of 7.6 million tests were charged to Medicare over the course of the year (this excludes TSH tests and TFTs that are coned out and tests done for public hospital patients)</w:t>
      </w:r>
      <w:r w:rsidR="00EF493A">
        <w:rPr>
          <w:lang w:val="en-GB" w:eastAsia="en-US"/>
        </w:rPr>
        <w:t>.</w:t>
      </w:r>
      <w:r w:rsidRPr="00070347">
        <w:rPr>
          <w:lang w:val="en-GB" w:eastAsia="en-US"/>
        </w:rPr>
        <w:t xml:space="preserve"> </w:t>
      </w:r>
      <w:r w:rsidR="00EF493A">
        <w:rPr>
          <w:lang w:val="en-GB" w:eastAsia="en-US"/>
        </w:rPr>
        <w:t>T</w:t>
      </w:r>
      <w:r w:rsidRPr="00070347">
        <w:rPr>
          <w:lang w:val="en-GB" w:eastAsia="en-US"/>
        </w:rPr>
        <w:t xml:space="preserve">his figure has grown by an average of 6.1 per cent per year over the last </w:t>
      </w:r>
      <w:r w:rsidR="00EF493A">
        <w:rPr>
          <w:lang w:val="en-GB" w:eastAsia="en-US"/>
        </w:rPr>
        <w:t xml:space="preserve">5 </w:t>
      </w:r>
      <w:r w:rsidRPr="00070347">
        <w:rPr>
          <w:lang w:val="en-GB" w:eastAsia="en-US"/>
        </w:rPr>
        <w:t>years.</w:t>
      </w:r>
    </w:p>
    <w:p w14:paraId="18E84DF0" w14:textId="36C250F6" w:rsidR="00070347" w:rsidRPr="00070347" w:rsidRDefault="00070347" w:rsidP="00070347">
      <w:pPr>
        <w:rPr>
          <w:lang w:val="en-GB" w:eastAsia="en-US"/>
        </w:rPr>
      </w:pPr>
      <w:r w:rsidRPr="00070347">
        <w:rPr>
          <w:lang w:val="en-GB" w:eastAsia="en-US"/>
        </w:rPr>
        <w:t xml:space="preserve">Benefits paid for these items totalled $203 million in </w:t>
      </w:r>
      <w:r w:rsidR="00BA6B22">
        <w:rPr>
          <w:lang w:val="en-GB" w:eastAsia="en-US"/>
        </w:rPr>
        <w:t xml:space="preserve">the </w:t>
      </w:r>
      <w:r w:rsidRPr="00070347">
        <w:rPr>
          <w:lang w:val="en-GB" w:eastAsia="en-US"/>
        </w:rPr>
        <w:t>2014</w:t>
      </w:r>
      <w:r w:rsidR="00BA6B22">
        <w:rPr>
          <w:lang w:val="en-GB" w:eastAsia="en-US"/>
        </w:rPr>
        <w:t>–</w:t>
      </w:r>
      <w:r w:rsidR="00EF493A">
        <w:rPr>
          <w:lang w:val="en-GB" w:eastAsia="en-US"/>
        </w:rPr>
        <w:t>1</w:t>
      </w:r>
      <w:r w:rsidRPr="00070347">
        <w:rPr>
          <w:lang w:val="en-GB" w:eastAsia="en-US"/>
        </w:rPr>
        <w:t>5</w:t>
      </w:r>
      <w:r w:rsidR="00BA6B22">
        <w:rPr>
          <w:lang w:val="en-GB" w:eastAsia="en-US"/>
        </w:rPr>
        <w:t xml:space="preserve"> financial year</w:t>
      </w:r>
      <w:r w:rsidRPr="00070347">
        <w:rPr>
          <w:lang w:val="en-GB" w:eastAsia="en-US"/>
        </w:rPr>
        <w:t xml:space="preserve">. This figure has grown by an average of 6.2 per cent per year over the last </w:t>
      </w:r>
      <w:r w:rsidR="00EF493A">
        <w:rPr>
          <w:lang w:val="en-GB" w:eastAsia="en-US"/>
        </w:rPr>
        <w:t xml:space="preserve">5 </w:t>
      </w:r>
      <w:r w:rsidRPr="00070347">
        <w:rPr>
          <w:lang w:val="en-GB" w:eastAsia="en-US"/>
        </w:rPr>
        <w:t xml:space="preserve">years and accounts for </w:t>
      </w:r>
      <w:r w:rsidR="00EF493A">
        <w:rPr>
          <w:lang w:val="en-GB" w:eastAsia="en-US"/>
        </w:rPr>
        <w:t xml:space="preserve">around </w:t>
      </w:r>
      <w:r w:rsidRPr="00070347">
        <w:rPr>
          <w:lang w:val="en-GB" w:eastAsia="en-US"/>
        </w:rPr>
        <w:t>1 per cent of the total MBS expenditure.</w:t>
      </w:r>
      <w:r w:rsidR="00240E05" w:rsidRPr="00070347">
        <w:rPr>
          <w:lang w:val="en-GB" w:eastAsia="en-US"/>
        </w:rPr>
        <w:fldChar w:fldCharType="begin"/>
      </w:r>
      <w:r w:rsidR="00877C64">
        <w:rPr>
          <w:lang w:val="en-GB"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070347">
        <w:rPr>
          <w:lang w:val="en-GB" w:eastAsia="en-US"/>
        </w:rPr>
        <w:fldChar w:fldCharType="separate"/>
      </w:r>
      <w:r w:rsidR="00877C64" w:rsidRPr="00877C64">
        <w:rPr>
          <w:noProof/>
          <w:vertAlign w:val="superscript"/>
          <w:lang w:val="en-GB" w:eastAsia="en-US"/>
        </w:rPr>
        <w:t>8</w:t>
      </w:r>
      <w:r w:rsidR="00240E05" w:rsidRPr="00070347">
        <w:rPr>
          <w:lang w:val="en-US" w:eastAsia="en-US"/>
        </w:rPr>
        <w:fldChar w:fldCharType="end"/>
      </w:r>
      <w:r w:rsidRPr="00070347">
        <w:rPr>
          <w:lang w:val="en-GB" w:eastAsia="en-US"/>
        </w:rPr>
        <w:t xml:space="preserve"> This growth is largely explained by increase in the number of patients being tested, which has grown by an average of 5.7 per cent per year over the past </w:t>
      </w:r>
      <w:r w:rsidR="003010F7">
        <w:rPr>
          <w:lang w:val="en-GB" w:eastAsia="en-US"/>
        </w:rPr>
        <w:t xml:space="preserve">5 </w:t>
      </w:r>
      <w:r w:rsidRPr="00070347">
        <w:rPr>
          <w:lang w:val="en-GB" w:eastAsia="en-US"/>
        </w:rPr>
        <w:t>years</w:t>
      </w:r>
      <w:r w:rsidR="00240E05" w:rsidRPr="00070347">
        <w:rPr>
          <w:lang w:val="en-GB" w:eastAsia="en-US"/>
        </w:rPr>
        <w:fldChar w:fldCharType="begin"/>
      </w:r>
      <w:r w:rsidR="00877C64">
        <w:rPr>
          <w:lang w:val="en-GB" w:eastAsia="en-US"/>
        </w:rPr>
        <w:instrText xml:space="preserve"> ADDIN EN.CITE &lt;EndNote&gt;&lt;Cite&gt;&lt;Author&gt;Medicare Australia Statistics&lt;/Author&gt;&lt;Year&gt;2016&lt;/Year&gt;&lt;RecNum&gt;1&lt;/RecNum&gt;&lt;DisplayText&gt;&lt;style face="superscript"&gt;9&lt;/style&gt;&lt;/DisplayText&gt;&lt;record&gt;&lt;rec-number&gt;1&lt;/rec-number&gt;&lt;foreign-keys&gt;&lt;key app="EN" db-id="dfs5xeapdpddpyexds6ppreypt5sp9spp2a5" timestamp="1475798320"&gt;1&lt;/key&gt;&lt;/foreign-keys&gt;&lt;ref-type name="Dataset"&gt;59&lt;/ref-type&gt;&lt;contributors&gt;&lt;authors&gt;&lt;author&gt;Medicare Australia Statistics,&lt;/author&gt;&lt;/authors&gt;&lt;/contributors&gt;&lt;titles&gt;&lt;title&gt;Standard MBS data&lt;/title&gt;&lt;/titles&gt;&lt;dates&gt;&lt;year&gt;2016&lt;/year&gt;&lt;/dates&gt;&lt;urls&gt;&lt;/urls&gt;&lt;access-date&gt;26.10.2016&lt;/access-date&gt;&lt;/record&gt;&lt;/Cite&gt;&lt;/EndNote&gt;</w:instrText>
      </w:r>
      <w:r w:rsidR="00240E05" w:rsidRPr="00070347">
        <w:rPr>
          <w:lang w:val="en-GB" w:eastAsia="en-US"/>
        </w:rPr>
        <w:fldChar w:fldCharType="separate"/>
      </w:r>
      <w:r w:rsidR="00877C64" w:rsidRPr="00877C64">
        <w:rPr>
          <w:noProof/>
          <w:vertAlign w:val="superscript"/>
          <w:lang w:val="en-GB" w:eastAsia="en-US"/>
        </w:rPr>
        <w:t>9</w:t>
      </w:r>
      <w:r w:rsidR="00240E05" w:rsidRPr="00070347">
        <w:rPr>
          <w:lang w:val="en-US" w:eastAsia="en-US"/>
        </w:rPr>
        <w:fldChar w:fldCharType="end"/>
      </w:r>
      <w:r w:rsidRPr="00070347">
        <w:rPr>
          <w:lang w:val="en-GB" w:eastAsia="en-US"/>
        </w:rPr>
        <w:t xml:space="preserve"> (compared </w:t>
      </w:r>
      <w:r w:rsidR="003010F7">
        <w:rPr>
          <w:lang w:val="en-GB" w:eastAsia="en-US"/>
        </w:rPr>
        <w:t>with</w:t>
      </w:r>
      <w:r w:rsidR="003010F7" w:rsidRPr="00070347">
        <w:rPr>
          <w:lang w:val="en-GB" w:eastAsia="en-US"/>
        </w:rPr>
        <w:t xml:space="preserve"> </w:t>
      </w:r>
      <w:r w:rsidRPr="00070347">
        <w:rPr>
          <w:lang w:val="en-GB" w:eastAsia="en-US"/>
        </w:rPr>
        <w:t>population growth of 1.3 per cent per year).</w:t>
      </w:r>
      <w:r w:rsidR="00240E05" w:rsidRPr="00070347">
        <w:rPr>
          <w:lang w:val="en-GB" w:eastAsia="en-US"/>
        </w:rPr>
        <w:fldChar w:fldCharType="begin"/>
      </w:r>
      <w:r w:rsidR="00877C64">
        <w:rPr>
          <w:lang w:val="en-GB" w:eastAsia="en-US"/>
        </w:rPr>
        <w:instrText xml:space="preserve"> ADDIN EN.CITE &lt;EndNote&gt;&lt;Cite&gt;&lt;Author&gt;Australian Bureau of Statistics&lt;/Author&gt;&lt;Year&gt;2015&lt;/Year&gt;&lt;RecNum&gt;15&lt;/RecNum&gt;&lt;DisplayText&gt;&lt;style face="superscript"&gt;10&lt;/style&gt;&lt;/DisplayText&gt;&lt;record&gt;&lt;rec-number&gt;15&lt;/rec-number&gt;&lt;foreign-keys&gt;&lt;key app="EN" db-id="dfs5xeapdpddpyexds6ppreypt5sp9spp2a5" timestamp="1477348852"&gt;15&lt;/key&gt;&lt;/foreign-keys&gt;&lt;ref-type name="Web Page"&gt;12&lt;/ref-type&gt;&lt;contributors&gt;&lt;authors&gt;&lt;author&gt;Australian Bureau of Statistics,&lt;/author&gt;&lt;/authors&gt;&lt;/contributors&gt;&lt;titles&gt;&lt;title&gt;Australian Demographic Statistics&lt;/title&gt;&lt;/titles&gt;&lt;volume&gt;2016&lt;/volume&gt;&lt;number&gt;25 October&lt;/number&gt;&lt;dates&gt;&lt;year&gt;2015&lt;/year&gt;&lt;/dates&gt;&lt;urls&gt;&lt;related-urls&gt;&lt;url&gt;http://www.abs.gov.au/ausstats/abs@.nsf/Previousproducts/3101.0Main%20Features1Jun%202015?opendocument&amp;amp;tabname=Summary&amp;amp;prodno=3101.0&amp;amp;issue=Jun%202015&amp;amp;num=&amp;amp;view=.&lt;/url&gt;&lt;/related-urls&gt;&lt;/urls&gt;&lt;/record&gt;&lt;/Cite&gt;&lt;/EndNote&gt;</w:instrText>
      </w:r>
      <w:r w:rsidR="00240E05" w:rsidRPr="00070347">
        <w:rPr>
          <w:lang w:val="en-GB" w:eastAsia="en-US"/>
        </w:rPr>
        <w:fldChar w:fldCharType="separate"/>
      </w:r>
      <w:r w:rsidR="00877C64" w:rsidRPr="00877C64">
        <w:rPr>
          <w:noProof/>
          <w:vertAlign w:val="superscript"/>
          <w:lang w:val="en-GB" w:eastAsia="en-US"/>
        </w:rPr>
        <w:t>10</w:t>
      </w:r>
      <w:r w:rsidR="00240E05" w:rsidRPr="00070347">
        <w:rPr>
          <w:lang w:val="en-US" w:eastAsia="en-US"/>
        </w:rPr>
        <w:fldChar w:fldCharType="end"/>
      </w:r>
    </w:p>
    <w:p w14:paraId="2302B2BA" w14:textId="0516946E" w:rsidR="00070347" w:rsidRPr="00070347" w:rsidRDefault="00070347" w:rsidP="00070347">
      <w:pPr>
        <w:rPr>
          <w:lang w:val="en-GB" w:eastAsia="en-US"/>
        </w:rPr>
      </w:pPr>
      <w:r w:rsidRPr="00070347">
        <w:rPr>
          <w:lang w:val="en-GB" w:eastAsia="en-US"/>
        </w:rPr>
        <w:t xml:space="preserve">Service volumes in this group are concentrated in two large items: TSH quantitation (item 66716) and TFTs (item 66719). The total services for these items 66716 and 66719 have grown by 4.3 and 11.1 per cent, respectively, per year over the last </w:t>
      </w:r>
      <w:r w:rsidR="003010F7">
        <w:rPr>
          <w:lang w:val="en-GB" w:eastAsia="en-US"/>
        </w:rPr>
        <w:t xml:space="preserve">5 </w:t>
      </w:r>
      <w:r w:rsidRPr="00070347">
        <w:rPr>
          <w:lang w:val="en-GB" w:eastAsia="en-US"/>
        </w:rPr>
        <w:t>years.</w:t>
      </w:r>
      <w:r w:rsidR="00240E05" w:rsidRPr="00070347">
        <w:rPr>
          <w:lang w:val="en-GB" w:eastAsia="en-US"/>
        </w:rPr>
        <w:fldChar w:fldCharType="begin"/>
      </w:r>
      <w:r w:rsidR="00877C64">
        <w:rPr>
          <w:lang w:val="en-GB"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070347">
        <w:rPr>
          <w:lang w:val="en-GB" w:eastAsia="en-US"/>
        </w:rPr>
        <w:fldChar w:fldCharType="separate"/>
      </w:r>
      <w:r w:rsidR="00877C64" w:rsidRPr="00877C64">
        <w:rPr>
          <w:noProof/>
          <w:vertAlign w:val="superscript"/>
          <w:lang w:val="en-GB" w:eastAsia="en-US"/>
        </w:rPr>
        <w:t>8</w:t>
      </w:r>
      <w:r w:rsidR="00240E05" w:rsidRPr="00070347">
        <w:rPr>
          <w:lang w:val="en-US" w:eastAsia="en-US"/>
        </w:rPr>
        <w:fldChar w:fldCharType="end"/>
      </w:r>
      <w:r w:rsidR="00240E05" w:rsidRPr="00070347">
        <w:rPr>
          <w:lang w:val="en-GB" w:eastAsia="en-US"/>
        </w:rPr>
        <w:fldChar w:fldCharType="begin" w:fldLock="1"/>
      </w:r>
      <w:r w:rsidRPr="00070347">
        <w:rPr>
          <w:lang w:val="en-GB" w:eastAsia="en-US"/>
        </w:rPr>
        <w:instrText>ADDIN CSL_CITATION { "citationItems" : [ { "id" : "ITEM-1", "itemData" : { "author" : [ { "dropping-particle" : "", "family" : "Department of Health Australia", "given" : "Medicare Reviews Unit", "non-dropping-particle" : "", "parse-names" : false, "suffix" : "" } ], "id" : "ITEM-1", "issued" : { "date-parts" : [ [ "2016" ] ] }, "title" : "MBS data", "type" : "report" }, "uris" : [ "http://www.mendeley.com/documents/?uuid=71a40718-ae46-45cd-add3-df8b7bd9730f" ] } ], "mendeley" : { "formattedCitation" : "[3]", "plainTextFormattedCitation" : "[3]", "previouslyFormattedCitation" : "[3]" }, "properties" : { "noteIndex" : 0 }, "schema" : "https://github.com/citation-style-language/schema/raw/master/csl-citation.json" }</w:instrText>
      </w:r>
      <w:r w:rsidR="00240E05" w:rsidRPr="00070347">
        <w:rPr>
          <w:lang w:val="en-US" w:eastAsia="en-US"/>
        </w:rPr>
        <w:fldChar w:fldCharType="end"/>
      </w:r>
    </w:p>
    <w:p w14:paraId="48DAB360" w14:textId="77777777" w:rsidR="00070347" w:rsidRPr="00070347" w:rsidRDefault="00070347" w:rsidP="00070347">
      <w:pPr>
        <w:pStyle w:val="Heading3Numbered"/>
      </w:pPr>
      <w:bookmarkStart w:id="40" w:name="_Toc485296597"/>
      <w:bookmarkStart w:id="41" w:name="_Ref457115393"/>
      <w:bookmarkStart w:id="42" w:name="_Toc454956780"/>
      <w:bookmarkStart w:id="43" w:name="_Toc456708865"/>
      <w:bookmarkStart w:id="44" w:name="_Toc458355137"/>
      <w:r w:rsidRPr="00070347">
        <w:t>TSH test: Items 66716, 66722–5, 66728, 66731 and 66734</w:t>
      </w:r>
      <w:bookmarkEnd w:id="40"/>
    </w:p>
    <w:p w14:paraId="092036AE" w14:textId="77777777" w:rsidR="00A74C6B" w:rsidRPr="003744BA" w:rsidRDefault="00A74C6B" w:rsidP="003744BA">
      <w:pPr>
        <w:pStyle w:val="Caption"/>
      </w:pPr>
      <w:bookmarkStart w:id="45" w:name="_Toc472940495"/>
      <w:r w:rsidRPr="003744BA">
        <w:t xml:space="preserve">Table </w:t>
      </w:r>
      <w:bookmarkEnd w:id="41"/>
      <w:r w:rsidR="00AD6C1A">
        <w:t>3</w:t>
      </w:r>
      <w:r w:rsidRPr="003744BA">
        <w:t xml:space="preserve">: </w:t>
      </w:r>
      <w:r w:rsidR="00A15C12" w:rsidRPr="003744BA">
        <w:tab/>
      </w:r>
      <w:bookmarkEnd w:id="42"/>
      <w:bookmarkEnd w:id="43"/>
      <w:bookmarkEnd w:id="44"/>
      <w:r w:rsidR="00E72592" w:rsidRPr="003744BA">
        <w:t>Item introduction table for items 66716, 66722–5, 66728, 66731 and 66734</w:t>
      </w:r>
      <w:bookmarkEnd w:id="4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Description w:val="This is a table that contains Medicare Benefits Schedule data for items 66716, 66722–5, 66728, 66731 and 66734 for the finanical year 2014–2015. The data includes total volume of services, benefits and services annual average growth."/>
      </w:tblPr>
      <w:tblGrid>
        <w:gridCol w:w="718"/>
        <w:gridCol w:w="4007"/>
        <w:gridCol w:w="922"/>
        <w:gridCol w:w="1049"/>
        <w:gridCol w:w="1124"/>
        <w:gridCol w:w="1196"/>
      </w:tblGrid>
      <w:tr w:rsidR="00E72592" w:rsidRPr="00FD691A" w14:paraId="1634406F" w14:textId="77777777" w:rsidTr="00C75FBD">
        <w:trPr>
          <w:tblHeader/>
        </w:trPr>
        <w:tc>
          <w:tcPr>
            <w:tcW w:w="721" w:type="dxa"/>
            <w:shd w:val="clear" w:color="auto" w:fill="D9D9D9" w:themeFill="background1" w:themeFillShade="D9"/>
            <w:vAlign w:val="bottom"/>
          </w:tcPr>
          <w:p w14:paraId="33DE6BA8" w14:textId="77777777" w:rsidR="00E72592" w:rsidRPr="00FD691A" w:rsidRDefault="00E72592" w:rsidP="00E72592">
            <w:pPr>
              <w:rPr>
                <w:b/>
                <w:sz w:val="20"/>
                <w:szCs w:val="20"/>
                <w:lang w:val="en-GB" w:eastAsia="en-US"/>
              </w:rPr>
            </w:pPr>
            <w:r w:rsidRPr="00FD691A">
              <w:rPr>
                <w:b/>
                <w:sz w:val="20"/>
                <w:szCs w:val="20"/>
                <w:lang w:val="en-GB" w:eastAsia="en-US"/>
              </w:rPr>
              <w:t>Item</w:t>
            </w:r>
          </w:p>
        </w:tc>
        <w:tc>
          <w:tcPr>
            <w:tcW w:w="4057" w:type="dxa"/>
            <w:shd w:val="clear" w:color="auto" w:fill="D9D9D9" w:themeFill="background1" w:themeFillShade="D9"/>
            <w:tcMar>
              <w:left w:w="57" w:type="dxa"/>
            </w:tcMar>
            <w:vAlign w:val="bottom"/>
          </w:tcPr>
          <w:p w14:paraId="76D4D994" w14:textId="77777777" w:rsidR="00E72592" w:rsidRPr="00FD691A" w:rsidRDefault="00E72592" w:rsidP="00E72592">
            <w:pPr>
              <w:rPr>
                <w:b/>
                <w:sz w:val="20"/>
                <w:szCs w:val="20"/>
                <w:lang w:val="en-GB" w:eastAsia="en-US"/>
              </w:rPr>
            </w:pPr>
            <w:r w:rsidRPr="00FD691A">
              <w:rPr>
                <w:b/>
                <w:sz w:val="20"/>
                <w:szCs w:val="20"/>
                <w:lang w:val="en-GB" w:eastAsia="en-US"/>
              </w:rPr>
              <w:t>Descriptor [date last amended]</w:t>
            </w:r>
          </w:p>
        </w:tc>
        <w:tc>
          <w:tcPr>
            <w:tcW w:w="924" w:type="dxa"/>
            <w:shd w:val="clear" w:color="auto" w:fill="D9D9D9" w:themeFill="background1" w:themeFillShade="D9"/>
            <w:vAlign w:val="bottom"/>
          </w:tcPr>
          <w:p w14:paraId="07F7D60C" w14:textId="10E09587" w:rsidR="00E72592" w:rsidRPr="00FD691A" w:rsidRDefault="00E72592" w:rsidP="003010F7">
            <w:pPr>
              <w:rPr>
                <w:b/>
                <w:sz w:val="20"/>
                <w:szCs w:val="20"/>
                <w:lang w:val="en-GB" w:eastAsia="en-US"/>
              </w:rPr>
            </w:pPr>
            <w:r w:rsidRPr="00FD691A">
              <w:rPr>
                <w:b/>
                <w:sz w:val="20"/>
                <w:szCs w:val="20"/>
                <w:lang w:val="en-GB" w:eastAsia="en-US"/>
              </w:rPr>
              <w:t>Schedule</w:t>
            </w:r>
            <w:r w:rsidR="003010F7">
              <w:rPr>
                <w:b/>
                <w:sz w:val="20"/>
                <w:szCs w:val="20"/>
                <w:lang w:val="en-GB" w:eastAsia="en-US"/>
              </w:rPr>
              <w:t xml:space="preserve"> fee</w:t>
            </w:r>
          </w:p>
        </w:tc>
        <w:tc>
          <w:tcPr>
            <w:tcW w:w="1051" w:type="dxa"/>
            <w:shd w:val="clear" w:color="auto" w:fill="D9D9D9" w:themeFill="background1" w:themeFillShade="D9"/>
            <w:vAlign w:val="bottom"/>
          </w:tcPr>
          <w:p w14:paraId="49DB4F71" w14:textId="77777777" w:rsidR="00E72592" w:rsidRPr="00FD691A" w:rsidRDefault="00E72592" w:rsidP="00E72592">
            <w:pPr>
              <w:rPr>
                <w:b/>
                <w:sz w:val="20"/>
                <w:szCs w:val="20"/>
                <w:lang w:val="en-GB" w:eastAsia="en-US"/>
              </w:rPr>
            </w:pPr>
            <w:r w:rsidRPr="00FD691A">
              <w:rPr>
                <w:b/>
                <w:sz w:val="20"/>
                <w:szCs w:val="20"/>
                <w:lang w:val="en-GB" w:eastAsia="en-US"/>
              </w:rPr>
              <w:t>Services FY2014/15</w:t>
            </w:r>
          </w:p>
        </w:tc>
        <w:tc>
          <w:tcPr>
            <w:tcW w:w="1125" w:type="dxa"/>
            <w:shd w:val="clear" w:color="auto" w:fill="D9D9D9" w:themeFill="background1" w:themeFillShade="D9"/>
            <w:vAlign w:val="bottom"/>
          </w:tcPr>
          <w:p w14:paraId="7D838E05" w14:textId="77777777" w:rsidR="00E72592" w:rsidRPr="00FD691A" w:rsidRDefault="00E72592" w:rsidP="00E72592">
            <w:pPr>
              <w:rPr>
                <w:b/>
                <w:sz w:val="20"/>
                <w:szCs w:val="20"/>
                <w:lang w:val="en-GB" w:eastAsia="en-US"/>
              </w:rPr>
            </w:pPr>
            <w:r w:rsidRPr="00FD691A">
              <w:rPr>
                <w:b/>
                <w:sz w:val="20"/>
                <w:szCs w:val="20"/>
                <w:lang w:val="en-GB" w:eastAsia="en-US"/>
              </w:rPr>
              <w:t>Benefits FY2014/15</w:t>
            </w:r>
          </w:p>
        </w:tc>
        <w:tc>
          <w:tcPr>
            <w:tcW w:w="1204" w:type="dxa"/>
            <w:shd w:val="clear" w:color="auto" w:fill="D9D9D9" w:themeFill="background1" w:themeFillShade="D9"/>
            <w:vAlign w:val="bottom"/>
          </w:tcPr>
          <w:p w14:paraId="3AEC4C34" w14:textId="12D5172A" w:rsidR="00E72592" w:rsidRPr="00FD691A" w:rsidRDefault="00E72592" w:rsidP="003010F7">
            <w:pPr>
              <w:rPr>
                <w:b/>
                <w:sz w:val="20"/>
                <w:szCs w:val="20"/>
                <w:lang w:val="en-GB" w:eastAsia="en-US"/>
              </w:rPr>
            </w:pPr>
            <w:r w:rsidRPr="00FD691A">
              <w:rPr>
                <w:b/>
                <w:sz w:val="20"/>
                <w:szCs w:val="20"/>
                <w:lang w:val="en-GB" w:eastAsia="en-US"/>
              </w:rPr>
              <w:t xml:space="preserve">Services </w:t>
            </w:r>
            <w:r w:rsidR="003010F7" w:rsidRPr="00FD691A">
              <w:rPr>
                <w:b/>
                <w:sz w:val="20"/>
                <w:szCs w:val="20"/>
                <w:lang w:val="en-GB" w:eastAsia="en-US"/>
              </w:rPr>
              <w:t>5</w:t>
            </w:r>
            <w:r w:rsidR="003010F7">
              <w:rPr>
                <w:b/>
                <w:sz w:val="20"/>
                <w:szCs w:val="20"/>
                <w:lang w:val="en-GB" w:eastAsia="en-US"/>
              </w:rPr>
              <w:t>-</w:t>
            </w:r>
            <w:r w:rsidRPr="00FD691A">
              <w:rPr>
                <w:b/>
                <w:sz w:val="20"/>
                <w:szCs w:val="20"/>
                <w:lang w:val="en-GB" w:eastAsia="en-US"/>
              </w:rPr>
              <w:t>year annual avg. growth</w:t>
            </w:r>
          </w:p>
        </w:tc>
      </w:tr>
      <w:tr w:rsidR="00E72592" w:rsidRPr="00FD691A" w14:paraId="7715556B" w14:textId="77777777" w:rsidTr="00C75FBD">
        <w:tc>
          <w:tcPr>
            <w:tcW w:w="721" w:type="dxa"/>
          </w:tcPr>
          <w:p w14:paraId="6D98981F" w14:textId="77777777" w:rsidR="00E72592" w:rsidRPr="00FD691A" w:rsidRDefault="00E72592" w:rsidP="00E72592">
            <w:pPr>
              <w:rPr>
                <w:sz w:val="20"/>
                <w:szCs w:val="20"/>
                <w:lang w:val="en-GB" w:eastAsia="en-US"/>
              </w:rPr>
            </w:pPr>
            <w:r w:rsidRPr="00FD691A">
              <w:rPr>
                <w:sz w:val="20"/>
                <w:szCs w:val="20"/>
                <w:lang w:val="en-GB" w:eastAsia="en-US"/>
              </w:rPr>
              <w:t>66716</w:t>
            </w:r>
          </w:p>
        </w:tc>
        <w:tc>
          <w:tcPr>
            <w:tcW w:w="4057" w:type="dxa"/>
            <w:tcMar>
              <w:left w:w="57" w:type="dxa"/>
            </w:tcMar>
            <w:vAlign w:val="center"/>
          </w:tcPr>
          <w:p w14:paraId="1210C723" w14:textId="77777777" w:rsidR="00E72592" w:rsidRPr="00FD691A" w:rsidRDefault="00E72592" w:rsidP="00E72592">
            <w:pPr>
              <w:rPr>
                <w:sz w:val="20"/>
                <w:szCs w:val="20"/>
                <w:lang w:val="en-GB" w:eastAsia="en-US"/>
              </w:rPr>
            </w:pPr>
            <w:r w:rsidRPr="00FD691A">
              <w:rPr>
                <w:sz w:val="20"/>
                <w:szCs w:val="20"/>
                <w:lang w:val="en-GB" w:eastAsia="en-US"/>
              </w:rPr>
              <w:t>TSH quantitation. [1998]</w:t>
            </w:r>
          </w:p>
        </w:tc>
        <w:tc>
          <w:tcPr>
            <w:tcW w:w="924" w:type="dxa"/>
          </w:tcPr>
          <w:p w14:paraId="28B45685" w14:textId="77777777" w:rsidR="00E72592" w:rsidRPr="00FD691A" w:rsidRDefault="00E72592" w:rsidP="00E72592">
            <w:pPr>
              <w:rPr>
                <w:sz w:val="20"/>
                <w:szCs w:val="20"/>
                <w:lang w:val="en-GB" w:eastAsia="en-US"/>
              </w:rPr>
            </w:pPr>
            <w:r w:rsidRPr="00FD691A">
              <w:rPr>
                <w:sz w:val="20"/>
                <w:szCs w:val="20"/>
                <w:lang w:val="en-GB" w:eastAsia="en-US"/>
              </w:rPr>
              <w:t>$25.05</w:t>
            </w:r>
          </w:p>
        </w:tc>
        <w:tc>
          <w:tcPr>
            <w:tcW w:w="1051" w:type="dxa"/>
          </w:tcPr>
          <w:p w14:paraId="2967E6C3" w14:textId="77777777" w:rsidR="00E72592" w:rsidRPr="00FD691A" w:rsidRDefault="00E72592" w:rsidP="00E72592">
            <w:pPr>
              <w:rPr>
                <w:sz w:val="20"/>
                <w:szCs w:val="20"/>
                <w:lang w:val="en-GB" w:eastAsia="en-US"/>
              </w:rPr>
            </w:pPr>
            <w:r w:rsidRPr="00FD691A">
              <w:rPr>
                <w:sz w:val="20"/>
                <w:szCs w:val="20"/>
                <w:lang w:val="en-GB" w:eastAsia="en-US"/>
              </w:rPr>
              <w:t>4,642,841</w:t>
            </w:r>
          </w:p>
        </w:tc>
        <w:tc>
          <w:tcPr>
            <w:tcW w:w="1125" w:type="dxa"/>
          </w:tcPr>
          <w:p w14:paraId="120C9465" w14:textId="77777777" w:rsidR="00E72592" w:rsidRPr="00FD691A" w:rsidRDefault="00E72592" w:rsidP="00E72592">
            <w:pPr>
              <w:rPr>
                <w:sz w:val="20"/>
                <w:szCs w:val="20"/>
                <w:lang w:val="en-GB" w:eastAsia="en-US"/>
              </w:rPr>
            </w:pPr>
            <w:r w:rsidRPr="00FD691A">
              <w:rPr>
                <w:sz w:val="20"/>
                <w:szCs w:val="20"/>
                <w:lang w:val="en-GB" w:eastAsia="en-US"/>
              </w:rPr>
              <w:t>$99,063,014</w:t>
            </w:r>
          </w:p>
        </w:tc>
        <w:tc>
          <w:tcPr>
            <w:tcW w:w="1204" w:type="dxa"/>
          </w:tcPr>
          <w:p w14:paraId="07A59A19" w14:textId="77777777" w:rsidR="00E72592" w:rsidRPr="00FD691A" w:rsidRDefault="00E72592" w:rsidP="00E72592">
            <w:pPr>
              <w:rPr>
                <w:sz w:val="20"/>
                <w:szCs w:val="20"/>
                <w:lang w:val="en-GB" w:eastAsia="en-US"/>
              </w:rPr>
            </w:pPr>
            <w:r w:rsidRPr="00FD691A">
              <w:rPr>
                <w:sz w:val="20"/>
                <w:szCs w:val="20"/>
                <w:lang w:val="en-GB" w:eastAsia="en-US"/>
              </w:rPr>
              <w:t>4.3%</w:t>
            </w:r>
          </w:p>
        </w:tc>
      </w:tr>
      <w:tr w:rsidR="00E72592" w:rsidRPr="00FD691A" w14:paraId="33797BD1" w14:textId="77777777" w:rsidTr="00C75FBD">
        <w:tc>
          <w:tcPr>
            <w:tcW w:w="721" w:type="dxa"/>
          </w:tcPr>
          <w:p w14:paraId="087AEDC0" w14:textId="77777777" w:rsidR="00E72592" w:rsidRPr="00FD691A" w:rsidRDefault="00E72592" w:rsidP="00E72592">
            <w:pPr>
              <w:rPr>
                <w:sz w:val="20"/>
                <w:szCs w:val="20"/>
                <w:lang w:val="en-GB" w:eastAsia="en-US"/>
              </w:rPr>
            </w:pPr>
            <w:r w:rsidRPr="00FD691A">
              <w:rPr>
                <w:sz w:val="20"/>
                <w:szCs w:val="20"/>
                <w:lang w:val="en-GB" w:eastAsia="en-US"/>
              </w:rPr>
              <w:t>66722</w:t>
            </w:r>
          </w:p>
        </w:tc>
        <w:tc>
          <w:tcPr>
            <w:tcW w:w="4057" w:type="dxa"/>
            <w:tcMar>
              <w:left w:w="57" w:type="dxa"/>
            </w:tcMar>
            <w:vAlign w:val="center"/>
          </w:tcPr>
          <w:p w14:paraId="6EFF863C" w14:textId="77777777" w:rsidR="00E72592" w:rsidRPr="00FD691A" w:rsidRDefault="00E72592" w:rsidP="00E72592">
            <w:pPr>
              <w:rPr>
                <w:sz w:val="20"/>
                <w:szCs w:val="20"/>
                <w:lang w:val="en-GB" w:eastAsia="en-US"/>
              </w:rPr>
            </w:pPr>
            <w:r w:rsidRPr="00FD691A">
              <w:rPr>
                <w:sz w:val="20"/>
                <w:szCs w:val="20"/>
                <w:lang w:val="en-GB" w:eastAsia="en-US"/>
              </w:rPr>
              <w:t>TSH quantitation described in item 66716 and 1 test described in item 66695. (This fee applies where 1 laboratory, or more than 1 laboratory belonging to the same APA, performs the only 2 tests specified on the request form or performs 2 tests and refers the rest to the laboratory of a separate APA.) (Item is subject to rule 6.) [1998]</w:t>
            </w:r>
          </w:p>
        </w:tc>
        <w:tc>
          <w:tcPr>
            <w:tcW w:w="924" w:type="dxa"/>
          </w:tcPr>
          <w:p w14:paraId="5BCDA16F" w14:textId="77777777" w:rsidR="00E72592" w:rsidRPr="00FD691A" w:rsidRDefault="00E72592" w:rsidP="00E72592">
            <w:pPr>
              <w:rPr>
                <w:sz w:val="20"/>
                <w:szCs w:val="20"/>
                <w:lang w:val="en-GB" w:eastAsia="en-US"/>
              </w:rPr>
            </w:pPr>
            <w:r w:rsidRPr="00FD691A">
              <w:rPr>
                <w:sz w:val="20"/>
                <w:szCs w:val="20"/>
                <w:lang w:val="en-GB" w:eastAsia="en-US"/>
              </w:rPr>
              <w:t>$37.90</w:t>
            </w:r>
          </w:p>
        </w:tc>
        <w:tc>
          <w:tcPr>
            <w:tcW w:w="1051" w:type="dxa"/>
          </w:tcPr>
          <w:p w14:paraId="7AB7000E" w14:textId="77777777" w:rsidR="00E72592" w:rsidRPr="00FD691A" w:rsidRDefault="00E72592" w:rsidP="00E72592">
            <w:pPr>
              <w:rPr>
                <w:sz w:val="20"/>
                <w:szCs w:val="20"/>
                <w:lang w:val="en-GB" w:eastAsia="en-US"/>
              </w:rPr>
            </w:pPr>
            <w:r w:rsidRPr="00FD691A">
              <w:rPr>
                <w:sz w:val="20"/>
                <w:szCs w:val="20"/>
                <w:lang w:val="en-GB" w:eastAsia="en-US"/>
              </w:rPr>
              <w:t>257,252</w:t>
            </w:r>
          </w:p>
        </w:tc>
        <w:tc>
          <w:tcPr>
            <w:tcW w:w="1125" w:type="dxa"/>
          </w:tcPr>
          <w:p w14:paraId="598A0608" w14:textId="77777777" w:rsidR="00E72592" w:rsidRPr="00FD691A" w:rsidRDefault="00E72592" w:rsidP="00E72592">
            <w:pPr>
              <w:rPr>
                <w:sz w:val="20"/>
                <w:szCs w:val="20"/>
                <w:lang w:val="en-GB" w:eastAsia="en-US"/>
              </w:rPr>
            </w:pPr>
            <w:r w:rsidRPr="00FD691A">
              <w:rPr>
                <w:sz w:val="20"/>
                <w:szCs w:val="20"/>
                <w:lang w:val="en-GB" w:eastAsia="en-US"/>
              </w:rPr>
              <w:t>$8,302,767</w:t>
            </w:r>
          </w:p>
        </w:tc>
        <w:tc>
          <w:tcPr>
            <w:tcW w:w="1204" w:type="dxa"/>
          </w:tcPr>
          <w:p w14:paraId="1F163EF2" w14:textId="77777777" w:rsidR="00E72592" w:rsidRPr="00FD691A" w:rsidRDefault="00E72592" w:rsidP="00E72592">
            <w:pPr>
              <w:rPr>
                <w:sz w:val="20"/>
                <w:szCs w:val="20"/>
                <w:lang w:val="en-GB" w:eastAsia="en-US"/>
              </w:rPr>
            </w:pPr>
            <w:r w:rsidRPr="00FD691A">
              <w:rPr>
                <w:sz w:val="20"/>
                <w:szCs w:val="20"/>
                <w:lang w:val="en-GB" w:eastAsia="en-US"/>
              </w:rPr>
              <w:t>6.8%</w:t>
            </w:r>
          </w:p>
        </w:tc>
      </w:tr>
      <w:tr w:rsidR="00E72592" w:rsidRPr="00FD691A" w14:paraId="1E50233A" w14:textId="77777777" w:rsidTr="00C75FBD">
        <w:tc>
          <w:tcPr>
            <w:tcW w:w="721" w:type="dxa"/>
          </w:tcPr>
          <w:p w14:paraId="568FD9B7" w14:textId="77777777" w:rsidR="00E72592" w:rsidRPr="00FD691A" w:rsidRDefault="00E72592" w:rsidP="00E72592">
            <w:pPr>
              <w:rPr>
                <w:sz w:val="20"/>
                <w:szCs w:val="20"/>
                <w:lang w:val="en-GB" w:eastAsia="en-US"/>
              </w:rPr>
            </w:pPr>
            <w:r w:rsidRPr="00FD691A">
              <w:rPr>
                <w:sz w:val="20"/>
                <w:szCs w:val="20"/>
                <w:lang w:val="en-GB" w:eastAsia="en-US"/>
              </w:rPr>
              <w:t>66723</w:t>
            </w:r>
          </w:p>
        </w:tc>
        <w:tc>
          <w:tcPr>
            <w:tcW w:w="4057" w:type="dxa"/>
            <w:tcMar>
              <w:left w:w="57" w:type="dxa"/>
            </w:tcMar>
            <w:vAlign w:val="center"/>
          </w:tcPr>
          <w:p w14:paraId="67A024AF" w14:textId="77777777" w:rsidR="00E72592" w:rsidRPr="00FD691A" w:rsidRDefault="00E72592" w:rsidP="00E72592">
            <w:pPr>
              <w:rPr>
                <w:sz w:val="20"/>
                <w:szCs w:val="20"/>
                <w:lang w:val="en-GB" w:eastAsia="en-US"/>
              </w:rPr>
            </w:pPr>
            <w:r w:rsidRPr="00FD691A">
              <w:rPr>
                <w:sz w:val="20"/>
                <w:szCs w:val="20"/>
                <w:lang w:val="en-GB" w:eastAsia="en-US"/>
              </w:rPr>
              <w:t>Tests described in item 66722, that is, TSH quantitation and 1 test described in 66695, if rendered by a receiving APP, where no tests in the item have been rendered by the referring APP – 1 test. (Item is subject to rule 6 and 18.) [2007]</w:t>
            </w:r>
          </w:p>
        </w:tc>
        <w:tc>
          <w:tcPr>
            <w:tcW w:w="924" w:type="dxa"/>
          </w:tcPr>
          <w:p w14:paraId="05AC3A4D" w14:textId="77777777" w:rsidR="00E72592" w:rsidRPr="00FD691A" w:rsidRDefault="00E72592" w:rsidP="00E72592">
            <w:pPr>
              <w:rPr>
                <w:sz w:val="20"/>
                <w:szCs w:val="20"/>
                <w:lang w:val="en-GB" w:eastAsia="en-US"/>
              </w:rPr>
            </w:pPr>
            <w:r w:rsidRPr="00FD691A">
              <w:rPr>
                <w:sz w:val="20"/>
                <w:szCs w:val="20"/>
                <w:lang w:val="en-GB" w:eastAsia="en-US"/>
              </w:rPr>
              <w:t>$37.90</w:t>
            </w:r>
          </w:p>
        </w:tc>
        <w:tc>
          <w:tcPr>
            <w:tcW w:w="1051" w:type="dxa"/>
          </w:tcPr>
          <w:p w14:paraId="3B453E97" w14:textId="77777777" w:rsidR="00E72592" w:rsidRPr="00FD691A" w:rsidRDefault="00E72592" w:rsidP="00E72592">
            <w:pPr>
              <w:rPr>
                <w:sz w:val="20"/>
                <w:szCs w:val="20"/>
                <w:lang w:val="en-GB" w:eastAsia="en-US"/>
              </w:rPr>
            </w:pPr>
            <w:r w:rsidRPr="00FD691A">
              <w:rPr>
                <w:sz w:val="20"/>
                <w:szCs w:val="20"/>
                <w:lang w:val="en-GB" w:eastAsia="en-US"/>
              </w:rPr>
              <w:t>17</w:t>
            </w:r>
          </w:p>
        </w:tc>
        <w:tc>
          <w:tcPr>
            <w:tcW w:w="1125" w:type="dxa"/>
          </w:tcPr>
          <w:p w14:paraId="6A7EFD8C" w14:textId="77777777" w:rsidR="00E72592" w:rsidRPr="00FD691A" w:rsidRDefault="00E72592" w:rsidP="00E72592">
            <w:pPr>
              <w:rPr>
                <w:sz w:val="20"/>
                <w:szCs w:val="20"/>
                <w:lang w:val="en-GB" w:eastAsia="en-US"/>
              </w:rPr>
            </w:pPr>
            <w:r w:rsidRPr="00FD691A">
              <w:rPr>
                <w:sz w:val="20"/>
                <w:szCs w:val="20"/>
                <w:lang w:val="en-GB" w:eastAsia="en-US"/>
              </w:rPr>
              <w:t>$548</w:t>
            </w:r>
          </w:p>
        </w:tc>
        <w:tc>
          <w:tcPr>
            <w:tcW w:w="1204" w:type="dxa"/>
          </w:tcPr>
          <w:p w14:paraId="24D1C3C5" w14:textId="13E665CD" w:rsidR="00E72592" w:rsidRPr="00FD691A" w:rsidRDefault="003010F7" w:rsidP="00E72592">
            <w:pPr>
              <w:rPr>
                <w:sz w:val="20"/>
                <w:szCs w:val="20"/>
                <w:lang w:val="en-GB" w:eastAsia="en-US"/>
              </w:rPr>
            </w:pPr>
            <w:r>
              <w:rPr>
                <w:sz w:val="20"/>
                <w:szCs w:val="20"/>
                <w:lang w:val="en-GB" w:eastAsia="en-US"/>
              </w:rPr>
              <w:t>–</w:t>
            </w:r>
            <w:r w:rsidR="00E72592" w:rsidRPr="00FD691A">
              <w:rPr>
                <w:sz w:val="20"/>
                <w:szCs w:val="20"/>
                <w:lang w:val="en-GB" w:eastAsia="en-US"/>
              </w:rPr>
              <w:t>6.7%</w:t>
            </w:r>
          </w:p>
        </w:tc>
      </w:tr>
      <w:tr w:rsidR="00E72592" w:rsidRPr="00FD691A" w14:paraId="63A1CF9F" w14:textId="77777777" w:rsidTr="00C75FBD">
        <w:tc>
          <w:tcPr>
            <w:tcW w:w="721" w:type="dxa"/>
          </w:tcPr>
          <w:p w14:paraId="03642691" w14:textId="77777777" w:rsidR="00E72592" w:rsidRPr="00FD691A" w:rsidRDefault="00E72592" w:rsidP="00E72592">
            <w:pPr>
              <w:rPr>
                <w:sz w:val="20"/>
                <w:szCs w:val="20"/>
                <w:lang w:val="en-GB" w:eastAsia="en-US"/>
              </w:rPr>
            </w:pPr>
            <w:r w:rsidRPr="00FD691A">
              <w:rPr>
                <w:sz w:val="20"/>
                <w:szCs w:val="20"/>
                <w:lang w:val="en-GB" w:eastAsia="en-US"/>
              </w:rPr>
              <w:t>66724</w:t>
            </w:r>
          </w:p>
        </w:tc>
        <w:tc>
          <w:tcPr>
            <w:tcW w:w="4057" w:type="dxa"/>
            <w:tcMar>
              <w:left w:w="57" w:type="dxa"/>
            </w:tcMar>
            <w:vAlign w:val="center"/>
          </w:tcPr>
          <w:p w14:paraId="34282885" w14:textId="77777777" w:rsidR="00E72592" w:rsidRPr="00FD691A" w:rsidRDefault="00E72592" w:rsidP="00E72592">
            <w:pPr>
              <w:rPr>
                <w:sz w:val="20"/>
                <w:szCs w:val="20"/>
                <w:lang w:val="en-GB" w:eastAsia="en-US"/>
              </w:rPr>
            </w:pPr>
            <w:r w:rsidRPr="00FD691A">
              <w:rPr>
                <w:sz w:val="20"/>
                <w:szCs w:val="20"/>
                <w:lang w:val="en-GB" w:eastAsia="en-US"/>
              </w:rPr>
              <w:t>Tests described in item 66722, if rendered by a receiving APP, other than that described in 66723. It is to include a quantitation of TSH – each test to a maximum of 4 tests described in item 66695. (Item is subject to rule 6 and 18.) [2007]</w:t>
            </w:r>
          </w:p>
        </w:tc>
        <w:tc>
          <w:tcPr>
            <w:tcW w:w="924" w:type="dxa"/>
          </w:tcPr>
          <w:p w14:paraId="03A757BA" w14:textId="77777777" w:rsidR="00E72592" w:rsidRPr="00FD691A" w:rsidRDefault="00E72592" w:rsidP="00E72592">
            <w:pPr>
              <w:rPr>
                <w:sz w:val="20"/>
                <w:szCs w:val="20"/>
                <w:lang w:val="en-GB" w:eastAsia="en-US"/>
              </w:rPr>
            </w:pPr>
            <w:r w:rsidRPr="00FD691A">
              <w:rPr>
                <w:sz w:val="20"/>
                <w:szCs w:val="20"/>
                <w:lang w:val="en-GB" w:eastAsia="en-US"/>
              </w:rPr>
              <w:t>$13.15</w:t>
            </w:r>
          </w:p>
        </w:tc>
        <w:tc>
          <w:tcPr>
            <w:tcW w:w="1051" w:type="dxa"/>
          </w:tcPr>
          <w:p w14:paraId="45DD3324" w14:textId="77777777" w:rsidR="00E72592" w:rsidRPr="00FD691A" w:rsidRDefault="00E72592" w:rsidP="00E72592">
            <w:pPr>
              <w:rPr>
                <w:sz w:val="20"/>
                <w:szCs w:val="20"/>
                <w:lang w:val="en-GB" w:eastAsia="en-US"/>
              </w:rPr>
            </w:pPr>
            <w:r w:rsidRPr="00FD691A">
              <w:rPr>
                <w:sz w:val="20"/>
                <w:szCs w:val="20"/>
                <w:lang w:val="en-GB" w:eastAsia="en-US"/>
              </w:rPr>
              <w:t>32</w:t>
            </w:r>
          </w:p>
        </w:tc>
        <w:tc>
          <w:tcPr>
            <w:tcW w:w="1125" w:type="dxa"/>
          </w:tcPr>
          <w:p w14:paraId="51FFCB3C" w14:textId="77777777" w:rsidR="00E72592" w:rsidRPr="00FD691A" w:rsidRDefault="00E72592" w:rsidP="00E72592">
            <w:pPr>
              <w:rPr>
                <w:sz w:val="20"/>
                <w:szCs w:val="20"/>
                <w:lang w:val="en-GB" w:eastAsia="en-US"/>
              </w:rPr>
            </w:pPr>
            <w:r w:rsidRPr="00FD691A">
              <w:rPr>
                <w:sz w:val="20"/>
                <w:szCs w:val="20"/>
                <w:lang w:val="en-GB" w:eastAsia="en-US"/>
              </w:rPr>
              <w:t>$357</w:t>
            </w:r>
          </w:p>
        </w:tc>
        <w:tc>
          <w:tcPr>
            <w:tcW w:w="1204" w:type="dxa"/>
          </w:tcPr>
          <w:p w14:paraId="5D24B0DC" w14:textId="08DC1E27" w:rsidR="00E72592" w:rsidRPr="00FD691A" w:rsidRDefault="003010F7" w:rsidP="00E72592">
            <w:pPr>
              <w:rPr>
                <w:sz w:val="20"/>
                <w:szCs w:val="20"/>
                <w:lang w:val="en-GB" w:eastAsia="en-US"/>
              </w:rPr>
            </w:pPr>
            <w:r>
              <w:rPr>
                <w:sz w:val="20"/>
                <w:szCs w:val="20"/>
                <w:lang w:val="en-GB" w:eastAsia="en-US"/>
              </w:rPr>
              <w:t>–</w:t>
            </w:r>
            <w:r w:rsidR="00E72592" w:rsidRPr="00FD691A">
              <w:rPr>
                <w:sz w:val="20"/>
                <w:szCs w:val="20"/>
                <w:lang w:val="en-GB" w:eastAsia="en-US"/>
              </w:rPr>
              <w:t>45.1%</w:t>
            </w:r>
          </w:p>
        </w:tc>
      </w:tr>
      <w:tr w:rsidR="00E72592" w:rsidRPr="00FD691A" w14:paraId="4BD43653" w14:textId="77777777" w:rsidTr="00C75FBD">
        <w:tc>
          <w:tcPr>
            <w:tcW w:w="721" w:type="dxa"/>
          </w:tcPr>
          <w:p w14:paraId="51A6EF96" w14:textId="77777777" w:rsidR="00E72592" w:rsidRPr="00FD691A" w:rsidRDefault="00E72592" w:rsidP="00E72592">
            <w:pPr>
              <w:rPr>
                <w:sz w:val="20"/>
                <w:szCs w:val="20"/>
                <w:lang w:val="en-GB" w:eastAsia="en-US"/>
              </w:rPr>
            </w:pPr>
            <w:r w:rsidRPr="00FD691A">
              <w:rPr>
                <w:sz w:val="20"/>
                <w:szCs w:val="20"/>
                <w:lang w:val="en-GB" w:eastAsia="en-US"/>
              </w:rPr>
              <w:t>66725</w:t>
            </w:r>
          </w:p>
        </w:tc>
        <w:tc>
          <w:tcPr>
            <w:tcW w:w="4057" w:type="dxa"/>
            <w:tcMar>
              <w:left w:w="57" w:type="dxa"/>
            </w:tcMar>
            <w:vAlign w:val="center"/>
          </w:tcPr>
          <w:p w14:paraId="0C422BC1" w14:textId="77777777" w:rsidR="00E72592" w:rsidRPr="00FD691A" w:rsidRDefault="00E72592" w:rsidP="00E72592">
            <w:pPr>
              <w:rPr>
                <w:sz w:val="20"/>
                <w:szCs w:val="20"/>
                <w:lang w:val="en-GB" w:eastAsia="en-US"/>
              </w:rPr>
            </w:pPr>
            <w:r w:rsidRPr="00FD691A">
              <w:rPr>
                <w:sz w:val="20"/>
                <w:szCs w:val="20"/>
                <w:lang w:val="en-GB" w:eastAsia="en-US"/>
              </w:rPr>
              <w:t>TSH quantitation described in item 66716 and 2 tests described in item 66695. (This fee applies where 1 laboratory, or more than 1 laboratory belonging to the same APA, performs the only 3 tests specified on the request form or performs 3 tests and refers the rest to the laboratory of a separate APA.) (Item is subject to rule 6.) [1998]</w:t>
            </w:r>
          </w:p>
        </w:tc>
        <w:tc>
          <w:tcPr>
            <w:tcW w:w="924" w:type="dxa"/>
          </w:tcPr>
          <w:p w14:paraId="619551EB" w14:textId="77777777" w:rsidR="00E72592" w:rsidRPr="00FD691A" w:rsidRDefault="00E72592" w:rsidP="00E72592">
            <w:pPr>
              <w:rPr>
                <w:sz w:val="20"/>
                <w:szCs w:val="20"/>
                <w:lang w:val="en-GB" w:eastAsia="en-US"/>
              </w:rPr>
            </w:pPr>
            <w:r w:rsidRPr="00FD691A">
              <w:rPr>
                <w:sz w:val="20"/>
                <w:szCs w:val="20"/>
                <w:lang w:val="en-GB" w:eastAsia="en-US"/>
              </w:rPr>
              <w:t>$51.05</w:t>
            </w:r>
          </w:p>
        </w:tc>
        <w:tc>
          <w:tcPr>
            <w:tcW w:w="1051" w:type="dxa"/>
          </w:tcPr>
          <w:p w14:paraId="38749729" w14:textId="77777777" w:rsidR="00E72592" w:rsidRPr="00FD691A" w:rsidRDefault="00E72592" w:rsidP="00E72592">
            <w:pPr>
              <w:rPr>
                <w:sz w:val="20"/>
                <w:szCs w:val="20"/>
                <w:lang w:val="en-GB" w:eastAsia="en-US"/>
              </w:rPr>
            </w:pPr>
            <w:r w:rsidRPr="00FD691A">
              <w:rPr>
                <w:sz w:val="20"/>
                <w:szCs w:val="20"/>
                <w:lang w:val="en-GB" w:eastAsia="en-US"/>
              </w:rPr>
              <w:t>108,605</w:t>
            </w:r>
          </w:p>
        </w:tc>
        <w:tc>
          <w:tcPr>
            <w:tcW w:w="1125" w:type="dxa"/>
          </w:tcPr>
          <w:p w14:paraId="6BD7E439" w14:textId="77777777" w:rsidR="00E72592" w:rsidRPr="00FD691A" w:rsidRDefault="00E72592" w:rsidP="00E72592">
            <w:pPr>
              <w:rPr>
                <w:sz w:val="20"/>
                <w:szCs w:val="20"/>
                <w:lang w:val="en-GB" w:eastAsia="en-US"/>
              </w:rPr>
            </w:pPr>
            <w:r w:rsidRPr="00FD691A">
              <w:rPr>
                <w:sz w:val="20"/>
                <w:szCs w:val="20"/>
                <w:lang w:val="en-GB" w:eastAsia="en-US"/>
              </w:rPr>
              <w:t>$4,727,365</w:t>
            </w:r>
          </w:p>
        </w:tc>
        <w:tc>
          <w:tcPr>
            <w:tcW w:w="1204" w:type="dxa"/>
          </w:tcPr>
          <w:p w14:paraId="545B40DD" w14:textId="77777777" w:rsidR="00E72592" w:rsidRPr="00FD691A" w:rsidRDefault="00E72592" w:rsidP="00E72592">
            <w:pPr>
              <w:rPr>
                <w:sz w:val="20"/>
                <w:szCs w:val="20"/>
                <w:lang w:val="en-GB" w:eastAsia="en-US"/>
              </w:rPr>
            </w:pPr>
            <w:r w:rsidRPr="00FD691A">
              <w:rPr>
                <w:sz w:val="20"/>
                <w:szCs w:val="20"/>
                <w:lang w:val="en-GB" w:eastAsia="en-US"/>
              </w:rPr>
              <w:t>3.6%</w:t>
            </w:r>
          </w:p>
        </w:tc>
      </w:tr>
      <w:tr w:rsidR="00E72592" w:rsidRPr="00FD691A" w14:paraId="363271E1" w14:textId="77777777" w:rsidTr="00C75FBD">
        <w:tc>
          <w:tcPr>
            <w:tcW w:w="721" w:type="dxa"/>
          </w:tcPr>
          <w:p w14:paraId="2734F867" w14:textId="77777777" w:rsidR="00E72592" w:rsidRPr="00FD691A" w:rsidRDefault="00E72592" w:rsidP="00E72592">
            <w:pPr>
              <w:rPr>
                <w:sz w:val="20"/>
                <w:szCs w:val="20"/>
                <w:lang w:val="en-GB" w:eastAsia="en-US"/>
              </w:rPr>
            </w:pPr>
            <w:r w:rsidRPr="00FD691A">
              <w:rPr>
                <w:sz w:val="20"/>
                <w:szCs w:val="20"/>
                <w:lang w:val="en-GB" w:eastAsia="en-US"/>
              </w:rPr>
              <w:t>66728</w:t>
            </w:r>
          </w:p>
        </w:tc>
        <w:tc>
          <w:tcPr>
            <w:tcW w:w="4057" w:type="dxa"/>
            <w:tcMar>
              <w:left w:w="57" w:type="dxa"/>
            </w:tcMar>
            <w:vAlign w:val="center"/>
          </w:tcPr>
          <w:p w14:paraId="362A50A0" w14:textId="77777777" w:rsidR="00E72592" w:rsidRPr="00FD691A" w:rsidRDefault="00E72592" w:rsidP="00E72592">
            <w:pPr>
              <w:rPr>
                <w:sz w:val="20"/>
                <w:szCs w:val="20"/>
                <w:lang w:val="en-GB" w:eastAsia="en-US"/>
              </w:rPr>
            </w:pPr>
            <w:r w:rsidRPr="00FD691A">
              <w:rPr>
                <w:sz w:val="20"/>
                <w:szCs w:val="20"/>
                <w:lang w:val="en-GB" w:eastAsia="en-US"/>
              </w:rPr>
              <w:t>TSH quantitation described in item 66716 and 3 tests described in item 66695. (This fee applies where 1 laboratory, or more than 1 laboratory belonging to the same APA, performs the only 4 tests specified on the request form or performs 4 tests and refers the rest to the laboratory of a separate APA.) (Item is subject to rule 6.) [1998]</w:t>
            </w:r>
          </w:p>
        </w:tc>
        <w:tc>
          <w:tcPr>
            <w:tcW w:w="924" w:type="dxa"/>
          </w:tcPr>
          <w:p w14:paraId="1063CF5D" w14:textId="77777777" w:rsidR="00E72592" w:rsidRPr="00FD691A" w:rsidRDefault="00E72592" w:rsidP="00E72592">
            <w:pPr>
              <w:rPr>
                <w:sz w:val="20"/>
                <w:szCs w:val="20"/>
                <w:lang w:val="en-GB" w:eastAsia="en-US"/>
              </w:rPr>
            </w:pPr>
            <w:r w:rsidRPr="00FD691A">
              <w:rPr>
                <w:sz w:val="20"/>
                <w:szCs w:val="20"/>
                <w:lang w:val="en-GB" w:eastAsia="en-US"/>
              </w:rPr>
              <w:t>$64.20</w:t>
            </w:r>
          </w:p>
        </w:tc>
        <w:tc>
          <w:tcPr>
            <w:tcW w:w="1051" w:type="dxa"/>
          </w:tcPr>
          <w:p w14:paraId="6016CFF7" w14:textId="77777777" w:rsidR="00E72592" w:rsidRPr="00FD691A" w:rsidRDefault="00E72592" w:rsidP="00E72592">
            <w:pPr>
              <w:rPr>
                <w:sz w:val="20"/>
                <w:szCs w:val="20"/>
                <w:lang w:val="en-GB" w:eastAsia="en-US"/>
              </w:rPr>
            </w:pPr>
            <w:r w:rsidRPr="00FD691A">
              <w:rPr>
                <w:sz w:val="20"/>
                <w:szCs w:val="20"/>
                <w:lang w:val="en-GB" w:eastAsia="en-US"/>
              </w:rPr>
              <w:t>88,184</w:t>
            </w:r>
          </w:p>
        </w:tc>
        <w:tc>
          <w:tcPr>
            <w:tcW w:w="1125" w:type="dxa"/>
          </w:tcPr>
          <w:p w14:paraId="663524E0" w14:textId="77777777" w:rsidR="00E72592" w:rsidRPr="00FD691A" w:rsidRDefault="00E72592" w:rsidP="00E72592">
            <w:pPr>
              <w:rPr>
                <w:sz w:val="20"/>
                <w:szCs w:val="20"/>
                <w:lang w:val="en-GB" w:eastAsia="en-US"/>
              </w:rPr>
            </w:pPr>
            <w:r w:rsidRPr="00FD691A">
              <w:rPr>
                <w:sz w:val="20"/>
                <w:szCs w:val="20"/>
                <w:lang w:val="en-GB" w:eastAsia="en-US"/>
              </w:rPr>
              <w:t>$4,836,010</w:t>
            </w:r>
          </w:p>
        </w:tc>
        <w:tc>
          <w:tcPr>
            <w:tcW w:w="1204" w:type="dxa"/>
          </w:tcPr>
          <w:p w14:paraId="1FD47FAA" w14:textId="77777777" w:rsidR="00E72592" w:rsidRPr="00FD691A" w:rsidRDefault="00E72592" w:rsidP="00E72592">
            <w:pPr>
              <w:rPr>
                <w:sz w:val="20"/>
                <w:szCs w:val="20"/>
                <w:lang w:val="en-GB" w:eastAsia="en-US"/>
              </w:rPr>
            </w:pPr>
            <w:r w:rsidRPr="00FD691A">
              <w:rPr>
                <w:sz w:val="20"/>
                <w:szCs w:val="20"/>
                <w:lang w:val="en-GB" w:eastAsia="en-US"/>
              </w:rPr>
              <w:t>2.1%</w:t>
            </w:r>
          </w:p>
        </w:tc>
      </w:tr>
      <w:tr w:rsidR="00E72592" w:rsidRPr="00FD691A" w14:paraId="24E461E6" w14:textId="77777777" w:rsidTr="00C75FBD">
        <w:tc>
          <w:tcPr>
            <w:tcW w:w="721" w:type="dxa"/>
          </w:tcPr>
          <w:p w14:paraId="48478567" w14:textId="77777777" w:rsidR="00E72592" w:rsidRPr="00FD691A" w:rsidRDefault="00E72592" w:rsidP="00E72592">
            <w:pPr>
              <w:rPr>
                <w:sz w:val="20"/>
                <w:szCs w:val="20"/>
                <w:lang w:val="en-GB" w:eastAsia="en-US"/>
              </w:rPr>
            </w:pPr>
            <w:r w:rsidRPr="00FD691A">
              <w:rPr>
                <w:sz w:val="20"/>
                <w:szCs w:val="20"/>
                <w:lang w:val="en-GB" w:eastAsia="en-US"/>
              </w:rPr>
              <w:t>66731</w:t>
            </w:r>
          </w:p>
        </w:tc>
        <w:tc>
          <w:tcPr>
            <w:tcW w:w="4057" w:type="dxa"/>
            <w:tcMar>
              <w:left w:w="57" w:type="dxa"/>
            </w:tcMar>
            <w:vAlign w:val="center"/>
          </w:tcPr>
          <w:p w14:paraId="7AD590E3" w14:textId="77777777" w:rsidR="00E72592" w:rsidRPr="00FD691A" w:rsidRDefault="00E72592" w:rsidP="00E72592">
            <w:pPr>
              <w:rPr>
                <w:sz w:val="20"/>
                <w:szCs w:val="20"/>
                <w:lang w:val="en-GB" w:eastAsia="en-US"/>
              </w:rPr>
            </w:pPr>
            <w:r w:rsidRPr="00FD691A">
              <w:rPr>
                <w:sz w:val="20"/>
                <w:szCs w:val="20"/>
                <w:lang w:val="en-GB" w:eastAsia="en-US"/>
              </w:rPr>
              <w:t>TSH quantitation described in item 66716 and 4 tests described in item 66695. (This fee applies where 1 laboratory, or more than 1 laboratory belonging to the same APA, performs the only 5 tests specified on the request form or performs 5 tests and refers the rest to the laboratory of a separate APA.) (Item is subject to rule 6.) [1998]</w:t>
            </w:r>
          </w:p>
        </w:tc>
        <w:tc>
          <w:tcPr>
            <w:tcW w:w="924" w:type="dxa"/>
          </w:tcPr>
          <w:p w14:paraId="6E2457D0" w14:textId="77777777" w:rsidR="00E72592" w:rsidRPr="00FD691A" w:rsidRDefault="00E72592" w:rsidP="00E72592">
            <w:pPr>
              <w:rPr>
                <w:sz w:val="20"/>
                <w:szCs w:val="20"/>
                <w:lang w:val="en-GB" w:eastAsia="en-US"/>
              </w:rPr>
            </w:pPr>
            <w:r w:rsidRPr="00FD691A">
              <w:rPr>
                <w:sz w:val="20"/>
                <w:szCs w:val="20"/>
                <w:lang w:val="en-GB" w:eastAsia="en-US"/>
              </w:rPr>
              <w:t>$77.40</w:t>
            </w:r>
          </w:p>
        </w:tc>
        <w:tc>
          <w:tcPr>
            <w:tcW w:w="1051" w:type="dxa"/>
          </w:tcPr>
          <w:p w14:paraId="0349B071" w14:textId="77777777" w:rsidR="00E72592" w:rsidRPr="00FD691A" w:rsidRDefault="00E72592" w:rsidP="00E72592">
            <w:pPr>
              <w:rPr>
                <w:sz w:val="20"/>
                <w:szCs w:val="20"/>
                <w:lang w:val="en-GB" w:eastAsia="en-US"/>
              </w:rPr>
            </w:pPr>
            <w:r w:rsidRPr="00FD691A">
              <w:rPr>
                <w:sz w:val="20"/>
                <w:szCs w:val="20"/>
                <w:lang w:val="en-GB" w:eastAsia="en-US"/>
              </w:rPr>
              <w:t>104,774</w:t>
            </w:r>
          </w:p>
        </w:tc>
        <w:tc>
          <w:tcPr>
            <w:tcW w:w="1125" w:type="dxa"/>
          </w:tcPr>
          <w:p w14:paraId="3D02857D" w14:textId="77777777" w:rsidR="00E72592" w:rsidRPr="00FD691A" w:rsidRDefault="00E72592" w:rsidP="00E72592">
            <w:pPr>
              <w:rPr>
                <w:sz w:val="20"/>
                <w:szCs w:val="20"/>
                <w:lang w:val="en-GB" w:eastAsia="en-US"/>
              </w:rPr>
            </w:pPr>
            <w:r w:rsidRPr="00FD691A">
              <w:rPr>
                <w:sz w:val="20"/>
                <w:szCs w:val="20"/>
                <w:lang w:val="en-GB" w:eastAsia="en-US"/>
              </w:rPr>
              <w:t>$6,924,385</w:t>
            </w:r>
          </w:p>
        </w:tc>
        <w:tc>
          <w:tcPr>
            <w:tcW w:w="1204" w:type="dxa"/>
          </w:tcPr>
          <w:p w14:paraId="24C7ED39" w14:textId="77777777" w:rsidR="00E72592" w:rsidRPr="00FD691A" w:rsidRDefault="00E72592" w:rsidP="00E72592">
            <w:pPr>
              <w:rPr>
                <w:sz w:val="20"/>
                <w:szCs w:val="20"/>
                <w:lang w:val="en-GB" w:eastAsia="en-US"/>
              </w:rPr>
            </w:pPr>
            <w:r w:rsidRPr="00FD691A">
              <w:rPr>
                <w:sz w:val="20"/>
                <w:szCs w:val="20"/>
                <w:lang w:val="en-GB" w:eastAsia="en-US"/>
              </w:rPr>
              <w:t>3.4%</w:t>
            </w:r>
          </w:p>
        </w:tc>
      </w:tr>
      <w:tr w:rsidR="00E72592" w:rsidRPr="00FD691A" w14:paraId="6720BD77" w14:textId="77777777" w:rsidTr="00C75FBD">
        <w:tc>
          <w:tcPr>
            <w:tcW w:w="721" w:type="dxa"/>
          </w:tcPr>
          <w:p w14:paraId="688C8540" w14:textId="77777777" w:rsidR="00E72592" w:rsidRPr="00FD691A" w:rsidRDefault="00E72592" w:rsidP="00E72592">
            <w:pPr>
              <w:rPr>
                <w:sz w:val="20"/>
                <w:szCs w:val="20"/>
                <w:lang w:val="en-GB" w:eastAsia="en-US"/>
              </w:rPr>
            </w:pPr>
            <w:r w:rsidRPr="00FD691A">
              <w:rPr>
                <w:sz w:val="20"/>
                <w:szCs w:val="20"/>
                <w:lang w:val="en-GB" w:eastAsia="en-US"/>
              </w:rPr>
              <w:t>66734</w:t>
            </w:r>
          </w:p>
        </w:tc>
        <w:tc>
          <w:tcPr>
            <w:tcW w:w="4057" w:type="dxa"/>
            <w:tcMar>
              <w:left w:w="57" w:type="dxa"/>
            </w:tcMar>
            <w:vAlign w:val="center"/>
          </w:tcPr>
          <w:p w14:paraId="71E0DA23" w14:textId="77777777" w:rsidR="00E72592" w:rsidRPr="00FD691A" w:rsidRDefault="00E72592" w:rsidP="00E72592">
            <w:pPr>
              <w:rPr>
                <w:sz w:val="20"/>
                <w:szCs w:val="20"/>
                <w:lang w:val="en-GB" w:eastAsia="en-US"/>
              </w:rPr>
            </w:pPr>
            <w:r w:rsidRPr="00FD691A">
              <w:rPr>
                <w:sz w:val="20"/>
                <w:szCs w:val="20"/>
                <w:lang w:val="en-GB" w:eastAsia="en-US"/>
              </w:rPr>
              <w:t>TSH quantitation described in item 66716 and 5 tests described in item 66695. (This fee applies where 1 laboratory, or more than 1 laboratory belonging to the same APA, performs 6 or more tests specified on the request form.) (Item is subject to rule 6.) [1998]</w:t>
            </w:r>
          </w:p>
        </w:tc>
        <w:tc>
          <w:tcPr>
            <w:tcW w:w="924" w:type="dxa"/>
          </w:tcPr>
          <w:p w14:paraId="5A1D7483" w14:textId="77777777" w:rsidR="00E72592" w:rsidRPr="00FD691A" w:rsidRDefault="00E72592" w:rsidP="00E72592">
            <w:pPr>
              <w:rPr>
                <w:sz w:val="20"/>
                <w:szCs w:val="20"/>
                <w:lang w:val="en-GB" w:eastAsia="en-US"/>
              </w:rPr>
            </w:pPr>
            <w:r w:rsidRPr="00FD691A">
              <w:rPr>
                <w:sz w:val="20"/>
                <w:szCs w:val="20"/>
                <w:lang w:val="en-GB" w:eastAsia="en-US"/>
              </w:rPr>
              <w:t>$90.55</w:t>
            </w:r>
          </w:p>
        </w:tc>
        <w:tc>
          <w:tcPr>
            <w:tcW w:w="1051" w:type="dxa"/>
          </w:tcPr>
          <w:p w14:paraId="370BB2E9" w14:textId="77777777" w:rsidR="00E72592" w:rsidRPr="00FD691A" w:rsidRDefault="00E72592" w:rsidP="00E72592">
            <w:pPr>
              <w:rPr>
                <w:sz w:val="20"/>
                <w:szCs w:val="20"/>
                <w:lang w:val="en-GB" w:eastAsia="en-US"/>
              </w:rPr>
            </w:pPr>
            <w:r w:rsidRPr="00FD691A">
              <w:rPr>
                <w:sz w:val="20"/>
                <w:szCs w:val="20"/>
                <w:lang w:val="en-GB" w:eastAsia="en-US"/>
              </w:rPr>
              <w:t>166,829</w:t>
            </w:r>
          </w:p>
        </w:tc>
        <w:tc>
          <w:tcPr>
            <w:tcW w:w="1125" w:type="dxa"/>
          </w:tcPr>
          <w:p w14:paraId="56DB6F02" w14:textId="77777777" w:rsidR="00E72592" w:rsidRPr="00FD691A" w:rsidRDefault="00E72592" w:rsidP="00E72592">
            <w:pPr>
              <w:rPr>
                <w:sz w:val="20"/>
                <w:szCs w:val="20"/>
                <w:lang w:val="en-GB" w:eastAsia="en-US"/>
              </w:rPr>
            </w:pPr>
            <w:r w:rsidRPr="00FD691A">
              <w:rPr>
                <w:sz w:val="20"/>
                <w:szCs w:val="20"/>
                <w:lang w:val="en-GB" w:eastAsia="en-US"/>
              </w:rPr>
              <w:t>$12,895,377</w:t>
            </w:r>
          </w:p>
        </w:tc>
        <w:tc>
          <w:tcPr>
            <w:tcW w:w="1204" w:type="dxa"/>
          </w:tcPr>
          <w:p w14:paraId="3B3E7BD0" w14:textId="77777777" w:rsidR="00E72592" w:rsidRPr="00FD691A" w:rsidRDefault="00E72592" w:rsidP="00E72592">
            <w:pPr>
              <w:rPr>
                <w:sz w:val="20"/>
                <w:szCs w:val="20"/>
                <w:lang w:val="en-GB" w:eastAsia="en-US"/>
              </w:rPr>
            </w:pPr>
            <w:r w:rsidRPr="00FD691A">
              <w:rPr>
                <w:sz w:val="20"/>
                <w:szCs w:val="20"/>
                <w:lang w:val="en-GB" w:eastAsia="en-US"/>
              </w:rPr>
              <w:t>7.1%</w:t>
            </w:r>
          </w:p>
        </w:tc>
      </w:tr>
    </w:tbl>
    <w:p w14:paraId="47072CED" w14:textId="5A8F2631" w:rsidR="00C75FBD" w:rsidRPr="00AF11CA" w:rsidRDefault="00C75FBD" w:rsidP="00AF11CA">
      <w:pPr>
        <w:spacing w:before="0"/>
        <w:rPr>
          <w:b/>
          <w:bCs/>
          <w:sz w:val="18"/>
          <w:szCs w:val="18"/>
          <w:lang w:eastAsia="en-US"/>
        </w:rPr>
      </w:pPr>
      <w:r w:rsidRPr="0046274F">
        <w:rPr>
          <w:b/>
          <w:bCs/>
          <w:sz w:val="18"/>
          <w:szCs w:val="18"/>
          <w:lang w:eastAsia="en-US"/>
        </w:rPr>
        <w:t>Source: Department of Human Services, published data, date of processing.</w:t>
      </w:r>
    </w:p>
    <w:p w14:paraId="6E117570" w14:textId="77777777" w:rsidR="00E72592" w:rsidRDefault="00E72592" w:rsidP="00E72592">
      <w:pPr>
        <w:rPr>
          <w:lang w:eastAsia="en-US"/>
        </w:rPr>
      </w:pPr>
      <w:r w:rsidRPr="00E72592">
        <w:rPr>
          <w:lang w:eastAsia="en-US"/>
        </w:rPr>
        <w:t>The following observations have been made with regard to TSH tests:</w:t>
      </w:r>
    </w:p>
    <w:p w14:paraId="2ED34984" w14:textId="2958A5C1" w:rsidR="00E72592" w:rsidRPr="00E72592" w:rsidRDefault="00E72592" w:rsidP="00965AE3">
      <w:pPr>
        <w:pStyle w:val="Bullet1"/>
        <w:rPr>
          <w:lang w:eastAsia="en-US"/>
        </w:rPr>
      </w:pPr>
      <w:r w:rsidRPr="00E72592">
        <w:rPr>
          <w:lang w:eastAsia="en-US"/>
        </w:rPr>
        <w:t xml:space="preserve">There is significant use of TSH items. In </w:t>
      </w:r>
      <w:r w:rsidR="00BA6B22">
        <w:rPr>
          <w:lang w:eastAsia="en-US"/>
        </w:rPr>
        <w:t xml:space="preserve">the </w:t>
      </w:r>
      <w:r w:rsidRPr="00E72592">
        <w:rPr>
          <w:lang w:eastAsia="en-US"/>
        </w:rPr>
        <w:t>2014</w:t>
      </w:r>
      <w:r w:rsidR="00BA6B22">
        <w:rPr>
          <w:lang w:eastAsia="en-US"/>
        </w:rPr>
        <w:t>–</w:t>
      </w:r>
      <w:r w:rsidRPr="00E72592">
        <w:rPr>
          <w:lang w:eastAsia="en-US"/>
        </w:rPr>
        <w:t xml:space="preserve">15 </w:t>
      </w:r>
      <w:r w:rsidR="00BA6B22">
        <w:rPr>
          <w:lang w:eastAsia="en-US"/>
        </w:rPr>
        <w:t xml:space="preserve">financial year </w:t>
      </w:r>
      <w:r w:rsidR="003010F7">
        <w:rPr>
          <w:lang w:eastAsia="en-US"/>
        </w:rPr>
        <w:t xml:space="preserve">about </w:t>
      </w:r>
      <w:r w:rsidRPr="00E72592">
        <w:rPr>
          <w:lang w:eastAsia="en-US"/>
        </w:rPr>
        <w:t>one in five Australians (4.6 million patients)</w:t>
      </w:r>
      <w:r w:rsidR="00240E05" w:rsidRPr="00E72592">
        <w:rPr>
          <w:lang w:eastAsia="en-US"/>
        </w:rPr>
        <w:fldChar w:fldCharType="begin"/>
      </w:r>
      <w:r w:rsidR="00877C64">
        <w:rPr>
          <w:lang w:eastAsia="en-US"/>
        </w:rPr>
        <w:instrText xml:space="preserve"> ADDIN EN.CITE &lt;EndNote&gt;&lt;Cite&gt;&lt;Author&gt;Department of Health&lt;/Author&gt;&lt;Year&gt;2016&lt;/Year&gt;&lt;RecNum&gt;17&lt;/RecNum&gt;&lt;DisplayText&gt;&lt;style face="superscript"&gt;7&lt;/style&gt;&lt;/DisplayText&gt;&lt;record&gt;&lt;rec-number&gt;17&lt;/rec-number&gt;&lt;foreign-keys&gt;&lt;key app="EN" db-id="dfs5xeapdpddpyexds6ppreypt5sp9spp2a5" timestamp="1477349234"&gt;17&lt;/key&gt;&lt;/foreign-keys&gt;&lt;ref-type name="Dataset"&gt;59&lt;/ref-type&gt;&lt;contributors&gt;&lt;authors&gt;&lt;author&gt;Department of Health,&lt;/author&gt;&lt;/authors&gt;&lt;/contributors&gt;&lt;titles&gt;&lt;title&gt;MBS data – Q210381-02&lt;/title&gt;&lt;/titles&gt;&lt;dates&gt;&lt;year&gt;2016&lt;/year&gt;&lt;/dates&gt;&lt;urls&gt;&lt;/urls&gt;&lt;access-date&gt;26.10.2016&lt;/access-date&gt;&lt;/record&gt;&lt;/Cite&gt;&lt;/EndNote&gt;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7</w:t>
      </w:r>
      <w:r w:rsidR="00240E05" w:rsidRPr="00E72592">
        <w:rPr>
          <w:lang w:eastAsia="en-US"/>
        </w:rPr>
        <w:fldChar w:fldCharType="end"/>
      </w:r>
      <w:r w:rsidRPr="00E72592">
        <w:rPr>
          <w:lang w:eastAsia="en-US"/>
        </w:rPr>
        <w:t xml:space="preserve"> had a TSH test, amounting to a total of 5.4 million tests.</w:t>
      </w:r>
      <w:r w:rsidR="00240E05" w:rsidRPr="00E72592">
        <w:rPr>
          <w:lang w:eastAsia="en-US"/>
        </w:rPr>
        <w:fldChar w:fldCharType="begin"/>
      </w:r>
      <w:r w:rsidR="00877C64">
        <w:rPr>
          <w:lang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8</w:t>
      </w:r>
      <w:r w:rsidR="00240E05" w:rsidRPr="00E72592">
        <w:rPr>
          <w:lang w:eastAsia="en-US"/>
        </w:rPr>
        <w:fldChar w:fldCharType="end"/>
      </w:r>
      <w:r w:rsidRPr="00E72592">
        <w:rPr>
          <w:lang w:eastAsia="en-US"/>
        </w:rPr>
        <w:t xml:space="preserve"> Thirty-eight per cent of patients had a repeat TSH test (item 66716) within 12 months of their first test in 2014.</w:t>
      </w:r>
      <w:r w:rsidR="00240E05" w:rsidRPr="00E72592">
        <w:rPr>
          <w:lang w:eastAsia="en-US"/>
        </w:rPr>
        <w:fldChar w:fldCharType="begin"/>
      </w:r>
      <w:r w:rsidR="00877C64">
        <w:rPr>
          <w:lang w:eastAsia="en-US"/>
        </w:rPr>
        <w:instrText xml:space="preserve"> ADDIN EN.CITE &lt;EndNote&gt;&lt;Cite&gt;&lt;Author&gt;Department of Health&lt;/Author&gt;&lt;Year&gt;2016&lt;/Year&gt;&lt;RecNum&gt;21&lt;/RecNum&gt;&lt;DisplayText&gt;&lt;style face="superscript"&gt;11&lt;/style&gt;&lt;/DisplayText&gt;&lt;record&gt;&lt;rec-number&gt;21&lt;/rec-number&gt;&lt;foreign-keys&gt;&lt;key app="EN" db-id="dfs5xeapdpddpyexds6ppreypt5sp9spp2a5" timestamp="1477442364"&gt;21&lt;/key&gt;&lt;/foreign-keys&gt;&lt;ref-type name="Dataset"&gt;59&lt;/ref-type&gt;&lt;contributors&gt;&lt;authors&gt;&lt;author&gt;Department of Health,&lt;/author&gt;&lt;/authors&gt;&lt;/contributors&gt;&lt;titles&gt;&lt;title&gt;MBS data –Q203551&lt;/title&gt;&lt;/titles&gt;&lt;dates&gt;&lt;year&gt;2016&lt;/year&gt;&lt;/dates&gt;&lt;urls&gt;&lt;/urls&gt;&lt;access-date&gt;26.10.2016&lt;/access-date&gt;&lt;/record&gt;&lt;/Cite&gt;&lt;/EndNote&gt;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11</w:t>
      </w:r>
      <w:r w:rsidR="00240E05" w:rsidRPr="00E72592">
        <w:rPr>
          <w:lang w:eastAsia="en-US"/>
        </w:rPr>
        <w:fldChar w:fldCharType="end"/>
      </w:r>
      <w:r w:rsidRPr="00E72592">
        <w:rPr>
          <w:lang w:eastAsia="en-US"/>
        </w:rPr>
        <w:t xml:space="preserve"> As a result of these high service volumes, </w:t>
      </w:r>
      <w:r w:rsidR="003010F7">
        <w:rPr>
          <w:lang w:eastAsia="en-US"/>
        </w:rPr>
        <w:t xml:space="preserve">around </w:t>
      </w:r>
      <w:r w:rsidRPr="00E72592">
        <w:rPr>
          <w:lang w:eastAsia="en-US"/>
        </w:rPr>
        <w:t>$111 million was paid in benefits for TSH tests – 0.55 per cent of total MBS expenditure. This figure included benefits paid for item 66716 ($99 million) as well as benefits paid for other item numbers containing TSH tests (applying only the 66716 fee for a TSH test).</w:t>
      </w:r>
      <w:r w:rsidR="00240E05" w:rsidRPr="00E72592">
        <w:rPr>
          <w:lang w:eastAsia="en-US"/>
        </w:rPr>
        <w:fldChar w:fldCharType="begin"/>
      </w:r>
      <w:r w:rsidR="00877C64">
        <w:rPr>
          <w:lang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8</w:t>
      </w:r>
      <w:r w:rsidR="00240E05" w:rsidRPr="00E72592">
        <w:rPr>
          <w:lang w:eastAsia="en-US"/>
        </w:rPr>
        <w:fldChar w:fldCharType="end"/>
      </w:r>
    </w:p>
    <w:p w14:paraId="7AB8224B" w14:textId="0BEB23D1" w:rsidR="00E72592" w:rsidRPr="00E72592" w:rsidRDefault="00E72592" w:rsidP="00965AE3">
      <w:pPr>
        <w:pStyle w:val="Bullet1"/>
        <w:rPr>
          <w:lang w:eastAsia="en-US"/>
        </w:rPr>
      </w:pPr>
      <w:r w:rsidRPr="00E72592">
        <w:rPr>
          <w:lang w:eastAsia="en-US"/>
        </w:rPr>
        <w:t>There is considerable variation in patterns of use among request</w:t>
      </w:r>
      <w:r w:rsidR="000E39CD">
        <w:rPr>
          <w:lang w:eastAsia="en-US"/>
        </w:rPr>
        <w:t>e</w:t>
      </w:r>
      <w:r w:rsidRPr="00E72592">
        <w:rPr>
          <w:lang w:eastAsia="en-US"/>
        </w:rPr>
        <w:t xml:space="preserve">rs, which suggests that standardising practice may benefit patients. In </w:t>
      </w:r>
      <w:r w:rsidR="00BA6B22">
        <w:rPr>
          <w:lang w:eastAsia="en-US"/>
        </w:rPr>
        <w:t xml:space="preserve">the </w:t>
      </w:r>
      <w:r w:rsidRPr="00E72592">
        <w:rPr>
          <w:lang w:eastAsia="en-US"/>
        </w:rPr>
        <w:t>2014</w:t>
      </w:r>
      <w:r w:rsidR="00BA6B22">
        <w:rPr>
          <w:lang w:eastAsia="en-US"/>
        </w:rPr>
        <w:t>–</w:t>
      </w:r>
      <w:r w:rsidRPr="00E72592">
        <w:rPr>
          <w:lang w:eastAsia="en-US"/>
        </w:rPr>
        <w:t xml:space="preserve">15 </w:t>
      </w:r>
      <w:r w:rsidR="00BA6B22">
        <w:rPr>
          <w:lang w:eastAsia="en-US"/>
        </w:rPr>
        <w:t xml:space="preserve">financial year </w:t>
      </w:r>
      <w:r w:rsidR="000E39CD">
        <w:rPr>
          <w:lang w:eastAsia="en-US"/>
        </w:rPr>
        <w:t xml:space="preserve">about </w:t>
      </w:r>
      <w:r w:rsidRPr="00E72592">
        <w:rPr>
          <w:lang w:eastAsia="en-US"/>
        </w:rPr>
        <w:t>20 per cent of requesting doctors accounted for two-thirds of 66716 tests.</w:t>
      </w:r>
      <w:r w:rsidR="00240E05" w:rsidRPr="00E72592">
        <w:rPr>
          <w:lang w:eastAsia="en-US"/>
        </w:rPr>
        <w:fldChar w:fldCharType="begin"/>
      </w:r>
      <w:r w:rsidR="00877C64">
        <w:rPr>
          <w:lang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8</w:t>
      </w:r>
      <w:r w:rsidR="00240E05" w:rsidRPr="00E72592">
        <w:rPr>
          <w:lang w:eastAsia="en-US"/>
        </w:rPr>
        <w:fldChar w:fldCharType="end"/>
      </w:r>
      <w:r w:rsidRPr="00E72592">
        <w:rPr>
          <w:lang w:eastAsia="en-US"/>
        </w:rPr>
        <w:t xml:space="preserve"> GPs are critical partners in optimising and standardising practice, as they request </w:t>
      </w:r>
      <w:r w:rsidR="000E39CD">
        <w:rPr>
          <w:lang w:eastAsia="en-US"/>
        </w:rPr>
        <w:t xml:space="preserve">around </w:t>
      </w:r>
      <w:r w:rsidRPr="00E72592">
        <w:rPr>
          <w:lang w:eastAsia="en-US"/>
        </w:rPr>
        <w:t xml:space="preserve">90 per cent of TSH tests. An analysis of GP requesting patterns shows that there is a long tail of GPs who request far more TSH tests per 100 patients than their peers. For example, a group of </w:t>
      </w:r>
      <w:r w:rsidR="00BA6B22">
        <w:rPr>
          <w:lang w:eastAsia="en-US"/>
        </w:rPr>
        <w:t xml:space="preserve">about </w:t>
      </w:r>
      <w:r w:rsidRPr="00E72592">
        <w:rPr>
          <w:lang w:eastAsia="en-US"/>
        </w:rPr>
        <w:t>310 GPs requested 40–173 TSH tests per 100 patients in FY</w:t>
      </w:r>
      <w:r w:rsidR="000E39CD">
        <w:rPr>
          <w:lang w:eastAsia="en-US"/>
        </w:rPr>
        <w:t xml:space="preserve"> </w:t>
      </w:r>
      <w:r w:rsidRPr="00E72592">
        <w:rPr>
          <w:lang w:eastAsia="en-US"/>
        </w:rPr>
        <w:t xml:space="preserve">2014/15, compared </w:t>
      </w:r>
      <w:r w:rsidR="000E39CD">
        <w:rPr>
          <w:lang w:eastAsia="en-US"/>
        </w:rPr>
        <w:t xml:space="preserve">with </w:t>
      </w:r>
      <w:r w:rsidRPr="00E72592">
        <w:rPr>
          <w:lang w:eastAsia="en-US"/>
        </w:rPr>
        <w:t>a median of 7.31 (</w:t>
      </w:r>
      <w:r w:rsidR="000E39CD" w:rsidRPr="00E72592">
        <w:rPr>
          <w:lang w:eastAsia="en-US"/>
        </w:rPr>
        <w:t>Figure</w:t>
      </w:r>
      <w:r w:rsidR="000E39CD">
        <w:rPr>
          <w:lang w:eastAsia="en-US"/>
        </w:rPr>
        <w:t> </w:t>
      </w:r>
      <w:r w:rsidRPr="00E72592">
        <w:rPr>
          <w:lang w:eastAsia="en-US"/>
        </w:rPr>
        <w:t>3).</w:t>
      </w:r>
      <w:r w:rsidR="00240E05" w:rsidRPr="00E72592">
        <w:rPr>
          <w:lang w:eastAsia="en-US"/>
        </w:rPr>
        <w:fldChar w:fldCharType="begin"/>
      </w:r>
      <w:r w:rsidR="00877C64">
        <w:rPr>
          <w:lang w:eastAsia="en-US"/>
        </w:rPr>
        <w:instrText xml:space="preserve"> ADDIN EN.CITE &lt;EndNote&gt;&lt;Cite&gt;&lt;Author&gt;Department of Health&lt;/Author&gt;&lt;Year&gt;2016&lt;/Year&gt;&lt;RecNum&gt;23&lt;/RecNum&gt;&lt;DisplayText&gt;&lt;style face="superscript"&gt;12&lt;/style&gt;&lt;/DisplayText&gt;&lt;record&gt;&lt;rec-number&gt;23&lt;/rec-number&gt;&lt;foreign-keys&gt;&lt;key app="EN" db-id="dfs5xeapdpddpyexds6ppreypt5sp9spp2a5" timestamp="1477442640"&gt;23&lt;/key&gt;&lt;/foreign-keys&gt;&lt;ref-type name="Dataset"&gt;59&lt;/ref-type&gt;&lt;contributors&gt;&lt;authors&gt;&lt;author&gt;Department of Health,&lt;/author&gt;&lt;/authors&gt;&lt;/contributors&gt;&lt;titles&gt;&lt;title&gt;MBS Data – Q20354-02&lt;/title&gt;&lt;/titles&gt;&lt;dates&gt;&lt;year&gt;2016&lt;/year&gt;&lt;/dates&gt;&lt;urls&gt;&lt;/urls&gt;&lt;access-date&gt;26.10.2016&lt;/access-date&gt;&lt;/record&gt;&lt;/Cite&gt;&lt;/EndNote&gt;</w:instrText>
      </w:r>
      <w:r w:rsidR="00240E05" w:rsidRPr="00E72592">
        <w:rPr>
          <w:lang w:eastAsia="en-US"/>
        </w:rPr>
        <w:fldChar w:fldCharType="separate"/>
      </w:r>
      <w:r w:rsidR="00877C64" w:rsidRPr="00877C64">
        <w:rPr>
          <w:noProof/>
          <w:vertAlign w:val="superscript"/>
          <w:lang w:eastAsia="en-US"/>
        </w:rPr>
        <w:t>12</w:t>
      </w:r>
      <w:r w:rsidR="00240E05" w:rsidRPr="00E72592">
        <w:rPr>
          <w:lang w:eastAsia="en-US"/>
        </w:rPr>
        <w:fldChar w:fldCharType="end"/>
      </w:r>
    </w:p>
    <w:p w14:paraId="0508932E" w14:textId="01ACCE90" w:rsidR="00E606C4" w:rsidRPr="003744BA" w:rsidRDefault="00E606C4" w:rsidP="003744BA">
      <w:pPr>
        <w:pStyle w:val="FigureCaption"/>
      </w:pPr>
      <w:bookmarkStart w:id="46" w:name="_Toc472940517"/>
      <w:r w:rsidRPr="003744BA">
        <w:t xml:space="preserve">Figure </w:t>
      </w:r>
      <w:r w:rsidR="00E72592" w:rsidRPr="003744BA">
        <w:t>3</w:t>
      </w:r>
      <w:r w:rsidRPr="003744BA">
        <w:t>:</w:t>
      </w:r>
      <w:r w:rsidRPr="003744BA">
        <w:tab/>
      </w:r>
      <w:r w:rsidR="00E72592" w:rsidRPr="003744BA">
        <w:t xml:space="preserve"> Rates of TSH tests requested per 100 patients</w:t>
      </w:r>
      <w:r w:rsidRPr="003744BA">
        <w:t>, 2014</w:t>
      </w:r>
      <w:r w:rsidR="00CA0275" w:rsidRPr="003744BA">
        <w:t>–</w:t>
      </w:r>
      <w:r w:rsidRPr="003744BA">
        <w:t>15</w:t>
      </w:r>
      <w:bookmarkEnd w:id="46"/>
      <w:r w:rsidR="00C950F8">
        <w:t>.</w:t>
      </w:r>
    </w:p>
    <w:p w14:paraId="35030FF9" w14:textId="77777777" w:rsidR="001C1428" w:rsidRDefault="00E72592" w:rsidP="00E248AC">
      <w:pPr>
        <w:pStyle w:val="03Tableundertext"/>
        <w:keepNext/>
        <w:spacing w:after="0"/>
      </w:pPr>
      <w:r>
        <w:rPr>
          <w:noProof/>
          <w:lang w:val="en-AU"/>
        </w:rPr>
        <w:drawing>
          <wp:inline distT="0" distB="0" distL="0" distR="0" wp14:anchorId="0348E7A1" wp14:editId="7E7C525E">
            <wp:extent cx="5779770" cy="4328795"/>
            <wp:effectExtent l="0" t="0" r="0" b="0"/>
            <wp:docPr id="6" name="Picture 6" descr="2029 GPs requested fewer than one test per 100 patients. Most GPs (2116) requested three tests per 100 patients.Requests for higher numbers of tests tapered off very slowly beyond the median of 1737 GPs requesting seven tests per 100 patients, ranging from 1486 GPs requesting eight tests per 100 patients, through, to 36 GPs requesting 39 tests per 100 patients; 310 GPs requested more than 40 tests per 100 patients, with the highest rate being 173 tests per 100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770" cy="4328795"/>
                    </a:xfrm>
                    <a:prstGeom prst="rect">
                      <a:avLst/>
                    </a:prstGeom>
                    <a:noFill/>
                  </pic:spPr>
                </pic:pic>
              </a:graphicData>
            </a:graphic>
          </wp:inline>
        </w:drawing>
      </w:r>
    </w:p>
    <w:p w14:paraId="40B8FB4B" w14:textId="4837E5BC" w:rsidR="00C75FBD" w:rsidRPr="00AF11CA" w:rsidRDefault="00C75FBD" w:rsidP="00AF11CA">
      <w:pPr>
        <w:spacing w:before="0"/>
        <w:rPr>
          <w:sz w:val="18"/>
          <w:szCs w:val="18"/>
        </w:rPr>
      </w:pPr>
      <w:r w:rsidRPr="0053750F">
        <w:rPr>
          <w:b/>
          <w:bCs/>
          <w:sz w:val="18"/>
          <w:szCs w:val="18"/>
        </w:rPr>
        <w:t>Source: Department of Health, unpublished data, date of processing, accessed on 10 October 2016</w:t>
      </w:r>
    </w:p>
    <w:p w14:paraId="51888924" w14:textId="666EF317" w:rsidR="00E72592" w:rsidRPr="00DA4A23" w:rsidRDefault="00240E05" w:rsidP="00DA4A23">
      <w:pPr>
        <w:rPr>
          <w:b/>
        </w:rPr>
      </w:pPr>
      <w:r w:rsidRPr="00DA4A23">
        <w:rPr>
          <w:b/>
        </w:rPr>
        <w:t xml:space="preserve">Advice from </w:t>
      </w:r>
      <w:r w:rsidR="004200CD" w:rsidRPr="00DA4A23">
        <w:rPr>
          <w:b/>
        </w:rPr>
        <w:t>Endocrinology</w:t>
      </w:r>
      <w:r w:rsidR="00AC4318" w:rsidRPr="00DA4A23">
        <w:rPr>
          <w:b/>
        </w:rPr>
        <w:t xml:space="preserve"> Clinical Committee</w:t>
      </w:r>
    </w:p>
    <w:p w14:paraId="7E020111" w14:textId="0270E1C8" w:rsidR="00E72592" w:rsidRDefault="00E72592" w:rsidP="00E72592">
      <w:pPr>
        <w:rPr>
          <w:lang w:val="en-US"/>
        </w:rPr>
      </w:pPr>
      <w:r w:rsidRPr="00E72592">
        <w:t xml:space="preserve">The </w:t>
      </w:r>
      <w:r w:rsidR="006E47CC">
        <w:rPr>
          <w:lang w:val="en-US"/>
        </w:rPr>
        <w:t>Endocrinology Clinical Committee</w:t>
      </w:r>
      <w:r w:rsidR="00E5655B">
        <w:rPr>
          <w:lang w:val="en-US"/>
        </w:rPr>
        <w:t xml:space="preserve"> </w:t>
      </w:r>
      <w:r w:rsidRPr="00E72592">
        <w:t>proposed the following</w:t>
      </w:r>
      <w:r w:rsidRPr="00E72592">
        <w:rPr>
          <w:lang w:val="en-US"/>
        </w:rPr>
        <w:t xml:space="preserve">: </w:t>
      </w:r>
    </w:p>
    <w:p w14:paraId="2DEFE4F5" w14:textId="7DFA6A99" w:rsidR="00E72592" w:rsidRDefault="004F7C8E" w:rsidP="00965AE3">
      <w:pPr>
        <w:pStyle w:val="Bullet1"/>
        <w:rPr>
          <w:lang w:val="en-US"/>
        </w:rPr>
      </w:pPr>
      <w:r>
        <w:rPr>
          <w:lang w:val="en-US"/>
        </w:rPr>
        <w:t>C</w:t>
      </w:r>
      <w:r w:rsidR="00E72592" w:rsidRPr="00E72592">
        <w:rPr>
          <w:lang w:val="en-US"/>
        </w:rPr>
        <w:t>hange all item descriptors (66716–66734) to preclude testing in asymptomatic patients and patients with non-specific symptoms, specifying the following indications for testing:</w:t>
      </w:r>
    </w:p>
    <w:p w14:paraId="672F678A" w14:textId="77777777" w:rsidR="00E72592" w:rsidRPr="00E72592" w:rsidRDefault="00E72592" w:rsidP="00E72592">
      <w:pPr>
        <w:pStyle w:val="Bullet2"/>
        <w:rPr>
          <w:lang w:val="en-US"/>
        </w:rPr>
      </w:pPr>
      <w:r w:rsidRPr="00E72592">
        <w:rPr>
          <w:lang w:val="en-US"/>
        </w:rPr>
        <w:t>The patient has known thyroid or pituitary disease.</w:t>
      </w:r>
    </w:p>
    <w:p w14:paraId="20A3FF7D" w14:textId="77777777" w:rsidR="00E72592" w:rsidRPr="00E72592" w:rsidRDefault="00E72592" w:rsidP="00E72592">
      <w:pPr>
        <w:pStyle w:val="Bullet2"/>
        <w:rPr>
          <w:lang w:val="en-US"/>
        </w:rPr>
      </w:pPr>
      <w:r w:rsidRPr="00E72592">
        <w:rPr>
          <w:lang w:val="en-US"/>
        </w:rPr>
        <w:t>There is clinical suspicion of thyroid dysfunction.</w:t>
      </w:r>
    </w:p>
    <w:p w14:paraId="4E8D1688" w14:textId="77777777" w:rsidR="00E72592" w:rsidRPr="00E72592" w:rsidRDefault="00E72592" w:rsidP="00E72592">
      <w:pPr>
        <w:pStyle w:val="Bullet2"/>
        <w:rPr>
          <w:lang w:val="en-US"/>
        </w:rPr>
      </w:pPr>
      <w:r w:rsidRPr="00E72592">
        <w:rPr>
          <w:lang w:val="en-US"/>
        </w:rPr>
        <w:t>The patient is undergoing thyroid hormone replacement therapy and needs to be monitored.</w:t>
      </w:r>
    </w:p>
    <w:p w14:paraId="15A63B1F" w14:textId="77777777" w:rsidR="00E72592" w:rsidRPr="00E72592" w:rsidRDefault="00E72592" w:rsidP="00E72592">
      <w:pPr>
        <w:pStyle w:val="Bullet2"/>
        <w:rPr>
          <w:lang w:val="en-US"/>
        </w:rPr>
      </w:pPr>
      <w:r w:rsidRPr="00E72592">
        <w:rPr>
          <w:lang w:val="en-US"/>
        </w:rPr>
        <w:t>The patient is pregnant or planning pregnancy, and testing is clinically indicated.</w:t>
      </w:r>
    </w:p>
    <w:p w14:paraId="2536D454" w14:textId="16A94CD3" w:rsidR="00E72592" w:rsidRPr="00E72592" w:rsidRDefault="00E72592" w:rsidP="00965AE3">
      <w:pPr>
        <w:pStyle w:val="Bullet1"/>
        <w:rPr>
          <w:lang w:val="en-US"/>
        </w:rPr>
      </w:pPr>
      <w:r w:rsidRPr="00E72592">
        <w:rPr>
          <w:lang w:val="en-US"/>
        </w:rPr>
        <w:t>Add the following explanatory notes (</w:t>
      </w:r>
      <w:r w:rsidR="004F7C8E">
        <w:rPr>
          <w:lang w:val="en-US"/>
        </w:rPr>
        <w:t>e</w:t>
      </w:r>
      <w:r w:rsidR="004F7C8E" w:rsidRPr="00E72592">
        <w:rPr>
          <w:lang w:val="en-US"/>
        </w:rPr>
        <w:t xml:space="preserve">xplanatory </w:t>
      </w:r>
      <w:r w:rsidRPr="00E72592">
        <w:rPr>
          <w:lang w:val="en-US"/>
        </w:rPr>
        <w:t>notes are not currently provided)</w:t>
      </w:r>
      <w:r w:rsidR="004F7C8E">
        <w:rPr>
          <w:lang w:val="en-US"/>
        </w:rPr>
        <w:t>:</w:t>
      </w:r>
    </w:p>
    <w:p w14:paraId="437C599B" w14:textId="77777777" w:rsidR="00E72592" w:rsidRPr="00E72592" w:rsidRDefault="00E72592" w:rsidP="00E72592">
      <w:pPr>
        <w:pStyle w:val="Bullet2"/>
        <w:rPr>
          <w:lang w:val="en-US"/>
        </w:rPr>
      </w:pPr>
      <w:r w:rsidRPr="00E72592">
        <w:rPr>
          <w:lang w:val="en-US"/>
        </w:rPr>
        <w:t>Repeat testing should not be conducted on patients within 12 months of a normal TSH without a change in their underlying thyroid condition or their thyroid hormone replacement treatment.</w:t>
      </w:r>
    </w:p>
    <w:p w14:paraId="148666E7" w14:textId="0D851574" w:rsidR="00E72592" w:rsidRPr="00E72592" w:rsidRDefault="00E72592" w:rsidP="00965AE3">
      <w:pPr>
        <w:pStyle w:val="Bullet1"/>
      </w:pPr>
      <w:r w:rsidRPr="00E72592">
        <w:t xml:space="preserve">Develop an education strategy to support this change. Recommended measures include working with NPS MedicineWise to promote awareness, using tools such as its </w:t>
      </w:r>
      <w:r w:rsidR="004F7C8E" w:rsidRPr="00E72592">
        <w:t>NPS</w:t>
      </w:r>
      <w:r w:rsidR="004F7C8E">
        <w:t> </w:t>
      </w:r>
      <w:r w:rsidRPr="00E72592">
        <w:t>MedicineWise bulletin. This should inform request</w:t>
      </w:r>
      <w:r w:rsidR="004F7C8E">
        <w:t>e</w:t>
      </w:r>
      <w:r w:rsidRPr="00E72592">
        <w:t xml:space="preserve">rs of the changes and the appropriate use </w:t>
      </w:r>
      <w:r w:rsidR="004F7C8E">
        <w:t xml:space="preserve">of </w:t>
      </w:r>
      <w:r w:rsidRPr="00E72592">
        <w:t>guidelines for testing, and should emphasise the important requirement to include clinical information on all request forms. NPS MedicineWise’s appropriate use guidelines should include what is written in the explanatory notes above. Producers of consumer literature should align their recommendations for doctors with this behavioural change.</w:t>
      </w:r>
    </w:p>
    <w:p w14:paraId="03266C5C" w14:textId="74B022C2" w:rsidR="00E72592" w:rsidRPr="00E72592" w:rsidRDefault="00E72592" w:rsidP="00965AE3">
      <w:pPr>
        <w:pStyle w:val="Bullet1"/>
      </w:pPr>
      <w:r w:rsidRPr="00E72592">
        <w:t xml:space="preserve">Engage NPS MedicineWise to develop a specific audit and feedback activity after the MBS changes have been implemented to complement other education activities. This would show requesters how many tests they are requesting relative to their peers, and could be implemented after item descriptor changes have had time to take effect. This activity should focus on </w:t>
      </w:r>
      <w:r w:rsidR="006A5DE0" w:rsidRPr="00E72592">
        <w:t xml:space="preserve">doctors </w:t>
      </w:r>
      <w:r w:rsidR="006A5DE0">
        <w:t xml:space="preserve">with </w:t>
      </w:r>
      <w:r w:rsidRPr="00E72592">
        <w:t>higher requesting</w:t>
      </w:r>
      <w:r w:rsidR="006A5DE0">
        <w:t xml:space="preserve"> rates</w:t>
      </w:r>
      <w:r w:rsidRPr="00E72592">
        <w:t>.</w:t>
      </w:r>
    </w:p>
    <w:p w14:paraId="7417C0FD" w14:textId="243261BE" w:rsidR="00E72592" w:rsidRPr="00E72592" w:rsidRDefault="00E72592" w:rsidP="00B65C81">
      <w:pPr>
        <w:pStyle w:val="Bullet1"/>
      </w:pPr>
      <w:r w:rsidRPr="00E72592">
        <w:t xml:space="preserve">Actively monitor the impact of the changes on service patterns and volumes. If anticipated impacts do not occur, consider a combination of Medicare compliance audits and/or sending letters and making phone calls to: (i) </w:t>
      </w:r>
      <w:r w:rsidR="00F6268B">
        <w:t xml:space="preserve">doctors with </w:t>
      </w:r>
      <w:r w:rsidR="00F6268B" w:rsidRPr="00E72592">
        <w:t>high</w:t>
      </w:r>
      <w:r w:rsidR="00F6268B">
        <w:t xml:space="preserve"> </w:t>
      </w:r>
      <w:r w:rsidR="00F6268B" w:rsidRPr="00E72592">
        <w:t>requesting</w:t>
      </w:r>
      <w:r w:rsidR="00F6268B">
        <w:t xml:space="preserve"> rates</w:t>
      </w:r>
      <w:r w:rsidRPr="00E72592">
        <w:t>, using requests per consultation or patients seen as a guiding metric to identify outlier practices; and (ii) pathology practices to determine compliance with item requirements.</w:t>
      </w:r>
    </w:p>
    <w:p w14:paraId="4E539343" w14:textId="77777777" w:rsidR="00E72592" w:rsidRPr="00DA4A23" w:rsidRDefault="00E72592" w:rsidP="00DA4A23">
      <w:pPr>
        <w:rPr>
          <w:b/>
        </w:rPr>
      </w:pPr>
      <w:bookmarkStart w:id="47" w:name="_Toc485295726"/>
      <w:r w:rsidRPr="00DA4A23">
        <w:rPr>
          <w:b/>
        </w:rPr>
        <w:t>Recommendation</w:t>
      </w:r>
      <w:r w:rsidR="00AE34AD" w:rsidRPr="00DA4A23">
        <w:rPr>
          <w:b/>
        </w:rPr>
        <w:t xml:space="preserve"> 1</w:t>
      </w:r>
      <w:bookmarkEnd w:id="47"/>
    </w:p>
    <w:p w14:paraId="77454ABA" w14:textId="5287A883" w:rsidR="00E72592" w:rsidRDefault="00D80F12" w:rsidP="00E72592">
      <w:pPr>
        <w:pStyle w:val="BodyText"/>
      </w:pPr>
      <w:r>
        <w:t>The</w:t>
      </w:r>
      <w:r w:rsidR="00E72592" w:rsidRPr="00E72592">
        <w:t xml:space="preserve"> </w:t>
      </w:r>
      <w:r w:rsidR="00551DC2" w:rsidRPr="00B84C4F">
        <w:rPr>
          <w:lang w:val="en-US"/>
        </w:rPr>
        <w:t xml:space="preserve">Pathology Clinical Committee </w:t>
      </w:r>
      <w:r w:rsidR="00E72592" w:rsidRPr="00E72592">
        <w:t>provides the following advice and recommendations.</w:t>
      </w:r>
    </w:p>
    <w:p w14:paraId="3850B629" w14:textId="564882A2" w:rsidR="00E72592" w:rsidRDefault="00E72592" w:rsidP="00965AE3">
      <w:pPr>
        <w:pStyle w:val="Bullet1"/>
      </w:pPr>
      <w:r>
        <w:t xml:space="preserve">The </w:t>
      </w:r>
      <w:r w:rsidR="00D80F12" w:rsidRPr="00B84C4F">
        <w:rPr>
          <w:lang w:val="en-US"/>
        </w:rPr>
        <w:t xml:space="preserve">Pathology Clinical </w:t>
      </w:r>
      <w:r w:rsidR="00EE75CB" w:rsidRPr="00EE75CB">
        <w:t>C</w:t>
      </w:r>
      <w:r w:rsidR="00EE75CB">
        <w:t>ommittee</w:t>
      </w:r>
      <w:r>
        <w:t xml:space="preserve"> agrees that TSH should not be used as a screening test in asymptomatic patients, as recommended by the RACGP Choosing Wisely guidelines and international guidelines. </w:t>
      </w:r>
    </w:p>
    <w:p w14:paraId="0B690EA7" w14:textId="3F925773" w:rsidR="00E72592" w:rsidRDefault="00E72592" w:rsidP="00965AE3">
      <w:pPr>
        <w:pStyle w:val="Bullet1"/>
      </w:pPr>
      <w:r>
        <w:t xml:space="preserve">The </w:t>
      </w:r>
      <w:r w:rsidR="00D80F12" w:rsidRPr="00B84C4F">
        <w:rPr>
          <w:lang w:val="en-US"/>
        </w:rPr>
        <w:t xml:space="preserve">Pathology Clinical </w:t>
      </w:r>
      <w:r w:rsidR="00EE75CB" w:rsidRPr="00EE75CB">
        <w:t>C</w:t>
      </w:r>
      <w:r w:rsidR="00C47078">
        <w:t>ommittee</w:t>
      </w:r>
      <w:r>
        <w:t xml:space="preserve"> generally supports the </w:t>
      </w:r>
      <w:r w:rsidR="00B85B41">
        <w:rPr>
          <w:lang w:val="en-US"/>
        </w:rPr>
        <w:t xml:space="preserve">Endocrinology </w:t>
      </w:r>
      <w:r w:rsidR="00AC4318">
        <w:rPr>
          <w:lang w:val="en-US"/>
        </w:rPr>
        <w:t>Clinical Committee’s</w:t>
      </w:r>
      <w:r w:rsidR="00E5655B">
        <w:rPr>
          <w:lang w:val="en-US"/>
        </w:rPr>
        <w:t xml:space="preserve"> </w:t>
      </w:r>
      <w:r>
        <w:t>recommendations regarding the appropriate indications for TSH testing and the limits on repeat testing</w:t>
      </w:r>
      <w:r w:rsidR="006A5DE0">
        <w:t>,</w:t>
      </w:r>
      <w:r>
        <w:t xml:space="preserve"> with modifications as follows</w:t>
      </w:r>
      <w:r w:rsidR="006A5DE0">
        <w:t>.</w:t>
      </w:r>
      <w:r w:rsidR="00AC4318">
        <w:t xml:space="preserve"> </w:t>
      </w:r>
    </w:p>
    <w:p w14:paraId="5863C248" w14:textId="0E0E630A" w:rsidR="00E72592" w:rsidRDefault="00E72592" w:rsidP="00B65C81">
      <w:pPr>
        <w:pStyle w:val="Bullet1"/>
      </w:pPr>
      <w:r>
        <w:t xml:space="preserve">The </w:t>
      </w:r>
      <w:r w:rsidR="00D80F12" w:rsidRPr="00B84C4F">
        <w:rPr>
          <w:lang w:val="en-US"/>
        </w:rPr>
        <w:t xml:space="preserve">Pathology Clinical </w:t>
      </w:r>
      <w:r w:rsidR="00EE75CB" w:rsidRPr="00EE75CB">
        <w:t>C</w:t>
      </w:r>
      <w:r w:rsidR="00D01B58">
        <w:t>ommittee</w:t>
      </w:r>
      <w:r>
        <w:t xml:space="preserve"> recommends changing ‘non-specific symptoms’ to ‘unrelated symptoms’ noting that ‘non-specific’ could be misunderstood to include symptoms such as fatigue or weight gain which may well be appropriate indications for testing. ‘Unrelated’ would refer to symptoms that are not associated with thyroid disease.</w:t>
      </w:r>
    </w:p>
    <w:p w14:paraId="0621250B" w14:textId="7BB733A6" w:rsidR="00E72592" w:rsidRDefault="00E72592" w:rsidP="00B65C81">
      <w:pPr>
        <w:pStyle w:val="Bullet1"/>
      </w:pPr>
      <w:r>
        <w:t xml:space="preserve">The </w:t>
      </w:r>
      <w:r w:rsidR="00D80F12" w:rsidRPr="00B84C4F">
        <w:rPr>
          <w:lang w:val="en-US"/>
        </w:rPr>
        <w:t xml:space="preserve">Pathology Clinical </w:t>
      </w:r>
      <w:r w:rsidR="00EE75CB">
        <w:t>C</w:t>
      </w:r>
      <w:r w:rsidR="00D01B58">
        <w:t>ommittee</w:t>
      </w:r>
      <w:r>
        <w:t xml:space="preserve"> recommends broadening the </w:t>
      </w:r>
      <w:r w:rsidR="00B85B41">
        <w:rPr>
          <w:lang w:val="en-US"/>
        </w:rPr>
        <w:t xml:space="preserve">Endocrinology </w:t>
      </w:r>
      <w:r w:rsidR="00AC4318">
        <w:rPr>
          <w:lang w:val="en-US"/>
        </w:rPr>
        <w:t>Clinical Committee</w:t>
      </w:r>
      <w:r>
        <w:t>’s proposals to allow testing in asymptomatic patients who are pregnant or at elevated risk of thyroid disease, including patients with type 1 diabetes mellitus.</w:t>
      </w:r>
    </w:p>
    <w:p w14:paraId="4096C527" w14:textId="320E6E8B" w:rsidR="00E72592" w:rsidRDefault="00E72592" w:rsidP="00B65C81">
      <w:pPr>
        <w:pStyle w:val="Bullet1"/>
      </w:pPr>
      <w:r>
        <w:t xml:space="preserve">The </w:t>
      </w:r>
      <w:r w:rsidR="00D80F12" w:rsidRPr="00B84C4F">
        <w:rPr>
          <w:lang w:val="en-US"/>
        </w:rPr>
        <w:t xml:space="preserve">Pathology Clinical </w:t>
      </w:r>
      <w:r w:rsidR="00EE75CB">
        <w:t>C</w:t>
      </w:r>
      <w:r w:rsidR="00D01B58">
        <w:t>ommittee</w:t>
      </w:r>
      <w:r>
        <w:t xml:space="preserve"> does not support including clinical indications in the item descriptor but instead recommends that clinical advice be included in explanatory notes. It notes that, following discussion, the </w:t>
      </w:r>
      <w:r w:rsidR="006E47CC">
        <w:rPr>
          <w:lang w:val="en-US"/>
        </w:rPr>
        <w:t>Endocrinology Clinical Committee</w:t>
      </w:r>
      <w:r w:rsidR="00AF11CA">
        <w:rPr>
          <w:lang w:val="en-US"/>
        </w:rPr>
        <w:t xml:space="preserve"> </w:t>
      </w:r>
      <w:r>
        <w:t>support</w:t>
      </w:r>
      <w:r w:rsidR="00081DD2">
        <w:t>s</w:t>
      </w:r>
      <w:r>
        <w:t xml:space="preserve"> this approach.</w:t>
      </w:r>
    </w:p>
    <w:p w14:paraId="73163ECF" w14:textId="03804704" w:rsidR="003C0BDC" w:rsidRPr="003C0BDC" w:rsidRDefault="003C0BDC" w:rsidP="00B65C81">
      <w:pPr>
        <w:pStyle w:val="Bullet1"/>
      </w:pPr>
      <w:r w:rsidRPr="003C0BDC">
        <w:t>The</w:t>
      </w:r>
      <w:r w:rsidR="00D80F12" w:rsidRPr="00D80F12">
        <w:rPr>
          <w:lang w:val="en-US"/>
        </w:rPr>
        <w:t xml:space="preserve"> </w:t>
      </w:r>
      <w:r w:rsidR="00D80F12" w:rsidRPr="00B84C4F">
        <w:rPr>
          <w:lang w:val="en-US"/>
        </w:rPr>
        <w:t>Pathology Clinical</w:t>
      </w:r>
      <w:r w:rsidRPr="003C0BDC">
        <w:t xml:space="preserve"> </w:t>
      </w:r>
      <w:r w:rsidR="00EE75CB">
        <w:t>C</w:t>
      </w:r>
      <w:r w:rsidR="00D01B58">
        <w:t>ommittee</w:t>
      </w:r>
      <w:r w:rsidRPr="003C0BDC">
        <w:t xml:space="preserve"> recommends that the explanatory note for TSH testing should state</w:t>
      </w:r>
      <w:r w:rsidR="00590D1E">
        <w:t xml:space="preserve"> that testing is appropriate in the following circumstances</w:t>
      </w:r>
      <w:r w:rsidRPr="003C0BDC">
        <w:t>:</w:t>
      </w:r>
    </w:p>
    <w:p w14:paraId="37747CA4" w14:textId="77777777" w:rsidR="003C0BDC" w:rsidRDefault="003C0BDC" w:rsidP="003C0BDC">
      <w:pPr>
        <w:pStyle w:val="Bullet2"/>
      </w:pPr>
      <w:r>
        <w:t>The patient has known thyroid disease.</w:t>
      </w:r>
    </w:p>
    <w:p w14:paraId="0ADE79B8" w14:textId="77777777" w:rsidR="003C0BDC" w:rsidRDefault="003C0BDC" w:rsidP="003C0BDC">
      <w:pPr>
        <w:pStyle w:val="Bullet2"/>
      </w:pPr>
      <w:r>
        <w:t>There is clinical suspicion of thyroid dysfunction.</w:t>
      </w:r>
    </w:p>
    <w:p w14:paraId="13F04F07" w14:textId="77777777" w:rsidR="003C0BDC" w:rsidRDefault="003C0BDC" w:rsidP="003C0BDC">
      <w:pPr>
        <w:pStyle w:val="Bullet2"/>
      </w:pPr>
      <w:r>
        <w:t>The patient is currently receiving thyroid hormone replacement therapy and needs to be monitored.</w:t>
      </w:r>
    </w:p>
    <w:p w14:paraId="05148874" w14:textId="77777777" w:rsidR="003C0BDC" w:rsidRDefault="003C0BDC" w:rsidP="003C0BDC">
      <w:pPr>
        <w:pStyle w:val="Bullet2"/>
      </w:pPr>
      <w:r>
        <w:t>The patient is pregnant or planning pregnancy, and testing is clinically indicated.</w:t>
      </w:r>
    </w:p>
    <w:p w14:paraId="7FC3737F" w14:textId="490AC8A2" w:rsidR="003C0BDC" w:rsidRDefault="003C0BDC" w:rsidP="003C0BDC">
      <w:pPr>
        <w:pStyle w:val="Bullet2"/>
      </w:pPr>
      <w:r>
        <w:t>The patient has an autoimmune condition (</w:t>
      </w:r>
      <w:r w:rsidR="00081DD2">
        <w:t>e.g.</w:t>
      </w:r>
      <w:r>
        <w:t xml:space="preserve"> type</w:t>
      </w:r>
      <w:r w:rsidR="00E5655B">
        <w:t xml:space="preserve"> </w:t>
      </w:r>
      <w:r>
        <w:t>1 diabetes mellitus or adrenal insufficiency).</w:t>
      </w:r>
    </w:p>
    <w:p w14:paraId="0832D988" w14:textId="48BD8BA9" w:rsidR="00E72592" w:rsidRDefault="003C0BDC" w:rsidP="003C0BDC">
      <w:pPr>
        <w:pStyle w:val="Bullet2"/>
      </w:pPr>
      <w:r>
        <w:t>The patient is taking medication known to affect thyroid function (</w:t>
      </w:r>
      <w:r w:rsidR="00081DD2">
        <w:t>e.g.</w:t>
      </w:r>
      <w:r>
        <w:t>, lithium or amidarone).</w:t>
      </w:r>
    </w:p>
    <w:p w14:paraId="21CFFCC4" w14:textId="00CBFC6B" w:rsidR="003C0BDC" w:rsidRPr="003C0BDC" w:rsidRDefault="003C0BDC" w:rsidP="00965AE3">
      <w:pPr>
        <w:pStyle w:val="Bullet1"/>
      </w:pPr>
      <w:r w:rsidRPr="003C0BDC">
        <w:t xml:space="preserve">In agreement with the </w:t>
      </w:r>
      <w:r w:rsidR="00B85B41">
        <w:rPr>
          <w:lang w:val="en-US"/>
        </w:rPr>
        <w:t xml:space="preserve">Endocrinology </w:t>
      </w:r>
      <w:r w:rsidR="00AC4318">
        <w:rPr>
          <w:lang w:val="en-US"/>
        </w:rPr>
        <w:t>Clinical Committee</w:t>
      </w:r>
      <w:r w:rsidRPr="003C0BDC">
        <w:t xml:space="preserve">, the </w:t>
      </w:r>
      <w:r w:rsidR="00EE75CB">
        <w:t>C</w:t>
      </w:r>
      <w:r w:rsidR="00D01B58">
        <w:t>ommittee</w:t>
      </w:r>
      <w:r w:rsidRPr="003C0BDC">
        <w:t xml:space="preserve"> does not recommend that there should be a limit on the annual number of TSHs performed, but recommends that repeat testing should not be conducted on patients within 12 months of a normal TSH without a change in their underlying thyroid condition or their thyroid hormone replacement treatment. It recommended that this advice should be included in an explanatory note. </w:t>
      </w:r>
    </w:p>
    <w:p w14:paraId="4320B42F" w14:textId="77777777" w:rsidR="003C0BDC" w:rsidRDefault="003C0BDC" w:rsidP="003C0BDC">
      <w:pPr>
        <w:pStyle w:val="Bullet2"/>
      </w:pPr>
      <w:r w:rsidRPr="003C0BDC">
        <w:t>Repeat testing should not be conducted within 12 months of a normal TSH without a change in the patient’s underlying condition or their thyroid hormone replacement treatment</w:t>
      </w:r>
      <w:r>
        <w:t>.</w:t>
      </w:r>
    </w:p>
    <w:p w14:paraId="58AD45C4" w14:textId="48DBAB60" w:rsidR="003C0BDC" w:rsidRPr="003C0BDC" w:rsidRDefault="003C0BDC" w:rsidP="00965AE3">
      <w:pPr>
        <w:pStyle w:val="Bullet1"/>
      </w:pPr>
      <w:r w:rsidRPr="003C0BDC">
        <w:t xml:space="preserve">The </w:t>
      </w:r>
      <w:r w:rsidR="00D80F12" w:rsidRPr="00B84C4F">
        <w:rPr>
          <w:lang w:val="en-US"/>
        </w:rPr>
        <w:t xml:space="preserve">Pathology Clinical </w:t>
      </w:r>
      <w:r w:rsidR="00D01B58" w:rsidRPr="00D01B58">
        <w:t>Committee</w:t>
      </w:r>
      <w:r w:rsidRPr="003C0BDC">
        <w:t xml:space="preserve"> supports the </w:t>
      </w:r>
      <w:r w:rsidR="006E47CC">
        <w:rPr>
          <w:lang w:val="en-US"/>
        </w:rPr>
        <w:t>Endocrinology Clinical Committee</w:t>
      </w:r>
      <w:r w:rsidR="00E5655B">
        <w:rPr>
          <w:lang w:val="en-US"/>
        </w:rPr>
        <w:t xml:space="preserve"> </w:t>
      </w:r>
      <w:r w:rsidRPr="003C0BDC">
        <w:t xml:space="preserve">recommendation for a proposed education program, supported by NPS MedicineWise, on the clinical appropriateness of TSH testing. The proposed education program would inform </w:t>
      </w:r>
      <w:r w:rsidR="00AE62EB">
        <w:t>requester</w:t>
      </w:r>
      <w:r w:rsidRPr="003C0BDC">
        <w:t>s of the appropriate use of guidelines for testing, and should emphasise the important requirement to include clinical information on all request forms. NPS MedicineWise’s appropriate use guidelines should include the content of the explanatory notes above. Consumer products should align the recommendations for doctors with this behavioural change</w:t>
      </w:r>
      <w:r>
        <w:t>.</w:t>
      </w:r>
    </w:p>
    <w:p w14:paraId="0A5A501D" w14:textId="77777777" w:rsidR="003C0BDC" w:rsidRPr="00DA4A23" w:rsidRDefault="003C0BDC" w:rsidP="00DA4A23">
      <w:pPr>
        <w:rPr>
          <w:b/>
        </w:rPr>
      </w:pPr>
      <w:bookmarkStart w:id="48" w:name="_Toc485295727"/>
      <w:r w:rsidRPr="00DA4A23">
        <w:rPr>
          <w:b/>
        </w:rPr>
        <w:t>Rationale</w:t>
      </w:r>
      <w:r w:rsidR="004A3803" w:rsidRPr="00DA4A23">
        <w:rPr>
          <w:b/>
        </w:rPr>
        <w:t xml:space="preserve"> 1</w:t>
      </w:r>
      <w:bookmarkEnd w:id="48"/>
    </w:p>
    <w:p w14:paraId="45C02F31" w14:textId="0FB1486A" w:rsidR="003C0BDC" w:rsidRDefault="003C0BDC" w:rsidP="003C0BDC">
      <w:pPr>
        <w:pStyle w:val="BodyText"/>
      </w:pPr>
      <w:r w:rsidRPr="003C0BDC">
        <w:t xml:space="preserve">The </w:t>
      </w:r>
      <w:r w:rsidR="00D80F12" w:rsidRPr="00B84C4F">
        <w:rPr>
          <w:lang w:val="en-US"/>
        </w:rPr>
        <w:t xml:space="preserve">Pathology Clinical </w:t>
      </w:r>
      <w:r w:rsidR="00D01B58" w:rsidRPr="00D01B58">
        <w:t>Committee</w:t>
      </w:r>
      <w:r w:rsidRPr="003C0BDC">
        <w:t xml:space="preserve"> recommendation that TSH not be used as a screening test aligns with the RACGP Choosing Wisely recommendations.</w:t>
      </w:r>
    </w:p>
    <w:p w14:paraId="78DF4FA7" w14:textId="1F065F20" w:rsidR="004F7C8E" w:rsidRDefault="003C0BDC" w:rsidP="003C0BDC">
      <w:pPr>
        <w:pStyle w:val="BodyText"/>
      </w:pPr>
      <w:r w:rsidRPr="003C0BDC">
        <w:t xml:space="preserve">There was considerable discussion in the </w:t>
      </w:r>
      <w:r w:rsidR="00D80F12" w:rsidRPr="00B84C4F">
        <w:rPr>
          <w:lang w:val="en-US"/>
        </w:rPr>
        <w:t xml:space="preserve">Pathology Clinical </w:t>
      </w:r>
      <w:r w:rsidR="00D01B58" w:rsidRPr="00D01B58">
        <w:t>Committee</w:t>
      </w:r>
      <w:r w:rsidRPr="003C0BDC">
        <w:t xml:space="preserve"> around the proposal that item descriptors be amended to reflect agreed indications for testing. It was agreed that the increased testing is based on an increase in requesting and the best way to address this is by seeking to improve the quality of requesting, particularly in primary care settings, through education of the requesting clinicians.</w:t>
      </w:r>
    </w:p>
    <w:p w14:paraId="29FFA63E" w14:textId="5B566B66" w:rsidR="004F7C8E" w:rsidRDefault="003C0BDC" w:rsidP="003C0BDC">
      <w:pPr>
        <w:pStyle w:val="BodyText"/>
      </w:pPr>
      <w:r w:rsidRPr="003C0BDC">
        <w:t>A change in descriptor puts the onus of compliance on the laboratories. Given that up to 30</w:t>
      </w:r>
      <w:r w:rsidR="004F7C8E">
        <w:t>–</w:t>
      </w:r>
      <w:r w:rsidRPr="003C0BDC">
        <w:t>50</w:t>
      </w:r>
      <w:r w:rsidR="004F7C8E">
        <w:t xml:space="preserve"> per cent</w:t>
      </w:r>
      <w:r w:rsidR="004F7C8E" w:rsidRPr="003C0BDC">
        <w:t xml:space="preserve"> </w:t>
      </w:r>
      <w:r w:rsidRPr="003C0BDC">
        <w:t>of clinical requests have no relevant clinical notes on the question of thyroid disease</w:t>
      </w:r>
      <w:r w:rsidR="00343B07">
        <w:t xml:space="preserve"> </w:t>
      </w:r>
      <w:r w:rsidR="00343B07" w:rsidRPr="003C0BDC">
        <w:t>(according to pathologists working in the private sector)</w:t>
      </w:r>
      <w:r w:rsidRPr="003C0BDC">
        <w:t>, it is difficult for the pathologists to ensure compliance.</w:t>
      </w:r>
    </w:p>
    <w:p w14:paraId="4F9953A4" w14:textId="261ED6AD" w:rsidR="003C0BDC" w:rsidRPr="003C0BDC" w:rsidRDefault="003C0BDC" w:rsidP="003C0BDC">
      <w:pPr>
        <w:pStyle w:val="BodyText"/>
      </w:pPr>
      <w:r w:rsidRPr="003C0BDC">
        <w:t xml:space="preserve">Although the </w:t>
      </w:r>
      <w:r w:rsidR="00D80F12" w:rsidRPr="00B84C4F">
        <w:rPr>
          <w:lang w:val="en-US"/>
        </w:rPr>
        <w:t xml:space="preserve">Pathology Clinical </w:t>
      </w:r>
      <w:r w:rsidR="00D01B58" w:rsidRPr="00D01B58">
        <w:t>Committee</w:t>
      </w:r>
      <w:r w:rsidRPr="003C0BDC">
        <w:t xml:space="preserve"> were supportive of the need to improve the clinical value of testing, they were unable to support the recommendation to change the item descriptors to specify clinical indications, due to issues relating to governance and increased workload for pathology laboratories. Instead, the </w:t>
      </w:r>
      <w:r w:rsidR="00D01B58" w:rsidRPr="00D01B58">
        <w:t>Committee</w:t>
      </w:r>
      <w:r w:rsidRPr="003C0BDC">
        <w:t xml:space="preserve"> proposes that there be guidance in the explanatory notes to promote the appropriate use of TSH testing.</w:t>
      </w:r>
    </w:p>
    <w:p w14:paraId="482AA07B" w14:textId="43102D3A" w:rsidR="003C0BDC" w:rsidRPr="003C0BDC" w:rsidRDefault="003C0BDC" w:rsidP="003C0BDC">
      <w:pPr>
        <w:pStyle w:val="BodyText"/>
      </w:pPr>
      <w:r w:rsidRPr="003C0BDC">
        <w:t xml:space="preserve">The </w:t>
      </w:r>
      <w:r w:rsidR="00D80F12" w:rsidRPr="00B84C4F">
        <w:rPr>
          <w:lang w:val="en-US"/>
        </w:rPr>
        <w:t xml:space="preserve">Pathology Clinical </w:t>
      </w:r>
      <w:r w:rsidR="00D01B58" w:rsidRPr="00D01B58">
        <w:t>Committee</w:t>
      </w:r>
      <w:r w:rsidRPr="003C0BDC">
        <w:t xml:space="preserve"> was supportive of the </w:t>
      </w:r>
      <w:r w:rsidR="006E47CC">
        <w:rPr>
          <w:lang w:val="en-US"/>
        </w:rPr>
        <w:t>Endocrinology Clinical Committee</w:t>
      </w:r>
      <w:r w:rsidR="00E5655B">
        <w:rPr>
          <w:lang w:val="en-US"/>
        </w:rPr>
        <w:t xml:space="preserve"> </w:t>
      </w:r>
      <w:r w:rsidRPr="003C0BDC">
        <w:t>recommendation that some high</w:t>
      </w:r>
      <w:r w:rsidR="004F7C8E">
        <w:t>-</w:t>
      </w:r>
      <w:r w:rsidRPr="003C0BDC">
        <w:t xml:space="preserve">risk groups should have access to testing even when asymptomatic. These groups include pregnant </w:t>
      </w:r>
      <w:r w:rsidR="004F7C8E">
        <w:t xml:space="preserve">women </w:t>
      </w:r>
      <w:r w:rsidRPr="003C0BDC">
        <w:t>and those at elevated risk of thyroid disease (generally patients with autoimmune disease</w:t>
      </w:r>
      <w:r w:rsidR="004F7C8E">
        <w:t>,</w:t>
      </w:r>
      <w:r w:rsidRPr="003C0BDC">
        <w:t xml:space="preserve"> and in particular type 1 diabetes mellitus). This approach is supported internationally.</w:t>
      </w:r>
      <w:r w:rsidR="00240E05" w:rsidRPr="003C0BDC">
        <w:fldChar w:fldCharType="begin"/>
      </w:r>
      <w:r w:rsidR="00877C64">
        <w:instrText xml:space="preserve"> ADDIN EN.CITE &lt;EndNote&gt;&lt;Cite&gt;&lt;Author&gt;Craig&lt;/Author&gt;&lt;Year&gt;2011&lt;/Year&gt;&lt;RecNum&gt;20&lt;/RecNum&gt;&lt;DisplayText&gt;&lt;style face="superscript"&gt;13&lt;/style&gt;&lt;/DisplayText&gt;&lt;record&gt;&lt;rec-number&gt;20&lt;/rec-number&gt;&lt;foreign-keys&gt;&lt;key app="EN" db-id="dfs5xeapdpddpyexds6ppreypt5sp9spp2a5" timestamp="1477441375"&gt;20&lt;/key&gt;&lt;/foreign-keys&gt;&lt;ref-type name="Government Document"&gt;46&lt;/ref-type&gt;&lt;contributors&gt;&lt;authors&gt;&lt;author&gt;Craig, M.E.&lt;/author&gt;&lt;author&gt;Twigg, S.M.&lt;/author&gt;&lt;author&gt;Donaghue, K.C.&lt;/author&gt;&lt;author&gt;Cheung, N. W.&lt;/author&gt;&lt;author&gt;Cameron, F.J.&lt;/author&gt;&lt;author&gt;Conn, J.&lt;/author&gt;&lt;author&gt;Jenkins, A.J.&lt;/author&gt;&lt;author&gt;Silink, M.&lt;/author&gt;&lt;author&gt;Australian Type 1 Diabetes Guidelines Expert Advisory Group,&lt;/author&gt;&lt;/authors&gt;&lt;secondary-authors&gt;&lt;author&gt;Department of Health and Ageing&lt;/author&gt;&lt;/secondary-authors&gt;&lt;/contributors&gt;&lt;titles&gt;&lt;title&gt;National evidence-based clinical care guidelines for type 1 diabetes in children, adolescents and adults&lt;/title&gt;&lt;/titles&gt;&lt;dates&gt;&lt;year&gt;2011&lt;/year&gt;&lt;/dates&gt;&lt;pub-location&gt;Canberra&lt;/pub-location&gt;&lt;publisher&gt;National Health and Medical Research Council&lt;/publisher&gt;&lt;urls&gt;&lt;/urls&gt;&lt;/record&gt;&lt;/Cite&gt;&lt;/EndNote&gt;</w:instrText>
      </w:r>
      <w:r w:rsidR="00240E05" w:rsidRPr="003C0BDC">
        <w:fldChar w:fldCharType="separate"/>
      </w:r>
      <w:r w:rsidR="00877C64" w:rsidRPr="00877C64">
        <w:rPr>
          <w:noProof/>
          <w:vertAlign w:val="superscript"/>
        </w:rPr>
        <w:t>13</w:t>
      </w:r>
      <w:r w:rsidR="00240E05" w:rsidRPr="003C0BDC">
        <w:fldChar w:fldCharType="end"/>
      </w:r>
    </w:p>
    <w:p w14:paraId="265B69B9" w14:textId="44B8EBBD" w:rsidR="00E72592" w:rsidRPr="007E107B" w:rsidRDefault="003C0BDC" w:rsidP="007E107B">
      <w:pPr>
        <w:pStyle w:val="BodyText"/>
      </w:pPr>
      <w:r w:rsidRPr="003C0BDC">
        <w:t xml:space="preserve">The </w:t>
      </w:r>
      <w:r w:rsidR="00D80F12" w:rsidRPr="00B84C4F">
        <w:rPr>
          <w:lang w:val="en-US"/>
        </w:rPr>
        <w:t xml:space="preserve">Pathology Clinical </w:t>
      </w:r>
      <w:r w:rsidR="00D01B58" w:rsidRPr="00D01B58">
        <w:t>Committee</w:t>
      </w:r>
      <w:r w:rsidRPr="003C0BDC">
        <w:t xml:space="preserve"> notes that 38 per cent of patients had a repeat TSH test (item 66716) within </w:t>
      </w:r>
      <w:r w:rsidR="004F7C8E" w:rsidRPr="003C0BDC">
        <w:t>12</w:t>
      </w:r>
      <w:r w:rsidR="004F7C8E">
        <w:t> </w:t>
      </w:r>
      <w:r w:rsidRPr="003C0BDC">
        <w:t>months of their first test in 2014.</w:t>
      </w:r>
      <w:r w:rsidR="00240E05" w:rsidRPr="003C0BDC">
        <w:fldChar w:fldCharType="begin"/>
      </w:r>
      <w:r w:rsidR="00877C64">
        <w:instrText xml:space="preserve"> ADDIN EN.CITE &lt;EndNote&gt;&lt;Cite&gt;&lt;Author&gt;Department of Health&lt;/Author&gt;&lt;Year&gt;2016&lt;/Year&gt;&lt;RecNum&gt;21&lt;/RecNum&gt;&lt;DisplayText&gt;&lt;style face="superscript"&gt;11&lt;/style&gt;&lt;/DisplayText&gt;&lt;record&gt;&lt;rec-number&gt;21&lt;/rec-number&gt;&lt;foreign-keys&gt;&lt;key app="EN" db-id="dfs5xeapdpddpyexds6ppreypt5sp9spp2a5" timestamp="1477442364"&gt;21&lt;/key&gt;&lt;/foreign-keys&gt;&lt;ref-type name="Dataset"&gt;59&lt;/ref-type&gt;&lt;contributors&gt;&lt;authors&gt;&lt;author&gt;Department of Health,&lt;/author&gt;&lt;/authors&gt;&lt;/contributors&gt;&lt;titles&gt;&lt;title&gt;MBS data –Q203551&lt;/title&gt;&lt;/titles&gt;&lt;dates&gt;&lt;year&gt;2016&lt;/year&gt;&lt;/dates&gt;&lt;urls&gt;&lt;/urls&gt;&lt;access-date&gt;26.10.2016&lt;/access-date&gt;&lt;/record&gt;&lt;/Cite&gt;&lt;/EndNote&gt;</w:instrText>
      </w:r>
      <w:r w:rsidR="00240E05" w:rsidRPr="003C0BDC">
        <w:fldChar w:fldCharType="separate"/>
      </w:r>
      <w:r w:rsidR="00877C64" w:rsidRPr="00877C64">
        <w:rPr>
          <w:noProof/>
          <w:vertAlign w:val="superscript"/>
        </w:rPr>
        <w:t>11</w:t>
      </w:r>
      <w:r w:rsidR="00240E05" w:rsidRPr="003C0BDC">
        <w:fldChar w:fldCharType="end"/>
      </w:r>
      <w:r w:rsidRPr="003C0BDC">
        <w:t xml:space="preserve"> The </w:t>
      </w:r>
      <w:r w:rsidR="00D01B58" w:rsidRPr="00D01B58">
        <w:t>Committee</w:t>
      </w:r>
      <w:r w:rsidRPr="003C0BDC">
        <w:t xml:space="preserve"> support</w:t>
      </w:r>
      <w:r w:rsidR="004F7C8E">
        <w:t>s</w:t>
      </w:r>
      <w:r w:rsidRPr="003C0BDC">
        <w:t xml:space="preserve"> the </w:t>
      </w:r>
      <w:r w:rsidR="00B85B41">
        <w:rPr>
          <w:lang w:val="en-US"/>
        </w:rPr>
        <w:t>Endocrinology Clinical Committee</w:t>
      </w:r>
      <w:r w:rsidR="00B85B41" w:rsidRPr="003C0BDC" w:rsidDel="00B85B41">
        <w:t xml:space="preserve"> </w:t>
      </w:r>
      <w:r w:rsidRPr="003C0BDC">
        <w:t>recommendation as outlined, which seeks to remind clinicians that repeat testing is generally not indicated within 12 months of a normal TSH</w:t>
      </w:r>
      <w:r w:rsidR="004F7C8E">
        <w:t xml:space="preserve"> result</w:t>
      </w:r>
      <w:r w:rsidRPr="003C0BDC">
        <w:t>. Including such advice in explanatory notes allows for repeat testing when it is appropriate and clinically indicated, noting that for relatively few patients, multiple tests can be indicated over short time period.</w:t>
      </w:r>
    </w:p>
    <w:p w14:paraId="1BF3AC49" w14:textId="507D6E99" w:rsidR="00C75FBD" w:rsidRDefault="00A74C6B" w:rsidP="00E72592">
      <w:pPr>
        <w:rPr>
          <w:lang w:val="en-US"/>
        </w:rPr>
      </w:pPr>
      <w:r w:rsidRPr="005A2A45">
        <w:rPr>
          <w:lang w:val="en-US"/>
        </w:rPr>
        <w:t>The</w:t>
      </w:r>
      <w:r w:rsidR="00D80F12" w:rsidRPr="00D80F12">
        <w:rPr>
          <w:lang w:val="en-US"/>
        </w:rPr>
        <w:t xml:space="preserve"> </w:t>
      </w:r>
      <w:r w:rsidR="00D80F12" w:rsidRPr="00B84C4F">
        <w:rPr>
          <w:lang w:val="en-US"/>
        </w:rPr>
        <w:t>Pathology Clinical</w:t>
      </w:r>
      <w:r w:rsidRPr="005A2A45">
        <w:rPr>
          <w:lang w:val="en-US"/>
        </w:rPr>
        <w:t xml:space="preserve"> Committee recommends amendments</w:t>
      </w:r>
      <w:r w:rsidR="00E836D1">
        <w:rPr>
          <w:lang w:val="en-US"/>
        </w:rPr>
        <w:t xml:space="preserve"> </w:t>
      </w:r>
      <w:r w:rsidRPr="005A2A45">
        <w:rPr>
          <w:lang w:val="en-US"/>
        </w:rPr>
        <w:t xml:space="preserve">to item </w:t>
      </w:r>
      <w:r w:rsidR="007E107B">
        <w:rPr>
          <w:lang w:val="en-US"/>
        </w:rPr>
        <w:t>66716</w:t>
      </w:r>
      <w:r w:rsidRPr="005A2A45">
        <w:rPr>
          <w:lang w:val="en-US"/>
        </w:rPr>
        <w:t xml:space="preserve"> as follows</w:t>
      </w:r>
      <w:r w:rsidR="00451A5E">
        <w:rPr>
          <w:lang w:val="en-US"/>
        </w:rPr>
        <w:t>.</w:t>
      </w:r>
    </w:p>
    <w:p w14:paraId="7AD33377" w14:textId="77777777" w:rsidR="00C75FBD" w:rsidRDefault="00C75FBD">
      <w:pPr>
        <w:spacing w:before="0" w:after="0" w:line="240" w:lineRule="auto"/>
        <w:rPr>
          <w:lang w:val="en-US"/>
        </w:rPr>
      </w:pPr>
      <w:r>
        <w:rPr>
          <w:lang w:val="en-US"/>
        </w:rPr>
        <w:br w:type="page"/>
      </w:r>
    </w:p>
    <w:p w14:paraId="64609969" w14:textId="77777777" w:rsidR="00A74C6B" w:rsidRDefault="00A74C6B" w:rsidP="00E72592">
      <w:pPr>
        <w:rPr>
          <w:lang w:val="en-US"/>
        </w:rPr>
      </w:pPr>
    </w:p>
    <w:p w14:paraId="6E252A55" w14:textId="77777777" w:rsidR="00451A5E" w:rsidRPr="003744BA" w:rsidRDefault="00451A5E" w:rsidP="003744BA">
      <w:pPr>
        <w:pStyle w:val="Caption"/>
      </w:pPr>
      <w:bookmarkStart w:id="49" w:name="_Toc472940496"/>
      <w:r w:rsidRPr="003744BA">
        <w:t xml:space="preserve">Table </w:t>
      </w:r>
      <w:r w:rsidR="00AD6C1A">
        <w:t>4</w:t>
      </w:r>
      <w:r w:rsidRPr="003744BA">
        <w:t>: Current and proposed new item descriptor for item 66716</w:t>
      </w:r>
      <w:bookmarkEnd w:id="49"/>
    </w:p>
    <w:tbl>
      <w:tblPr>
        <w:tblStyle w:val="TableGrid"/>
        <w:tblW w:w="9016" w:type="dxa"/>
        <w:tblInd w:w="-5" w:type="dxa"/>
        <w:tblLook w:val="04A0" w:firstRow="1" w:lastRow="0" w:firstColumn="1" w:lastColumn="0" w:noHBand="0" w:noVBand="1"/>
        <w:tblCaption w:val="Current and proposed item descriptor for item 66716"/>
        <w:tblDescription w:val="This table contains the current and proposed new item descriptor and explanatory notes for item 66716, TSH. These item descriptors will appear on the Medicare Benefits Schedule."/>
      </w:tblPr>
      <w:tblGrid>
        <w:gridCol w:w="4508"/>
        <w:gridCol w:w="4508"/>
      </w:tblGrid>
      <w:tr w:rsidR="00451A5E" w:rsidRPr="002F5343" w14:paraId="18364F91" w14:textId="77777777" w:rsidTr="002F5343">
        <w:trPr>
          <w:cantSplit/>
          <w:tblHeader/>
        </w:trPr>
        <w:tc>
          <w:tcPr>
            <w:tcW w:w="4508" w:type="dxa"/>
            <w:tcBorders>
              <w:top w:val="single" w:sz="8" w:space="0" w:color="auto"/>
              <w:left w:val="single" w:sz="8" w:space="0" w:color="auto"/>
              <w:bottom w:val="single" w:sz="8" w:space="0" w:color="auto"/>
              <w:right w:val="single" w:sz="8" w:space="0" w:color="auto"/>
            </w:tcBorders>
          </w:tcPr>
          <w:p w14:paraId="22D5F977" w14:textId="77777777" w:rsidR="00451A5E" w:rsidRPr="002F5343" w:rsidRDefault="00451A5E" w:rsidP="00451A5E">
            <w:pPr>
              <w:rPr>
                <w:rStyle w:val="Strong"/>
              </w:rPr>
            </w:pPr>
            <w:r w:rsidRPr="002F5343">
              <w:rPr>
                <w:rStyle w:val="Strong"/>
              </w:rPr>
              <w:t>Current item descriptor</w:t>
            </w:r>
          </w:p>
        </w:tc>
        <w:tc>
          <w:tcPr>
            <w:tcW w:w="4508" w:type="dxa"/>
            <w:tcBorders>
              <w:top w:val="single" w:sz="8" w:space="0" w:color="auto"/>
              <w:left w:val="nil"/>
              <w:bottom w:val="single" w:sz="8" w:space="0" w:color="auto"/>
              <w:right w:val="single" w:sz="8" w:space="0" w:color="auto"/>
            </w:tcBorders>
          </w:tcPr>
          <w:p w14:paraId="05D00401" w14:textId="77777777" w:rsidR="00451A5E" w:rsidRPr="002F5343" w:rsidRDefault="00451A5E" w:rsidP="00451A5E">
            <w:pPr>
              <w:rPr>
                <w:rStyle w:val="Strong"/>
              </w:rPr>
            </w:pPr>
            <w:r w:rsidRPr="002F5343">
              <w:rPr>
                <w:rStyle w:val="Strong"/>
              </w:rPr>
              <w:t>Proposed new item descriptor</w:t>
            </w:r>
          </w:p>
        </w:tc>
      </w:tr>
      <w:tr w:rsidR="00451A5E" w:rsidRPr="00451A5E" w14:paraId="7EE0B2A4" w14:textId="77777777" w:rsidTr="002F5343">
        <w:trPr>
          <w:cantSplit/>
        </w:trPr>
        <w:tc>
          <w:tcPr>
            <w:tcW w:w="4508" w:type="dxa"/>
            <w:tcBorders>
              <w:top w:val="nil"/>
              <w:left w:val="single" w:sz="8" w:space="0" w:color="auto"/>
              <w:bottom w:val="single" w:sz="8" w:space="0" w:color="auto"/>
              <w:right w:val="single" w:sz="8" w:space="0" w:color="auto"/>
            </w:tcBorders>
          </w:tcPr>
          <w:p w14:paraId="76971FCD" w14:textId="77777777" w:rsidR="00451A5E" w:rsidRPr="00451A5E" w:rsidRDefault="00451A5E" w:rsidP="00451A5E">
            <w:r w:rsidRPr="00451A5E">
              <w:rPr>
                <w:lang w:val="en-GB"/>
              </w:rPr>
              <w:t>TSH quantitation</w:t>
            </w:r>
          </w:p>
        </w:tc>
        <w:tc>
          <w:tcPr>
            <w:tcW w:w="4508" w:type="dxa"/>
            <w:tcBorders>
              <w:top w:val="nil"/>
              <w:left w:val="nil"/>
              <w:bottom w:val="single" w:sz="8" w:space="0" w:color="auto"/>
              <w:right w:val="single" w:sz="8" w:space="0" w:color="auto"/>
            </w:tcBorders>
          </w:tcPr>
          <w:p w14:paraId="1EABE92C" w14:textId="77777777" w:rsidR="00451A5E" w:rsidRPr="00451A5E" w:rsidRDefault="00451A5E" w:rsidP="00451A5E">
            <w:pPr>
              <w:rPr>
                <w:lang w:val="en-GB"/>
              </w:rPr>
            </w:pPr>
            <w:r w:rsidRPr="00451A5E">
              <w:rPr>
                <w:lang w:val="en-GB"/>
              </w:rPr>
              <w:t>TSH quantitation</w:t>
            </w:r>
          </w:p>
          <w:p w14:paraId="441CED77" w14:textId="30490DD5" w:rsidR="00451A5E" w:rsidRPr="00451A5E" w:rsidRDefault="00451A5E" w:rsidP="00451A5E">
            <w:pPr>
              <w:rPr>
                <w:b/>
                <w:bCs/>
                <w:lang w:val="en-GB"/>
              </w:rPr>
            </w:pPr>
            <w:r w:rsidRPr="00451A5E">
              <w:rPr>
                <w:b/>
                <w:bCs/>
                <w:lang w:val="en-GB"/>
              </w:rPr>
              <w:t xml:space="preserve">Explanatory </w:t>
            </w:r>
            <w:r w:rsidR="0052373D">
              <w:rPr>
                <w:b/>
                <w:bCs/>
                <w:lang w:val="en-GB"/>
              </w:rPr>
              <w:t>n</w:t>
            </w:r>
            <w:r w:rsidR="0052373D" w:rsidRPr="00451A5E">
              <w:rPr>
                <w:b/>
                <w:bCs/>
                <w:lang w:val="en-GB"/>
              </w:rPr>
              <w:t>otes</w:t>
            </w:r>
          </w:p>
          <w:p w14:paraId="24CEB5B7" w14:textId="77777777" w:rsidR="00451A5E" w:rsidRPr="00451A5E" w:rsidRDefault="00451A5E" w:rsidP="00451A5E">
            <w:r w:rsidRPr="00451A5E">
              <w:t>TSH testing should not be performed as a screening test in asymptomatic patients. Indications for testing with TSH are:</w:t>
            </w:r>
          </w:p>
          <w:p w14:paraId="291DEBE6" w14:textId="77777777" w:rsidR="00451A5E" w:rsidRPr="00451A5E" w:rsidRDefault="00451A5E" w:rsidP="00451A5E">
            <w:pPr>
              <w:numPr>
                <w:ilvl w:val="1"/>
                <w:numId w:val="2"/>
              </w:numPr>
            </w:pPr>
            <w:r w:rsidRPr="00451A5E">
              <w:t>The patient has known thyroid disease.</w:t>
            </w:r>
          </w:p>
          <w:p w14:paraId="7BEF95CA" w14:textId="77777777" w:rsidR="00451A5E" w:rsidRPr="00451A5E" w:rsidRDefault="00451A5E" w:rsidP="00451A5E">
            <w:pPr>
              <w:numPr>
                <w:ilvl w:val="1"/>
                <w:numId w:val="2"/>
              </w:numPr>
            </w:pPr>
            <w:r w:rsidRPr="00451A5E">
              <w:t>There is clinical suspicion of thyroid dysfunction.</w:t>
            </w:r>
          </w:p>
          <w:p w14:paraId="31527246" w14:textId="77777777" w:rsidR="00451A5E" w:rsidRPr="00451A5E" w:rsidRDefault="00451A5E" w:rsidP="00451A5E">
            <w:pPr>
              <w:numPr>
                <w:ilvl w:val="1"/>
                <w:numId w:val="2"/>
              </w:numPr>
            </w:pPr>
            <w:r w:rsidRPr="00451A5E">
              <w:t>The patient is currently receiving thyroid hormone replacement therapy and needs to be monitored.</w:t>
            </w:r>
          </w:p>
          <w:p w14:paraId="42F6C610" w14:textId="77777777" w:rsidR="00451A5E" w:rsidRPr="00451A5E" w:rsidRDefault="00451A5E" w:rsidP="00451A5E">
            <w:pPr>
              <w:numPr>
                <w:ilvl w:val="1"/>
                <w:numId w:val="2"/>
              </w:numPr>
            </w:pPr>
            <w:r w:rsidRPr="00451A5E">
              <w:t>The patient is pregnant or planning pregnancy, and testing is clinically indicated.</w:t>
            </w:r>
          </w:p>
          <w:p w14:paraId="10193D77" w14:textId="77777777" w:rsidR="00451A5E" w:rsidRPr="00451A5E" w:rsidRDefault="00451A5E" w:rsidP="00451A5E">
            <w:pPr>
              <w:numPr>
                <w:ilvl w:val="1"/>
                <w:numId w:val="2"/>
              </w:numPr>
            </w:pPr>
            <w:r w:rsidRPr="00451A5E">
              <w:t>The patient is at elevated risk because of an autoimmune condition (e</w:t>
            </w:r>
            <w:r w:rsidR="00E836D1">
              <w:t>.</w:t>
            </w:r>
            <w:r w:rsidRPr="00451A5E">
              <w:t>g</w:t>
            </w:r>
            <w:r w:rsidR="00E836D1">
              <w:t>.</w:t>
            </w:r>
            <w:r w:rsidRPr="00451A5E">
              <w:t xml:space="preserve"> type 1 diabetes mellitus or adrenal insufficiency).</w:t>
            </w:r>
          </w:p>
          <w:p w14:paraId="3357B60E" w14:textId="7DA47C91" w:rsidR="00451A5E" w:rsidRPr="00451A5E" w:rsidRDefault="00451A5E" w:rsidP="00451A5E">
            <w:pPr>
              <w:numPr>
                <w:ilvl w:val="1"/>
                <w:numId w:val="2"/>
              </w:numPr>
              <w:rPr>
                <w:lang w:val="en-US"/>
              </w:rPr>
            </w:pPr>
            <w:r w:rsidRPr="00451A5E">
              <w:t>The patient is taking medication known to affect thyroid function (e</w:t>
            </w:r>
            <w:r w:rsidR="00E836D1">
              <w:t>.</w:t>
            </w:r>
            <w:r w:rsidRPr="00451A5E">
              <w:t>g</w:t>
            </w:r>
            <w:r w:rsidR="00E836D1">
              <w:t>.</w:t>
            </w:r>
            <w:r w:rsidRPr="00451A5E">
              <w:t xml:space="preserve"> lithium or amiodarone).</w:t>
            </w:r>
          </w:p>
          <w:p w14:paraId="46EFF6ED" w14:textId="77777777" w:rsidR="00451A5E" w:rsidRPr="00451A5E" w:rsidRDefault="00451A5E" w:rsidP="00451A5E">
            <w:r w:rsidRPr="00451A5E">
              <w:t xml:space="preserve">Repeat testing should not be conducted within 12 months of a normal TSH without a new clinical suspicion of thyroid dysfunction or a change in the patient’s underlying condition or their thyroid hormone replacement treatment. </w:t>
            </w:r>
          </w:p>
        </w:tc>
      </w:tr>
    </w:tbl>
    <w:p w14:paraId="0D3247E6" w14:textId="77777777" w:rsidR="007C00E1" w:rsidRDefault="00451A5E" w:rsidP="00D92B97">
      <w:pPr>
        <w:pStyle w:val="Heading3Numbered"/>
        <w:spacing w:before="360"/>
      </w:pPr>
      <w:bookmarkStart w:id="50" w:name="_Toc485296598"/>
      <w:bookmarkStart w:id="51" w:name="_Toc454959792"/>
      <w:bookmarkStart w:id="52" w:name="_Toc456613794"/>
      <w:r>
        <w:t xml:space="preserve">TFTs: Item </w:t>
      </w:r>
      <w:r w:rsidRPr="00451A5E">
        <w:t>66719</w:t>
      </w:r>
      <w:bookmarkEnd w:id="50"/>
    </w:p>
    <w:p w14:paraId="5CFD0204" w14:textId="77777777" w:rsidR="00451A5E" w:rsidRPr="00814E17" w:rsidRDefault="00451A5E" w:rsidP="00814E17">
      <w:pPr>
        <w:pStyle w:val="Caption"/>
      </w:pPr>
      <w:bookmarkStart w:id="53" w:name="_Toc472940497"/>
      <w:r w:rsidRPr="00814E17">
        <w:t xml:space="preserve">Table </w:t>
      </w:r>
      <w:r w:rsidR="00AD6C1A" w:rsidRPr="00814E17">
        <w:t>5</w:t>
      </w:r>
      <w:r w:rsidRPr="00814E17">
        <w:t>: Item introduction table for item 66719</w:t>
      </w:r>
      <w:bookmarkEnd w:id="53"/>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 66719"/>
        <w:tblDescription w:val="This is a table that contains Medicare Benefits Schedule data for items 66719 for the finanical year 2014–2015. The data includes total volume of services, benefits and services annual average growth."/>
      </w:tblPr>
      <w:tblGrid>
        <w:gridCol w:w="1857"/>
        <w:gridCol w:w="7159"/>
      </w:tblGrid>
      <w:tr w:rsidR="00451A5E" w:rsidRPr="004A3803" w14:paraId="7F9E6A45" w14:textId="77777777" w:rsidTr="00175BCE">
        <w:trPr>
          <w:cantSplit/>
          <w:tblHeader/>
        </w:trPr>
        <w:tc>
          <w:tcPr>
            <w:tcW w:w="1030" w:type="pct"/>
            <w:shd w:val="clear" w:color="auto" w:fill="D9D9D9" w:themeFill="background1" w:themeFillShade="D9"/>
          </w:tcPr>
          <w:p w14:paraId="71434DE2" w14:textId="3569E7DD" w:rsidR="00451A5E" w:rsidRPr="004A3803" w:rsidRDefault="00451A5E" w:rsidP="00451A5E">
            <w:pPr>
              <w:pStyle w:val="03Tableundertext"/>
              <w:spacing w:after="0"/>
              <w:rPr>
                <w:b/>
                <w:sz w:val="20"/>
                <w:szCs w:val="20"/>
                <w:lang w:val="en-GB"/>
              </w:rPr>
            </w:pPr>
            <w:r w:rsidRPr="004A3803">
              <w:rPr>
                <w:b/>
                <w:sz w:val="20"/>
                <w:szCs w:val="20"/>
                <w:lang w:val="en-GB"/>
              </w:rPr>
              <w:t>Item number</w:t>
            </w:r>
          </w:p>
        </w:tc>
        <w:tc>
          <w:tcPr>
            <w:tcW w:w="3970" w:type="pct"/>
          </w:tcPr>
          <w:p w14:paraId="3E0FCFA9" w14:textId="12006D33" w:rsidR="00451A5E" w:rsidRPr="004A3803" w:rsidRDefault="00451A5E" w:rsidP="00451A5E">
            <w:pPr>
              <w:pStyle w:val="03Tableundertext"/>
              <w:spacing w:after="0"/>
              <w:rPr>
                <w:sz w:val="20"/>
                <w:szCs w:val="20"/>
                <w:lang w:val="en-GB"/>
              </w:rPr>
            </w:pPr>
            <w:r w:rsidRPr="004A3803">
              <w:rPr>
                <w:sz w:val="20"/>
                <w:szCs w:val="20"/>
                <w:lang w:val="en-GB"/>
              </w:rPr>
              <w:t>66719</w:t>
            </w:r>
          </w:p>
        </w:tc>
      </w:tr>
      <w:tr w:rsidR="00451A5E" w:rsidRPr="004A3803" w14:paraId="6AD9F804" w14:textId="77777777" w:rsidTr="00175BCE">
        <w:trPr>
          <w:cantSplit/>
          <w:tblHeader/>
        </w:trPr>
        <w:tc>
          <w:tcPr>
            <w:tcW w:w="1030" w:type="pct"/>
            <w:shd w:val="clear" w:color="auto" w:fill="D9D9D9" w:themeFill="background1" w:themeFillShade="D9"/>
          </w:tcPr>
          <w:p w14:paraId="7B5FDE23" w14:textId="77777777" w:rsidR="00451A5E" w:rsidRPr="004A3803" w:rsidRDefault="00451A5E" w:rsidP="00451A5E">
            <w:pPr>
              <w:pStyle w:val="03Tableundertext"/>
              <w:spacing w:after="0"/>
              <w:rPr>
                <w:b/>
                <w:sz w:val="20"/>
                <w:szCs w:val="20"/>
                <w:lang w:val="en-GB"/>
              </w:rPr>
            </w:pPr>
            <w:r w:rsidRPr="004A3803">
              <w:rPr>
                <w:b/>
                <w:sz w:val="20"/>
                <w:szCs w:val="20"/>
                <w:lang w:val="en-GB"/>
              </w:rPr>
              <w:t xml:space="preserve">Descriptor [date last amended] </w:t>
            </w:r>
          </w:p>
        </w:tc>
        <w:tc>
          <w:tcPr>
            <w:tcW w:w="3970" w:type="pct"/>
          </w:tcPr>
          <w:p w14:paraId="27D9D555" w14:textId="3AF0D4D0" w:rsidR="00451A5E" w:rsidRPr="004A3803" w:rsidRDefault="00451A5E" w:rsidP="00884AF6">
            <w:pPr>
              <w:pStyle w:val="03Tableundertext"/>
              <w:spacing w:after="0"/>
              <w:rPr>
                <w:sz w:val="20"/>
                <w:szCs w:val="20"/>
                <w:lang w:val="en-GB"/>
              </w:rPr>
            </w:pPr>
            <w:r w:rsidRPr="004A3803">
              <w:rPr>
                <w:sz w:val="20"/>
                <w:szCs w:val="20"/>
                <w:lang w:val="en-GB"/>
              </w:rPr>
              <w:t xml:space="preserve">Thyroid function tests (comprising the service described in item 66716 and 1 or more of the following tests – free thyroxine, free </w:t>
            </w:r>
            <w:r w:rsidR="00884AF6">
              <w:rPr>
                <w:sz w:val="20"/>
                <w:szCs w:val="20"/>
                <w:lang w:val="en-GB"/>
              </w:rPr>
              <w:t>T</w:t>
            </w:r>
            <w:r w:rsidR="00884AF6" w:rsidRPr="004A3803">
              <w:rPr>
                <w:sz w:val="20"/>
                <w:szCs w:val="20"/>
                <w:lang w:val="en-GB"/>
              </w:rPr>
              <w:t>3</w:t>
            </w:r>
            <w:r w:rsidRPr="004A3803">
              <w:rPr>
                <w:sz w:val="20"/>
                <w:szCs w:val="20"/>
                <w:lang w:val="en-GB"/>
              </w:rPr>
              <w:t>, for a patient, if at least 1 of the following conditions is satisfied: (a) the patient has an abnormal level of tsh; (b) the tests are performed: (i) for the purpose of monitoring thyroid disease in the patient; or (ii) to investigate the sick euthyroid syndrome if the patient is an admitted patient; or (iii) to investigate dementia or psychiatric illness of the patient; or (iv) to investigate amenorrhoea or infertility of the patient; (c) the medical practitioner who requested the tests suspects the patient has a pituitary dysfunction; (d) the patient is on drugs that interfere with thyroid hormone metabolism or function. (Item is subject to rule 9.) [2008]</w:t>
            </w:r>
          </w:p>
        </w:tc>
      </w:tr>
      <w:tr w:rsidR="00175BCE" w:rsidRPr="004A3803" w14:paraId="1A531662" w14:textId="77777777" w:rsidTr="00175BCE">
        <w:trPr>
          <w:cantSplit/>
          <w:tblHeader/>
        </w:trPr>
        <w:tc>
          <w:tcPr>
            <w:tcW w:w="1030" w:type="pct"/>
            <w:shd w:val="clear" w:color="auto" w:fill="D9D9D9" w:themeFill="background1" w:themeFillShade="D9"/>
          </w:tcPr>
          <w:p w14:paraId="470C9F00" w14:textId="19CBCCD5" w:rsidR="00175BCE" w:rsidRPr="004A3803" w:rsidRDefault="00175BCE" w:rsidP="00451A5E">
            <w:pPr>
              <w:pStyle w:val="03Tableundertext"/>
              <w:spacing w:after="0"/>
              <w:rPr>
                <w:b/>
                <w:sz w:val="20"/>
                <w:szCs w:val="20"/>
                <w:lang w:val="en-GB"/>
              </w:rPr>
            </w:pPr>
            <w:r w:rsidRPr="004A3803">
              <w:rPr>
                <w:b/>
                <w:sz w:val="20"/>
                <w:szCs w:val="20"/>
                <w:lang w:val="en-GB"/>
              </w:rPr>
              <w:t>Schedule fee</w:t>
            </w:r>
          </w:p>
        </w:tc>
        <w:tc>
          <w:tcPr>
            <w:tcW w:w="3970" w:type="pct"/>
          </w:tcPr>
          <w:p w14:paraId="4A3C8C0E" w14:textId="77777777" w:rsidR="00175BCE" w:rsidRPr="004A3803" w:rsidRDefault="00175BCE" w:rsidP="00451A5E">
            <w:pPr>
              <w:pStyle w:val="03Tableundertext"/>
              <w:spacing w:after="0"/>
              <w:rPr>
                <w:sz w:val="20"/>
                <w:szCs w:val="20"/>
                <w:lang w:val="en-GB"/>
              </w:rPr>
            </w:pPr>
            <w:r w:rsidRPr="004A3803">
              <w:rPr>
                <w:sz w:val="20"/>
                <w:szCs w:val="20"/>
                <w:lang w:val="en-GB"/>
              </w:rPr>
              <w:t>$34.80</w:t>
            </w:r>
          </w:p>
        </w:tc>
      </w:tr>
      <w:tr w:rsidR="00175BCE" w:rsidRPr="004A3803" w14:paraId="29A6458E" w14:textId="77777777" w:rsidTr="00175BCE">
        <w:trPr>
          <w:cantSplit/>
          <w:tblHeader/>
        </w:trPr>
        <w:tc>
          <w:tcPr>
            <w:tcW w:w="1030" w:type="pct"/>
            <w:shd w:val="clear" w:color="auto" w:fill="D9D9D9" w:themeFill="background1" w:themeFillShade="D9"/>
          </w:tcPr>
          <w:p w14:paraId="36737A9F" w14:textId="1CF44D5C" w:rsidR="00175BCE" w:rsidRPr="004A3803" w:rsidRDefault="00175BCE" w:rsidP="00451A5E">
            <w:pPr>
              <w:pStyle w:val="03Tableundertext"/>
              <w:spacing w:after="0"/>
              <w:rPr>
                <w:b/>
                <w:sz w:val="20"/>
                <w:szCs w:val="20"/>
                <w:lang w:val="en-GB"/>
              </w:rPr>
            </w:pPr>
            <w:r w:rsidRPr="004A3803">
              <w:rPr>
                <w:b/>
                <w:sz w:val="20"/>
                <w:szCs w:val="20"/>
                <w:lang w:val="en-GB"/>
              </w:rPr>
              <w:t>Volume of services FY2014/15</w:t>
            </w:r>
          </w:p>
        </w:tc>
        <w:tc>
          <w:tcPr>
            <w:tcW w:w="3970" w:type="pct"/>
          </w:tcPr>
          <w:p w14:paraId="0733E66E" w14:textId="720FEC6C" w:rsidR="00175BCE" w:rsidRPr="004A3803" w:rsidRDefault="00175BCE" w:rsidP="00451A5E">
            <w:pPr>
              <w:pStyle w:val="03Tableundertext"/>
              <w:spacing w:after="0"/>
              <w:rPr>
                <w:sz w:val="20"/>
                <w:szCs w:val="20"/>
                <w:lang w:val="en-GB"/>
              </w:rPr>
            </w:pPr>
            <w:r w:rsidRPr="004A3803">
              <w:rPr>
                <w:sz w:val="20"/>
                <w:szCs w:val="20"/>
                <w:lang w:val="en-GB"/>
              </w:rPr>
              <w:t>2,250,306</w:t>
            </w:r>
          </w:p>
        </w:tc>
      </w:tr>
      <w:tr w:rsidR="00175BCE" w:rsidRPr="004A3803" w14:paraId="0554FFD3" w14:textId="77777777" w:rsidTr="00175BCE">
        <w:trPr>
          <w:cantSplit/>
          <w:tblHeader/>
        </w:trPr>
        <w:tc>
          <w:tcPr>
            <w:tcW w:w="1030" w:type="pct"/>
            <w:shd w:val="clear" w:color="auto" w:fill="D9D9D9" w:themeFill="background1" w:themeFillShade="D9"/>
          </w:tcPr>
          <w:p w14:paraId="14B464E0" w14:textId="0032CF9D" w:rsidR="00175BCE" w:rsidRPr="004A3803" w:rsidRDefault="00175BCE" w:rsidP="00451A5E">
            <w:pPr>
              <w:pStyle w:val="03Tableundertext"/>
              <w:spacing w:after="0"/>
              <w:rPr>
                <w:b/>
                <w:sz w:val="20"/>
                <w:szCs w:val="20"/>
                <w:lang w:val="en-GB"/>
              </w:rPr>
            </w:pPr>
            <w:r w:rsidRPr="004A3803">
              <w:rPr>
                <w:b/>
                <w:sz w:val="20"/>
                <w:szCs w:val="20"/>
                <w:lang w:val="en-GB"/>
              </w:rPr>
              <w:t>Total benefits paid FY2014/15</w:t>
            </w:r>
          </w:p>
        </w:tc>
        <w:tc>
          <w:tcPr>
            <w:tcW w:w="3970" w:type="pct"/>
          </w:tcPr>
          <w:p w14:paraId="678EAD87" w14:textId="4A23DA0F" w:rsidR="00175BCE" w:rsidRPr="004A3803" w:rsidRDefault="00175BCE" w:rsidP="00451A5E">
            <w:pPr>
              <w:pStyle w:val="03Tableundertext"/>
              <w:spacing w:after="0"/>
              <w:rPr>
                <w:sz w:val="20"/>
                <w:szCs w:val="20"/>
                <w:lang w:val="en-GB"/>
              </w:rPr>
            </w:pPr>
            <w:r w:rsidRPr="004A3803">
              <w:rPr>
                <w:sz w:val="20"/>
                <w:szCs w:val="20"/>
                <w:lang w:val="en-GB"/>
              </w:rPr>
              <w:t>$66,534,461</w:t>
            </w:r>
          </w:p>
        </w:tc>
      </w:tr>
      <w:tr w:rsidR="00175BCE" w:rsidRPr="004A3803" w14:paraId="34C03773" w14:textId="77777777" w:rsidTr="00175BCE">
        <w:trPr>
          <w:cantSplit/>
          <w:tblHeader/>
        </w:trPr>
        <w:tc>
          <w:tcPr>
            <w:tcW w:w="1030" w:type="pct"/>
            <w:shd w:val="clear" w:color="auto" w:fill="D9D9D9" w:themeFill="background1" w:themeFillShade="D9"/>
          </w:tcPr>
          <w:p w14:paraId="2DA295BA" w14:textId="3F3AD262" w:rsidR="00175BCE" w:rsidRPr="004A3803" w:rsidRDefault="00175BCE" w:rsidP="00451A5E">
            <w:pPr>
              <w:pStyle w:val="03Tableundertext"/>
              <w:spacing w:after="0"/>
              <w:rPr>
                <w:b/>
                <w:sz w:val="20"/>
                <w:szCs w:val="20"/>
                <w:lang w:val="en-GB"/>
              </w:rPr>
            </w:pPr>
            <w:r w:rsidRPr="004A3803">
              <w:rPr>
                <w:b/>
                <w:sz w:val="20"/>
                <w:szCs w:val="20"/>
                <w:lang w:val="en-GB"/>
              </w:rPr>
              <w:t>Services 5 year (FY2009/10– FY2014/15) annual average growth (CAGR)</w:t>
            </w:r>
          </w:p>
        </w:tc>
        <w:tc>
          <w:tcPr>
            <w:tcW w:w="3970" w:type="pct"/>
          </w:tcPr>
          <w:p w14:paraId="5156DA55" w14:textId="525AD2AB" w:rsidR="00175BCE" w:rsidRPr="004A3803" w:rsidRDefault="00175BCE" w:rsidP="00451A5E">
            <w:pPr>
              <w:pStyle w:val="03Tableundertext"/>
              <w:spacing w:after="0"/>
              <w:rPr>
                <w:sz w:val="20"/>
                <w:szCs w:val="20"/>
                <w:lang w:val="en-GB"/>
              </w:rPr>
            </w:pPr>
            <w:r w:rsidRPr="004A3803">
              <w:rPr>
                <w:sz w:val="20"/>
                <w:szCs w:val="20"/>
                <w:lang w:val="en-GB"/>
              </w:rPr>
              <w:t>11.1%</w:t>
            </w:r>
          </w:p>
        </w:tc>
      </w:tr>
    </w:tbl>
    <w:p w14:paraId="0CA2C438" w14:textId="3C8AEFE0" w:rsidR="00451A5E" w:rsidRPr="00AF11CA" w:rsidRDefault="00C75FBD" w:rsidP="00451A5E">
      <w:pPr>
        <w:pStyle w:val="03Tableundertext"/>
        <w:spacing w:after="0"/>
        <w:rPr>
          <w:b/>
        </w:rPr>
      </w:pPr>
      <w:r w:rsidRPr="0092015F">
        <w:rPr>
          <w:b/>
        </w:rPr>
        <w:t>Source: Department of Human Services, published data, date of processing.</w:t>
      </w:r>
    </w:p>
    <w:p w14:paraId="5B4E6213" w14:textId="77777777" w:rsidR="00451A5E" w:rsidRPr="00451A5E" w:rsidRDefault="00451A5E" w:rsidP="00451A5E">
      <w:pPr>
        <w:pStyle w:val="BodyText"/>
      </w:pPr>
      <w:r w:rsidRPr="00451A5E">
        <w:t>The following observations have been made with regard to TFTs:</w:t>
      </w:r>
    </w:p>
    <w:p w14:paraId="6915598B" w14:textId="4EBC0E0E" w:rsidR="00451A5E" w:rsidRPr="00451A5E" w:rsidRDefault="00884AF6" w:rsidP="00965AE3">
      <w:pPr>
        <w:pStyle w:val="Bullet1"/>
      </w:pPr>
      <w:r>
        <w:t xml:space="preserve">During </w:t>
      </w:r>
      <w:r w:rsidR="00451A5E" w:rsidRPr="00451A5E">
        <w:t xml:space="preserve">the last </w:t>
      </w:r>
      <w:r>
        <w:t>5</w:t>
      </w:r>
      <w:r w:rsidRPr="00451A5E">
        <w:t xml:space="preserve"> </w:t>
      </w:r>
      <w:r w:rsidR="00451A5E" w:rsidRPr="00451A5E">
        <w:t>years use of TFTs has grown by an average of 11 per cent per year.</w:t>
      </w:r>
      <w:r w:rsidR="00240E05" w:rsidRPr="00451A5E">
        <w:fldChar w:fldCharType="begin"/>
      </w:r>
      <w:r w:rsidR="00877C64">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451A5E">
        <w:fldChar w:fldCharType="separate"/>
      </w:r>
      <w:r w:rsidR="00877C64" w:rsidRPr="00877C64">
        <w:rPr>
          <w:noProof/>
          <w:vertAlign w:val="superscript"/>
        </w:rPr>
        <w:t>8</w:t>
      </w:r>
      <w:r w:rsidR="00240E05" w:rsidRPr="00451A5E">
        <w:rPr>
          <w:lang w:val="en-US"/>
        </w:rPr>
        <w:fldChar w:fldCharType="end"/>
      </w:r>
      <w:r w:rsidR="00451A5E" w:rsidRPr="00451A5E">
        <w:rPr>
          <w:lang w:val="en-GB"/>
        </w:rPr>
        <w:t xml:space="preserve"> In </w:t>
      </w:r>
      <w:r>
        <w:rPr>
          <w:lang w:val="en-GB"/>
        </w:rPr>
        <w:t xml:space="preserve">the </w:t>
      </w:r>
      <w:r w:rsidRPr="00451A5E">
        <w:rPr>
          <w:lang w:val="en-GB"/>
        </w:rPr>
        <w:t>2014</w:t>
      </w:r>
      <w:r>
        <w:rPr>
          <w:lang w:val="en-GB"/>
        </w:rPr>
        <w:t>–</w:t>
      </w:r>
      <w:r w:rsidR="00451A5E" w:rsidRPr="00451A5E">
        <w:rPr>
          <w:lang w:val="en-GB"/>
        </w:rPr>
        <w:t>15</w:t>
      </w:r>
      <w:r>
        <w:rPr>
          <w:lang w:val="en-GB"/>
        </w:rPr>
        <w:t xml:space="preserve"> financial year</w:t>
      </w:r>
      <w:r w:rsidR="00451A5E" w:rsidRPr="00451A5E">
        <w:rPr>
          <w:lang w:val="en-GB"/>
        </w:rPr>
        <w:t xml:space="preserve"> </w:t>
      </w:r>
      <w:r>
        <w:rPr>
          <w:lang w:val="en-GB"/>
        </w:rPr>
        <w:t xml:space="preserve">about </w:t>
      </w:r>
      <w:r w:rsidR="00451A5E" w:rsidRPr="00451A5E">
        <w:rPr>
          <w:lang w:val="en-GB"/>
        </w:rPr>
        <w:t xml:space="preserve">1 in 16 Australians (1.4 million patients) had a TFT, amounting to a total of 2.3 million tests. This growth is driven by increases in the number of patients tested (which is growing by 11.8 per cent per year), rather than increased tests per patient (which is declining at </w:t>
      </w:r>
      <w:r>
        <w:rPr>
          <w:lang w:val="en-GB"/>
        </w:rPr>
        <w:t>–</w:t>
      </w:r>
      <w:r w:rsidR="00451A5E" w:rsidRPr="00451A5E">
        <w:rPr>
          <w:lang w:val="en-GB"/>
        </w:rPr>
        <w:t>0.7 per cent per year).</w:t>
      </w:r>
      <w:r w:rsidR="00240E05" w:rsidRPr="00451A5E">
        <w:fldChar w:fldCharType="begin"/>
      </w:r>
      <w:r w:rsidR="00877C64">
        <w:instrText xml:space="preserve"> ADDIN EN.CITE &lt;EndNote&gt;&lt;Cite&gt;&lt;Author&gt;Department of Health&lt;/Author&gt;&lt;Year&gt;2016&lt;/Year&gt;&lt;RecNum&gt;17&lt;/RecNum&gt;&lt;DisplayText&gt;&lt;style face="superscript"&gt;7&lt;/style&gt;&lt;/DisplayText&gt;&lt;record&gt;&lt;rec-number&gt;17&lt;/rec-number&gt;&lt;foreign-keys&gt;&lt;key app="EN" db-id="dfs5xeapdpddpyexds6ppreypt5sp9spp2a5" timestamp="1477349234"&gt;17&lt;/key&gt;&lt;/foreign-keys&gt;&lt;ref-type name="Dataset"&gt;59&lt;/ref-type&gt;&lt;contributors&gt;&lt;authors&gt;&lt;author&gt;Department of Health,&lt;/author&gt;&lt;/authors&gt;&lt;/contributors&gt;&lt;titles&gt;&lt;title&gt;MBS data – Q210381-02&lt;/title&gt;&lt;/titles&gt;&lt;dates&gt;&lt;year&gt;2016&lt;/year&gt;&lt;/dates&gt;&lt;urls&gt;&lt;/urls&gt;&lt;access-date&gt;26.10.2016&lt;/access-date&gt;&lt;/record&gt;&lt;/Cite&gt;&lt;/EndNote&gt;</w:instrText>
      </w:r>
      <w:r w:rsidR="00240E05" w:rsidRPr="00451A5E">
        <w:fldChar w:fldCharType="separate"/>
      </w:r>
      <w:r w:rsidR="00877C64" w:rsidRPr="00877C64">
        <w:rPr>
          <w:noProof/>
          <w:vertAlign w:val="superscript"/>
        </w:rPr>
        <w:t>7</w:t>
      </w:r>
      <w:r w:rsidR="00240E05" w:rsidRPr="00451A5E">
        <w:rPr>
          <w:lang w:val="en-US"/>
        </w:rPr>
        <w:fldChar w:fldCharType="end"/>
      </w:r>
      <w:r w:rsidR="00451A5E" w:rsidRPr="00451A5E">
        <w:rPr>
          <w:lang w:val="en-GB"/>
        </w:rPr>
        <w:t xml:space="preserve"> </w:t>
      </w:r>
      <w:r>
        <w:rPr>
          <w:lang w:val="en-GB"/>
        </w:rPr>
        <w:t xml:space="preserve">Around </w:t>
      </w:r>
      <w:r w:rsidR="00451A5E" w:rsidRPr="00451A5E">
        <w:rPr>
          <w:lang w:val="en-GB"/>
        </w:rPr>
        <w:t xml:space="preserve">57 per cent of patients had a repeat TFT within 12 months of their first test </w:t>
      </w:r>
      <w:r w:rsidR="00451A5E" w:rsidRPr="00451A5E">
        <w:t>in 2014.</w:t>
      </w:r>
      <w:r w:rsidR="00240E05" w:rsidRPr="00451A5E">
        <w:fldChar w:fldCharType="begin"/>
      </w:r>
      <w:r w:rsidR="00877C64">
        <w:instrText xml:space="preserve"> ADDIN EN.CITE &lt;EndNote&gt;&lt;Cite&gt;&lt;Author&gt;Department of Health&lt;/Author&gt;&lt;Year&gt;2016&lt;/Year&gt;&lt;RecNum&gt;21&lt;/RecNum&gt;&lt;DisplayText&gt;&lt;style face="superscript"&gt;11&lt;/style&gt;&lt;/DisplayText&gt;&lt;record&gt;&lt;rec-number&gt;21&lt;/rec-number&gt;&lt;foreign-keys&gt;&lt;key app="EN" db-id="dfs5xeapdpddpyexds6ppreypt5sp9spp2a5" timestamp="1477442364"&gt;21&lt;/key&gt;&lt;/foreign-keys&gt;&lt;ref-type name="Dataset"&gt;59&lt;/ref-type&gt;&lt;contributors&gt;&lt;authors&gt;&lt;author&gt;Department of Health,&lt;/author&gt;&lt;/authors&gt;&lt;/contributors&gt;&lt;titles&gt;&lt;title&gt;MBS data –Q203551&lt;/title&gt;&lt;/titles&gt;&lt;dates&gt;&lt;year&gt;2016&lt;/year&gt;&lt;/dates&gt;&lt;urls&gt;&lt;/urls&gt;&lt;access-date&gt;26.10.2016&lt;/access-date&gt;&lt;/record&gt;&lt;/Cite&gt;&lt;/EndNote&gt;</w:instrText>
      </w:r>
      <w:r w:rsidR="00240E05" w:rsidRPr="00451A5E">
        <w:fldChar w:fldCharType="separate"/>
      </w:r>
      <w:r w:rsidR="00877C64" w:rsidRPr="00877C64">
        <w:rPr>
          <w:noProof/>
          <w:vertAlign w:val="superscript"/>
        </w:rPr>
        <w:t>11</w:t>
      </w:r>
      <w:r w:rsidR="00240E05" w:rsidRPr="00451A5E">
        <w:rPr>
          <w:lang w:val="en-US"/>
        </w:rPr>
        <w:fldChar w:fldCharType="end"/>
      </w:r>
    </w:p>
    <w:p w14:paraId="73191491" w14:textId="65C35CA9" w:rsidR="00451A5E" w:rsidRPr="00451A5E" w:rsidRDefault="00451A5E" w:rsidP="00965AE3">
      <w:pPr>
        <w:pStyle w:val="Bullet1"/>
      </w:pPr>
      <w:r w:rsidRPr="00451A5E">
        <w:rPr>
          <w:lang w:val="en-GB"/>
        </w:rPr>
        <w:t xml:space="preserve">Twenty per cent of requesting doctors accounted for two-thirds of all tests in </w:t>
      </w:r>
      <w:r w:rsidR="00884AF6">
        <w:rPr>
          <w:lang w:val="en-GB"/>
        </w:rPr>
        <w:t xml:space="preserve">the </w:t>
      </w:r>
      <w:r w:rsidR="00884AF6" w:rsidRPr="00451A5E">
        <w:rPr>
          <w:lang w:val="en-GB"/>
        </w:rPr>
        <w:t>2014</w:t>
      </w:r>
      <w:r w:rsidR="00884AF6">
        <w:rPr>
          <w:lang w:val="en-GB"/>
        </w:rPr>
        <w:t>–</w:t>
      </w:r>
      <w:r w:rsidRPr="00451A5E">
        <w:rPr>
          <w:lang w:val="en-GB"/>
        </w:rPr>
        <w:t>15</w:t>
      </w:r>
      <w:r w:rsidR="00884AF6">
        <w:rPr>
          <w:lang w:val="en-GB"/>
        </w:rPr>
        <w:t xml:space="preserve"> financial year</w:t>
      </w:r>
      <w:r w:rsidRPr="00451A5E">
        <w:rPr>
          <w:lang w:val="en-GB"/>
        </w:rPr>
        <w:t>. GPs requested 75 per cent of tests, reinforcing that they are important partners in optimising and standardising practice.</w:t>
      </w:r>
      <w:r w:rsidR="00240E05" w:rsidRPr="00451A5E">
        <w:rPr>
          <w:lang w:val="en-GB"/>
        </w:rPr>
        <w:fldChar w:fldCharType="begin"/>
      </w:r>
      <w:r w:rsidR="00877C64">
        <w:rPr>
          <w:lang w:val="en-GB"/>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451A5E">
        <w:rPr>
          <w:lang w:val="en-GB"/>
        </w:rPr>
        <w:fldChar w:fldCharType="separate"/>
      </w:r>
      <w:r w:rsidR="00877C64" w:rsidRPr="00877C64">
        <w:rPr>
          <w:noProof/>
          <w:vertAlign w:val="superscript"/>
          <w:lang w:val="en-GB"/>
        </w:rPr>
        <w:t>8</w:t>
      </w:r>
      <w:r w:rsidR="00240E05" w:rsidRPr="00451A5E">
        <w:rPr>
          <w:lang w:val="en-US"/>
        </w:rPr>
        <w:fldChar w:fldCharType="end"/>
      </w:r>
    </w:p>
    <w:p w14:paraId="2436EE2C" w14:textId="6E0E1104" w:rsidR="00451A5E" w:rsidRPr="00451A5E" w:rsidRDefault="00451A5E" w:rsidP="00B65C81">
      <w:pPr>
        <w:pStyle w:val="Bullet1"/>
      </w:pPr>
      <w:r w:rsidRPr="00451A5E">
        <w:t xml:space="preserve">It is possible that the clinical indications described in the current item descriptor do not adequately explain the volume of TFTs performed. It was noted that </w:t>
      </w:r>
      <w:r w:rsidR="00E874B3">
        <w:t xml:space="preserve">around </w:t>
      </w:r>
      <w:r w:rsidRPr="00451A5E">
        <w:t xml:space="preserve">750,000 patients were dispensed PBS-listed thyroid replacement medication in </w:t>
      </w:r>
      <w:r w:rsidR="00E874B3">
        <w:t xml:space="preserve">the </w:t>
      </w:r>
      <w:r w:rsidR="00E874B3" w:rsidRPr="00451A5E">
        <w:t>2014</w:t>
      </w:r>
      <w:r w:rsidR="00E874B3">
        <w:t>–</w:t>
      </w:r>
      <w:r w:rsidRPr="00451A5E">
        <w:t>15</w:t>
      </w:r>
      <w:r w:rsidR="00E874B3">
        <w:t xml:space="preserve"> financial year</w:t>
      </w:r>
      <w:r w:rsidRPr="00451A5E">
        <w:t>,</w:t>
      </w:r>
      <w:r w:rsidR="00240E05" w:rsidRPr="00451A5E">
        <w:fldChar w:fldCharType="begin"/>
      </w:r>
      <w:r w:rsidR="00877C64">
        <w:instrText xml:space="preserve"> ADDIN EN.CITE &lt;EndNote&gt;&lt;Cite&gt;&lt;Author&gt;Department of Health&lt;/Author&gt;&lt;Year&gt;2016&lt;/Year&gt;&lt;RecNum&gt;24&lt;/RecNum&gt;&lt;DisplayText&gt;&lt;style face="superscript"&gt;14&lt;/style&gt;&lt;/DisplayText&gt;&lt;record&gt;&lt;rec-number&gt;24&lt;/rec-number&gt;&lt;foreign-keys&gt;&lt;key app="EN" db-id="s2xeetx57reawvew02r5vtr4prasepv5xzft" timestamp="1477626723"&gt;24&lt;/key&gt;&lt;/foreign-keys&gt;&lt;ref-type name="Journal Article"&gt;17&lt;/ref-type&gt;&lt;contributors&gt;&lt;authors&gt;&lt;author&gt;Department of Health, &lt;/author&gt;&lt;/authors&gt;&lt;/contributors&gt;&lt;titles&gt;&lt;title&gt;PBS data&lt;/title&gt;&lt;/titles&gt;&lt;dates&gt;&lt;year&gt;2016&lt;/year&gt;&lt;/dates&gt;&lt;urls&gt;&lt;/urls&gt;&lt;/record&gt;&lt;/Cite&gt;&lt;/EndNote&gt;</w:instrText>
      </w:r>
      <w:r w:rsidR="00240E05" w:rsidRPr="00451A5E">
        <w:fldChar w:fldCharType="separate"/>
      </w:r>
      <w:r w:rsidR="00877C64" w:rsidRPr="00877C64">
        <w:rPr>
          <w:noProof/>
          <w:vertAlign w:val="superscript"/>
        </w:rPr>
        <w:t>14</w:t>
      </w:r>
      <w:r w:rsidR="00240E05" w:rsidRPr="00451A5E">
        <w:rPr>
          <w:lang w:val="en-US"/>
        </w:rPr>
        <w:fldChar w:fldCharType="end"/>
      </w:r>
      <w:r w:rsidRPr="00451A5E">
        <w:t xml:space="preserve"> and these patients may have had multiple TFTs. </w:t>
      </w:r>
      <w:r w:rsidR="00E874B3">
        <w:br/>
      </w:r>
      <w:r w:rsidRPr="00451A5E">
        <w:t xml:space="preserve">Furthermore, an unknown number of TFTs were undertaken </w:t>
      </w:r>
      <w:r w:rsidR="00E874B3">
        <w:t xml:space="preserve">to </w:t>
      </w:r>
      <w:r w:rsidRPr="00451A5E">
        <w:t>investigat</w:t>
      </w:r>
      <w:r w:rsidR="00E874B3">
        <w:t>e</w:t>
      </w:r>
      <w:r w:rsidRPr="00451A5E">
        <w:t xml:space="preserve"> other indications listed in the item descriptor, such as dementia or psychiatric illness. Although the use of TFTs may be consistent with current item descriptors, which also allow TFTs for patients with abnormal TSH tests and those with known thyroid disease, it is possible that a significant number of TFTs were being requested when a TSH test would be more suitable.</w:t>
      </w:r>
    </w:p>
    <w:p w14:paraId="5EB78AEA" w14:textId="71FC2DA4" w:rsidR="007C00E1" w:rsidRDefault="00451A5E" w:rsidP="00B65C81">
      <w:pPr>
        <w:pStyle w:val="Bullet1"/>
      </w:pPr>
      <w:r w:rsidRPr="00451A5E">
        <w:t xml:space="preserve">MBS data demonstrates that 380,000 patients (26 per cent) received a separate TSH test in the 12 months </w:t>
      </w:r>
      <w:r w:rsidR="00E874B3">
        <w:t xml:space="preserve">preceding </w:t>
      </w:r>
      <w:r w:rsidRPr="00451A5E">
        <w:t>a TFT in FY2014/15.</w:t>
      </w:r>
      <w:r w:rsidR="00240E05" w:rsidRPr="00451A5E">
        <w:fldChar w:fldCharType="begin"/>
      </w:r>
      <w:r w:rsidR="00877C64">
        <w:instrText xml:space="preserve"> ADDIN EN.CITE &lt;EndNote&gt;&lt;Cite&gt;&lt;Author&gt;Department of Health&lt;/Author&gt;&lt;Year&gt;2016&lt;/Year&gt;&lt;RecNum&gt;25&lt;/RecNum&gt;&lt;DisplayText&gt;&lt;style face="superscript"&gt;15&lt;/style&gt;&lt;/DisplayText&gt;&lt;record&gt;&lt;rec-number&gt;25&lt;/rec-number&gt;&lt;foreign-keys&gt;&lt;key app="EN" db-id="s2xeetx57reawvew02r5vtr4prasepv5xzft" timestamp="1477626830"&gt;25&lt;/key&gt;&lt;/foreign-keys&gt;&lt;ref-type name="Journal Article"&gt;17&lt;/ref-type&gt;&lt;contributors&gt;&lt;authors&gt;&lt;author&gt;Department of Health, &lt;/author&gt;&lt;/authors&gt;&lt;/contributors&gt;&lt;titles&gt;&lt;title&gt;MBS data - Q20382-01&lt;/title&gt;&lt;/titles&gt;&lt;dates&gt;&lt;year&gt;2016&lt;/year&gt;&lt;/dates&gt;&lt;urls&gt;&lt;/urls&gt;&lt;/record&gt;&lt;/Cite&gt;&lt;/EndNote&gt;</w:instrText>
      </w:r>
      <w:r w:rsidR="00240E05" w:rsidRPr="00451A5E">
        <w:fldChar w:fldCharType="separate"/>
      </w:r>
      <w:r w:rsidR="00877C64" w:rsidRPr="00877C64">
        <w:rPr>
          <w:noProof/>
          <w:vertAlign w:val="superscript"/>
        </w:rPr>
        <w:t>15</w:t>
      </w:r>
      <w:r w:rsidR="00240E05" w:rsidRPr="00451A5E">
        <w:rPr>
          <w:lang w:val="en-US"/>
        </w:rPr>
        <w:fldChar w:fldCharType="end"/>
      </w:r>
      <w:r w:rsidRPr="00451A5E">
        <w:t xml:space="preserve"> The ECC had noted that an abnormal TSH test is an appropriate indication for a TFT, but suggested that it is often inefficient for patients to have a second distinctive test performed when the indication for TFT is an abnormal TSH test. </w:t>
      </w:r>
    </w:p>
    <w:p w14:paraId="425920C7" w14:textId="403D2E22" w:rsidR="007C00E1" w:rsidRPr="00DA4A23" w:rsidRDefault="00240E05" w:rsidP="00DA4A23">
      <w:pPr>
        <w:rPr>
          <w:b/>
        </w:rPr>
      </w:pPr>
      <w:r w:rsidRPr="00DA4A23">
        <w:rPr>
          <w:b/>
        </w:rPr>
        <w:t xml:space="preserve">Advice from the </w:t>
      </w:r>
      <w:r w:rsidR="004200CD" w:rsidRPr="00DA4A23">
        <w:rPr>
          <w:b/>
        </w:rPr>
        <w:t>Endocrinology Clinical Committee</w:t>
      </w:r>
    </w:p>
    <w:p w14:paraId="704B501A" w14:textId="70B2DD11" w:rsidR="00451A5E" w:rsidRPr="00B85B41" w:rsidRDefault="00451A5E" w:rsidP="00451A5E">
      <w:pPr>
        <w:pStyle w:val="03Tableundertext"/>
        <w:spacing w:after="0"/>
        <w:rPr>
          <w:bCs w:val="0"/>
          <w:sz w:val="22"/>
          <w:szCs w:val="22"/>
        </w:rPr>
      </w:pPr>
      <w:r w:rsidRPr="00B85B41">
        <w:rPr>
          <w:bCs w:val="0"/>
          <w:sz w:val="22"/>
          <w:szCs w:val="22"/>
        </w:rPr>
        <w:t xml:space="preserve">The </w:t>
      </w:r>
      <w:r w:rsidR="00B85B41" w:rsidRPr="00AF11CA">
        <w:rPr>
          <w:sz w:val="22"/>
          <w:szCs w:val="22"/>
        </w:rPr>
        <w:t>Endocrinology Clinical Committee</w:t>
      </w:r>
      <w:r w:rsidR="00B85B41" w:rsidRPr="00B85B41" w:rsidDel="006E47CC">
        <w:rPr>
          <w:bCs w:val="0"/>
          <w:sz w:val="22"/>
          <w:szCs w:val="22"/>
        </w:rPr>
        <w:t xml:space="preserve"> </w:t>
      </w:r>
      <w:r w:rsidRPr="00B85B41">
        <w:rPr>
          <w:bCs w:val="0"/>
          <w:sz w:val="22"/>
          <w:szCs w:val="22"/>
        </w:rPr>
        <w:t>proposed the following:</w:t>
      </w:r>
    </w:p>
    <w:p w14:paraId="144CDF2C" w14:textId="77777777" w:rsidR="00451A5E" w:rsidRPr="00451A5E" w:rsidRDefault="00451A5E" w:rsidP="00965AE3">
      <w:pPr>
        <w:pStyle w:val="Bullet1"/>
      </w:pPr>
      <w:r w:rsidRPr="00451A5E">
        <w:t>Change the TFT item descriptor to reflect the most clinically relevant indications for testing, which includes removing the following: ‘To investigate the sick euthyroid syndrome if the patient is an admitted patient; or (iii) to investigate dementia or psychiatric illness of the patient.’</w:t>
      </w:r>
    </w:p>
    <w:p w14:paraId="641A59D9" w14:textId="77777777" w:rsidR="00451A5E" w:rsidRPr="00451A5E" w:rsidRDefault="00451A5E" w:rsidP="00965AE3">
      <w:pPr>
        <w:pStyle w:val="Bullet1"/>
      </w:pPr>
      <w:r w:rsidRPr="00451A5E">
        <w:t>Expand the current descriptor to discourage the use of TFTs for monitoring thyroid hormone replacement therapy. The proposed addition is as follows: ‘For monitoring of thyroid replacement therapy where hypothyroidism is due to pituitary disease.’</w:t>
      </w:r>
    </w:p>
    <w:p w14:paraId="61F5C2E1" w14:textId="1A01D14A" w:rsidR="00451A5E" w:rsidRPr="00451A5E" w:rsidRDefault="00451A5E" w:rsidP="00B65C81">
      <w:pPr>
        <w:pStyle w:val="Bullet1"/>
      </w:pPr>
      <w:r w:rsidRPr="00451A5E">
        <w:t xml:space="preserve">Change the rules for this item to make it a pathology-determinable test. This would allow a pathologist to conduct a TFT without further instruction from the requesting doctor if a patient has a significantly abnormal TSH test. An abnormal TSH test that automatically prompts testing of fT3 and fT4 should be defined as follows: ‘a TSH quantitation of </w:t>
      </w:r>
      <w:r w:rsidR="000E521E">
        <w:t>&lt; </w:t>
      </w:r>
      <w:r w:rsidRPr="00451A5E">
        <w:t xml:space="preserve">0.2 or </w:t>
      </w:r>
      <w:r w:rsidR="000E521E">
        <w:t>&gt; </w:t>
      </w:r>
      <w:r w:rsidR="000E521E" w:rsidRPr="00451A5E">
        <w:t>5</w:t>
      </w:r>
      <w:r w:rsidR="000E521E">
        <w:t> </w:t>
      </w:r>
      <w:r w:rsidRPr="00451A5E">
        <w:t>mIU/L. When this occurs and TFTs are conducted, the pathologist should bill for TFT item 66719 alone.</w:t>
      </w:r>
    </w:p>
    <w:p w14:paraId="2C4224E8" w14:textId="77777777" w:rsidR="00451A5E" w:rsidRPr="00451A5E" w:rsidRDefault="00451A5E" w:rsidP="00B65C81">
      <w:pPr>
        <w:pStyle w:val="Bullet1"/>
      </w:pPr>
      <w:r w:rsidRPr="00451A5E">
        <w:t>Include education on the proper use of TFTs, and the use of audit and feedback, following the education strategy described in Section 4.2.1.</w:t>
      </w:r>
    </w:p>
    <w:p w14:paraId="008E92BB" w14:textId="63E19CDA" w:rsidR="00451A5E" w:rsidRPr="00451A5E" w:rsidRDefault="00451A5E" w:rsidP="00B65C81">
      <w:pPr>
        <w:pStyle w:val="Bullet1"/>
      </w:pPr>
      <w:r w:rsidRPr="00451A5E">
        <w:t>Perform Medicare compliance audits on high-volume request</w:t>
      </w:r>
      <w:r w:rsidR="00A31DC8">
        <w:t>e</w:t>
      </w:r>
      <w:r w:rsidRPr="00451A5E">
        <w:t>rs and pathology practices and/or contact them by letter or telephone, following the principles outlined in Section 4.2.1. The change to pathology-determinable testing may require particular scrutiny.</w:t>
      </w:r>
    </w:p>
    <w:p w14:paraId="789FB71E" w14:textId="77777777" w:rsidR="00E72592" w:rsidRPr="00DA4A23" w:rsidRDefault="00E72592" w:rsidP="00DA4A23">
      <w:pPr>
        <w:rPr>
          <w:b/>
        </w:rPr>
      </w:pPr>
      <w:bookmarkStart w:id="54" w:name="_Toc485295728"/>
      <w:r w:rsidRPr="00DA4A23">
        <w:rPr>
          <w:b/>
        </w:rPr>
        <w:t>Recommendation 2</w:t>
      </w:r>
      <w:bookmarkEnd w:id="54"/>
    </w:p>
    <w:p w14:paraId="2240FA07" w14:textId="31C506CF" w:rsidR="00AE34AD" w:rsidRDefault="001B36A2" w:rsidP="004E0161">
      <w:pPr>
        <w:rPr>
          <w:bCs/>
          <w:szCs w:val="22"/>
          <w:lang w:val="en-US"/>
        </w:rPr>
      </w:pPr>
      <w:r>
        <w:rPr>
          <w:bCs/>
          <w:szCs w:val="22"/>
          <w:lang w:val="en-US"/>
        </w:rPr>
        <w:t>The</w:t>
      </w:r>
      <w:r w:rsidR="00AE34AD" w:rsidRPr="00AE34AD">
        <w:rPr>
          <w:bCs/>
          <w:szCs w:val="22"/>
          <w:lang w:val="en-US"/>
        </w:rPr>
        <w:t xml:space="preserve"> </w:t>
      </w:r>
      <w:r w:rsidR="00551DC2" w:rsidRPr="00B84C4F">
        <w:rPr>
          <w:lang w:val="en-US"/>
        </w:rPr>
        <w:t xml:space="preserve">Pathology Clinical Committee </w:t>
      </w:r>
      <w:r w:rsidR="00AE34AD" w:rsidRPr="00AE34AD">
        <w:rPr>
          <w:bCs/>
          <w:szCs w:val="22"/>
          <w:lang w:val="en-US"/>
        </w:rPr>
        <w:t>provides the following advice and recommendations.</w:t>
      </w:r>
    </w:p>
    <w:p w14:paraId="31C4B4C9" w14:textId="5653F37E" w:rsidR="00AE34AD" w:rsidRPr="00AE34AD" w:rsidRDefault="00AE34AD" w:rsidP="00965AE3">
      <w:pPr>
        <w:pStyle w:val="Bullet1"/>
      </w:pPr>
      <w:r w:rsidRPr="00AE34AD">
        <w:t xml:space="preserve">The </w:t>
      </w:r>
      <w:r w:rsidR="001B36A2" w:rsidRPr="00B84C4F">
        <w:rPr>
          <w:lang w:val="en-US"/>
        </w:rPr>
        <w:t xml:space="preserve">Pathology Clinical </w:t>
      </w:r>
      <w:r w:rsidR="00D01B58" w:rsidRPr="00D01B58">
        <w:t>Committee</w:t>
      </w:r>
      <w:r w:rsidRPr="00AE34AD">
        <w:t xml:space="preserve"> supports the </w:t>
      </w:r>
      <w:r w:rsidR="006E47CC">
        <w:rPr>
          <w:lang w:val="en-US"/>
        </w:rPr>
        <w:t>Endocrinology Clinical Committee</w:t>
      </w:r>
      <w:r w:rsidR="00E5655B">
        <w:rPr>
          <w:lang w:val="en-US"/>
        </w:rPr>
        <w:t xml:space="preserve"> </w:t>
      </w:r>
      <w:r w:rsidRPr="00AE34AD">
        <w:t>recommendation on the removal of the wording ‘(ii) to investigate the sick euthyroid syndrome if the patient is an admitted patient; or (iii) to investigate dementia or psychiatric illness of the patient’ from the current item descriptor of 66719.</w:t>
      </w:r>
    </w:p>
    <w:p w14:paraId="62585F7B" w14:textId="503D0BE5" w:rsidR="00AE34AD" w:rsidRPr="00AE34AD" w:rsidRDefault="00AE34AD" w:rsidP="00965AE3">
      <w:pPr>
        <w:pStyle w:val="Bullet1"/>
      </w:pPr>
      <w:r w:rsidRPr="00AE34AD">
        <w:t xml:space="preserve">The </w:t>
      </w:r>
      <w:r w:rsidR="001B36A2" w:rsidRPr="00B84C4F">
        <w:rPr>
          <w:lang w:val="en-US"/>
        </w:rPr>
        <w:t xml:space="preserve">Pathology Clinical </w:t>
      </w:r>
      <w:r w:rsidR="00D01B58" w:rsidRPr="00D01B58">
        <w:t>Committee</w:t>
      </w:r>
      <w:r w:rsidRPr="00AE34AD">
        <w:t xml:space="preserve"> agrees with the </w:t>
      </w:r>
      <w:r w:rsidR="006E47CC">
        <w:rPr>
          <w:lang w:val="en-US"/>
        </w:rPr>
        <w:t>Endocrinology Clinical Committee</w:t>
      </w:r>
      <w:r w:rsidR="00E5655B">
        <w:rPr>
          <w:lang w:val="en-US"/>
        </w:rPr>
        <w:t xml:space="preserve"> </w:t>
      </w:r>
      <w:r w:rsidRPr="00AE34AD">
        <w:t xml:space="preserve">recommendation to add new wording of ‘For monitoring of thyroid replacement therapy where hypothyroidism is due to pituitary disease.’ in the explanatory notes, not the item descriptor as suggested by the </w:t>
      </w:r>
      <w:r w:rsidR="00B85B41">
        <w:rPr>
          <w:lang w:val="en-US"/>
        </w:rPr>
        <w:t>Endocrinology Clinical Committee</w:t>
      </w:r>
      <w:r w:rsidRPr="00AE34AD">
        <w:t xml:space="preserve">, as there is already mention of this situation in the descriptor. </w:t>
      </w:r>
    </w:p>
    <w:p w14:paraId="7353D111" w14:textId="1DEF2FE6" w:rsidR="00AE34AD" w:rsidRPr="00AE34AD" w:rsidRDefault="00AE34AD" w:rsidP="00B65C81">
      <w:pPr>
        <w:pStyle w:val="Bullet1"/>
      </w:pPr>
      <w:r w:rsidRPr="00AE34AD">
        <w:t xml:space="preserve">The </w:t>
      </w:r>
      <w:r w:rsidR="001B36A2" w:rsidRPr="00B84C4F">
        <w:rPr>
          <w:lang w:val="en-US"/>
        </w:rPr>
        <w:t xml:space="preserve">Pathology Clinical </w:t>
      </w:r>
      <w:r w:rsidR="00D01B58" w:rsidRPr="00D01B58">
        <w:t>Committee</w:t>
      </w:r>
      <w:r w:rsidRPr="00AE34AD">
        <w:t xml:space="preserve"> agrees that the use of TFT for monitoring thyroid hormone replacement therapy should be discouraged and that TSH should be used instead in most cases. This suggestion is based on the concern that there are cases of normal TSH tests where fT4 and/or fT3 </w:t>
      </w:r>
      <w:r w:rsidR="00AE62EB">
        <w:t xml:space="preserve">tests </w:t>
      </w:r>
      <w:r w:rsidRPr="00AE34AD">
        <w:t xml:space="preserve">will provide additional clinical information, especially in patients taking non-traditional thyroid hormone replacement (thyroid extract or T3). </w:t>
      </w:r>
    </w:p>
    <w:p w14:paraId="71885BC7" w14:textId="459018B4" w:rsidR="00AE34AD" w:rsidRPr="00AE34AD" w:rsidRDefault="00AE34AD" w:rsidP="00B65C81">
      <w:pPr>
        <w:pStyle w:val="Bullet1"/>
      </w:pPr>
      <w:r w:rsidRPr="00AE34AD">
        <w:t xml:space="preserve">The </w:t>
      </w:r>
      <w:r w:rsidR="001B36A2" w:rsidRPr="00B84C4F">
        <w:rPr>
          <w:lang w:val="en-US"/>
        </w:rPr>
        <w:t xml:space="preserve">Pathology Clinical </w:t>
      </w:r>
      <w:r w:rsidR="00D01B58" w:rsidRPr="00D01B58">
        <w:t>Committee</w:t>
      </w:r>
      <w:r w:rsidRPr="00AE34AD">
        <w:t xml:space="preserve"> supports an education program aimed at </w:t>
      </w:r>
      <w:r w:rsidR="00AE62EB">
        <w:t>requester</w:t>
      </w:r>
      <w:r w:rsidRPr="00AE34AD">
        <w:t xml:space="preserve">s of TFTs as a way to discourage use in patients taking thyroid replacement therapy. The education program should include consumers. </w:t>
      </w:r>
    </w:p>
    <w:p w14:paraId="1735E2FF" w14:textId="48FBC938" w:rsidR="00AE34AD" w:rsidRPr="00AE34AD" w:rsidRDefault="00AE34AD" w:rsidP="00B65C81">
      <w:pPr>
        <w:pStyle w:val="Bullet1"/>
      </w:pPr>
      <w:r w:rsidRPr="00AE34AD">
        <w:t xml:space="preserve">The </w:t>
      </w:r>
      <w:r w:rsidR="001B36A2" w:rsidRPr="00B84C4F">
        <w:rPr>
          <w:lang w:val="en-US"/>
        </w:rPr>
        <w:t xml:space="preserve">Pathology Clinical </w:t>
      </w:r>
      <w:r w:rsidR="00D01B58" w:rsidRPr="00D01B58">
        <w:t>Committee</w:t>
      </w:r>
      <w:r w:rsidRPr="00AE34AD">
        <w:t xml:space="preserve"> supports the proposal to change fT4 and fT3 testing to be a pathologist-determinable test </w:t>
      </w:r>
      <w:r w:rsidR="00AE62EB">
        <w:t xml:space="preserve">after </w:t>
      </w:r>
      <w:r w:rsidRPr="00AE34AD">
        <w:t>an abnormal TSH test result</w:t>
      </w:r>
      <w:r>
        <w:t>.</w:t>
      </w:r>
    </w:p>
    <w:p w14:paraId="4A821F7B" w14:textId="25E76B05" w:rsidR="004E0161" w:rsidRDefault="004E0161" w:rsidP="00C75FBD">
      <w:pPr>
        <w:rPr>
          <w:lang w:val="en-US"/>
        </w:rPr>
      </w:pPr>
      <w:r w:rsidRPr="005A2A45">
        <w:rPr>
          <w:lang w:val="en-US"/>
        </w:rPr>
        <w:t xml:space="preserve">The </w:t>
      </w:r>
      <w:r w:rsidR="001B36A2" w:rsidRPr="00B84C4F">
        <w:rPr>
          <w:lang w:val="en-US"/>
        </w:rPr>
        <w:t xml:space="preserve">Pathology Clinical </w:t>
      </w:r>
      <w:r w:rsidRPr="005A2A45">
        <w:rPr>
          <w:lang w:val="en-US"/>
        </w:rPr>
        <w:t>Committee recommends amendments</w:t>
      </w:r>
      <w:r w:rsidR="00AE62EB">
        <w:rPr>
          <w:lang w:val="en-US"/>
        </w:rPr>
        <w:t xml:space="preserve"> </w:t>
      </w:r>
      <w:r w:rsidRPr="005A2A45">
        <w:rPr>
          <w:lang w:val="en-US"/>
        </w:rPr>
        <w:t xml:space="preserve">to item </w:t>
      </w:r>
      <w:r w:rsidR="004A3803">
        <w:rPr>
          <w:lang w:val="en-US"/>
        </w:rPr>
        <w:t>66719</w:t>
      </w:r>
      <w:r w:rsidRPr="005A2A45">
        <w:rPr>
          <w:lang w:val="en-US"/>
        </w:rPr>
        <w:t xml:space="preserve"> as follows</w:t>
      </w:r>
      <w:r w:rsidR="00AE34AD">
        <w:rPr>
          <w:lang w:val="en-US"/>
        </w:rPr>
        <w:t>.</w:t>
      </w:r>
    </w:p>
    <w:p w14:paraId="76FEF43F" w14:textId="77777777" w:rsidR="00C75FBD" w:rsidRDefault="00C75FBD">
      <w:pPr>
        <w:spacing w:before="0" w:after="0" w:line="240" w:lineRule="auto"/>
        <w:rPr>
          <w:rFonts w:eastAsiaTheme="minorHAnsi" w:cs="Arial"/>
          <w:i/>
          <w:sz w:val="20"/>
          <w:szCs w:val="22"/>
          <w:lang w:eastAsia="en-US"/>
        </w:rPr>
      </w:pPr>
      <w:bookmarkStart w:id="55" w:name="_Toc472940498"/>
      <w:r>
        <w:br w:type="page"/>
      </w:r>
    </w:p>
    <w:p w14:paraId="2CE18246" w14:textId="6DB5EAD6" w:rsidR="004A3803" w:rsidRDefault="004A3803" w:rsidP="003744BA">
      <w:pPr>
        <w:pStyle w:val="Caption"/>
      </w:pPr>
      <w:r w:rsidRPr="004A3803">
        <w:t xml:space="preserve">Table </w:t>
      </w:r>
      <w:r w:rsidR="00AD6C1A">
        <w:t>6</w:t>
      </w:r>
      <w:r w:rsidRPr="004A3803">
        <w:t xml:space="preserve">: </w:t>
      </w:r>
      <w:r>
        <w:t>Current and proposed new item descriptor</w:t>
      </w:r>
      <w:r w:rsidRPr="004A3803">
        <w:t xml:space="preserve"> for item 66719</w:t>
      </w:r>
      <w:bookmarkEnd w:id="55"/>
    </w:p>
    <w:tbl>
      <w:tblPr>
        <w:tblStyle w:val="TableGrid"/>
        <w:tblW w:w="0" w:type="auto"/>
        <w:tblLook w:val="04A0" w:firstRow="1" w:lastRow="0" w:firstColumn="1" w:lastColumn="0" w:noHBand="0" w:noVBand="1"/>
        <w:tblCaption w:val="Current and proposed new item descriptor for item 66719"/>
        <w:tblDescription w:val="This table contains the current and proposed new item descriptor and explanatory notes for item 66719, TFTs. These item descriptors will appear on the Medicare Benefits Schedule."/>
      </w:tblPr>
      <w:tblGrid>
        <w:gridCol w:w="4508"/>
        <w:gridCol w:w="4508"/>
      </w:tblGrid>
      <w:tr w:rsidR="002F5343" w14:paraId="2F620AF4" w14:textId="77777777" w:rsidTr="002F5343">
        <w:trPr>
          <w:cantSplit/>
          <w:tblHeader/>
        </w:trPr>
        <w:tc>
          <w:tcPr>
            <w:tcW w:w="4508" w:type="dxa"/>
          </w:tcPr>
          <w:p w14:paraId="68A2856E" w14:textId="417B13C4" w:rsidR="002F5343" w:rsidRDefault="002F5343" w:rsidP="002F5343">
            <w:pPr>
              <w:rPr>
                <w:lang w:eastAsia="en-US"/>
              </w:rPr>
            </w:pPr>
            <w:r w:rsidRPr="006E14FE">
              <w:t>Current item descriptor</w:t>
            </w:r>
          </w:p>
        </w:tc>
        <w:tc>
          <w:tcPr>
            <w:tcW w:w="4508" w:type="dxa"/>
          </w:tcPr>
          <w:p w14:paraId="3DE5AE71" w14:textId="29B225BD" w:rsidR="002F5343" w:rsidRDefault="002F5343" w:rsidP="002F5343">
            <w:pPr>
              <w:rPr>
                <w:lang w:eastAsia="en-US"/>
              </w:rPr>
            </w:pPr>
            <w:r w:rsidRPr="006E14FE">
              <w:t>Proposed new item descriptor</w:t>
            </w:r>
          </w:p>
        </w:tc>
      </w:tr>
      <w:tr w:rsidR="002F5343" w14:paraId="2B23C6B3" w14:textId="77777777" w:rsidTr="002F5343">
        <w:trPr>
          <w:cantSplit/>
          <w:tblHeader/>
        </w:trPr>
        <w:tc>
          <w:tcPr>
            <w:tcW w:w="4508" w:type="dxa"/>
          </w:tcPr>
          <w:p w14:paraId="5F4B0DAD" w14:textId="2109CA7E" w:rsidR="002F5343" w:rsidRDefault="002F5343" w:rsidP="002F5343">
            <w:pPr>
              <w:rPr>
                <w:lang w:eastAsia="en-US"/>
              </w:rPr>
            </w:pPr>
            <w:r w:rsidRPr="002F5343">
              <w:rPr>
                <w:lang w:eastAsia="en-US"/>
              </w:rPr>
              <w:t>Thyroid function tests (comprising the service described in item 66716 and 1 or more of the following tests – free thyroxine, free t3, for a patient, if at least 1 of the following conditions is satisfied: (a) the patient has an abnormal level of TSH; (b) the tests are performed: (i) for the purpose of monitoring thyroid disease in the patient; or (ii) to investigate the sick euthyroid syndrome if the patient is an admitted patient; or (iii) to investigate dementia or psychiatric illness of the patient; or (iv) to investigate amenorrhoea or infertility of the patient; (c) the medical practitioner who requested the tests suspects the patient has a pituitary dysfunction; (d) the patient is on drugs that interfere with thyroid hormone metabolism or function. (Item is subject to rule 9.)</w:t>
            </w:r>
          </w:p>
        </w:tc>
        <w:tc>
          <w:tcPr>
            <w:tcW w:w="4508" w:type="dxa"/>
          </w:tcPr>
          <w:p w14:paraId="5E97DD99" w14:textId="77777777" w:rsidR="002F5343" w:rsidRDefault="002F5343" w:rsidP="002F5343">
            <w:pPr>
              <w:rPr>
                <w:lang w:eastAsia="en-US"/>
              </w:rPr>
            </w:pPr>
            <w:r>
              <w:rPr>
                <w:lang w:eastAsia="en-US"/>
              </w:rPr>
              <w:t>Thyroid function tests (comprising the service described in item 66716 and 1 of the following tests – free thyroxine or free T3, for a patient, if at least 1 of the following conditions is satisfied: (a) the patient has an abnormal level of TSH on this test or the most recently available test; (b) when TSH may be an unreliable indicator of thyroid function (Item is subject to rule 9.)</w:t>
            </w:r>
          </w:p>
          <w:p w14:paraId="031D1D50" w14:textId="77777777" w:rsidR="002F5343" w:rsidRDefault="002F5343" w:rsidP="002F5343">
            <w:pPr>
              <w:rPr>
                <w:lang w:eastAsia="en-US"/>
              </w:rPr>
            </w:pPr>
            <w:r>
              <w:rPr>
                <w:lang w:eastAsia="en-US"/>
              </w:rPr>
              <w:t>Explanatory notes</w:t>
            </w:r>
          </w:p>
          <w:p w14:paraId="0EFA3AAA" w14:textId="77777777" w:rsidR="002F5343" w:rsidRDefault="002F5343" w:rsidP="002F5343">
            <w:pPr>
              <w:rPr>
                <w:lang w:eastAsia="en-US"/>
              </w:rPr>
            </w:pPr>
            <w:r>
              <w:rPr>
                <w:lang w:eastAsia="en-US"/>
              </w:rPr>
              <w:t xml:space="preserve">TFTs can be pathologist-determinable when, after a request for TSH or TFT, an abnormal TSH is detected as part of this service. TFTs can also be performed when requested in response to the most recent TSH being abnormal. </w:t>
            </w:r>
          </w:p>
          <w:p w14:paraId="30A952DE" w14:textId="77777777" w:rsidR="002F5343" w:rsidRDefault="002F5343" w:rsidP="002F5343">
            <w:pPr>
              <w:rPr>
                <w:lang w:eastAsia="en-US"/>
              </w:rPr>
            </w:pPr>
            <w:r>
              <w:rPr>
                <w:lang w:eastAsia="en-US"/>
              </w:rPr>
              <w:t>TFTs are an appropriate initial test when TSH alone may be an unreliable indicator of thyroid function, including:</w:t>
            </w:r>
          </w:p>
          <w:p w14:paraId="6ADCE796" w14:textId="77777777" w:rsidR="002F5343" w:rsidRDefault="002F5343" w:rsidP="002F5343">
            <w:pPr>
              <w:rPr>
                <w:lang w:eastAsia="en-US"/>
              </w:rPr>
            </w:pPr>
            <w:r>
              <w:rPr>
                <w:lang w:eastAsia="en-US"/>
              </w:rPr>
              <w:t>1. investigation of suspected pituitary dysfunction</w:t>
            </w:r>
          </w:p>
          <w:p w14:paraId="37AD56A2" w14:textId="77777777" w:rsidR="002F5343" w:rsidRDefault="002F5343" w:rsidP="002F5343">
            <w:pPr>
              <w:rPr>
                <w:lang w:eastAsia="en-US"/>
              </w:rPr>
            </w:pPr>
            <w:r>
              <w:rPr>
                <w:lang w:eastAsia="en-US"/>
              </w:rPr>
              <w:t>2. investigation of amenorrhoea or infertility</w:t>
            </w:r>
          </w:p>
          <w:p w14:paraId="0FE1697C" w14:textId="77777777" w:rsidR="002F5343" w:rsidRDefault="002F5343" w:rsidP="002F5343">
            <w:pPr>
              <w:rPr>
                <w:lang w:eastAsia="en-US"/>
              </w:rPr>
            </w:pPr>
            <w:r>
              <w:rPr>
                <w:lang w:eastAsia="en-US"/>
              </w:rPr>
              <w:t>3. monitoring of thyroid hormone replacement in patients with known pituitary dysfunction.</w:t>
            </w:r>
          </w:p>
          <w:p w14:paraId="55986B59" w14:textId="77777777" w:rsidR="002F5343" w:rsidRDefault="002F5343" w:rsidP="002F5343">
            <w:pPr>
              <w:rPr>
                <w:lang w:eastAsia="en-US"/>
              </w:rPr>
            </w:pPr>
            <w:r>
              <w:rPr>
                <w:lang w:eastAsia="en-US"/>
              </w:rPr>
              <w:t xml:space="preserve">4.monitoring  of some patients in the initial management of thyrotoxicosis </w:t>
            </w:r>
          </w:p>
          <w:p w14:paraId="535B231A" w14:textId="77777777" w:rsidR="002F5343" w:rsidRDefault="002F5343" w:rsidP="002F5343">
            <w:pPr>
              <w:rPr>
                <w:lang w:eastAsia="en-US"/>
              </w:rPr>
            </w:pPr>
            <w:r>
              <w:rPr>
                <w:lang w:eastAsia="en-US"/>
              </w:rPr>
              <w:t>5. monitoring of patients with hypothyroidism who have documented intolerance or resistance to thyroxine.</w:t>
            </w:r>
          </w:p>
          <w:p w14:paraId="5D589A49" w14:textId="6A5E7A41" w:rsidR="002F5343" w:rsidRDefault="002F5343" w:rsidP="002F5343">
            <w:pPr>
              <w:rPr>
                <w:lang w:eastAsia="en-US"/>
              </w:rPr>
            </w:pPr>
            <w:r>
              <w:rPr>
                <w:lang w:eastAsia="en-US"/>
              </w:rPr>
              <w:t>For monitoring thyroid hormone replacement therapy TSH is usually the best test, but occasionally fT4 or fT3 can add information (e.g. in patients on T3 or thyroid extract).</w:t>
            </w:r>
          </w:p>
        </w:tc>
      </w:tr>
    </w:tbl>
    <w:p w14:paraId="29FB0B52" w14:textId="77777777" w:rsidR="002F5343" w:rsidRPr="002F5343" w:rsidRDefault="002F5343" w:rsidP="002F5343">
      <w:pPr>
        <w:rPr>
          <w:lang w:eastAsia="en-US"/>
        </w:rPr>
      </w:pPr>
    </w:p>
    <w:p w14:paraId="68091245" w14:textId="77777777" w:rsidR="007703B3" w:rsidRDefault="007703B3" w:rsidP="00DA4A23">
      <w:pPr>
        <w:rPr>
          <w:b/>
        </w:rPr>
      </w:pPr>
      <w:bookmarkStart w:id="56" w:name="_Toc485295729"/>
    </w:p>
    <w:p w14:paraId="592FF30C" w14:textId="77777777" w:rsidR="004A3803" w:rsidRPr="00DA4A23" w:rsidRDefault="004A3803" w:rsidP="00DA4A23">
      <w:pPr>
        <w:rPr>
          <w:b/>
        </w:rPr>
      </w:pPr>
      <w:r w:rsidRPr="00DA4A23">
        <w:rPr>
          <w:b/>
        </w:rPr>
        <w:t>Rationale 2</w:t>
      </w:r>
      <w:bookmarkEnd w:id="56"/>
    </w:p>
    <w:p w14:paraId="1F8C0733" w14:textId="77777777" w:rsidR="004A3803" w:rsidRPr="004A3803" w:rsidRDefault="004A3803" w:rsidP="004A3803">
      <w:pPr>
        <w:rPr>
          <w:lang w:val="en-US"/>
        </w:rPr>
      </w:pPr>
      <w:r w:rsidRPr="004A3803">
        <w:rPr>
          <w:lang w:val="en-US"/>
        </w:rPr>
        <w:t>There is universal agreement that in severe illness both TSH and fT4 can be abnormal. There is no advantage to patients to start with TFT testing instead of a single TSH test. In the so-called ‘sick euthyroid state’, abnormal TFT results are due to the patient’s illness and will resolve after resolution of the non-thyroidal illness without thyroid-specific intervention.</w:t>
      </w:r>
    </w:p>
    <w:p w14:paraId="59FD0252" w14:textId="2CC9997F" w:rsidR="004A3803" w:rsidRPr="004A3803" w:rsidRDefault="004A3803" w:rsidP="004A3803">
      <w:pPr>
        <w:rPr>
          <w:lang w:val="en-US"/>
        </w:rPr>
      </w:pPr>
      <w:r w:rsidRPr="004A3803">
        <w:rPr>
          <w:lang w:val="en-US"/>
        </w:rPr>
        <w:t xml:space="preserve">Similarly, there is no clinical reason to require TFTs for patients with mental illness, as it is only in pituitary disease </w:t>
      </w:r>
      <w:r w:rsidR="0051059A">
        <w:rPr>
          <w:lang w:val="en-US"/>
        </w:rPr>
        <w:t xml:space="preserve">that </w:t>
      </w:r>
      <w:r w:rsidRPr="004A3803">
        <w:rPr>
          <w:lang w:val="en-US"/>
        </w:rPr>
        <w:t>the TSH test alone can be misleading</w:t>
      </w:r>
      <w:r w:rsidR="00343B07">
        <w:rPr>
          <w:lang w:val="en-US"/>
        </w:rPr>
        <w:t>.</w:t>
      </w:r>
      <w:r w:rsidRPr="004A3803">
        <w:rPr>
          <w:lang w:val="en-US"/>
        </w:rPr>
        <w:t xml:space="preserve"> </w:t>
      </w:r>
    </w:p>
    <w:p w14:paraId="5A4EF8FA" w14:textId="5D1AB3C3" w:rsidR="004A3803" w:rsidRPr="004A3803" w:rsidRDefault="004A3803" w:rsidP="004A3803">
      <w:pPr>
        <w:rPr>
          <w:lang w:val="en-US"/>
        </w:rPr>
      </w:pPr>
      <w:r w:rsidRPr="004A3803">
        <w:rPr>
          <w:lang w:val="en-US"/>
        </w:rPr>
        <w:t>In patients with hypothyroidism, TSH is the most valid test for the monitoring of thyroid hormone replacement therapy. TFT</w:t>
      </w:r>
      <w:r w:rsidR="0051059A">
        <w:rPr>
          <w:lang w:val="en-US"/>
        </w:rPr>
        <w:t>s</w:t>
      </w:r>
      <w:r w:rsidRPr="004A3803">
        <w:rPr>
          <w:lang w:val="en-US"/>
        </w:rPr>
        <w:t xml:space="preserve"> might be misleading</w:t>
      </w:r>
      <w:r w:rsidR="0051059A">
        <w:rPr>
          <w:lang w:val="en-US"/>
        </w:rPr>
        <w:t>,</w:t>
      </w:r>
      <w:r w:rsidRPr="004A3803">
        <w:rPr>
          <w:lang w:val="en-US"/>
        </w:rPr>
        <w:t xml:space="preserve"> as fT4 can be elevated, especially if the patient has recently taken the thyroxine supplementation. Therefore use of TFTs should be discouraged and TSH should be used instead in most cases. </w:t>
      </w:r>
    </w:p>
    <w:p w14:paraId="22B26BF5" w14:textId="17442259" w:rsidR="004A3803" w:rsidRPr="004A3803" w:rsidRDefault="004A3803" w:rsidP="004A3803">
      <w:pPr>
        <w:rPr>
          <w:lang w:val="en-US"/>
        </w:rPr>
      </w:pPr>
      <w:r w:rsidRPr="004A3803">
        <w:rPr>
          <w:lang w:val="en-US"/>
        </w:rPr>
        <w:t xml:space="preserve">The main benefit of education programs aimed at </w:t>
      </w:r>
      <w:r w:rsidR="0051059A">
        <w:rPr>
          <w:lang w:val="en-US"/>
        </w:rPr>
        <w:t>requester</w:t>
      </w:r>
      <w:r w:rsidRPr="004A3803">
        <w:rPr>
          <w:lang w:val="en-US"/>
        </w:rPr>
        <w:t xml:space="preserve">s on use of TFTs is to discourage use in patients taking thyroid replacement therapy. The education program should also include consumers. </w:t>
      </w:r>
    </w:p>
    <w:p w14:paraId="31E46761" w14:textId="297F1886" w:rsidR="004A3803" w:rsidRPr="004A3803" w:rsidRDefault="004A3803" w:rsidP="004A3803">
      <w:pPr>
        <w:rPr>
          <w:lang w:val="en-US"/>
        </w:rPr>
      </w:pPr>
      <w:r w:rsidRPr="004A3803">
        <w:rPr>
          <w:lang w:val="en-US"/>
        </w:rPr>
        <w:t>The recommendation is that the new proposed wording: ‘For monitoring of thyroid replacement therapy whe</w:t>
      </w:r>
      <w:r w:rsidR="0051059A">
        <w:rPr>
          <w:lang w:val="en-US"/>
        </w:rPr>
        <w:t>n</w:t>
      </w:r>
      <w:r w:rsidRPr="004A3803">
        <w:rPr>
          <w:lang w:val="en-US"/>
        </w:rPr>
        <w:t xml:space="preserve"> hypothyroidism is due to pituitary disease’ be included in the explanatory notes as opposed to the item descriptor as recommended by the </w:t>
      </w:r>
      <w:r w:rsidR="00B85B41">
        <w:rPr>
          <w:lang w:val="en-US"/>
        </w:rPr>
        <w:t>Endocrinology Clinical Committee</w:t>
      </w:r>
      <w:r w:rsidRPr="004A3803">
        <w:rPr>
          <w:lang w:val="en-US"/>
        </w:rPr>
        <w:t xml:space="preserve">. In pituitary disease, TSH may be misleading despite the patient </w:t>
      </w:r>
      <w:r w:rsidR="0051059A">
        <w:rPr>
          <w:lang w:val="en-US"/>
        </w:rPr>
        <w:t xml:space="preserve">experiencing </w:t>
      </w:r>
      <w:r w:rsidRPr="004A3803">
        <w:rPr>
          <w:lang w:val="en-US"/>
        </w:rPr>
        <w:t>hypothyroidism. Therefore in this clinical setting TFT is the appropriate test.</w:t>
      </w:r>
    </w:p>
    <w:p w14:paraId="225EB1C2" w14:textId="348BFFF2" w:rsidR="000E521E" w:rsidRDefault="004A3803" w:rsidP="004A3803">
      <w:pPr>
        <w:rPr>
          <w:lang w:val="en-US"/>
        </w:rPr>
      </w:pPr>
      <w:r w:rsidRPr="004A3803">
        <w:rPr>
          <w:lang w:val="en-US"/>
        </w:rPr>
        <w:t xml:space="preserve">The frequency of abnormal fT4 and fT3 levels </w:t>
      </w:r>
      <w:r w:rsidR="000E521E" w:rsidRPr="004A3803">
        <w:rPr>
          <w:lang w:val="en-US"/>
        </w:rPr>
        <w:t xml:space="preserve">is increased </w:t>
      </w:r>
      <w:r w:rsidRPr="004A3803">
        <w:rPr>
          <w:lang w:val="en-US"/>
        </w:rPr>
        <w:t xml:space="preserve">in patients with TSH outside the reference range, based on information from unpublished data and a recommendation from the chair of the endocrine testing subcommittee of the </w:t>
      </w:r>
      <w:r w:rsidR="00B85B41">
        <w:rPr>
          <w:lang w:val="en-US"/>
        </w:rPr>
        <w:t>Endocrinology</w:t>
      </w:r>
      <w:r w:rsidR="006E47CC">
        <w:rPr>
          <w:lang w:val="en-US"/>
        </w:rPr>
        <w:t xml:space="preserve"> Clinical Committee</w:t>
      </w:r>
      <w:r w:rsidRPr="004A3803">
        <w:rPr>
          <w:lang w:val="en-US"/>
        </w:rPr>
        <w:t>.</w:t>
      </w:r>
    </w:p>
    <w:p w14:paraId="25D617D3" w14:textId="721EEAAE" w:rsidR="000E521E" w:rsidRDefault="000E521E" w:rsidP="004A3803">
      <w:pPr>
        <w:rPr>
          <w:lang w:val="en-US"/>
        </w:rPr>
      </w:pPr>
      <w:r>
        <w:rPr>
          <w:lang w:val="en-US"/>
        </w:rPr>
        <w:t xml:space="preserve">When </w:t>
      </w:r>
      <w:r w:rsidR="004A3803" w:rsidRPr="004A3803">
        <w:rPr>
          <w:lang w:val="en-US"/>
        </w:rPr>
        <w:t xml:space="preserve">the initial TSH is outside the reference range, two scenarios </w:t>
      </w:r>
      <w:r w:rsidRPr="004A3803">
        <w:rPr>
          <w:lang w:val="en-US"/>
        </w:rPr>
        <w:t xml:space="preserve">are </w:t>
      </w:r>
      <w:r w:rsidR="004A3803" w:rsidRPr="004A3803">
        <w:rPr>
          <w:lang w:val="en-US"/>
        </w:rPr>
        <w:t>possible. In patients with suppressed levels of TSH, fT4 and fT3 can provide additional information about the degree of hyperthyroidism, while in patients with elevated TSH, fT4 can also provide additional information. In patients with mildly elevated TSH, the most helpful test is anti-TPO antibodies</w:t>
      </w:r>
      <w:r>
        <w:rPr>
          <w:lang w:val="en-US"/>
        </w:rPr>
        <w:t>,</w:t>
      </w:r>
      <w:r w:rsidR="004A3803" w:rsidRPr="004A3803">
        <w:rPr>
          <w:lang w:val="en-US"/>
        </w:rPr>
        <w:t xml:space="preserve"> as presence of these predicts future development of overt hypothyroidism.</w:t>
      </w:r>
    </w:p>
    <w:p w14:paraId="215CC3E9" w14:textId="4D127660" w:rsidR="00AE34AD" w:rsidRDefault="000E521E" w:rsidP="004A3803">
      <w:pPr>
        <w:rPr>
          <w:lang w:val="en-US"/>
        </w:rPr>
      </w:pPr>
      <w:r>
        <w:rPr>
          <w:lang w:val="en-US"/>
        </w:rPr>
        <w:t xml:space="preserve">About </w:t>
      </w:r>
      <w:r w:rsidR="004A3803" w:rsidRPr="004A3803">
        <w:rPr>
          <w:lang w:val="en-US"/>
        </w:rPr>
        <w:t>25</w:t>
      </w:r>
      <w:r w:rsidR="00E5655B">
        <w:rPr>
          <w:lang w:val="en-US"/>
        </w:rPr>
        <w:t xml:space="preserve"> per cent</w:t>
      </w:r>
      <w:r w:rsidR="004A3803" w:rsidRPr="004A3803">
        <w:rPr>
          <w:lang w:val="en-US"/>
        </w:rPr>
        <w:t xml:space="preserve"> of requests have no additional clinical information on the request form about the type of test the laboratory needs to perform.</w:t>
      </w:r>
    </w:p>
    <w:p w14:paraId="7ED47557" w14:textId="77777777" w:rsidR="004E0161" w:rsidRPr="00DA4A23" w:rsidRDefault="004A3803" w:rsidP="00DA4A23">
      <w:pPr>
        <w:pStyle w:val="Heading3Numbered"/>
      </w:pPr>
      <w:bookmarkStart w:id="57" w:name="_Toc485296599"/>
      <w:r w:rsidRPr="000E347D">
        <w:t>Proposed new item for TFTs</w:t>
      </w:r>
      <w:bookmarkEnd w:id="57"/>
    </w:p>
    <w:p w14:paraId="37A6978C" w14:textId="77777777" w:rsidR="004A3803" w:rsidRPr="00DA4A23" w:rsidRDefault="004A3803" w:rsidP="00DA4A23">
      <w:pPr>
        <w:rPr>
          <w:b/>
        </w:rPr>
      </w:pPr>
      <w:bookmarkStart w:id="58" w:name="_Toc485295730"/>
      <w:r w:rsidRPr="00DA4A23">
        <w:rPr>
          <w:b/>
        </w:rPr>
        <w:t>Recommendation 3</w:t>
      </w:r>
      <w:bookmarkEnd w:id="58"/>
    </w:p>
    <w:p w14:paraId="0D10A2F7" w14:textId="043FE7A4" w:rsidR="004A3803" w:rsidRDefault="00D80F12" w:rsidP="004A3803">
      <w:pPr>
        <w:pStyle w:val="BodyText"/>
      </w:pPr>
      <w:r>
        <w:t>T</w:t>
      </w:r>
      <w:r w:rsidR="004A3803" w:rsidRPr="004A3803">
        <w:t>he</w:t>
      </w:r>
      <w:r w:rsidR="001530FC">
        <w:t xml:space="preserve"> </w:t>
      </w:r>
      <w:r w:rsidR="00D17A1E" w:rsidRPr="00B84C4F">
        <w:rPr>
          <w:lang w:val="en-US"/>
        </w:rPr>
        <w:t xml:space="preserve">Pathology Clinical Committee </w:t>
      </w:r>
      <w:r w:rsidR="004A3803" w:rsidRPr="004A3803">
        <w:t>provides the following advice and recommendations.</w:t>
      </w:r>
    </w:p>
    <w:p w14:paraId="52488DAF" w14:textId="2CDBB13E" w:rsidR="004A3803" w:rsidRPr="004A3803" w:rsidRDefault="004A3803" w:rsidP="00965AE3">
      <w:pPr>
        <w:pStyle w:val="Bullet1"/>
      </w:pPr>
      <w:r w:rsidRPr="004A3803">
        <w:t xml:space="preserve">The </w:t>
      </w:r>
      <w:r w:rsidR="00D80F12" w:rsidRPr="00B84C4F">
        <w:rPr>
          <w:lang w:val="en-US"/>
        </w:rPr>
        <w:t xml:space="preserve">Pathology Clinical </w:t>
      </w:r>
      <w:r w:rsidR="00D01B58" w:rsidRPr="00D01B58">
        <w:t>Committee</w:t>
      </w:r>
      <w:r w:rsidRPr="004A3803">
        <w:t xml:space="preserve"> recommends adding a new item including the measurement of TSH, fT4 and fT3 in patients with totally suppressed TSH (&lt; 0.05 mIU/L). This recognises that for most patients with TFT tests there is no indication to measure fT3, but for some with suppressed TSH the fT3 will offer additional information about the severity and prognosis of their hyperthyroidism and identify patients with T3-toxicosis.</w:t>
      </w:r>
    </w:p>
    <w:p w14:paraId="44705601" w14:textId="77777777" w:rsidR="004A3803" w:rsidRPr="004A3803" w:rsidRDefault="004A3803" w:rsidP="003744BA">
      <w:pPr>
        <w:pStyle w:val="Caption"/>
      </w:pPr>
      <w:bookmarkStart w:id="59" w:name="_Toc472940499"/>
      <w:r w:rsidRPr="004A3803">
        <w:t xml:space="preserve">Table </w:t>
      </w:r>
      <w:r w:rsidR="00AD6C1A">
        <w:t>7</w:t>
      </w:r>
      <w:r w:rsidRPr="004A3803">
        <w:t xml:space="preserve">: </w:t>
      </w:r>
      <w:r>
        <w:t>Proposed new item descriptor</w:t>
      </w:r>
      <w:bookmarkEnd w:id="59"/>
    </w:p>
    <w:tbl>
      <w:tblPr>
        <w:tblStyle w:val="TableGrid"/>
        <w:tblW w:w="8926" w:type="dxa"/>
        <w:tblLook w:val="04A0" w:firstRow="1" w:lastRow="0" w:firstColumn="1" w:lastColumn="0" w:noHBand="0" w:noVBand="1"/>
        <w:tblCaption w:val="Proposed new item and item descriptor"/>
        <w:tblDescription w:val="This table contains a proposed new item that includes the measurement of TSH, fT4 and fT3 in patients with totally suppressed TSH, and the new item descriptor. These item descriptors will appear on the Medicare Benefits Schedule."/>
      </w:tblPr>
      <w:tblGrid>
        <w:gridCol w:w="8926"/>
      </w:tblGrid>
      <w:tr w:rsidR="004A3803" w:rsidRPr="004A3803" w14:paraId="32B5C01B" w14:textId="77777777" w:rsidTr="002F5343">
        <w:trPr>
          <w:cantSplit/>
          <w:tblHeader/>
        </w:trPr>
        <w:tc>
          <w:tcPr>
            <w:tcW w:w="8926" w:type="dxa"/>
          </w:tcPr>
          <w:p w14:paraId="24A03FA1" w14:textId="77777777" w:rsidR="004A3803" w:rsidRPr="004A3803" w:rsidRDefault="004A3803" w:rsidP="004A3803">
            <w:pPr>
              <w:pStyle w:val="BodyText"/>
              <w:rPr>
                <w:b/>
                <w:lang w:val="en-GB"/>
              </w:rPr>
            </w:pPr>
            <w:r w:rsidRPr="004A3803">
              <w:rPr>
                <w:b/>
                <w:lang w:val="en-GB"/>
              </w:rPr>
              <w:t>New item descriptor</w:t>
            </w:r>
          </w:p>
        </w:tc>
      </w:tr>
      <w:tr w:rsidR="004A3803" w:rsidRPr="004A3803" w14:paraId="574ADA71" w14:textId="77777777" w:rsidTr="002F5343">
        <w:trPr>
          <w:cantSplit/>
          <w:tblHeader/>
        </w:trPr>
        <w:tc>
          <w:tcPr>
            <w:tcW w:w="8926" w:type="dxa"/>
          </w:tcPr>
          <w:p w14:paraId="0197A3A1" w14:textId="325E8DD7" w:rsidR="004A3803" w:rsidRPr="004A3803" w:rsidRDefault="004A3803" w:rsidP="004A3803">
            <w:pPr>
              <w:pStyle w:val="BodyText"/>
              <w:rPr>
                <w:lang w:val="en-GB"/>
              </w:rPr>
            </w:pPr>
            <w:r w:rsidRPr="004A3803">
              <w:rPr>
                <w:lang w:val="en-GB"/>
              </w:rPr>
              <w:t xml:space="preserve">Thyroid function </w:t>
            </w:r>
            <w:r w:rsidR="000E521E" w:rsidRPr="004A3803">
              <w:rPr>
                <w:lang w:val="en-GB"/>
              </w:rPr>
              <w:t>test</w:t>
            </w:r>
            <w:r w:rsidR="000E521E">
              <w:rPr>
                <w:lang w:val="en-GB"/>
              </w:rPr>
              <w:t xml:space="preserve">s </w:t>
            </w:r>
            <w:r w:rsidR="000E521E" w:rsidRPr="004A3803">
              <w:rPr>
                <w:lang w:val="en-GB"/>
              </w:rPr>
              <w:t xml:space="preserve">comprising </w:t>
            </w:r>
            <w:r w:rsidRPr="004A3803">
              <w:rPr>
                <w:lang w:val="en-GB"/>
              </w:rPr>
              <w:t>TSH, free thyroxine and free T3, for a patient, if the following conditions are satisfied: (a) the patient has a suppressed level of TSH (to 0.05 mIU or less) on this occasion; and (b) TSH suppression is not due to thyroid treatment with the aim to suppress TSH.</w:t>
            </w:r>
          </w:p>
          <w:p w14:paraId="316D0678" w14:textId="77777777" w:rsidR="004A3803" w:rsidRPr="004A3803" w:rsidRDefault="004A3803" w:rsidP="004A3803">
            <w:pPr>
              <w:pStyle w:val="BodyText"/>
              <w:rPr>
                <w:b/>
                <w:lang w:val="en-GB"/>
              </w:rPr>
            </w:pPr>
            <w:r w:rsidRPr="004A3803">
              <w:rPr>
                <w:b/>
                <w:lang w:val="en-GB"/>
              </w:rPr>
              <w:t>Explanatory notes</w:t>
            </w:r>
          </w:p>
          <w:p w14:paraId="3E9DFF2A" w14:textId="5C44D4B8" w:rsidR="004A3803" w:rsidRPr="004A3803" w:rsidRDefault="000E521E" w:rsidP="004A3803">
            <w:pPr>
              <w:pStyle w:val="BodyText"/>
              <w:rPr>
                <w:lang w:val="en-GB"/>
              </w:rPr>
            </w:pPr>
            <w:r>
              <w:rPr>
                <w:lang w:val="en-GB"/>
              </w:rPr>
              <w:t xml:space="preserve">When </w:t>
            </w:r>
            <w:r w:rsidR="004A3803" w:rsidRPr="004A3803">
              <w:rPr>
                <w:lang w:val="en-GB"/>
              </w:rPr>
              <w:t>TSH is suppressed</w:t>
            </w:r>
            <w:r>
              <w:rPr>
                <w:lang w:val="en-GB"/>
              </w:rPr>
              <w:t>, f</w:t>
            </w:r>
            <w:r w:rsidRPr="004A3803">
              <w:rPr>
                <w:lang w:val="en-GB"/>
              </w:rPr>
              <w:t>ree T3 can give helpful information</w:t>
            </w:r>
            <w:r w:rsidR="004A3803" w:rsidRPr="004A3803">
              <w:rPr>
                <w:lang w:val="en-GB"/>
              </w:rPr>
              <w:t xml:space="preserve"> on the severity of hyperthyroidism or </w:t>
            </w:r>
            <w:r>
              <w:rPr>
                <w:lang w:val="en-GB"/>
              </w:rPr>
              <w:t xml:space="preserve">can </w:t>
            </w:r>
            <w:r w:rsidR="004A3803" w:rsidRPr="004A3803">
              <w:rPr>
                <w:lang w:val="en-GB"/>
              </w:rPr>
              <w:t>identify T3 toxicosis, whe</w:t>
            </w:r>
            <w:r>
              <w:rPr>
                <w:lang w:val="en-GB"/>
              </w:rPr>
              <w:t>n</w:t>
            </w:r>
            <w:r w:rsidR="004A3803" w:rsidRPr="004A3803">
              <w:rPr>
                <w:lang w:val="en-GB"/>
              </w:rPr>
              <w:t xml:space="preserve"> free thyroxine can be normal and only free T3 is elevated.</w:t>
            </w:r>
          </w:p>
          <w:p w14:paraId="4E52BDDE" w14:textId="77777777" w:rsidR="004A3803" w:rsidRPr="004A3803" w:rsidRDefault="004A3803" w:rsidP="004A3803">
            <w:pPr>
              <w:pStyle w:val="BodyText"/>
              <w:rPr>
                <w:b/>
                <w:lang w:val="en-GB"/>
              </w:rPr>
            </w:pPr>
            <w:r w:rsidRPr="004A3803">
              <w:rPr>
                <w:lang w:val="en-GB"/>
              </w:rPr>
              <w:t>Many patients with a history of thyroid cancer are treated with thyroxine</w:t>
            </w:r>
            <w:r w:rsidR="000E521E">
              <w:rPr>
                <w:lang w:val="en-GB"/>
              </w:rPr>
              <w:t>,</w:t>
            </w:r>
            <w:r w:rsidRPr="004A3803">
              <w:rPr>
                <w:lang w:val="en-GB"/>
              </w:rPr>
              <w:t xml:space="preserve"> and the thyroxine dose is aimed at suppressing TSH. Free T3 measurement is not indicated in these patients.</w:t>
            </w:r>
          </w:p>
        </w:tc>
      </w:tr>
    </w:tbl>
    <w:p w14:paraId="6DAB175C" w14:textId="77777777" w:rsidR="004A3803" w:rsidRPr="00DA4A23" w:rsidRDefault="004A3803" w:rsidP="00DA4A23">
      <w:pPr>
        <w:rPr>
          <w:b/>
        </w:rPr>
      </w:pPr>
      <w:bookmarkStart w:id="60" w:name="_Toc485295731"/>
      <w:r w:rsidRPr="00DA4A23">
        <w:rPr>
          <w:b/>
        </w:rPr>
        <w:t>Rationale 3</w:t>
      </w:r>
      <w:bookmarkEnd w:id="60"/>
    </w:p>
    <w:p w14:paraId="57AC1D5B" w14:textId="0F39B38C" w:rsidR="00A86633" w:rsidRDefault="00710ED1" w:rsidP="004A3803">
      <w:pPr>
        <w:pStyle w:val="BodyText"/>
      </w:pPr>
      <w:r>
        <w:t>M</w:t>
      </w:r>
      <w:r w:rsidR="004A3803" w:rsidRPr="004A3803">
        <w:t xml:space="preserve">easurement of fT3 is currently not separately remunerated in the table. </w:t>
      </w:r>
      <w:r>
        <w:t>f</w:t>
      </w:r>
      <w:r w:rsidRPr="004A3803">
        <w:t xml:space="preserve">T3 </w:t>
      </w:r>
      <w:r w:rsidR="004A3803" w:rsidRPr="004A3803">
        <w:t>is the active form of the thyroid hormone and transmits its metabolic effects.</w:t>
      </w:r>
      <w:r w:rsidR="00240E05" w:rsidRPr="004A3803">
        <w:fldChar w:fldCharType="begin"/>
      </w:r>
      <w:r w:rsidR="00877C64">
        <w:instrText xml:space="preserve"> ADDIN EN.CITE &lt;EndNote&gt;&lt;Cite&gt;&lt;Author&gt;Gereben&lt;/Author&gt;&lt;Year&gt;2008&lt;/Year&gt;&lt;RecNum&gt;24&lt;/RecNum&gt;&lt;DisplayText&gt;&lt;style face="superscript"&gt;16&lt;/style&gt;&lt;/DisplayText&gt;&lt;record&gt;&lt;rec-number&gt;24&lt;/rec-number&gt;&lt;foreign-keys&gt;&lt;key app="EN" db-id="dfs5xeapdpddpyexds6ppreypt5sp9spp2a5" timestamp="1481065710"&gt;24&lt;/key&gt;&lt;/foreign-keys&gt;&lt;ref-type name="Journal Article"&gt;17&lt;/ref-type&gt;&lt;contributors&gt;&lt;authors&gt;&lt;author&gt;Gereben, Balázs&lt;/author&gt;&lt;author&gt;Zavacki, Ann Marie&lt;/author&gt;&lt;author&gt;Ribich, Scott&lt;/author&gt;&lt;author&gt;Kim, Brian W.&lt;/author&gt;&lt;author&gt;Huang, Stephen A.&lt;/author&gt;&lt;author&gt;Simonides, Warner S.&lt;/author&gt;&lt;author&gt;Zeöld, Anikó&lt;/author&gt;&lt;author&gt;Bianco, Antonio C.&lt;/author&gt;&lt;/authors&gt;&lt;/contributors&gt;&lt;titles&gt;&lt;title&gt;Cellular and Molecular Basis of Deiodinase-Regulated Thyroid Hormone Signaling&lt;/title&gt;&lt;secondary-title&gt;Endocrine Reviews&lt;/secondary-title&gt;&lt;/titles&gt;&lt;periodical&gt;&lt;full-title&gt;Endocrine Reviews&lt;/full-title&gt;&lt;/periodical&gt;&lt;pages&gt;898-938&lt;/pages&gt;&lt;volume&gt;29&lt;/volume&gt;&lt;number&gt;7&lt;/number&gt;&lt;dates&gt;&lt;year&gt;2008&lt;/year&gt;&lt;/dates&gt;&lt;publisher&gt;The Endocrine Society&lt;/publisher&gt;&lt;isbn&gt;0163-769X&amp;#xD;1945-7189&lt;/isbn&gt;&lt;accession-num&gt;PMC2647704&lt;/accession-num&gt;&lt;urls&gt;&lt;related-urls&gt;&lt;url&gt;http://www.ncbi.nlm.nih.gov/pmc/articles/PMC2647704/&lt;/url&gt;&lt;/related-urls&gt;&lt;/urls&gt;&lt;electronic-resource-num&gt;10.1210/er.2008-0019&lt;/electronic-resource-num&gt;&lt;remote-database-name&gt;Pmc&lt;/remote-database-name&gt;&lt;/record&gt;&lt;/Cite&gt;&lt;/EndNote&gt;</w:instrText>
      </w:r>
      <w:r w:rsidR="00240E05" w:rsidRPr="004A3803">
        <w:fldChar w:fldCharType="separate"/>
      </w:r>
      <w:r w:rsidR="00877C64" w:rsidRPr="00877C64">
        <w:rPr>
          <w:noProof/>
          <w:vertAlign w:val="superscript"/>
        </w:rPr>
        <w:t>16</w:t>
      </w:r>
      <w:r w:rsidR="00240E05" w:rsidRPr="004A3803">
        <w:fldChar w:fldCharType="end"/>
      </w:r>
    </w:p>
    <w:p w14:paraId="00EF0C7F" w14:textId="25AEE09D" w:rsidR="00A86633" w:rsidRDefault="004A3803" w:rsidP="004A3803">
      <w:pPr>
        <w:pStyle w:val="BodyText"/>
      </w:pPr>
      <w:r w:rsidRPr="004A3803">
        <w:t>While TSH and fT4 measurements suffice in most clinical scenarios, in clinical situations whe</w:t>
      </w:r>
      <w:r w:rsidR="00A86633">
        <w:t>n</w:t>
      </w:r>
      <w:r w:rsidRPr="004A3803">
        <w:t xml:space="preserve"> the patient is hyperthyroid with a suppressed TSH, fT3 can add valuable information. In these situations an fT3 will add information about the rate of conversion from fT4, which allows clinicians to assess risk of ongoing disease</w:t>
      </w:r>
      <w:r w:rsidR="00A86633">
        <w:t>;</w:t>
      </w:r>
      <w:r w:rsidRPr="004A3803">
        <w:t xml:space="preserve"> it will also diagnose patients with isolated T3 toxicosis, who have normal fT4 with suppressed TSH, but elevated fT3.</w:t>
      </w:r>
    </w:p>
    <w:p w14:paraId="6DBF0ED8" w14:textId="56D78A6D" w:rsidR="004A3803" w:rsidRPr="004A3803" w:rsidRDefault="004A3803" w:rsidP="004A3803">
      <w:pPr>
        <w:pStyle w:val="BodyText"/>
        <w:rPr>
          <w:lang w:val="en-US"/>
        </w:rPr>
      </w:pPr>
      <w:r w:rsidRPr="004A3803">
        <w:t>This should be limited to patients with suppressed TSH (&lt;</w:t>
      </w:r>
      <w:r w:rsidR="00A86633">
        <w:t xml:space="preserve"> </w:t>
      </w:r>
      <w:r w:rsidRPr="004A3803">
        <w:t xml:space="preserve">0.05 mIU/L). A &lt;0.05 mIU/L cut-off was selected based on unpublished laboratory data. Below </w:t>
      </w:r>
      <w:r w:rsidR="00A86633">
        <w:t xml:space="preserve">this </w:t>
      </w:r>
      <w:r w:rsidRPr="004A3803">
        <w:t>level the frequency of abnormal fT3 increased markedly. There was general agreement in the group that clinically valuable tests should be incentivised. The introduction of this item number is likely to increase MBS expenditure, with an estimated utilisation of 350</w:t>
      </w:r>
      <w:r w:rsidR="00A86633">
        <w:t>,</w:t>
      </w:r>
      <w:r w:rsidRPr="004A3803">
        <w:t xml:space="preserve">000 </w:t>
      </w:r>
      <w:r w:rsidR="00A86633">
        <w:t xml:space="preserve">tests </w:t>
      </w:r>
      <w:r w:rsidRPr="004A3803">
        <w:t xml:space="preserve">per year. </w:t>
      </w:r>
    </w:p>
    <w:p w14:paraId="55A962D7" w14:textId="4193D49F" w:rsidR="00252AC9" w:rsidRPr="00DA4A23" w:rsidRDefault="004A3803" w:rsidP="00DA4A23">
      <w:pPr>
        <w:rPr>
          <w:b/>
        </w:rPr>
      </w:pPr>
      <w:bookmarkStart w:id="61" w:name="_Toc454959793"/>
      <w:bookmarkStart w:id="62" w:name="_Toc456613799"/>
      <w:bookmarkEnd w:id="51"/>
      <w:bookmarkEnd w:id="52"/>
      <w:r w:rsidRPr="00DA4A23">
        <w:rPr>
          <w:b/>
        </w:rPr>
        <w:t>Further rationale</w:t>
      </w:r>
      <w:r w:rsidR="000612E4" w:rsidRPr="00DA4A23">
        <w:rPr>
          <w:b/>
        </w:rPr>
        <w:t xml:space="preserve">: </w:t>
      </w:r>
      <w:r w:rsidR="00A86633" w:rsidRPr="00DA4A23">
        <w:rPr>
          <w:b/>
        </w:rPr>
        <w:t>r</w:t>
      </w:r>
      <w:r w:rsidR="000612E4" w:rsidRPr="00DA4A23">
        <w:rPr>
          <w:b/>
        </w:rPr>
        <w:t>epeat TSH tests and TFTs</w:t>
      </w:r>
    </w:p>
    <w:p w14:paraId="5E41A68C" w14:textId="50AC97A4" w:rsidR="000612E4" w:rsidRDefault="000612E4" w:rsidP="00252AC9">
      <w:pPr>
        <w:pStyle w:val="03Tableundertext"/>
        <w:spacing w:after="0"/>
        <w:rPr>
          <w:bCs w:val="0"/>
          <w:sz w:val="22"/>
          <w:szCs w:val="24"/>
        </w:rPr>
      </w:pPr>
      <w:r w:rsidRPr="000612E4">
        <w:rPr>
          <w:bCs w:val="0"/>
          <w:sz w:val="22"/>
          <w:szCs w:val="24"/>
        </w:rPr>
        <w:t>There was initial concern about repeat testing rates for both tests, and the</w:t>
      </w:r>
      <w:r w:rsidR="00B85B41">
        <w:rPr>
          <w:bCs w:val="0"/>
          <w:sz w:val="22"/>
          <w:szCs w:val="24"/>
        </w:rPr>
        <w:t xml:space="preserve"> </w:t>
      </w:r>
      <w:r w:rsidR="00B85B41" w:rsidRPr="00AF11CA">
        <w:rPr>
          <w:sz w:val="22"/>
          <w:szCs w:val="22"/>
        </w:rPr>
        <w:t>Endocrinology Clinical Committee</w:t>
      </w:r>
      <w:r w:rsidRPr="00B85B41">
        <w:rPr>
          <w:bCs w:val="0"/>
          <w:sz w:val="22"/>
          <w:szCs w:val="22"/>
        </w:rPr>
        <w:t xml:space="preserve"> </w:t>
      </w:r>
      <w:r w:rsidRPr="000612E4">
        <w:rPr>
          <w:bCs w:val="0"/>
          <w:sz w:val="22"/>
          <w:szCs w:val="24"/>
        </w:rPr>
        <w:t>considered including a restriction in the item descriptor – specifically, a maximum of six tests within 12 months. Some of the considerations were as follows:</w:t>
      </w:r>
    </w:p>
    <w:p w14:paraId="179F3DE6" w14:textId="77777777" w:rsidR="000612E4" w:rsidRDefault="000612E4" w:rsidP="00965AE3">
      <w:pPr>
        <w:pStyle w:val="Bullet1"/>
      </w:pPr>
      <w:r>
        <w:t xml:space="preserve">Patients without thyroid or pituitary disease who have a normal TSH test do not require further testing unless clinical circumstances change. </w:t>
      </w:r>
    </w:p>
    <w:p w14:paraId="53166FC1" w14:textId="77777777" w:rsidR="000612E4" w:rsidRDefault="000612E4" w:rsidP="00965AE3">
      <w:pPr>
        <w:pStyle w:val="Bullet1"/>
      </w:pPr>
      <w:r>
        <w:t>Patients who have unstable disease, particularly those with thyrotoxicosis, may need frequent testing.</w:t>
      </w:r>
    </w:p>
    <w:p w14:paraId="1ECA18BB" w14:textId="77777777" w:rsidR="00252AC9" w:rsidRDefault="000612E4" w:rsidP="00965AE3">
      <w:pPr>
        <w:pStyle w:val="Bullet1"/>
      </w:pPr>
      <w:r>
        <w:t>Patients who are taking thyroid replacement therapy may also require repeat testing, and the indications for whether a TSH test or TFT is most appropriate are outlined in the recommendations above.</w:t>
      </w:r>
    </w:p>
    <w:p w14:paraId="4A237AB3" w14:textId="11E7194C" w:rsidR="008172B8" w:rsidRDefault="000612E4" w:rsidP="000612E4">
      <w:pPr>
        <w:pStyle w:val="BodyText"/>
        <w:rPr>
          <w:lang w:val="en-GB"/>
        </w:rPr>
      </w:pPr>
      <w:r w:rsidRPr="001F124C">
        <w:rPr>
          <w:lang w:val="en-GB"/>
        </w:rPr>
        <w:t>However, MBS data showed that repeat testing resulting in more than six tests in 12</w:t>
      </w:r>
      <w:r w:rsidR="00E5655B">
        <w:rPr>
          <w:lang w:val="en-GB"/>
        </w:rPr>
        <w:t xml:space="preserve"> </w:t>
      </w:r>
      <w:r w:rsidRPr="001F124C">
        <w:rPr>
          <w:lang w:val="en-GB"/>
        </w:rPr>
        <w:t>months did not account for a significant volume of tests: 0.04 per cent of TSH 66716 patients (</w:t>
      </w:r>
      <w:r w:rsidR="008172B8">
        <w:rPr>
          <w:lang w:val="en-GB"/>
        </w:rPr>
        <w:t xml:space="preserve">about </w:t>
      </w:r>
      <w:r w:rsidRPr="001F124C">
        <w:rPr>
          <w:lang w:val="en-GB"/>
        </w:rPr>
        <w:t>1500) had more than six TSH tests, on average, within 12</w:t>
      </w:r>
      <w:r w:rsidR="008172B8">
        <w:rPr>
          <w:lang w:val="en-GB"/>
        </w:rPr>
        <w:t xml:space="preserve"> </w:t>
      </w:r>
      <w:r w:rsidRPr="001F124C">
        <w:rPr>
          <w:lang w:val="en-GB"/>
        </w:rPr>
        <w:t>months of their first test in 2014</w:t>
      </w:r>
      <w:r>
        <w:rPr>
          <w:lang w:val="en-GB"/>
        </w:rPr>
        <w:t>;</w:t>
      </w:r>
      <w:r w:rsidR="00240E05">
        <w:rPr>
          <w:lang w:val="en-GB"/>
        </w:rPr>
        <w:fldChar w:fldCharType="begin"/>
      </w:r>
      <w:r w:rsidR="00877C64">
        <w:rPr>
          <w:lang w:val="en-GB"/>
        </w:rPr>
        <w:instrText xml:space="preserve"> ADDIN EN.CITE &lt;EndNote&gt;&lt;Cite&gt;&lt;Author&gt;Department of Health&lt;/Author&gt;&lt;Year&gt;2016&lt;/Year&gt;&lt;RecNum&gt;21&lt;/RecNum&gt;&lt;DisplayText&gt;&lt;style face="superscript"&gt;11&lt;/style&gt;&lt;/DisplayText&gt;&lt;record&gt;&lt;rec-number&gt;21&lt;/rec-number&gt;&lt;foreign-keys&gt;&lt;key app="EN" db-id="dfs5xeapdpddpyexds6ppreypt5sp9spp2a5" timestamp="1477442364"&gt;21&lt;/key&gt;&lt;/foreign-keys&gt;&lt;ref-type name="Dataset"&gt;59&lt;/ref-type&gt;&lt;contributors&gt;&lt;authors&gt;&lt;author&gt;Department of Health,&lt;/author&gt;&lt;/authors&gt;&lt;/contributors&gt;&lt;titles&gt;&lt;title&gt;MBS data –Q203551&lt;/title&gt;&lt;/titles&gt;&lt;dates&gt;&lt;year&gt;2016&lt;/year&gt;&lt;/dates&gt;&lt;urls&gt;&lt;/urls&gt;&lt;access-date&gt;26.10.2016&lt;/access-date&gt;&lt;/record&gt;&lt;/Cite&gt;&lt;/EndNote&gt;</w:instrText>
      </w:r>
      <w:r w:rsidR="00240E05">
        <w:rPr>
          <w:lang w:val="en-GB"/>
        </w:rPr>
        <w:fldChar w:fldCharType="separate"/>
      </w:r>
      <w:r w:rsidR="00877C64" w:rsidRPr="00877C64">
        <w:rPr>
          <w:noProof/>
          <w:vertAlign w:val="superscript"/>
          <w:lang w:val="en-GB"/>
        </w:rPr>
        <w:t>11</w:t>
      </w:r>
      <w:r w:rsidR="00240E05">
        <w:rPr>
          <w:lang w:val="en-GB"/>
        </w:rPr>
        <w:fldChar w:fldCharType="end"/>
      </w:r>
      <w:r w:rsidRPr="001F124C">
        <w:rPr>
          <w:lang w:val="en-GB"/>
        </w:rPr>
        <w:t xml:space="preserve"> and 1.4 per cent of TFT 66719 patients (</w:t>
      </w:r>
      <w:r w:rsidR="008172B8">
        <w:rPr>
          <w:lang w:val="en-GB"/>
        </w:rPr>
        <w:t xml:space="preserve">about  </w:t>
      </w:r>
      <w:r w:rsidRPr="001F124C">
        <w:rPr>
          <w:lang w:val="en-GB"/>
        </w:rPr>
        <w:t>19,000) had more than six TFTs, on average, within 12 months of their first test in 2014.</w:t>
      </w:r>
      <w:r w:rsidR="00240E05">
        <w:rPr>
          <w:lang w:val="en-GB"/>
        </w:rPr>
        <w:fldChar w:fldCharType="begin"/>
      </w:r>
      <w:r w:rsidR="00877C64">
        <w:rPr>
          <w:lang w:val="en-GB"/>
        </w:rPr>
        <w:instrText xml:space="preserve"> ADDIN EN.CITE &lt;EndNote&gt;&lt;Cite&gt;&lt;Author&gt;Department of Health&lt;/Author&gt;&lt;Year&gt;2016&lt;/Year&gt;&lt;RecNum&gt;21&lt;/RecNum&gt;&lt;DisplayText&gt;&lt;style face="superscript"&gt;11&lt;/style&gt;&lt;/DisplayText&gt;&lt;record&gt;&lt;rec-number&gt;21&lt;/rec-number&gt;&lt;foreign-keys&gt;&lt;key app="EN" db-id="dfs5xeapdpddpyexds6ppreypt5sp9spp2a5" timestamp="1477442364"&gt;21&lt;/key&gt;&lt;/foreign-keys&gt;&lt;ref-type name="Dataset"&gt;59&lt;/ref-type&gt;&lt;contributors&gt;&lt;authors&gt;&lt;author&gt;Department of Health,&lt;/author&gt;&lt;/authors&gt;&lt;/contributors&gt;&lt;titles&gt;&lt;title&gt;MBS data –Q203551&lt;/title&gt;&lt;/titles&gt;&lt;dates&gt;&lt;year&gt;2016&lt;/year&gt;&lt;/dates&gt;&lt;urls&gt;&lt;/urls&gt;&lt;access-date&gt;26.10.2016&lt;/access-date&gt;&lt;/record&gt;&lt;/Cite&gt;&lt;/EndNote&gt;</w:instrText>
      </w:r>
      <w:r w:rsidR="00240E05">
        <w:rPr>
          <w:lang w:val="en-GB"/>
        </w:rPr>
        <w:fldChar w:fldCharType="separate"/>
      </w:r>
      <w:r w:rsidR="00877C64" w:rsidRPr="00877C64">
        <w:rPr>
          <w:noProof/>
          <w:vertAlign w:val="superscript"/>
          <w:lang w:val="en-GB"/>
        </w:rPr>
        <w:t>11</w:t>
      </w:r>
      <w:r w:rsidR="00240E05">
        <w:rPr>
          <w:lang w:val="en-GB"/>
        </w:rPr>
        <w:fldChar w:fldCharType="end"/>
      </w:r>
    </w:p>
    <w:p w14:paraId="4E270AC8" w14:textId="387572C9" w:rsidR="000612E4" w:rsidRPr="001F124C" w:rsidRDefault="000612E4" w:rsidP="000612E4">
      <w:pPr>
        <w:pStyle w:val="BodyText"/>
        <w:rPr>
          <w:lang w:val="en-GB"/>
        </w:rPr>
      </w:pPr>
      <w:r>
        <w:rPr>
          <w:lang w:val="en-GB"/>
        </w:rPr>
        <w:t>As patients with repeat TFTs would include patients with new</w:t>
      </w:r>
      <w:r w:rsidR="008172B8">
        <w:rPr>
          <w:lang w:val="en-GB"/>
        </w:rPr>
        <w:t>-</w:t>
      </w:r>
      <w:r>
        <w:rPr>
          <w:lang w:val="en-GB"/>
        </w:rPr>
        <w:t xml:space="preserve">onset hyperthyroidism, this group includes a significant population </w:t>
      </w:r>
      <w:r w:rsidR="008172B8">
        <w:rPr>
          <w:lang w:val="en-GB"/>
        </w:rPr>
        <w:t xml:space="preserve">in which </w:t>
      </w:r>
      <w:r>
        <w:rPr>
          <w:lang w:val="en-GB"/>
        </w:rPr>
        <w:t xml:space="preserve">the tests are requested appropriately. </w:t>
      </w:r>
      <w:r w:rsidRPr="001F124C">
        <w:rPr>
          <w:lang w:val="en-GB"/>
        </w:rPr>
        <w:t xml:space="preserve">The </w:t>
      </w:r>
      <w:r w:rsidR="004200CD">
        <w:rPr>
          <w:lang w:val="en-US"/>
        </w:rPr>
        <w:t>Endocrinology Clinical Committee</w:t>
      </w:r>
      <w:r w:rsidR="00E5655B">
        <w:rPr>
          <w:lang w:val="en-US"/>
        </w:rPr>
        <w:t xml:space="preserve"> </w:t>
      </w:r>
      <w:r w:rsidRPr="001F124C">
        <w:rPr>
          <w:lang w:val="en-GB"/>
        </w:rPr>
        <w:t>therefore concluded that it was not necessary to restrict the maximum number of tests to six. However, it noted that guidelines should be provided specify</w:t>
      </w:r>
      <w:r>
        <w:rPr>
          <w:lang w:val="en-GB"/>
        </w:rPr>
        <w:t>ing</w:t>
      </w:r>
      <w:r w:rsidRPr="001F124C">
        <w:rPr>
          <w:lang w:val="en-GB"/>
        </w:rPr>
        <w:t xml:space="preserve"> that a TSH test with normal results should generally preclude follow-up TSH tests for the next 12 months, and that this guidance should be provided in educational initiatives via NPS MedicineWise.</w:t>
      </w:r>
    </w:p>
    <w:p w14:paraId="4AD567C2" w14:textId="77777777" w:rsidR="000612E4" w:rsidRDefault="000612E4" w:rsidP="000612E4">
      <w:pPr>
        <w:pStyle w:val="Heading2"/>
      </w:pPr>
      <w:bookmarkStart w:id="63" w:name="_Toc485295732"/>
      <w:bookmarkStart w:id="64" w:name="_Toc485296600"/>
      <w:r>
        <w:t>Diabetes-related items: Items 66542, 66545, 66548, 66551, 66554, 66557, 66841 and 66560</w:t>
      </w:r>
      <w:bookmarkEnd w:id="63"/>
      <w:bookmarkEnd w:id="64"/>
    </w:p>
    <w:p w14:paraId="77FA53CA" w14:textId="77777777" w:rsidR="000612E4" w:rsidRPr="000612E4" w:rsidRDefault="000612E4" w:rsidP="003744BA">
      <w:pPr>
        <w:pStyle w:val="Caption"/>
        <w:rPr>
          <w:lang w:val="en-US"/>
        </w:rPr>
      </w:pPr>
      <w:bookmarkStart w:id="65" w:name="_Toc472940500"/>
      <w:r>
        <w:rPr>
          <w:lang w:val="en-US"/>
        </w:rPr>
        <w:t xml:space="preserve">Table </w:t>
      </w:r>
      <w:r w:rsidR="00AD6C1A">
        <w:rPr>
          <w:lang w:val="en-US"/>
        </w:rPr>
        <w:t>8</w:t>
      </w:r>
      <w:r>
        <w:rPr>
          <w:lang w:val="en-US"/>
        </w:rPr>
        <w:t xml:space="preserve">: </w:t>
      </w:r>
      <w:r w:rsidRPr="000612E4">
        <w:rPr>
          <w:lang w:val="en-US"/>
        </w:rPr>
        <w:t>Item introduction table for items 66542, 66545, 66548, 66551, 66554, 66557, 66841 and 66560</w:t>
      </w:r>
      <w:bookmarkEnd w:id="6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s 66542, 66545, 66548, 66551, 66554, 66557, 66841 and 66560"/>
        <w:tblDescription w:val="This is a table that contains Medicare Benefits Schedule data for items 66542, 66545, 66548, 66551, 66554, 66557, 66841 and 66560, for the finanical year 2014–2015. The data includes total volume of services, benefits and services annual average growth."/>
      </w:tblPr>
      <w:tblGrid>
        <w:gridCol w:w="719"/>
        <w:gridCol w:w="4011"/>
        <w:gridCol w:w="921"/>
        <w:gridCol w:w="1047"/>
        <w:gridCol w:w="1123"/>
        <w:gridCol w:w="1195"/>
      </w:tblGrid>
      <w:tr w:rsidR="000612E4" w:rsidRPr="00FD691A" w14:paraId="4BA3E639" w14:textId="77777777" w:rsidTr="00C75FBD">
        <w:trPr>
          <w:tblHeader/>
        </w:trPr>
        <w:tc>
          <w:tcPr>
            <w:tcW w:w="722" w:type="dxa"/>
            <w:shd w:val="clear" w:color="auto" w:fill="D9D9D9" w:themeFill="background1" w:themeFillShade="D9"/>
            <w:vAlign w:val="bottom"/>
          </w:tcPr>
          <w:p w14:paraId="596D762D" w14:textId="77777777" w:rsidR="000612E4" w:rsidRPr="00FD691A" w:rsidRDefault="000612E4" w:rsidP="000612E4">
            <w:pPr>
              <w:rPr>
                <w:b/>
                <w:sz w:val="20"/>
                <w:szCs w:val="20"/>
                <w:lang w:val="en-GB" w:eastAsia="en-US"/>
              </w:rPr>
            </w:pPr>
            <w:r w:rsidRPr="00FD691A">
              <w:rPr>
                <w:b/>
                <w:sz w:val="20"/>
                <w:szCs w:val="20"/>
                <w:lang w:val="en-GB" w:eastAsia="en-US"/>
              </w:rPr>
              <w:t>Item</w:t>
            </w:r>
          </w:p>
        </w:tc>
        <w:tc>
          <w:tcPr>
            <w:tcW w:w="4061" w:type="dxa"/>
            <w:shd w:val="clear" w:color="auto" w:fill="D9D9D9" w:themeFill="background1" w:themeFillShade="D9"/>
            <w:vAlign w:val="bottom"/>
          </w:tcPr>
          <w:p w14:paraId="575B77AF" w14:textId="77777777" w:rsidR="000612E4" w:rsidRPr="00FD691A" w:rsidRDefault="000612E4" w:rsidP="000612E4">
            <w:pPr>
              <w:rPr>
                <w:b/>
                <w:sz w:val="20"/>
                <w:szCs w:val="20"/>
                <w:lang w:val="en-GB" w:eastAsia="en-US"/>
              </w:rPr>
            </w:pPr>
            <w:r w:rsidRPr="00FD691A">
              <w:rPr>
                <w:b/>
                <w:sz w:val="20"/>
                <w:szCs w:val="20"/>
                <w:lang w:val="en-GB" w:eastAsia="en-US"/>
              </w:rPr>
              <w:t>Descriptor [date last amended]</w:t>
            </w:r>
          </w:p>
        </w:tc>
        <w:tc>
          <w:tcPr>
            <w:tcW w:w="923" w:type="dxa"/>
            <w:shd w:val="clear" w:color="auto" w:fill="D9D9D9" w:themeFill="background1" w:themeFillShade="D9"/>
            <w:vAlign w:val="bottom"/>
          </w:tcPr>
          <w:p w14:paraId="2E360E60" w14:textId="1B01E952" w:rsidR="000612E4" w:rsidRPr="00FD691A" w:rsidRDefault="000612E4" w:rsidP="008172B8">
            <w:pPr>
              <w:rPr>
                <w:b/>
                <w:sz w:val="20"/>
                <w:szCs w:val="20"/>
                <w:lang w:val="en-GB" w:eastAsia="en-US"/>
              </w:rPr>
            </w:pPr>
            <w:r w:rsidRPr="00FD691A">
              <w:rPr>
                <w:b/>
                <w:sz w:val="20"/>
                <w:szCs w:val="20"/>
                <w:lang w:val="en-GB" w:eastAsia="en-US"/>
              </w:rPr>
              <w:t>Schedule</w:t>
            </w:r>
            <w:r w:rsidR="008172B8">
              <w:rPr>
                <w:b/>
                <w:sz w:val="20"/>
                <w:szCs w:val="20"/>
                <w:lang w:val="en-GB" w:eastAsia="en-US"/>
              </w:rPr>
              <w:t xml:space="preserve"> </w:t>
            </w:r>
            <w:r w:rsidRPr="00FD691A">
              <w:rPr>
                <w:b/>
                <w:sz w:val="20"/>
                <w:szCs w:val="20"/>
                <w:lang w:val="en-GB" w:eastAsia="en-US"/>
              </w:rPr>
              <w:t>fee</w:t>
            </w:r>
          </w:p>
        </w:tc>
        <w:tc>
          <w:tcPr>
            <w:tcW w:w="1049" w:type="dxa"/>
            <w:shd w:val="clear" w:color="auto" w:fill="D9D9D9" w:themeFill="background1" w:themeFillShade="D9"/>
            <w:vAlign w:val="bottom"/>
          </w:tcPr>
          <w:p w14:paraId="6AD24EAA" w14:textId="77777777" w:rsidR="000612E4" w:rsidRPr="00FD691A" w:rsidRDefault="000612E4" w:rsidP="000612E4">
            <w:pPr>
              <w:rPr>
                <w:b/>
                <w:sz w:val="20"/>
                <w:szCs w:val="20"/>
                <w:lang w:val="en-GB" w:eastAsia="en-US"/>
              </w:rPr>
            </w:pPr>
            <w:r w:rsidRPr="00FD691A">
              <w:rPr>
                <w:b/>
                <w:sz w:val="20"/>
                <w:szCs w:val="20"/>
                <w:lang w:val="en-GB" w:eastAsia="en-US"/>
              </w:rPr>
              <w:t>Services FY2014/15</w:t>
            </w:r>
          </w:p>
        </w:tc>
        <w:tc>
          <w:tcPr>
            <w:tcW w:w="1124" w:type="dxa"/>
            <w:shd w:val="clear" w:color="auto" w:fill="D9D9D9" w:themeFill="background1" w:themeFillShade="D9"/>
            <w:vAlign w:val="bottom"/>
          </w:tcPr>
          <w:p w14:paraId="2120CF23" w14:textId="77777777" w:rsidR="000612E4" w:rsidRPr="00FD691A" w:rsidRDefault="000612E4" w:rsidP="000612E4">
            <w:pPr>
              <w:rPr>
                <w:b/>
                <w:sz w:val="20"/>
                <w:szCs w:val="20"/>
                <w:lang w:val="en-GB" w:eastAsia="en-US"/>
              </w:rPr>
            </w:pPr>
            <w:r w:rsidRPr="00FD691A">
              <w:rPr>
                <w:b/>
                <w:sz w:val="20"/>
                <w:szCs w:val="20"/>
                <w:lang w:val="en-GB" w:eastAsia="en-US"/>
              </w:rPr>
              <w:t>Benefits FY2014/15</w:t>
            </w:r>
          </w:p>
        </w:tc>
        <w:tc>
          <w:tcPr>
            <w:tcW w:w="1203" w:type="dxa"/>
            <w:shd w:val="clear" w:color="auto" w:fill="D9D9D9" w:themeFill="background1" w:themeFillShade="D9"/>
            <w:vAlign w:val="bottom"/>
          </w:tcPr>
          <w:p w14:paraId="02B74377" w14:textId="7FFFF7A6" w:rsidR="000612E4" w:rsidRPr="00FD691A" w:rsidRDefault="000612E4" w:rsidP="000612E4">
            <w:pPr>
              <w:rPr>
                <w:b/>
                <w:sz w:val="20"/>
                <w:szCs w:val="20"/>
                <w:lang w:val="en-GB" w:eastAsia="en-US"/>
              </w:rPr>
            </w:pPr>
            <w:r w:rsidRPr="00FD691A">
              <w:rPr>
                <w:b/>
                <w:sz w:val="20"/>
                <w:szCs w:val="20"/>
                <w:lang w:val="en-GB" w:eastAsia="en-US"/>
              </w:rPr>
              <w:t>Services 5</w:t>
            </w:r>
            <w:r w:rsidR="008172B8">
              <w:rPr>
                <w:b/>
                <w:sz w:val="20"/>
                <w:szCs w:val="20"/>
                <w:lang w:val="en-GB" w:eastAsia="en-US"/>
              </w:rPr>
              <w:t>-</w:t>
            </w:r>
            <w:r w:rsidRPr="00FD691A">
              <w:rPr>
                <w:b/>
                <w:sz w:val="20"/>
                <w:szCs w:val="20"/>
                <w:lang w:val="en-GB" w:eastAsia="en-US"/>
              </w:rPr>
              <w:t>year annual avg. growth</w:t>
            </w:r>
          </w:p>
        </w:tc>
      </w:tr>
      <w:tr w:rsidR="000612E4" w:rsidRPr="00FD691A" w14:paraId="4CE062D7" w14:textId="77777777" w:rsidTr="00C75FBD">
        <w:tc>
          <w:tcPr>
            <w:tcW w:w="722" w:type="dxa"/>
          </w:tcPr>
          <w:p w14:paraId="69C4092D" w14:textId="77777777" w:rsidR="000612E4" w:rsidRPr="00FD691A" w:rsidRDefault="000612E4" w:rsidP="000612E4">
            <w:pPr>
              <w:rPr>
                <w:sz w:val="20"/>
                <w:szCs w:val="20"/>
                <w:lang w:val="en-GB" w:eastAsia="en-US"/>
              </w:rPr>
            </w:pPr>
            <w:r w:rsidRPr="00FD691A">
              <w:rPr>
                <w:sz w:val="20"/>
                <w:szCs w:val="20"/>
                <w:lang w:val="en-GB" w:eastAsia="en-US"/>
              </w:rPr>
              <w:t>66542</w:t>
            </w:r>
          </w:p>
        </w:tc>
        <w:tc>
          <w:tcPr>
            <w:tcW w:w="4061" w:type="dxa"/>
          </w:tcPr>
          <w:p w14:paraId="20A0E67B" w14:textId="77777777" w:rsidR="000612E4" w:rsidRPr="00FD691A" w:rsidRDefault="000612E4" w:rsidP="000612E4">
            <w:pPr>
              <w:rPr>
                <w:sz w:val="20"/>
                <w:szCs w:val="20"/>
                <w:lang w:val="en-GB" w:eastAsia="en-US"/>
              </w:rPr>
            </w:pPr>
            <w:r w:rsidRPr="00FD691A">
              <w:rPr>
                <w:sz w:val="20"/>
                <w:szCs w:val="20"/>
                <w:lang w:val="en-GB" w:eastAsia="en-US"/>
              </w:rPr>
              <w:t xml:space="preserve">Oral glucose tolerance test for the diagnosis of diabetes mellitus that includes: </w:t>
            </w:r>
            <w:r w:rsidRPr="00FD691A">
              <w:rPr>
                <w:sz w:val="20"/>
                <w:szCs w:val="20"/>
                <w:lang w:val="en-GB" w:eastAsia="en-US"/>
              </w:rPr>
              <w:br/>
              <w:t xml:space="preserve">(a) administration of glucose; </w:t>
            </w:r>
            <w:r w:rsidRPr="00FD691A">
              <w:rPr>
                <w:sz w:val="20"/>
                <w:szCs w:val="20"/>
                <w:lang w:val="en-GB" w:eastAsia="en-US"/>
              </w:rPr>
              <w:br/>
              <w:t>(b) at least 2 measurements of blood glucose; and if performed</w:t>
            </w:r>
            <w:r w:rsidRPr="00FD691A">
              <w:rPr>
                <w:sz w:val="20"/>
                <w:szCs w:val="20"/>
                <w:lang w:val="en-GB" w:eastAsia="en-US"/>
              </w:rPr>
              <w:br/>
              <w:t>(c) any test described in item 66695. [1998]</w:t>
            </w:r>
          </w:p>
        </w:tc>
        <w:tc>
          <w:tcPr>
            <w:tcW w:w="923" w:type="dxa"/>
          </w:tcPr>
          <w:p w14:paraId="57B6BC12" w14:textId="77777777" w:rsidR="000612E4" w:rsidRPr="00FD691A" w:rsidRDefault="000612E4" w:rsidP="000612E4">
            <w:pPr>
              <w:rPr>
                <w:sz w:val="20"/>
                <w:szCs w:val="20"/>
                <w:lang w:val="en-GB" w:eastAsia="en-US"/>
              </w:rPr>
            </w:pPr>
            <w:r w:rsidRPr="00FD691A">
              <w:rPr>
                <w:sz w:val="20"/>
                <w:szCs w:val="20"/>
                <w:lang w:val="en-GB" w:eastAsia="en-US"/>
              </w:rPr>
              <w:t>$18.95</w:t>
            </w:r>
          </w:p>
        </w:tc>
        <w:tc>
          <w:tcPr>
            <w:tcW w:w="1049" w:type="dxa"/>
          </w:tcPr>
          <w:p w14:paraId="1859F202" w14:textId="77777777" w:rsidR="000612E4" w:rsidRPr="00FD691A" w:rsidRDefault="000612E4" w:rsidP="000612E4">
            <w:pPr>
              <w:rPr>
                <w:sz w:val="20"/>
                <w:szCs w:val="20"/>
                <w:lang w:val="en-GB" w:eastAsia="en-US"/>
              </w:rPr>
            </w:pPr>
            <w:r w:rsidRPr="00FD691A">
              <w:rPr>
                <w:sz w:val="20"/>
                <w:szCs w:val="20"/>
                <w:lang w:val="en-GB" w:eastAsia="en-US"/>
              </w:rPr>
              <w:t>292,924</w:t>
            </w:r>
          </w:p>
        </w:tc>
        <w:tc>
          <w:tcPr>
            <w:tcW w:w="1124" w:type="dxa"/>
          </w:tcPr>
          <w:p w14:paraId="4DA5E6AE" w14:textId="77777777" w:rsidR="000612E4" w:rsidRPr="00FD691A" w:rsidRDefault="000612E4" w:rsidP="000612E4">
            <w:pPr>
              <w:rPr>
                <w:sz w:val="20"/>
                <w:szCs w:val="20"/>
                <w:lang w:val="en-GB" w:eastAsia="en-US"/>
              </w:rPr>
            </w:pPr>
            <w:r w:rsidRPr="00FD691A">
              <w:rPr>
                <w:sz w:val="20"/>
                <w:szCs w:val="20"/>
                <w:lang w:val="en-GB" w:eastAsia="en-US"/>
              </w:rPr>
              <w:t>$4,737,344</w:t>
            </w:r>
          </w:p>
        </w:tc>
        <w:tc>
          <w:tcPr>
            <w:tcW w:w="1203" w:type="dxa"/>
          </w:tcPr>
          <w:p w14:paraId="708F84A3" w14:textId="4E435F59" w:rsidR="000612E4" w:rsidRPr="00FD691A" w:rsidRDefault="008172B8" w:rsidP="000612E4">
            <w:pPr>
              <w:rPr>
                <w:sz w:val="20"/>
                <w:szCs w:val="20"/>
                <w:lang w:val="en-GB" w:eastAsia="en-US"/>
              </w:rPr>
            </w:pPr>
            <w:r>
              <w:rPr>
                <w:sz w:val="20"/>
                <w:szCs w:val="20"/>
                <w:lang w:val="en-GB" w:eastAsia="en-US"/>
              </w:rPr>
              <w:t>–</w:t>
            </w:r>
            <w:r w:rsidR="000612E4" w:rsidRPr="00FD691A">
              <w:rPr>
                <w:sz w:val="20"/>
                <w:szCs w:val="20"/>
                <w:lang w:val="en-GB" w:eastAsia="en-US"/>
              </w:rPr>
              <w:t>0.2%</w:t>
            </w:r>
          </w:p>
        </w:tc>
      </w:tr>
      <w:tr w:rsidR="000612E4" w:rsidRPr="00FD691A" w14:paraId="473B8608" w14:textId="77777777" w:rsidTr="00C75FBD">
        <w:tc>
          <w:tcPr>
            <w:tcW w:w="722" w:type="dxa"/>
          </w:tcPr>
          <w:p w14:paraId="573CB53C" w14:textId="77777777" w:rsidR="000612E4" w:rsidRPr="00FD691A" w:rsidRDefault="000612E4" w:rsidP="000612E4">
            <w:pPr>
              <w:rPr>
                <w:sz w:val="20"/>
                <w:szCs w:val="20"/>
                <w:lang w:val="en-GB" w:eastAsia="en-US"/>
              </w:rPr>
            </w:pPr>
            <w:r w:rsidRPr="00FD691A">
              <w:rPr>
                <w:sz w:val="20"/>
                <w:szCs w:val="20"/>
                <w:lang w:val="en-GB" w:eastAsia="en-US"/>
              </w:rPr>
              <w:t>66545</w:t>
            </w:r>
          </w:p>
        </w:tc>
        <w:tc>
          <w:tcPr>
            <w:tcW w:w="4061" w:type="dxa"/>
          </w:tcPr>
          <w:p w14:paraId="4F01A48D" w14:textId="77777777" w:rsidR="000612E4" w:rsidRPr="00FD691A" w:rsidRDefault="000612E4" w:rsidP="000612E4">
            <w:pPr>
              <w:rPr>
                <w:sz w:val="20"/>
                <w:szCs w:val="20"/>
                <w:lang w:val="en-GB" w:eastAsia="en-US"/>
              </w:rPr>
            </w:pPr>
            <w:r w:rsidRPr="00FD691A">
              <w:rPr>
                <w:sz w:val="20"/>
                <w:szCs w:val="20"/>
                <w:lang w:val="en-GB" w:eastAsia="en-US"/>
              </w:rPr>
              <w:t xml:space="preserve">Oral glucose challenge test in pregnancy for the detection of gestational diabetes that includes: </w:t>
            </w:r>
            <w:r w:rsidRPr="00FD691A">
              <w:rPr>
                <w:sz w:val="20"/>
                <w:szCs w:val="20"/>
                <w:lang w:val="en-GB" w:eastAsia="en-US"/>
              </w:rPr>
              <w:br/>
              <w:t xml:space="preserve">(a) administration of glucose; and </w:t>
            </w:r>
            <w:r w:rsidRPr="00FD691A">
              <w:rPr>
                <w:sz w:val="20"/>
                <w:szCs w:val="20"/>
                <w:lang w:val="en-GB" w:eastAsia="en-US"/>
              </w:rPr>
              <w:br/>
              <w:t>(b) 1 or 2 measurements of blood glucose; and</w:t>
            </w:r>
            <w:r w:rsidRPr="00FD691A">
              <w:rPr>
                <w:sz w:val="20"/>
                <w:szCs w:val="20"/>
                <w:lang w:val="en-GB" w:eastAsia="en-US"/>
              </w:rPr>
              <w:br/>
              <w:t>(c) (if performed) any test in item 66695. [1998]</w:t>
            </w:r>
          </w:p>
        </w:tc>
        <w:tc>
          <w:tcPr>
            <w:tcW w:w="923" w:type="dxa"/>
          </w:tcPr>
          <w:p w14:paraId="0D128254" w14:textId="77777777" w:rsidR="000612E4" w:rsidRPr="00FD691A" w:rsidRDefault="000612E4" w:rsidP="000612E4">
            <w:pPr>
              <w:rPr>
                <w:sz w:val="20"/>
                <w:szCs w:val="20"/>
                <w:lang w:val="en-GB" w:eastAsia="en-US"/>
              </w:rPr>
            </w:pPr>
            <w:r w:rsidRPr="00FD691A">
              <w:rPr>
                <w:sz w:val="20"/>
                <w:szCs w:val="20"/>
                <w:lang w:val="en-GB" w:eastAsia="en-US"/>
              </w:rPr>
              <w:t>$15.80</w:t>
            </w:r>
          </w:p>
        </w:tc>
        <w:tc>
          <w:tcPr>
            <w:tcW w:w="1049" w:type="dxa"/>
          </w:tcPr>
          <w:p w14:paraId="1A1E8079" w14:textId="77777777" w:rsidR="000612E4" w:rsidRPr="00FD691A" w:rsidRDefault="000612E4" w:rsidP="000612E4">
            <w:pPr>
              <w:rPr>
                <w:sz w:val="20"/>
                <w:szCs w:val="20"/>
                <w:lang w:val="en-GB" w:eastAsia="en-US"/>
              </w:rPr>
            </w:pPr>
            <w:r w:rsidRPr="00FD691A">
              <w:rPr>
                <w:sz w:val="20"/>
                <w:szCs w:val="20"/>
                <w:lang w:val="en-GB" w:eastAsia="en-US"/>
              </w:rPr>
              <w:t>49,327</w:t>
            </w:r>
          </w:p>
        </w:tc>
        <w:tc>
          <w:tcPr>
            <w:tcW w:w="1124" w:type="dxa"/>
          </w:tcPr>
          <w:p w14:paraId="1F335F07" w14:textId="77777777" w:rsidR="000612E4" w:rsidRPr="00FD691A" w:rsidRDefault="000612E4" w:rsidP="000612E4">
            <w:pPr>
              <w:rPr>
                <w:sz w:val="20"/>
                <w:szCs w:val="20"/>
                <w:lang w:val="en-GB" w:eastAsia="en-US"/>
              </w:rPr>
            </w:pPr>
            <w:r w:rsidRPr="00FD691A">
              <w:rPr>
                <w:sz w:val="20"/>
                <w:szCs w:val="20"/>
                <w:lang w:val="en-GB" w:eastAsia="en-US"/>
              </w:rPr>
              <w:t>$684,953</w:t>
            </w:r>
          </w:p>
        </w:tc>
        <w:tc>
          <w:tcPr>
            <w:tcW w:w="1203" w:type="dxa"/>
          </w:tcPr>
          <w:p w14:paraId="10D14472" w14:textId="6E670E70" w:rsidR="000612E4" w:rsidRPr="00FD691A" w:rsidRDefault="008172B8" w:rsidP="000612E4">
            <w:pPr>
              <w:rPr>
                <w:sz w:val="20"/>
                <w:szCs w:val="20"/>
                <w:lang w:val="en-GB" w:eastAsia="en-US"/>
              </w:rPr>
            </w:pPr>
            <w:r>
              <w:rPr>
                <w:sz w:val="20"/>
                <w:szCs w:val="20"/>
                <w:lang w:val="en-GB" w:eastAsia="en-US"/>
              </w:rPr>
              <w:t>–</w:t>
            </w:r>
            <w:r w:rsidR="000612E4" w:rsidRPr="00FD691A">
              <w:rPr>
                <w:sz w:val="20"/>
                <w:szCs w:val="20"/>
                <w:lang w:val="en-GB" w:eastAsia="en-US"/>
              </w:rPr>
              <w:t>19.3%</w:t>
            </w:r>
          </w:p>
        </w:tc>
      </w:tr>
      <w:tr w:rsidR="000612E4" w:rsidRPr="00FD691A" w14:paraId="48D430BA" w14:textId="77777777" w:rsidTr="00C75FBD">
        <w:tc>
          <w:tcPr>
            <w:tcW w:w="722" w:type="dxa"/>
          </w:tcPr>
          <w:p w14:paraId="5191B8B9" w14:textId="77777777" w:rsidR="000612E4" w:rsidRPr="00FD691A" w:rsidRDefault="000612E4" w:rsidP="000612E4">
            <w:pPr>
              <w:rPr>
                <w:sz w:val="20"/>
                <w:szCs w:val="20"/>
                <w:lang w:val="en-GB" w:eastAsia="en-US"/>
              </w:rPr>
            </w:pPr>
            <w:r w:rsidRPr="00FD691A">
              <w:rPr>
                <w:sz w:val="20"/>
                <w:szCs w:val="20"/>
                <w:lang w:val="en-GB" w:eastAsia="en-US"/>
              </w:rPr>
              <w:t>66548</w:t>
            </w:r>
          </w:p>
        </w:tc>
        <w:tc>
          <w:tcPr>
            <w:tcW w:w="4061" w:type="dxa"/>
          </w:tcPr>
          <w:p w14:paraId="5E68668C" w14:textId="77777777" w:rsidR="000612E4" w:rsidRPr="00FD691A" w:rsidRDefault="000612E4" w:rsidP="000612E4">
            <w:pPr>
              <w:rPr>
                <w:sz w:val="20"/>
                <w:szCs w:val="20"/>
                <w:lang w:val="en-GB" w:eastAsia="en-US"/>
              </w:rPr>
            </w:pPr>
            <w:r w:rsidRPr="00FD691A">
              <w:rPr>
                <w:sz w:val="20"/>
                <w:szCs w:val="20"/>
                <w:lang w:val="en-GB" w:eastAsia="en-US"/>
              </w:rPr>
              <w:t>Oral glucose tolerance test in pregnancy for the diagnosis of gestational diabetes that includes:</w:t>
            </w:r>
            <w:r w:rsidRPr="00FD691A">
              <w:rPr>
                <w:sz w:val="20"/>
                <w:szCs w:val="20"/>
                <w:lang w:val="en-GB" w:eastAsia="en-US"/>
              </w:rPr>
              <w:br/>
              <w:t>(a) administration of glucose; and</w:t>
            </w:r>
            <w:r w:rsidRPr="00FD691A">
              <w:rPr>
                <w:sz w:val="20"/>
                <w:szCs w:val="20"/>
                <w:lang w:val="en-GB" w:eastAsia="en-US"/>
              </w:rPr>
              <w:br/>
              <w:t>(b) at least 3 measurements of blood glucose; and</w:t>
            </w:r>
            <w:r w:rsidRPr="00FD691A">
              <w:rPr>
                <w:sz w:val="20"/>
                <w:szCs w:val="20"/>
                <w:lang w:val="en-GB" w:eastAsia="en-US"/>
              </w:rPr>
              <w:br/>
              <w:t>(c) any test in item 66695 (if performed). [1998]</w:t>
            </w:r>
          </w:p>
        </w:tc>
        <w:tc>
          <w:tcPr>
            <w:tcW w:w="923" w:type="dxa"/>
          </w:tcPr>
          <w:p w14:paraId="663304CA" w14:textId="77777777" w:rsidR="000612E4" w:rsidRPr="00FD691A" w:rsidRDefault="000612E4" w:rsidP="000612E4">
            <w:pPr>
              <w:rPr>
                <w:sz w:val="20"/>
                <w:szCs w:val="20"/>
                <w:lang w:val="en-GB" w:eastAsia="en-US"/>
              </w:rPr>
            </w:pPr>
            <w:r w:rsidRPr="00FD691A">
              <w:rPr>
                <w:sz w:val="20"/>
                <w:szCs w:val="20"/>
                <w:lang w:val="en-GB" w:eastAsia="en-US"/>
              </w:rPr>
              <w:t>$19.90</w:t>
            </w:r>
          </w:p>
        </w:tc>
        <w:tc>
          <w:tcPr>
            <w:tcW w:w="1049" w:type="dxa"/>
          </w:tcPr>
          <w:p w14:paraId="4E4BA3DB" w14:textId="77777777" w:rsidR="000612E4" w:rsidRPr="00FD691A" w:rsidRDefault="000612E4" w:rsidP="000612E4">
            <w:pPr>
              <w:rPr>
                <w:sz w:val="20"/>
                <w:szCs w:val="20"/>
                <w:lang w:val="en-GB" w:eastAsia="en-US"/>
              </w:rPr>
            </w:pPr>
            <w:r w:rsidRPr="00FD691A">
              <w:rPr>
                <w:sz w:val="20"/>
                <w:szCs w:val="20"/>
                <w:lang w:val="en-GB" w:eastAsia="en-US"/>
              </w:rPr>
              <w:t>138,051</w:t>
            </w:r>
          </w:p>
        </w:tc>
        <w:tc>
          <w:tcPr>
            <w:tcW w:w="1124" w:type="dxa"/>
          </w:tcPr>
          <w:p w14:paraId="46D9E6AB" w14:textId="77777777" w:rsidR="000612E4" w:rsidRPr="00FD691A" w:rsidRDefault="000612E4" w:rsidP="000612E4">
            <w:pPr>
              <w:rPr>
                <w:sz w:val="20"/>
                <w:szCs w:val="20"/>
                <w:lang w:val="en-GB" w:eastAsia="en-US"/>
              </w:rPr>
            </w:pPr>
            <w:r w:rsidRPr="00FD691A">
              <w:rPr>
                <w:sz w:val="20"/>
                <w:szCs w:val="20"/>
                <w:lang w:val="en-GB" w:eastAsia="en-US"/>
              </w:rPr>
              <w:t>$2,378,743</w:t>
            </w:r>
          </w:p>
        </w:tc>
        <w:tc>
          <w:tcPr>
            <w:tcW w:w="1203" w:type="dxa"/>
          </w:tcPr>
          <w:p w14:paraId="30730D5B" w14:textId="77777777" w:rsidR="000612E4" w:rsidRPr="00FD691A" w:rsidRDefault="000612E4" w:rsidP="000612E4">
            <w:pPr>
              <w:rPr>
                <w:sz w:val="20"/>
                <w:szCs w:val="20"/>
                <w:lang w:val="en-GB" w:eastAsia="en-US"/>
              </w:rPr>
            </w:pPr>
            <w:r w:rsidRPr="00FD691A">
              <w:rPr>
                <w:sz w:val="20"/>
                <w:szCs w:val="20"/>
                <w:lang w:val="en-GB" w:eastAsia="en-US"/>
              </w:rPr>
              <w:t>31.7%</w:t>
            </w:r>
          </w:p>
        </w:tc>
      </w:tr>
      <w:tr w:rsidR="000612E4" w:rsidRPr="00FD691A" w14:paraId="5DC3D773" w14:textId="77777777" w:rsidTr="00C75FBD">
        <w:tc>
          <w:tcPr>
            <w:tcW w:w="722" w:type="dxa"/>
          </w:tcPr>
          <w:p w14:paraId="0F5E3327" w14:textId="77777777" w:rsidR="000612E4" w:rsidRPr="00FD691A" w:rsidRDefault="000612E4" w:rsidP="000612E4">
            <w:pPr>
              <w:rPr>
                <w:sz w:val="20"/>
                <w:szCs w:val="20"/>
                <w:lang w:val="en-GB" w:eastAsia="en-US"/>
              </w:rPr>
            </w:pPr>
            <w:r w:rsidRPr="00FD691A">
              <w:rPr>
                <w:sz w:val="20"/>
                <w:szCs w:val="20"/>
                <w:lang w:val="en-GB" w:eastAsia="en-US"/>
              </w:rPr>
              <w:t>66551</w:t>
            </w:r>
          </w:p>
        </w:tc>
        <w:tc>
          <w:tcPr>
            <w:tcW w:w="4061" w:type="dxa"/>
          </w:tcPr>
          <w:p w14:paraId="2BDD2201" w14:textId="77777777" w:rsidR="000612E4" w:rsidRPr="00FD691A" w:rsidRDefault="000612E4" w:rsidP="000612E4">
            <w:pPr>
              <w:rPr>
                <w:sz w:val="20"/>
                <w:szCs w:val="20"/>
                <w:lang w:val="en-GB" w:eastAsia="en-US"/>
              </w:rPr>
            </w:pPr>
            <w:r w:rsidRPr="00FD691A">
              <w:rPr>
                <w:sz w:val="20"/>
                <w:szCs w:val="20"/>
                <w:lang w:val="en-GB" w:eastAsia="en-US"/>
              </w:rPr>
              <w:t>Quantitation of glycated haemoglobin performed in the management of established diabetes – (item is subject to rule 25). [1998]</w:t>
            </w:r>
          </w:p>
        </w:tc>
        <w:tc>
          <w:tcPr>
            <w:tcW w:w="923" w:type="dxa"/>
          </w:tcPr>
          <w:p w14:paraId="5D6E5B1A" w14:textId="77777777" w:rsidR="000612E4" w:rsidRPr="00FD691A" w:rsidRDefault="000612E4" w:rsidP="000612E4">
            <w:pPr>
              <w:rPr>
                <w:sz w:val="20"/>
                <w:szCs w:val="20"/>
                <w:lang w:val="en-GB" w:eastAsia="en-US"/>
              </w:rPr>
            </w:pPr>
            <w:r w:rsidRPr="00FD691A">
              <w:rPr>
                <w:sz w:val="20"/>
                <w:szCs w:val="20"/>
                <w:lang w:val="en-GB" w:eastAsia="en-US"/>
              </w:rPr>
              <w:t>$16.80</w:t>
            </w:r>
          </w:p>
        </w:tc>
        <w:tc>
          <w:tcPr>
            <w:tcW w:w="1049" w:type="dxa"/>
          </w:tcPr>
          <w:p w14:paraId="6DA9CD02" w14:textId="77777777" w:rsidR="000612E4" w:rsidRPr="00FD691A" w:rsidRDefault="000612E4" w:rsidP="000612E4">
            <w:pPr>
              <w:rPr>
                <w:sz w:val="20"/>
                <w:szCs w:val="20"/>
                <w:lang w:val="en-GB" w:eastAsia="en-US"/>
              </w:rPr>
            </w:pPr>
            <w:r w:rsidRPr="00FD691A">
              <w:rPr>
                <w:sz w:val="20"/>
                <w:szCs w:val="20"/>
                <w:lang w:val="en-GB" w:eastAsia="en-US"/>
              </w:rPr>
              <w:t>1,138,075</w:t>
            </w:r>
          </w:p>
        </w:tc>
        <w:tc>
          <w:tcPr>
            <w:tcW w:w="1124" w:type="dxa"/>
          </w:tcPr>
          <w:p w14:paraId="262ABA64" w14:textId="77777777" w:rsidR="000612E4" w:rsidRPr="00FD691A" w:rsidRDefault="000612E4" w:rsidP="000612E4">
            <w:pPr>
              <w:rPr>
                <w:sz w:val="20"/>
                <w:szCs w:val="20"/>
                <w:lang w:val="en-GB" w:eastAsia="en-US"/>
              </w:rPr>
            </w:pPr>
            <w:r w:rsidRPr="00FD691A">
              <w:rPr>
                <w:sz w:val="20"/>
                <w:szCs w:val="20"/>
                <w:lang w:val="en-GB" w:eastAsia="en-US"/>
              </w:rPr>
              <w:t>$16,251,094</w:t>
            </w:r>
          </w:p>
        </w:tc>
        <w:tc>
          <w:tcPr>
            <w:tcW w:w="1203" w:type="dxa"/>
          </w:tcPr>
          <w:p w14:paraId="503D6120" w14:textId="77777777" w:rsidR="000612E4" w:rsidRPr="00FD691A" w:rsidRDefault="000612E4" w:rsidP="000612E4">
            <w:pPr>
              <w:rPr>
                <w:sz w:val="20"/>
                <w:szCs w:val="20"/>
                <w:lang w:val="en-GB" w:eastAsia="en-US"/>
              </w:rPr>
            </w:pPr>
            <w:r w:rsidRPr="00FD691A">
              <w:rPr>
                <w:sz w:val="20"/>
                <w:szCs w:val="20"/>
                <w:lang w:val="en-GB" w:eastAsia="en-US"/>
              </w:rPr>
              <w:t>2.3%</w:t>
            </w:r>
          </w:p>
        </w:tc>
      </w:tr>
      <w:tr w:rsidR="000612E4" w:rsidRPr="00FD691A" w14:paraId="2E642E79" w14:textId="77777777" w:rsidTr="00C75FBD">
        <w:tc>
          <w:tcPr>
            <w:tcW w:w="722" w:type="dxa"/>
          </w:tcPr>
          <w:p w14:paraId="3D2D33EA" w14:textId="77777777" w:rsidR="000612E4" w:rsidRPr="00FD691A" w:rsidRDefault="000612E4" w:rsidP="000612E4">
            <w:pPr>
              <w:rPr>
                <w:sz w:val="20"/>
                <w:szCs w:val="20"/>
                <w:lang w:val="en-GB" w:eastAsia="en-US"/>
              </w:rPr>
            </w:pPr>
            <w:r w:rsidRPr="00FD691A">
              <w:rPr>
                <w:sz w:val="20"/>
                <w:szCs w:val="20"/>
                <w:lang w:val="en-GB" w:eastAsia="en-US"/>
              </w:rPr>
              <w:t>66554</w:t>
            </w:r>
          </w:p>
        </w:tc>
        <w:tc>
          <w:tcPr>
            <w:tcW w:w="4061" w:type="dxa"/>
          </w:tcPr>
          <w:p w14:paraId="0A2D6962" w14:textId="77777777" w:rsidR="000612E4" w:rsidRPr="00FD691A" w:rsidRDefault="000612E4" w:rsidP="000612E4">
            <w:pPr>
              <w:rPr>
                <w:sz w:val="20"/>
                <w:szCs w:val="20"/>
                <w:lang w:val="en-GB" w:eastAsia="en-US"/>
              </w:rPr>
            </w:pPr>
            <w:r w:rsidRPr="00FD691A">
              <w:rPr>
                <w:sz w:val="20"/>
                <w:szCs w:val="20"/>
                <w:lang w:val="en-GB" w:eastAsia="en-US"/>
              </w:rPr>
              <w:t>Quantitation of glycated haemoglobin performed in the management of pre-existing diabetes where the patient is pregnant – including a service in item 66551 (if performed). (Item is subject to rule 25.) [1998]</w:t>
            </w:r>
          </w:p>
        </w:tc>
        <w:tc>
          <w:tcPr>
            <w:tcW w:w="923" w:type="dxa"/>
          </w:tcPr>
          <w:p w14:paraId="0B30921F" w14:textId="77777777" w:rsidR="000612E4" w:rsidRPr="00FD691A" w:rsidRDefault="000612E4" w:rsidP="000612E4">
            <w:pPr>
              <w:rPr>
                <w:sz w:val="20"/>
                <w:szCs w:val="20"/>
                <w:lang w:val="en-GB" w:eastAsia="en-US"/>
              </w:rPr>
            </w:pPr>
            <w:r w:rsidRPr="00FD691A">
              <w:rPr>
                <w:sz w:val="20"/>
                <w:szCs w:val="20"/>
                <w:lang w:val="en-GB" w:eastAsia="en-US"/>
              </w:rPr>
              <w:t>$16.80</w:t>
            </w:r>
          </w:p>
        </w:tc>
        <w:tc>
          <w:tcPr>
            <w:tcW w:w="1049" w:type="dxa"/>
          </w:tcPr>
          <w:p w14:paraId="6162679B" w14:textId="77777777" w:rsidR="000612E4" w:rsidRPr="00FD691A" w:rsidRDefault="000612E4" w:rsidP="000612E4">
            <w:pPr>
              <w:rPr>
                <w:sz w:val="20"/>
                <w:szCs w:val="20"/>
                <w:lang w:val="en-GB" w:eastAsia="en-US"/>
              </w:rPr>
            </w:pPr>
            <w:r w:rsidRPr="00FD691A">
              <w:rPr>
                <w:sz w:val="20"/>
                <w:szCs w:val="20"/>
                <w:lang w:val="en-GB" w:eastAsia="en-US"/>
              </w:rPr>
              <w:t>11,615</w:t>
            </w:r>
          </w:p>
        </w:tc>
        <w:tc>
          <w:tcPr>
            <w:tcW w:w="1124" w:type="dxa"/>
          </w:tcPr>
          <w:p w14:paraId="172D95EE" w14:textId="77777777" w:rsidR="000612E4" w:rsidRPr="00FD691A" w:rsidRDefault="000612E4" w:rsidP="000612E4">
            <w:pPr>
              <w:rPr>
                <w:sz w:val="20"/>
                <w:szCs w:val="20"/>
                <w:lang w:val="en-GB" w:eastAsia="en-US"/>
              </w:rPr>
            </w:pPr>
            <w:r w:rsidRPr="00FD691A">
              <w:rPr>
                <w:sz w:val="20"/>
                <w:szCs w:val="20"/>
                <w:lang w:val="en-GB" w:eastAsia="en-US"/>
              </w:rPr>
              <w:t>$167,040</w:t>
            </w:r>
          </w:p>
        </w:tc>
        <w:tc>
          <w:tcPr>
            <w:tcW w:w="1203" w:type="dxa"/>
          </w:tcPr>
          <w:p w14:paraId="4ADD7F29" w14:textId="77777777" w:rsidR="000612E4" w:rsidRPr="00FD691A" w:rsidRDefault="000612E4" w:rsidP="000612E4">
            <w:pPr>
              <w:rPr>
                <w:sz w:val="20"/>
                <w:szCs w:val="20"/>
                <w:lang w:val="en-GB" w:eastAsia="en-US"/>
              </w:rPr>
            </w:pPr>
            <w:r w:rsidRPr="00FD691A">
              <w:rPr>
                <w:sz w:val="20"/>
                <w:szCs w:val="20"/>
                <w:lang w:val="en-GB" w:eastAsia="en-US"/>
              </w:rPr>
              <w:t>23.0%</w:t>
            </w:r>
          </w:p>
        </w:tc>
      </w:tr>
      <w:tr w:rsidR="000612E4" w:rsidRPr="00FD691A" w14:paraId="60F8CAC1" w14:textId="77777777" w:rsidTr="00C75FBD">
        <w:tc>
          <w:tcPr>
            <w:tcW w:w="722" w:type="dxa"/>
          </w:tcPr>
          <w:p w14:paraId="5457A4FB" w14:textId="77777777" w:rsidR="000612E4" w:rsidRPr="00FD691A" w:rsidRDefault="000612E4" w:rsidP="000612E4">
            <w:pPr>
              <w:rPr>
                <w:sz w:val="20"/>
                <w:szCs w:val="20"/>
                <w:lang w:val="en-GB" w:eastAsia="en-US"/>
              </w:rPr>
            </w:pPr>
            <w:r w:rsidRPr="00FD691A">
              <w:rPr>
                <w:sz w:val="20"/>
                <w:szCs w:val="20"/>
                <w:lang w:val="en-GB" w:eastAsia="en-US"/>
              </w:rPr>
              <w:t>66557</w:t>
            </w:r>
          </w:p>
        </w:tc>
        <w:tc>
          <w:tcPr>
            <w:tcW w:w="4061" w:type="dxa"/>
          </w:tcPr>
          <w:p w14:paraId="416126E5" w14:textId="66D12FE5" w:rsidR="000612E4" w:rsidRPr="00FD691A" w:rsidRDefault="000612E4" w:rsidP="000612E4">
            <w:pPr>
              <w:rPr>
                <w:sz w:val="20"/>
                <w:szCs w:val="20"/>
                <w:lang w:val="en-GB" w:eastAsia="en-US"/>
              </w:rPr>
            </w:pPr>
            <w:r w:rsidRPr="00FD691A">
              <w:rPr>
                <w:sz w:val="20"/>
                <w:szCs w:val="20"/>
                <w:lang w:val="en-GB" w:eastAsia="en-US"/>
              </w:rPr>
              <w:t>Quantitation of fructosamine performed in the management of established diabetes – each test to a maximum of 4 tests in a 12</w:t>
            </w:r>
            <w:r w:rsidR="008172B8">
              <w:rPr>
                <w:sz w:val="20"/>
                <w:szCs w:val="20"/>
                <w:lang w:val="en-GB" w:eastAsia="en-US"/>
              </w:rPr>
              <w:t>-</w:t>
            </w:r>
            <w:r w:rsidRPr="00FD691A">
              <w:rPr>
                <w:sz w:val="20"/>
                <w:szCs w:val="20"/>
                <w:lang w:val="en-GB" w:eastAsia="en-US"/>
              </w:rPr>
              <w:t>month period. [1998]</w:t>
            </w:r>
          </w:p>
        </w:tc>
        <w:tc>
          <w:tcPr>
            <w:tcW w:w="923" w:type="dxa"/>
          </w:tcPr>
          <w:p w14:paraId="471E06BE" w14:textId="77777777" w:rsidR="000612E4" w:rsidRPr="00FD691A" w:rsidRDefault="000612E4" w:rsidP="000612E4">
            <w:pPr>
              <w:rPr>
                <w:sz w:val="20"/>
                <w:szCs w:val="20"/>
                <w:lang w:val="en-GB" w:eastAsia="en-US"/>
              </w:rPr>
            </w:pPr>
            <w:r w:rsidRPr="00FD691A">
              <w:rPr>
                <w:sz w:val="20"/>
                <w:szCs w:val="20"/>
                <w:lang w:val="en-GB" w:eastAsia="en-US"/>
              </w:rPr>
              <w:t>$9.70</w:t>
            </w:r>
          </w:p>
        </w:tc>
        <w:tc>
          <w:tcPr>
            <w:tcW w:w="1049" w:type="dxa"/>
          </w:tcPr>
          <w:p w14:paraId="65F581E9" w14:textId="77777777" w:rsidR="000612E4" w:rsidRPr="00FD691A" w:rsidRDefault="000612E4" w:rsidP="000612E4">
            <w:pPr>
              <w:rPr>
                <w:sz w:val="20"/>
                <w:szCs w:val="20"/>
                <w:lang w:val="en-GB" w:eastAsia="en-US"/>
              </w:rPr>
            </w:pPr>
            <w:r w:rsidRPr="00FD691A">
              <w:rPr>
                <w:sz w:val="20"/>
                <w:szCs w:val="20"/>
                <w:lang w:val="en-GB" w:eastAsia="en-US"/>
              </w:rPr>
              <w:t>14,741</w:t>
            </w:r>
          </w:p>
        </w:tc>
        <w:tc>
          <w:tcPr>
            <w:tcW w:w="1124" w:type="dxa"/>
          </w:tcPr>
          <w:p w14:paraId="1685AE26" w14:textId="77777777" w:rsidR="000612E4" w:rsidRPr="00FD691A" w:rsidRDefault="000612E4" w:rsidP="000612E4">
            <w:pPr>
              <w:rPr>
                <w:sz w:val="20"/>
                <w:szCs w:val="20"/>
                <w:lang w:val="en-GB" w:eastAsia="en-US"/>
              </w:rPr>
            </w:pPr>
            <w:r w:rsidRPr="00FD691A">
              <w:rPr>
                <w:sz w:val="20"/>
                <w:szCs w:val="20"/>
                <w:lang w:val="en-GB" w:eastAsia="en-US"/>
              </w:rPr>
              <w:t>$121,415</w:t>
            </w:r>
          </w:p>
        </w:tc>
        <w:tc>
          <w:tcPr>
            <w:tcW w:w="1203" w:type="dxa"/>
          </w:tcPr>
          <w:p w14:paraId="2176ADDD" w14:textId="702BDD2A" w:rsidR="000612E4" w:rsidRPr="00FD691A" w:rsidRDefault="008172B8" w:rsidP="000612E4">
            <w:pPr>
              <w:rPr>
                <w:sz w:val="20"/>
                <w:szCs w:val="20"/>
                <w:lang w:val="en-GB" w:eastAsia="en-US"/>
              </w:rPr>
            </w:pPr>
            <w:r>
              <w:rPr>
                <w:sz w:val="20"/>
                <w:szCs w:val="20"/>
                <w:lang w:val="en-GB" w:eastAsia="en-US"/>
              </w:rPr>
              <w:t>–</w:t>
            </w:r>
            <w:r w:rsidR="000612E4" w:rsidRPr="00FD691A">
              <w:rPr>
                <w:sz w:val="20"/>
                <w:szCs w:val="20"/>
                <w:lang w:val="en-GB" w:eastAsia="en-US"/>
              </w:rPr>
              <w:t>2.8%</w:t>
            </w:r>
          </w:p>
        </w:tc>
      </w:tr>
      <w:tr w:rsidR="000612E4" w:rsidRPr="00FD691A" w14:paraId="5AADCA91" w14:textId="77777777" w:rsidTr="00C75FBD">
        <w:tc>
          <w:tcPr>
            <w:tcW w:w="722" w:type="dxa"/>
          </w:tcPr>
          <w:p w14:paraId="4387354A" w14:textId="77777777" w:rsidR="000612E4" w:rsidRPr="00FD691A" w:rsidRDefault="000612E4" w:rsidP="000612E4">
            <w:pPr>
              <w:rPr>
                <w:sz w:val="20"/>
                <w:szCs w:val="20"/>
                <w:lang w:val="en-GB" w:eastAsia="en-US"/>
              </w:rPr>
            </w:pPr>
            <w:r w:rsidRPr="00FD691A">
              <w:rPr>
                <w:sz w:val="20"/>
                <w:szCs w:val="20"/>
                <w:lang w:val="en-GB" w:eastAsia="en-US"/>
              </w:rPr>
              <w:t>66841</w:t>
            </w:r>
          </w:p>
        </w:tc>
        <w:tc>
          <w:tcPr>
            <w:tcW w:w="4061" w:type="dxa"/>
            <w:vAlign w:val="center"/>
          </w:tcPr>
          <w:p w14:paraId="3514364B" w14:textId="77777777" w:rsidR="000612E4" w:rsidRPr="00FD691A" w:rsidRDefault="000612E4" w:rsidP="000612E4">
            <w:pPr>
              <w:rPr>
                <w:sz w:val="20"/>
                <w:szCs w:val="20"/>
                <w:lang w:val="en-GB" w:eastAsia="en-US"/>
              </w:rPr>
            </w:pPr>
            <w:r w:rsidRPr="00FD691A">
              <w:rPr>
                <w:sz w:val="20"/>
                <w:szCs w:val="20"/>
                <w:lang w:val="en-GB" w:eastAsia="en-US"/>
              </w:rPr>
              <w:t>Quantitation of HbA1c (glycated haemoglobin) performed for the diagnosis of diabetes in asymptomatic patients at high risk. (Item is subject to rule 25.) [2014]</w:t>
            </w:r>
          </w:p>
        </w:tc>
        <w:tc>
          <w:tcPr>
            <w:tcW w:w="923" w:type="dxa"/>
          </w:tcPr>
          <w:p w14:paraId="6373AFFD" w14:textId="77777777" w:rsidR="000612E4" w:rsidRPr="00FD691A" w:rsidRDefault="000612E4" w:rsidP="000612E4">
            <w:pPr>
              <w:rPr>
                <w:sz w:val="20"/>
                <w:szCs w:val="20"/>
                <w:lang w:val="en-GB" w:eastAsia="en-US"/>
              </w:rPr>
            </w:pPr>
            <w:r w:rsidRPr="00FD691A">
              <w:rPr>
                <w:sz w:val="20"/>
                <w:szCs w:val="20"/>
                <w:lang w:val="en-GB" w:eastAsia="en-US"/>
              </w:rPr>
              <w:t>$16.80</w:t>
            </w:r>
          </w:p>
        </w:tc>
        <w:tc>
          <w:tcPr>
            <w:tcW w:w="1049" w:type="dxa"/>
          </w:tcPr>
          <w:p w14:paraId="68336775" w14:textId="77777777" w:rsidR="000612E4" w:rsidRPr="00FD691A" w:rsidRDefault="000612E4" w:rsidP="000612E4">
            <w:pPr>
              <w:rPr>
                <w:sz w:val="20"/>
                <w:szCs w:val="20"/>
                <w:lang w:val="en-GB" w:eastAsia="en-US"/>
              </w:rPr>
            </w:pPr>
            <w:r w:rsidRPr="00FD691A">
              <w:rPr>
                <w:sz w:val="20"/>
                <w:szCs w:val="20"/>
                <w:lang w:val="en-GB" w:eastAsia="en-US"/>
              </w:rPr>
              <w:t>122,097</w:t>
            </w:r>
          </w:p>
        </w:tc>
        <w:tc>
          <w:tcPr>
            <w:tcW w:w="1124" w:type="dxa"/>
          </w:tcPr>
          <w:p w14:paraId="1714D896" w14:textId="77777777" w:rsidR="000612E4" w:rsidRPr="00FD691A" w:rsidRDefault="000612E4" w:rsidP="000612E4">
            <w:pPr>
              <w:rPr>
                <w:sz w:val="20"/>
                <w:szCs w:val="20"/>
                <w:lang w:val="en-GB" w:eastAsia="en-US"/>
              </w:rPr>
            </w:pPr>
            <w:r w:rsidRPr="00FD691A">
              <w:rPr>
                <w:sz w:val="20"/>
                <w:szCs w:val="20"/>
                <w:lang w:val="en-GB" w:eastAsia="en-US"/>
              </w:rPr>
              <w:t>$1,738,994</w:t>
            </w:r>
          </w:p>
        </w:tc>
        <w:tc>
          <w:tcPr>
            <w:tcW w:w="1203" w:type="dxa"/>
          </w:tcPr>
          <w:p w14:paraId="15C5A73F" w14:textId="77777777" w:rsidR="000612E4" w:rsidRPr="00FD691A" w:rsidRDefault="000612E4" w:rsidP="000612E4">
            <w:pPr>
              <w:rPr>
                <w:sz w:val="20"/>
                <w:szCs w:val="20"/>
                <w:lang w:val="en-GB" w:eastAsia="en-US"/>
              </w:rPr>
            </w:pPr>
            <w:r w:rsidRPr="00FD691A">
              <w:rPr>
                <w:sz w:val="20"/>
                <w:szCs w:val="20"/>
                <w:lang w:val="en-GB" w:eastAsia="en-US"/>
              </w:rPr>
              <w:t>N/A</w:t>
            </w:r>
          </w:p>
        </w:tc>
      </w:tr>
      <w:tr w:rsidR="000612E4" w:rsidRPr="00FD691A" w14:paraId="3CC4A7F5" w14:textId="77777777" w:rsidTr="00C75FBD">
        <w:tc>
          <w:tcPr>
            <w:tcW w:w="722" w:type="dxa"/>
          </w:tcPr>
          <w:p w14:paraId="5840FCBC" w14:textId="77777777" w:rsidR="000612E4" w:rsidRPr="00FD691A" w:rsidRDefault="000612E4" w:rsidP="000612E4">
            <w:pPr>
              <w:rPr>
                <w:sz w:val="20"/>
                <w:szCs w:val="20"/>
                <w:lang w:val="en-GB" w:eastAsia="en-US"/>
              </w:rPr>
            </w:pPr>
            <w:r w:rsidRPr="00FD691A">
              <w:rPr>
                <w:sz w:val="20"/>
                <w:szCs w:val="20"/>
                <w:lang w:val="en-GB" w:eastAsia="en-US"/>
              </w:rPr>
              <w:t>66560</w:t>
            </w:r>
          </w:p>
        </w:tc>
        <w:tc>
          <w:tcPr>
            <w:tcW w:w="4061" w:type="dxa"/>
          </w:tcPr>
          <w:p w14:paraId="502C8CE4" w14:textId="77777777" w:rsidR="000612E4" w:rsidRPr="00FD691A" w:rsidRDefault="000612E4" w:rsidP="000612E4">
            <w:pPr>
              <w:rPr>
                <w:sz w:val="20"/>
                <w:szCs w:val="20"/>
                <w:lang w:val="en-GB" w:eastAsia="en-US"/>
              </w:rPr>
            </w:pPr>
            <w:r w:rsidRPr="00FD691A">
              <w:rPr>
                <w:sz w:val="20"/>
                <w:szCs w:val="20"/>
                <w:lang w:val="en-GB" w:eastAsia="en-US"/>
              </w:rPr>
              <w:t>Microalbumin – quantitation in urine. [1998]</w:t>
            </w:r>
          </w:p>
        </w:tc>
        <w:tc>
          <w:tcPr>
            <w:tcW w:w="923" w:type="dxa"/>
          </w:tcPr>
          <w:p w14:paraId="5825E370" w14:textId="77777777" w:rsidR="000612E4" w:rsidRPr="00FD691A" w:rsidRDefault="000612E4" w:rsidP="000612E4">
            <w:pPr>
              <w:rPr>
                <w:sz w:val="20"/>
                <w:szCs w:val="20"/>
                <w:lang w:val="en-GB" w:eastAsia="en-US"/>
              </w:rPr>
            </w:pPr>
            <w:r w:rsidRPr="00FD691A">
              <w:rPr>
                <w:sz w:val="20"/>
                <w:szCs w:val="20"/>
                <w:lang w:val="en-GB" w:eastAsia="en-US"/>
              </w:rPr>
              <w:t>$20.10</w:t>
            </w:r>
          </w:p>
        </w:tc>
        <w:tc>
          <w:tcPr>
            <w:tcW w:w="1049" w:type="dxa"/>
          </w:tcPr>
          <w:p w14:paraId="40932D02" w14:textId="77777777" w:rsidR="000612E4" w:rsidRPr="00FD691A" w:rsidRDefault="000612E4" w:rsidP="000612E4">
            <w:pPr>
              <w:rPr>
                <w:sz w:val="20"/>
                <w:szCs w:val="20"/>
                <w:lang w:val="en-GB" w:eastAsia="en-US"/>
              </w:rPr>
            </w:pPr>
            <w:r w:rsidRPr="00FD691A">
              <w:rPr>
                <w:sz w:val="20"/>
                <w:szCs w:val="20"/>
                <w:lang w:val="en-GB" w:eastAsia="en-US"/>
              </w:rPr>
              <w:t>1,228,232</w:t>
            </w:r>
          </w:p>
        </w:tc>
        <w:tc>
          <w:tcPr>
            <w:tcW w:w="1124" w:type="dxa"/>
          </w:tcPr>
          <w:p w14:paraId="69328017" w14:textId="77777777" w:rsidR="000612E4" w:rsidRPr="00FD691A" w:rsidRDefault="000612E4" w:rsidP="000612E4">
            <w:pPr>
              <w:rPr>
                <w:sz w:val="20"/>
                <w:szCs w:val="20"/>
                <w:lang w:val="en-GB" w:eastAsia="en-US"/>
              </w:rPr>
            </w:pPr>
            <w:r w:rsidRPr="00FD691A">
              <w:rPr>
                <w:sz w:val="20"/>
                <w:szCs w:val="20"/>
                <w:lang w:val="en-GB" w:eastAsia="en-US"/>
              </w:rPr>
              <w:t>$21,032,232</w:t>
            </w:r>
          </w:p>
        </w:tc>
        <w:tc>
          <w:tcPr>
            <w:tcW w:w="1203" w:type="dxa"/>
          </w:tcPr>
          <w:p w14:paraId="5168CE71" w14:textId="77777777" w:rsidR="000612E4" w:rsidRPr="00FD691A" w:rsidRDefault="000612E4" w:rsidP="000612E4">
            <w:pPr>
              <w:rPr>
                <w:sz w:val="20"/>
                <w:szCs w:val="20"/>
                <w:lang w:val="en-GB" w:eastAsia="en-US"/>
              </w:rPr>
            </w:pPr>
            <w:r w:rsidRPr="00FD691A">
              <w:rPr>
                <w:sz w:val="20"/>
                <w:szCs w:val="20"/>
                <w:lang w:val="en-GB" w:eastAsia="en-US"/>
              </w:rPr>
              <w:t>6.9%</w:t>
            </w:r>
          </w:p>
        </w:tc>
      </w:tr>
    </w:tbl>
    <w:p w14:paraId="2DED134B" w14:textId="461E096D" w:rsidR="00C75FBD" w:rsidRPr="007C1C32" w:rsidRDefault="00C75FBD" w:rsidP="00AF11CA">
      <w:pPr>
        <w:pStyle w:val="03Tableundertext"/>
        <w:spacing w:after="0"/>
      </w:pPr>
      <w:r w:rsidRPr="0092015F">
        <w:rPr>
          <w:b/>
        </w:rPr>
        <w:t>Source: Department of Human Services, published data, date of processing.</w:t>
      </w:r>
    </w:p>
    <w:p w14:paraId="5F6C32DA" w14:textId="77777777" w:rsidR="007C00E1" w:rsidRPr="00DA4A23" w:rsidRDefault="000612E4" w:rsidP="00DA4A23">
      <w:pPr>
        <w:pStyle w:val="Heading3Numbered"/>
      </w:pPr>
      <w:bookmarkStart w:id="66" w:name="_Toc485296601"/>
      <w:r w:rsidRPr="000E347D">
        <w:t>Oral glucose tolerance and challenge tests: Items 66542, 66545 and 66548</w:t>
      </w:r>
      <w:bookmarkEnd w:id="66"/>
    </w:p>
    <w:p w14:paraId="54E7AEA9" w14:textId="77777777" w:rsidR="000612E4" w:rsidRDefault="000612E4" w:rsidP="000612E4">
      <w:pPr>
        <w:pStyle w:val="BodyText"/>
      </w:pPr>
      <w:r w:rsidRPr="000612E4">
        <w:t>The following observations have been made in regards to OGTT tests:</w:t>
      </w:r>
    </w:p>
    <w:p w14:paraId="57245E96" w14:textId="7A05C564" w:rsidR="000612E4" w:rsidRDefault="000612E4" w:rsidP="00965AE3">
      <w:pPr>
        <w:pStyle w:val="Bullet1"/>
      </w:pPr>
      <w:r w:rsidRPr="000612E4">
        <w:t xml:space="preserve">In </w:t>
      </w:r>
      <w:r w:rsidR="004A2B9A">
        <w:t xml:space="preserve">the </w:t>
      </w:r>
      <w:r w:rsidR="004A2B9A" w:rsidRPr="000612E4">
        <w:t>2014</w:t>
      </w:r>
      <w:r w:rsidR="004A2B9A">
        <w:t>–</w:t>
      </w:r>
      <w:r w:rsidRPr="000612E4">
        <w:t>15</w:t>
      </w:r>
      <w:r w:rsidR="004A2B9A">
        <w:t xml:space="preserve"> financial year</w:t>
      </w:r>
      <w:r w:rsidRPr="000612E4">
        <w:t xml:space="preserve"> a large number of OGTT diagnostic tests were performed on non-pregnant patients (292,000, or 61 per cent of OGTTs). While this figure has remained fairly constant looking at 2009–2015, declining by an average of only 0.2 per cent per year, it declined by 7</w:t>
      </w:r>
      <w:r w:rsidR="004A2B9A">
        <w:t xml:space="preserve"> per cent</w:t>
      </w:r>
      <w:r w:rsidR="004A2B9A" w:rsidRPr="000612E4">
        <w:t xml:space="preserve"> </w:t>
      </w:r>
      <w:r w:rsidRPr="000612E4">
        <w:t>in 2014</w:t>
      </w:r>
      <w:r w:rsidR="004A2B9A">
        <w:t>–</w:t>
      </w:r>
      <w:r w:rsidRPr="000612E4">
        <w:t>15 compared with 2013</w:t>
      </w:r>
      <w:r w:rsidR="004A2B9A">
        <w:t>–</w:t>
      </w:r>
      <w:r w:rsidRPr="000612E4">
        <w:t>14</w:t>
      </w:r>
      <w:r w:rsidR="004A2B9A">
        <w:t>,</w:t>
      </w:r>
      <w:r w:rsidRPr="000612E4">
        <w:t xml:space="preserve"> and a further 14</w:t>
      </w:r>
      <w:r w:rsidR="004A2B9A">
        <w:t xml:space="preserve"> per cent</w:t>
      </w:r>
      <w:r w:rsidR="004A2B9A" w:rsidRPr="000612E4">
        <w:t xml:space="preserve"> </w:t>
      </w:r>
      <w:r w:rsidRPr="000612E4">
        <w:t>in 2015</w:t>
      </w:r>
      <w:r w:rsidR="004A2B9A">
        <w:t>–</w:t>
      </w:r>
      <w:r w:rsidRPr="000612E4">
        <w:t xml:space="preserve">16 compared </w:t>
      </w:r>
      <w:r w:rsidR="004A2B9A">
        <w:t xml:space="preserve">with </w:t>
      </w:r>
      <w:r w:rsidRPr="000612E4">
        <w:t>2014</w:t>
      </w:r>
      <w:r w:rsidR="004A2B9A">
        <w:t>–</w:t>
      </w:r>
      <w:r w:rsidRPr="000612E4">
        <w:t>15 (251</w:t>
      </w:r>
      <w:r w:rsidR="001530FC">
        <w:t>,</w:t>
      </w:r>
      <w:r w:rsidRPr="000612E4">
        <w:t>250 tests).</w:t>
      </w:r>
      <w:r w:rsidR="00240E05" w:rsidRPr="000612E4">
        <w:fldChar w:fldCharType="begin"/>
      </w:r>
      <w:r w:rsidR="00877C64">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Data&lt;/title&gt;&lt;/titles&gt;&lt;dates&gt;&lt;year&gt;2016&lt;/year&gt;&lt;/dates&gt;&lt;urls&gt;&lt;/urls&gt;&lt;access-date&gt;26.10.2016&lt;/access-date&gt;&lt;/record&gt;&lt;/Cite&gt;&lt;Cite&gt;&lt;Author&gt;Department of Health&lt;/Author&gt;&lt;Year&gt;2016&lt;/Year&gt;&lt;RecNum&gt;16&lt;/RecNum&gt;&lt;record&gt;&lt;rec-number&gt;16&lt;/rec-number&gt;&lt;foreign-keys&gt;&lt;key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0612E4">
        <w:fldChar w:fldCharType="separate"/>
      </w:r>
      <w:r w:rsidR="00877C64" w:rsidRPr="00877C64">
        <w:rPr>
          <w:noProof/>
          <w:vertAlign w:val="superscript"/>
        </w:rPr>
        <w:t>8</w:t>
      </w:r>
      <w:r w:rsidR="00240E05" w:rsidRPr="000612E4">
        <w:fldChar w:fldCharType="end"/>
      </w:r>
      <w:r w:rsidRPr="000612E4">
        <w:t xml:space="preserve"> </w:t>
      </w:r>
      <w:r w:rsidR="004A2B9A">
        <w:br/>
      </w:r>
      <w:r w:rsidRPr="000612E4">
        <w:t>The overall use of OGTTs should continue to decrease, given that HbA</w:t>
      </w:r>
      <w:r w:rsidR="00240E05" w:rsidRPr="00445614">
        <w:t>1c</w:t>
      </w:r>
      <w:r w:rsidR="004A2B9A">
        <w:t xml:space="preserve"> </w:t>
      </w:r>
      <w:r w:rsidRPr="000612E4">
        <w:t>measurement is a more reliable test and simpler to perform. The large number of OGTT tests is most likely explained by low-value over testing, particularly in non-pregnant patients who do not have a clinical indication for the test and should undergo HbA</w:t>
      </w:r>
      <w:r w:rsidR="00240E05" w:rsidRPr="00445614">
        <w:t>1c</w:t>
      </w:r>
      <w:r w:rsidRPr="000612E4">
        <w:t xml:space="preserve"> measurement instead.</w:t>
      </w:r>
      <w:r w:rsidR="00240E05" w:rsidRPr="000612E4">
        <w:fldChar w:fldCharType="begin">
          <w:fldData xml:space="preserve">PEVuZE5vdGU+PENpdGU+PEF1dGhvcj5Db2xhZ2l1cmk8L0F1dGhvcj48WWVhcj4yMDE1PC9ZZWFy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dXN0cmFsaWE8L2FiYnItMT48L2FsdC1wZXJpb2RpY2FsPjxwYWdlcz43LTk8L3BhZ2VzPjx2b2x1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</w:fldData>
        </w:fldChar>
      </w:r>
      <w:r w:rsidR="00877C64">
        <w:instrText xml:space="preserve"> ADDIN EN.CITE </w:instrText>
      </w:r>
      <w:r w:rsidR="00877C64">
        <w:fldChar w:fldCharType="begin">
          <w:fldData xml:space="preserve">PEVuZE5vdGU+PENpdGU+PEF1dGhvcj5Db2xhZ2l1cmk8L0F1dGhvcj48WWVhcj4yMDE1PC9ZZWFy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</w:fldData>
        </w:fldChar>
      </w:r>
      <w:r w:rsidR="00877C64">
        <w:instrText xml:space="preserve"> ADDIN EN.CITE.DATA </w:instrText>
      </w:r>
      <w:r w:rsidR="00877C64">
        <w:fldChar w:fldCharType="end"/>
      </w:r>
      <w:r w:rsidR="00240E05" w:rsidRPr="000612E4">
        <w:fldChar w:fldCharType="separate"/>
      </w:r>
      <w:r w:rsidR="00877C64" w:rsidRPr="00877C64">
        <w:rPr>
          <w:noProof/>
          <w:vertAlign w:val="superscript"/>
        </w:rPr>
        <w:t>17-19</w:t>
      </w:r>
      <w:r w:rsidR="00240E05" w:rsidRPr="000612E4">
        <w:fldChar w:fldCharType="end"/>
      </w:r>
      <w:r w:rsidRPr="000612E4">
        <w:t xml:space="preserve"> The changes are designed to remind </w:t>
      </w:r>
      <w:r w:rsidR="0051059A">
        <w:t>requester</w:t>
      </w:r>
      <w:r w:rsidRPr="000612E4">
        <w:t>s and pathologists that for most patients HbA</w:t>
      </w:r>
      <w:r w:rsidR="004A2B9A" w:rsidRPr="00445614">
        <w:t>1c</w:t>
      </w:r>
      <w:r w:rsidRPr="000612E4">
        <w:t xml:space="preserve"> is the preferred diagnostic test. Given the inconvenience of the OGTT, there is an expectation that the number will rapidly decline in coming years.</w:t>
      </w:r>
    </w:p>
    <w:p w14:paraId="294D8E7D" w14:textId="29D5942C" w:rsidR="000612E4" w:rsidRPr="00DA4A23" w:rsidRDefault="00240E05" w:rsidP="00DA4A23">
      <w:pPr>
        <w:rPr>
          <w:b/>
        </w:rPr>
      </w:pPr>
      <w:r w:rsidRPr="00DA4A23">
        <w:rPr>
          <w:b/>
        </w:rPr>
        <w:t xml:space="preserve">Advice from </w:t>
      </w:r>
      <w:r w:rsidR="00B85B41" w:rsidRPr="00DA4A23">
        <w:rPr>
          <w:b/>
        </w:rPr>
        <w:t>Endocrinology</w:t>
      </w:r>
      <w:r w:rsidR="006E47CC" w:rsidRPr="00DA4A23">
        <w:rPr>
          <w:b/>
        </w:rPr>
        <w:t xml:space="preserve"> Clinical Committee</w:t>
      </w:r>
    </w:p>
    <w:p w14:paraId="1F601DC4" w14:textId="3786A683" w:rsidR="000612E4" w:rsidRDefault="000612E4" w:rsidP="000612E4">
      <w:pPr>
        <w:pStyle w:val="BodyText"/>
      </w:pPr>
      <w:r>
        <w:t xml:space="preserve">The </w:t>
      </w:r>
      <w:r w:rsidR="006E47CC">
        <w:rPr>
          <w:lang w:val="en-US"/>
        </w:rPr>
        <w:t>Endocrinology Clinical Committee</w:t>
      </w:r>
      <w:r w:rsidR="00E5655B">
        <w:rPr>
          <w:lang w:val="en-US"/>
        </w:rPr>
        <w:t xml:space="preserve"> </w:t>
      </w:r>
      <w:r>
        <w:t>proposed the following:</w:t>
      </w:r>
    </w:p>
    <w:p w14:paraId="45629F33" w14:textId="77777777" w:rsidR="000612E4" w:rsidRDefault="000612E4" w:rsidP="00965AE3">
      <w:pPr>
        <w:pStyle w:val="Bullet1"/>
      </w:pPr>
      <w:r>
        <w:t>Delete item 66545 and consolidate item 66548 under item 66542.</w:t>
      </w:r>
    </w:p>
    <w:p w14:paraId="73824DCD" w14:textId="03D6CDB1" w:rsidR="000612E4" w:rsidRDefault="000612E4" w:rsidP="00965AE3">
      <w:pPr>
        <w:pStyle w:val="Bullet1"/>
      </w:pPr>
      <w:r>
        <w:t xml:space="preserve">Change the item descriptor for item 66542 to include pregnant patients, and highlight that it should be used when measurement of HbA1c is unreliable. The proposed item descriptor for item 66542 is as follows: ‘Oral glucose tolerance test (OGTT) for the diagnosis of diabetes mellitus in patients who are pregnant or in whom measurement of HbA1c is unreliable. The OGTT includes: (a) administration of glucose; and (b) at least </w:t>
      </w:r>
      <w:r w:rsidR="004A2B9A">
        <w:t xml:space="preserve">two </w:t>
      </w:r>
      <w:r>
        <w:t>measurements of blood glucose; and (c) (if performed) any test described in item 66695.’</w:t>
      </w:r>
    </w:p>
    <w:p w14:paraId="68EFAF5A" w14:textId="2EFCEE12" w:rsidR="000612E4" w:rsidRPr="000612E4" w:rsidRDefault="000612E4" w:rsidP="00B65C81">
      <w:pPr>
        <w:pStyle w:val="Bullet1"/>
      </w:pPr>
      <w:r>
        <w:t xml:space="preserve">Add explanatory notes for item 66542 to provide guidance on when </w:t>
      </w:r>
      <w:r w:rsidR="004A2B9A">
        <w:t xml:space="preserve">an </w:t>
      </w:r>
      <w:r>
        <w:t xml:space="preserve">OGTT is appropriate. (Explanatory notes are not currently provided for this item.) The proposed explanatory notes are as follows: ‘OGTT in non-pregnant patients is indicated when diabetes is suspected despite a non-diagnostic HbA1c OR when HbA1c measurement is unreliable. Conditions </w:t>
      </w:r>
      <w:r w:rsidR="004A2B9A">
        <w:t xml:space="preserve">that </w:t>
      </w:r>
      <w:r>
        <w:t>may make HbA1c measurement unreliable include haemoglobinopathies, iron</w:t>
      </w:r>
      <w:r w:rsidR="004A2B9A">
        <w:t>-</w:t>
      </w:r>
      <w:r>
        <w:t>deficiency anaemia and severe illnesses that may shorten red cell lifespan</w:t>
      </w:r>
      <w:r w:rsidR="004A2B9A">
        <w:t>,</w:t>
      </w:r>
      <w:r>
        <w:t xml:space="preserve"> such as chronic renal impairment.’ Women with a history of gestational diabetes are recommended to have an OGTT 6–12 weeks </w:t>
      </w:r>
      <w:r w:rsidR="00216901">
        <w:t>postpartum</w:t>
      </w:r>
      <w:r>
        <w:t>.</w:t>
      </w:r>
    </w:p>
    <w:p w14:paraId="4E26EF87" w14:textId="77777777" w:rsidR="00252AC9" w:rsidRPr="00DA4A23" w:rsidRDefault="00252AC9" w:rsidP="00DA4A23">
      <w:pPr>
        <w:rPr>
          <w:b/>
        </w:rPr>
      </w:pPr>
      <w:bookmarkStart w:id="67" w:name="_Toc485295733"/>
      <w:r w:rsidRPr="00DA4A23">
        <w:rPr>
          <w:b/>
        </w:rPr>
        <w:t>Recommendation</w:t>
      </w:r>
      <w:r w:rsidR="00C51065" w:rsidRPr="00DA4A23">
        <w:rPr>
          <w:b/>
        </w:rPr>
        <w:t xml:space="preserve"> </w:t>
      </w:r>
      <w:r w:rsidR="000612E4" w:rsidRPr="00DA4A23">
        <w:rPr>
          <w:b/>
        </w:rPr>
        <w:t>4</w:t>
      </w:r>
      <w:bookmarkEnd w:id="67"/>
    </w:p>
    <w:p w14:paraId="46BFF418" w14:textId="7837754C" w:rsidR="000612E4" w:rsidRDefault="00D80F12" w:rsidP="00252AC9">
      <w:pPr>
        <w:rPr>
          <w:bCs/>
          <w:szCs w:val="22"/>
          <w:lang w:val="en-US"/>
        </w:rPr>
      </w:pPr>
      <w:r>
        <w:rPr>
          <w:bCs/>
          <w:szCs w:val="22"/>
          <w:lang w:val="en-US"/>
        </w:rPr>
        <w:t xml:space="preserve">The </w:t>
      </w:r>
      <w:r w:rsidR="00D17A1E" w:rsidRPr="00B84C4F">
        <w:rPr>
          <w:lang w:val="en-US"/>
        </w:rPr>
        <w:t xml:space="preserve">Pathology Clinical Committee </w:t>
      </w:r>
      <w:r w:rsidR="000612E4" w:rsidRPr="000612E4">
        <w:rPr>
          <w:bCs/>
          <w:szCs w:val="22"/>
          <w:lang w:val="en-US"/>
        </w:rPr>
        <w:t xml:space="preserve">provides the following advice and recommendations. </w:t>
      </w:r>
    </w:p>
    <w:p w14:paraId="4D0425B1" w14:textId="300568F2" w:rsidR="00F65FF2" w:rsidRPr="00F65FF2" w:rsidRDefault="00F65FF2" w:rsidP="00965AE3">
      <w:pPr>
        <w:pStyle w:val="Bullet1"/>
        <w:rPr>
          <w:lang w:val="en-US"/>
        </w:rPr>
      </w:pPr>
      <w:r w:rsidRPr="00F65FF2">
        <w:rPr>
          <w:lang w:val="en-US"/>
        </w:rPr>
        <w:t xml:space="preserve">The </w:t>
      </w:r>
      <w:r w:rsidR="00D80F12" w:rsidRPr="00B84C4F">
        <w:rPr>
          <w:lang w:val="en-US"/>
        </w:rPr>
        <w:t xml:space="preserve">Pathology Clinical </w:t>
      </w:r>
      <w:r w:rsidR="00D01B58" w:rsidRPr="00D01B58">
        <w:rPr>
          <w:lang w:val="en-US"/>
        </w:rPr>
        <w:t>Committee</w:t>
      </w:r>
      <w:r w:rsidRPr="00F65FF2">
        <w:rPr>
          <w:lang w:val="en-US"/>
        </w:rPr>
        <w:t xml:space="preserve"> supports the proposal to delete the oral glucose challenge test item 66545</w:t>
      </w:r>
      <w:r w:rsidR="002B0BC7">
        <w:rPr>
          <w:lang w:val="en-US"/>
        </w:rPr>
        <w:t>,</w:t>
      </w:r>
      <w:r w:rsidRPr="00F65FF2">
        <w:rPr>
          <w:lang w:val="en-US"/>
        </w:rPr>
        <w:t xml:space="preserve"> as this test no longer has a place in practice. The Working Group suggested that </w:t>
      </w:r>
      <w:r w:rsidR="0051059A">
        <w:rPr>
          <w:lang w:val="en-US"/>
        </w:rPr>
        <w:t>requester</w:t>
      </w:r>
      <w:r w:rsidRPr="00F65FF2">
        <w:rPr>
          <w:lang w:val="en-US"/>
        </w:rPr>
        <w:t>s and providers be provided with an adequate warning and lead time before the change is implemented.</w:t>
      </w:r>
    </w:p>
    <w:p w14:paraId="3326E380" w14:textId="0D49A107" w:rsidR="00F65FF2" w:rsidRPr="00F65FF2" w:rsidRDefault="00F65FF2" w:rsidP="00965AE3">
      <w:pPr>
        <w:pStyle w:val="Bullet1"/>
        <w:rPr>
          <w:lang w:val="en-US"/>
        </w:rPr>
      </w:pPr>
      <w:r w:rsidRPr="00F65FF2">
        <w:rPr>
          <w:lang w:val="en-US"/>
        </w:rPr>
        <w:t xml:space="preserve">The </w:t>
      </w:r>
      <w:r w:rsidR="00D80F12" w:rsidRPr="00B84C4F">
        <w:rPr>
          <w:lang w:val="en-US"/>
        </w:rPr>
        <w:t xml:space="preserve">Pathology Clinical </w:t>
      </w:r>
      <w:r w:rsidR="00D01B58" w:rsidRPr="00D01B58">
        <w:rPr>
          <w:lang w:val="en-US"/>
        </w:rPr>
        <w:t>Committee</w:t>
      </w:r>
      <w:r w:rsidRPr="00F65FF2">
        <w:rPr>
          <w:lang w:val="en-US"/>
        </w:rPr>
        <w:t xml:space="preserve"> recommends that item 66548 is not consolidated under item 66542</w:t>
      </w:r>
      <w:r w:rsidR="002B0BC7">
        <w:rPr>
          <w:lang w:val="en-US"/>
        </w:rPr>
        <w:t>,</w:t>
      </w:r>
      <w:r w:rsidRPr="00F65FF2">
        <w:rPr>
          <w:lang w:val="en-US"/>
        </w:rPr>
        <w:t xml:space="preserve"> as proposed by the </w:t>
      </w:r>
      <w:r w:rsidR="00B85B41">
        <w:rPr>
          <w:lang w:val="en-US"/>
        </w:rPr>
        <w:t>Endocrinology</w:t>
      </w:r>
      <w:r w:rsidR="006E47CC">
        <w:rPr>
          <w:lang w:val="en-US"/>
        </w:rPr>
        <w:t xml:space="preserve"> Clinical Committee</w:t>
      </w:r>
      <w:r w:rsidRPr="00F65FF2">
        <w:rPr>
          <w:lang w:val="en-US"/>
        </w:rPr>
        <w:t xml:space="preserve">. The </w:t>
      </w:r>
      <w:r w:rsidR="00D01B58" w:rsidRPr="00D01B58">
        <w:rPr>
          <w:lang w:val="en-US"/>
        </w:rPr>
        <w:t>Committee</w:t>
      </w:r>
      <w:r w:rsidRPr="00F65FF2">
        <w:rPr>
          <w:lang w:val="en-US"/>
        </w:rPr>
        <w:t xml:space="preserve"> suggests keeping the items 66548 and 66542 separate. In pregnancy (item 66548) there is a requirement for </w:t>
      </w:r>
      <w:r w:rsidR="002B0BC7">
        <w:rPr>
          <w:lang w:val="en-US"/>
        </w:rPr>
        <w:t>three</w:t>
      </w:r>
      <w:r w:rsidR="002B0BC7" w:rsidRPr="00F65FF2">
        <w:rPr>
          <w:lang w:val="en-US"/>
        </w:rPr>
        <w:t xml:space="preserve"> </w:t>
      </w:r>
      <w:r w:rsidRPr="00F65FF2">
        <w:rPr>
          <w:lang w:val="en-US"/>
        </w:rPr>
        <w:t>independent glucose levels, each of which can define gestational diabetes, while the glucose tolerance test in non-pregnant patient</w:t>
      </w:r>
      <w:r w:rsidR="008D0840">
        <w:rPr>
          <w:lang w:val="en-US"/>
        </w:rPr>
        <w:t>s</w:t>
      </w:r>
      <w:r w:rsidRPr="00F65FF2">
        <w:rPr>
          <w:lang w:val="en-US"/>
        </w:rPr>
        <w:t xml:space="preserve"> requires only </w:t>
      </w:r>
      <w:r w:rsidR="002B0BC7">
        <w:rPr>
          <w:lang w:val="en-US"/>
        </w:rPr>
        <w:t>two</w:t>
      </w:r>
      <w:r w:rsidR="002B0BC7" w:rsidRPr="00F65FF2">
        <w:rPr>
          <w:lang w:val="en-US"/>
        </w:rPr>
        <w:t xml:space="preserve"> </w:t>
      </w:r>
      <w:r w:rsidRPr="00F65FF2">
        <w:rPr>
          <w:lang w:val="en-US"/>
        </w:rPr>
        <w:t xml:space="preserve">measurements with different cut-off levels (item 66542). </w:t>
      </w:r>
    </w:p>
    <w:p w14:paraId="75F26410" w14:textId="5E5D7674" w:rsidR="00F65FF2" w:rsidRPr="00F65FF2" w:rsidRDefault="00F65FF2" w:rsidP="00B65C81">
      <w:pPr>
        <w:pStyle w:val="Bullet1"/>
        <w:rPr>
          <w:lang w:val="en-US"/>
        </w:rPr>
      </w:pPr>
      <w:r w:rsidRPr="00F65FF2">
        <w:rPr>
          <w:lang w:val="en-US"/>
        </w:rPr>
        <w:t xml:space="preserve">The </w:t>
      </w:r>
      <w:r w:rsidR="00D80F12" w:rsidRPr="00B84C4F">
        <w:rPr>
          <w:lang w:val="en-US"/>
        </w:rPr>
        <w:t xml:space="preserve">Pathology Clinical </w:t>
      </w:r>
      <w:r w:rsidR="00D01B58" w:rsidRPr="00D01B58">
        <w:rPr>
          <w:lang w:val="en-US"/>
        </w:rPr>
        <w:t>Committee</w:t>
      </w:r>
      <w:r w:rsidRPr="00F65FF2">
        <w:rPr>
          <w:lang w:val="en-US"/>
        </w:rPr>
        <w:t xml:space="preserve"> supports the </w:t>
      </w:r>
      <w:r w:rsidR="006E47CC">
        <w:rPr>
          <w:lang w:val="en-US"/>
        </w:rPr>
        <w:t>Endocrinology Clinical Committee</w:t>
      </w:r>
      <w:r w:rsidR="00D80F12">
        <w:rPr>
          <w:lang w:val="en-US"/>
        </w:rPr>
        <w:t xml:space="preserve"> </w:t>
      </w:r>
      <w:r w:rsidRPr="00F65FF2">
        <w:rPr>
          <w:lang w:val="en-US"/>
        </w:rPr>
        <w:t xml:space="preserve">recommendation that the descriptor for item 66542 be revised to include patients with conditions </w:t>
      </w:r>
      <w:r w:rsidR="002B0BC7">
        <w:rPr>
          <w:lang w:val="en-US"/>
        </w:rPr>
        <w:t xml:space="preserve">in which </w:t>
      </w:r>
      <w:r w:rsidRPr="00F65FF2">
        <w:rPr>
          <w:lang w:val="en-US"/>
        </w:rPr>
        <w:t>HbA</w:t>
      </w:r>
      <w:r w:rsidR="00240E05" w:rsidRPr="00983653">
        <w:rPr>
          <w:lang w:val="en-US"/>
        </w:rPr>
        <w:t>1c</w:t>
      </w:r>
      <w:r w:rsidRPr="00983653">
        <w:rPr>
          <w:lang w:val="en-US"/>
        </w:rPr>
        <w:t xml:space="preserve"> </w:t>
      </w:r>
      <w:r w:rsidRPr="00F65FF2">
        <w:rPr>
          <w:lang w:val="en-US"/>
        </w:rPr>
        <w:t xml:space="preserve">measurement is unreliable. </w:t>
      </w:r>
    </w:p>
    <w:p w14:paraId="3CFCA690" w14:textId="43A4DF5A" w:rsidR="000612E4" w:rsidRPr="000E347D" w:rsidRDefault="00F65FF2" w:rsidP="00DA4A23">
      <w:pPr>
        <w:pStyle w:val="Bullet1"/>
        <w:rPr>
          <w:lang w:val="en-US"/>
        </w:rPr>
      </w:pPr>
      <w:r w:rsidRPr="00F65FF2">
        <w:rPr>
          <w:lang w:val="en-US"/>
        </w:rPr>
        <w:t xml:space="preserve">The </w:t>
      </w:r>
      <w:r w:rsidR="00D80F12" w:rsidRPr="00B84C4F">
        <w:rPr>
          <w:lang w:val="en-US"/>
        </w:rPr>
        <w:t xml:space="preserve">Pathology Clinical </w:t>
      </w:r>
      <w:r w:rsidR="00D01B58" w:rsidRPr="00D01B58">
        <w:rPr>
          <w:lang w:val="en-US"/>
        </w:rPr>
        <w:t>Committee</w:t>
      </w:r>
      <w:r w:rsidRPr="00F65FF2">
        <w:rPr>
          <w:lang w:val="en-US"/>
        </w:rPr>
        <w:t xml:space="preserve"> supports the </w:t>
      </w:r>
      <w:r w:rsidR="006E47CC">
        <w:rPr>
          <w:lang w:val="en-US"/>
        </w:rPr>
        <w:t>Endocrinology Clinical Committee</w:t>
      </w:r>
      <w:r w:rsidR="00D80F12">
        <w:rPr>
          <w:lang w:val="en-US"/>
        </w:rPr>
        <w:t xml:space="preserve"> </w:t>
      </w:r>
      <w:r w:rsidRPr="00F65FF2">
        <w:rPr>
          <w:lang w:val="en-US"/>
        </w:rPr>
        <w:t xml:space="preserve">recommendation for complementary explanatory notes that provide more detail to </w:t>
      </w:r>
      <w:r w:rsidR="0051059A">
        <w:rPr>
          <w:lang w:val="en-US"/>
        </w:rPr>
        <w:t>requester</w:t>
      </w:r>
      <w:r w:rsidRPr="00F65FF2">
        <w:rPr>
          <w:lang w:val="en-US"/>
        </w:rPr>
        <w:t xml:space="preserve">s about the patient groups </w:t>
      </w:r>
      <w:r w:rsidR="002B0BC7">
        <w:rPr>
          <w:lang w:val="en-US"/>
        </w:rPr>
        <w:t xml:space="preserve">in which </w:t>
      </w:r>
      <w:r w:rsidRPr="00F65FF2">
        <w:rPr>
          <w:lang w:val="en-US"/>
        </w:rPr>
        <w:t>HbA</w:t>
      </w:r>
      <w:r w:rsidR="002B0BC7" w:rsidRPr="00983653">
        <w:rPr>
          <w:lang w:val="en-US"/>
        </w:rPr>
        <w:t>1c</w:t>
      </w:r>
      <w:r w:rsidRPr="00983653">
        <w:rPr>
          <w:lang w:val="en-US"/>
        </w:rPr>
        <w:t xml:space="preserve"> </w:t>
      </w:r>
      <w:r w:rsidRPr="00F65FF2">
        <w:rPr>
          <w:lang w:val="en-US"/>
        </w:rPr>
        <w:t>may be unreliable</w:t>
      </w:r>
      <w:r>
        <w:rPr>
          <w:lang w:val="en-US"/>
        </w:rPr>
        <w:t>.</w:t>
      </w:r>
    </w:p>
    <w:p w14:paraId="62083321" w14:textId="77777777" w:rsidR="00F65FF2" w:rsidRPr="00F65FF2" w:rsidRDefault="00F65FF2" w:rsidP="003744BA">
      <w:pPr>
        <w:pStyle w:val="Caption"/>
        <w:rPr>
          <w:lang w:val="en-US"/>
        </w:rPr>
      </w:pPr>
      <w:bookmarkStart w:id="68" w:name="_Toc472940501"/>
      <w:r>
        <w:rPr>
          <w:lang w:val="en-US"/>
        </w:rPr>
        <w:t xml:space="preserve">Table </w:t>
      </w:r>
      <w:r w:rsidR="00AD6C1A">
        <w:rPr>
          <w:lang w:val="en-US"/>
        </w:rPr>
        <w:t>9</w:t>
      </w:r>
      <w:r>
        <w:rPr>
          <w:lang w:val="en-US"/>
        </w:rPr>
        <w:t>: Current and proposed new item descriptor for item 66542</w:t>
      </w:r>
      <w:bookmarkEnd w:id="68"/>
    </w:p>
    <w:tbl>
      <w:tblPr>
        <w:tblStyle w:val="TableGrid"/>
        <w:tblW w:w="0" w:type="auto"/>
        <w:tblLook w:val="04A0" w:firstRow="1" w:lastRow="0" w:firstColumn="1" w:lastColumn="0" w:noHBand="0" w:noVBand="1"/>
        <w:tblCaption w:val="Current and proposed new item descriptor for item 66542"/>
        <w:tblDescription w:val="This table contains the current and proposed new item descriptor and explanatory notes for item 66542, OGTT. These item descriptors will appear on the Medicare Benefits Schedule."/>
      </w:tblPr>
      <w:tblGrid>
        <w:gridCol w:w="4494"/>
        <w:gridCol w:w="4522"/>
      </w:tblGrid>
      <w:tr w:rsidR="00F65FF2" w:rsidRPr="00FD691A" w14:paraId="4BF9A50C" w14:textId="77777777" w:rsidTr="002F5343">
        <w:trPr>
          <w:cantSplit/>
          <w:tblHeader/>
        </w:trPr>
        <w:tc>
          <w:tcPr>
            <w:tcW w:w="4494" w:type="dxa"/>
          </w:tcPr>
          <w:p w14:paraId="6F9E664E" w14:textId="77777777" w:rsidR="00F65FF2" w:rsidRPr="00FD691A" w:rsidRDefault="00F65FF2" w:rsidP="00F65FF2">
            <w:pPr>
              <w:rPr>
                <w:b/>
                <w:bCs/>
                <w:sz w:val="20"/>
                <w:szCs w:val="20"/>
                <w:lang w:val="en-US"/>
              </w:rPr>
            </w:pPr>
            <w:r w:rsidRPr="00FD691A">
              <w:rPr>
                <w:b/>
                <w:bCs/>
                <w:sz w:val="20"/>
                <w:szCs w:val="20"/>
                <w:lang w:val="en-US"/>
              </w:rPr>
              <w:t xml:space="preserve">Current item descriptor </w:t>
            </w:r>
          </w:p>
        </w:tc>
        <w:tc>
          <w:tcPr>
            <w:tcW w:w="4522" w:type="dxa"/>
          </w:tcPr>
          <w:p w14:paraId="2AC7BF10" w14:textId="77777777" w:rsidR="00F65FF2" w:rsidRPr="00FD691A" w:rsidRDefault="00F65FF2" w:rsidP="00F65FF2">
            <w:pPr>
              <w:rPr>
                <w:b/>
                <w:bCs/>
                <w:sz w:val="20"/>
                <w:szCs w:val="20"/>
                <w:lang w:val="en-US"/>
              </w:rPr>
            </w:pPr>
            <w:r w:rsidRPr="00FD691A">
              <w:rPr>
                <w:b/>
                <w:bCs/>
                <w:sz w:val="20"/>
                <w:szCs w:val="20"/>
                <w:lang w:val="en-US"/>
              </w:rPr>
              <w:t>Proposed new item descriptor</w:t>
            </w:r>
          </w:p>
        </w:tc>
      </w:tr>
      <w:tr w:rsidR="00F65FF2" w:rsidRPr="00FD691A" w14:paraId="247C776F" w14:textId="77777777" w:rsidTr="002F5343">
        <w:trPr>
          <w:cantSplit/>
          <w:tblHeader/>
        </w:trPr>
        <w:tc>
          <w:tcPr>
            <w:tcW w:w="4494" w:type="dxa"/>
          </w:tcPr>
          <w:p w14:paraId="433DAE34" w14:textId="77777777" w:rsidR="00F65FF2" w:rsidRPr="00FD691A" w:rsidRDefault="00F65FF2" w:rsidP="00F65FF2">
            <w:pPr>
              <w:rPr>
                <w:bCs/>
                <w:sz w:val="20"/>
                <w:szCs w:val="20"/>
              </w:rPr>
            </w:pPr>
            <w:r w:rsidRPr="00FD691A">
              <w:rPr>
                <w:bCs/>
                <w:sz w:val="20"/>
                <w:szCs w:val="20"/>
              </w:rPr>
              <w:t>Oral glucose tolerance test for the diagnosis of diabetes mellitus that includes:</w:t>
            </w:r>
            <w:r w:rsidRPr="00FD691A">
              <w:rPr>
                <w:bCs/>
                <w:sz w:val="20"/>
                <w:szCs w:val="20"/>
              </w:rPr>
              <w:br/>
              <w:t>(a) administration of glucose; and</w:t>
            </w:r>
            <w:r w:rsidRPr="00FD691A">
              <w:rPr>
                <w:bCs/>
                <w:sz w:val="20"/>
                <w:szCs w:val="20"/>
              </w:rPr>
              <w:br/>
              <w:t>(b) at least 2 measurements of blood glucose; and</w:t>
            </w:r>
            <w:r w:rsidRPr="00FD691A">
              <w:rPr>
                <w:bCs/>
                <w:sz w:val="20"/>
                <w:szCs w:val="20"/>
              </w:rPr>
              <w:br/>
              <w:t>(c) (if performed) any test described in item 66695.</w:t>
            </w:r>
          </w:p>
          <w:p w14:paraId="3050C97F" w14:textId="77777777" w:rsidR="00F65FF2" w:rsidRPr="00FD691A" w:rsidRDefault="00F65FF2" w:rsidP="00F65FF2">
            <w:pPr>
              <w:rPr>
                <w:bCs/>
                <w:sz w:val="20"/>
                <w:szCs w:val="20"/>
                <w:lang w:val="en-US"/>
              </w:rPr>
            </w:pPr>
          </w:p>
        </w:tc>
        <w:tc>
          <w:tcPr>
            <w:tcW w:w="4522" w:type="dxa"/>
          </w:tcPr>
          <w:p w14:paraId="264EE75A" w14:textId="41209DDE" w:rsidR="00F65FF2" w:rsidRPr="00FD691A" w:rsidRDefault="00F65FF2" w:rsidP="00F65FF2">
            <w:pPr>
              <w:rPr>
                <w:bCs/>
                <w:sz w:val="20"/>
                <w:szCs w:val="20"/>
              </w:rPr>
            </w:pPr>
            <w:r w:rsidRPr="00FD691A">
              <w:rPr>
                <w:bCs/>
                <w:sz w:val="20"/>
                <w:szCs w:val="20"/>
              </w:rPr>
              <w:t>Oral glucose tolerance test (OGTT) for the diagnosis of diabetes mellitus in patients in whom measurement of HbA1c is unreliable. The OGTT includes:</w:t>
            </w:r>
          </w:p>
          <w:p w14:paraId="3C0E35D9" w14:textId="77777777" w:rsidR="00F65FF2" w:rsidRPr="00FD691A" w:rsidRDefault="00F65FF2" w:rsidP="00F65FF2">
            <w:pPr>
              <w:rPr>
                <w:bCs/>
                <w:sz w:val="20"/>
                <w:szCs w:val="20"/>
              </w:rPr>
            </w:pPr>
            <w:r w:rsidRPr="00FD691A">
              <w:rPr>
                <w:bCs/>
                <w:sz w:val="20"/>
                <w:szCs w:val="20"/>
              </w:rPr>
              <w:t xml:space="preserve">(a) administration of glucose; and </w:t>
            </w:r>
          </w:p>
          <w:p w14:paraId="08348A9F" w14:textId="57C7D250" w:rsidR="00F65FF2" w:rsidRPr="00FD691A" w:rsidRDefault="00F65FF2" w:rsidP="00F65FF2">
            <w:pPr>
              <w:rPr>
                <w:bCs/>
                <w:sz w:val="20"/>
                <w:szCs w:val="20"/>
              </w:rPr>
            </w:pPr>
            <w:r w:rsidRPr="00FD691A">
              <w:rPr>
                <w:bCs/>
                <w:sz w:val="20"/>
                <w:szCs w:val="20"/>
              </w:rPr>
              <w:t xml:space="preserve">(b) at least </w:t>
            </w:r>
            <w:r w:rsidR="002B0BC7">
              <w:rPr>
                <w:bCs/>
                <w:sz w:val="20"/>
                <w:szCs w:val="20"/>
              </w:rPr>
              <w:t>two</w:t>
            </w:r>
            <w:r w:rsidR="002B0BC7" w:rsidRPr="00FD691A">
              <w:rPr>
                <w:bCs/>
                <w:sz w:val="20"/>
                <w:szCs w:val="20"/>
              </w:rPr>
              <w:t xml:space="preserve"> </w:t>
            </w:r>
            <w:r w:rsidRPr="00FD691A">
              <w:rPr>
                <w:bCs/>
                <w:sz w:val="20"/>
                <w:szCs w:val="20"/>
              </w:rPr>
              <w:t xml:space="preserve">measurements of blood glucose; and </w:t>
            </w:r>
          </w:p>
          <w:p w14:paraId="62B69F7F" w14:textId="77777777" w:rsidR="00F65FF2" w:rsidRPr="00FD691A" w:rsidRDefault="00F65FF2" w:rsidP="00F65FF2">
            <w:pPr>
              <w:rPr>
                <w:bCs/>
                <w:sz w:val="20"/>
                <w:szCs w:val="20"/>
              </w:rPr>
            </w:pPr>
            <w:r w:rsidRPr="00FD691A">
              <w:rPr>
                <w:bCs/>
                <w:sz w:val="20"/>
                <w:szCs w:val="20"/>
              </w:rPr>
              <w:t>(c) (if performed) any test described in item 66695.</w:t>
            </w:r>
          </w:p>
          <w:p w14:paraId="1311ABA6" w14:textId="27DC2746" w:rsidR="00F65FF2" w:rsidRPr="00FD691A" w:rsidRDefault="00F65FF2" w:rsidP="00F65FF2">
            <w:pPr>
              <w:rPr>
                <w:b/>
                <w:bCs/>
                <w:sz w:val="20"/>
                <w:szCs w:val="20"/>
              </w:rPr>
            </w:pPr>
            <w:r w:rsidRPr="00FD691A">
              <w:rPr>
                <w:b/>
                <w:bCs/>
                <w:sz w:val="20"/>
                <w:szCs w:val="20"/>
              </w:rPr>
              <w:t xml:space="preserve">Explanatory </w:t>
            </w:r>
            <w:r w:rsidR="0052373D">
              <w:rPr>
                <w:b/>
                <w:bCs/>
                <w:sz w:val="20"/>
                <w:szCs w:val="20"/>
              </w:rPr>
              <w:t>n</w:t>
            </w:r>
            <w:r w:rsidR="0052373D" w:rsidRPr="00FD691A">
              <w:rPr>
                <w:b/>
                <w:bCs/>
                <w:sz w:val="20"/>
                <w:szCs w:val="20"/>
              </w:rPr>
              <w:t>ote</w:t>
            </w:r>
          </w:p>
          <w:p w14:paraId="27F2B0FC" w14:textId="280F9EA7" w:rsidR="00F65FF2" w:rsidRPr="00FD691A" w:rsidRDefault="00F65FF2" w:rsidP="002B0BC7">
            <w:pPr>
              <w:rPr>
                <w:b/>
                <w:bCs/>
                <w:sz w:val="20"/>
                <w:szCs w:val="20"/>
                <w:lang w:val="en-US"/>
              </w:rPr>
            </w:pPr>
            <w:r w:rsidRPr="00FD691A">
              <w:rPr>
                <w:bCs/>
                <w:sz w:val="20"/>
                <w:szCs w:val="20"/>
              </w:rPr>
              <w:t xml:space="preserve">OGTT in non-pregnant patients is indicated when diabetes is suspected despite a non-diagnostic HbA1c or when HbA1c measurement is unreliable. Conditions </w:t>
            </w:r>
            <w:r w:rsidR="002B0BC7">
              <w:rPr>
                <w:bCs/>
                <w:sz w:val="20"/>
                <w:szCs w:val="20"/>
              </w:rPr>
              <w:t xml:space="preserve">that </w:t>
            </w:r>
            <w:r w:rsidRPr="00FD691A">
              <w:rPr>
                <w:bCs/>
                <w:sz w:val="20"/>
                <w:szCs w:val="20"/>
              </w:rPr>
              <w:t>may make HbA1c measurement unreliable include haemoglobinopathies, iron</w:t>
            </w:r>
            <w:r w:rsidR="002B0BC7">
              <w:rPr>
                <w:bCs/>
                <w:sz w:val="20"/>
                <w:szCs w:val="20"/>
              </w:rPr>
              <w:t>-</w:t>
            </w:r>
            <w:r w:rsidRPr="00FD691A">
              <w:rPr>
                <w:bCs/>
                <w:sz w:val="20"/>
                <w:szCs w:val="20"/>
              </w:rPr>
              <w:t>deficiency anaemia and illnesses that may shorten red</w:t>
            </w:r>
            <w:r w:rsidR="002B0BC7">
              <w:rPr>
                <w:bCs/>
                <w:sz w:val="20"/>
                <w:szCs w:val="20"/>
              </w:rPr>
              <w:t xml:space="preserve"> </w:t>
            </w:r>
            <w:r w:rsidRPr="00FD691A">
              <w:rPr>
                <w:bCs/>
                <w:sz w:val="20"/>
                <w:szCs w:val="20"/>
              </w:rPr>
              <w:t>cell lifespan</w:t>
            </w:r>
            <w:r w:rsidR="002B0BC7">
              <w:rPr>
                <w:bCs/>
                <w:sz w:val="20"/>
                <w:szCs w:val="20"/>
              </w:rPr>
              <w:t>,</w:t>
            </w:r>
            <w:r w:rsidRPr="00FD691A">
              <w:rPr>
                <w:bCs/>
                <w:sz w:val="20"/>
                <w:szCs w:val="20"/>
              </w:rPr>
              <w:t xml:space="preserve"> such as chronic renal impairment and haemolytic anaemia.</w:t>
            </w:r>
          </w:p>
        </w:tc>
      </w:tr>
    </w:tbl>
    <w:p w14:paraId="55FEA687" w14:textId="77777777" w:rsidR="00F65FF2" w:rsidRPr="00DA4A23" w:rsidRDefault="00F65FF2" w:rsidP="00DA4A23">
      <w:pPr>
        <w:rPr>
          <w:b/>
        </w:rPr>
      </w:pPr>
      <w:bookmarkStart w:id="69" w:name="_Toc485295734"/>
      <w:r w:rsidRPr="00DA4A23">
        <w:rPr>
          <w:b/>
        </w:rPr>
        <w:t>Rationale 4</w:t>
      </w:r>
      <w:bookmarkEnd w:id="69"/>
    </w:p>
    <w:p w14:paraId="254774A4" w14:textId="6AF94C20" w:rsidR="00F65FF2" w:rsidRPr="00F65FF2" w:rsidRDefault="007A14A4" w:rsidP="00F65FF2">
      <w:pPr>
        <w:rPr>
          <w:bCs/>
          <w:szCs w:val="22"/>
        </w:rPr>
      </w:pPr>
      <w:r>
        <w:rPr>
          <w:bCs/>
          <w:szCs w:val="22"/>
        </w:rPr>
        <w:t>I</w:t>
      </w:r>
      <w:r w:rsidRPr="00F65FF2">
        <w:rPr>
          <w:bCs/>
          <w:szCs w:val="22"/>
        </w:rPr>
        <w:t xml:space="preserve">n pregnancy </w:t>
      </w:r>
      <w:r>
        <w:rPr>
          <w:bCs/>
          <w:szCs w:val="22"/>
        </w:rPr>
        <w:t>t</w:t>
      </w:r>
      <w:r w:rsidRPr="00F65FF2">
        <w:rPr>
          <w:bCs/>
          <w:szCs w:val="22"/>
        </w:rPr>
        <w:t xml:space="preserve">he </w:t>
      </w:r>
      <w:r w:rsidR="00F65FF2" w:rsidRPr="00F65FF2">
        <w:rPr>
          <w:bCs/>
          <w:szCs w:val="22"/>
        </w:rPr>
        <w:t>glucose challenge test has been superseded by the full glucose tolerance test. This has been recommended by the Australian Diabetes in Pregnancy Society.</w:t>
      </w:r>
      <w:r w:rsidR="00240E05" w:rsidRPr="00F65FF2">
        <w:rPr>
          <w:bCs/>
          <w:szCs w:val="22"/>
        </w:rPr>
        <w:fldChar w:fldCharType="begin"/>
      </w:r>
      <w:r w:rsidR="00877C64">
        <w:rPr>
          <w:bCs/>
          <w:szCs w:val="22"/>
        </w:rPr>
        <w:instrText xml:space="preserve"> ADDIN EN.CITE &lt;EndNote&gt;&lt;Cite&gt;&lt;Author&gt;Nankervis&lt;/Author&gt;&lt;Year&gt;2014&lt;/Year&gt;&lt;RecNum&gt;10&lt;/RecNum&gt;&lt;DisplayText&gt;&lt;style face="superscript"&gt;20&lt;/style&gt;&lt;/DisplayText&gt;&lt;record&gt;&lt;rec-number&gt;10&lt;/rec-number&gt;&lt;foreign-keys&gt;&lt;key app="EN" db-id="dfs5xeapdpddpyexds6ppreypt5sp9spp2a5" timestamp="1475808390"&gt;10&lt;/key&gt;&lt;/foreign-keys&gt;&lt;ref-type name="Journal Article"&gt;17&lt;/ref-type&gt;&lt;contributors&gt;&lt;authors&gt;&lt;author&gt;Nankervis, A.&lt;/author&gt;&lt;author&gt;McIntyre, H.D.&lt;/author&gt;&lt;author&gt;Moses, R.&lt;/author&gt;&lt;author&gt;Ross, G.P.&lt;/author&gt;&lt;author&gt;Callaway, L.&lt;/author&gt;&lt;author&gt;Porter, C.&lt;/author&gt;&lt;author&gt;Jefferies, W.&lt;/author&gt;&lt;author&gt;Boorman, C.&lt;/author&gt;&lt;author&gt;De Vries, B.&lt;/author&gt;&lt;author&gt;McElduff, A.&lt;/author&gt;&lt;/authors&gt;&lt;/contributors&gt;&lt;titles&gt;&lt;title&gt;ADIP Consensus Guidelines for the Testing and Diagnosis of Hyperglycaema in Pregnancy in Australia and New Zealand&lt;/title&gt;&lt;secondary-title&gt;Australasian Diabetes in Pregnancy Society&lt;/secondary-title&gt;&lt;/titles&gt;&lt;periodical&gt;&lt;full-title&gt;Australasian Diabetes in Pregnancy Society&lt;/full-title&gt;&lt;/periodical&gt;&lt;pages&gt;1–8&lt;/pages&gt;&lt;dates&gt;&lt;year&gt;2014&lt;/year&gt;&lt;/dates&gt;&lt;urls&gt;&lt;/urls&gt;&lt;/record&gt;&lt;/Cite&gt;&lt;/EndNote&gt;</w:instrText>
      </w:r>
      <w:r w:rsidR="00240E05" w:rsidRPr="00F65FF2">
        <w:rPr>
          <w:bCs/>
          <w:szCs w:val="22"/>
        </w:rPr>
        <w:fldChar w:fldCharType="separate"/>
      </w:r>
      <w:r w:rsidR="00877C64" w:rsidRPr="00877C64">
        <w:rPr>
          <w:bCs/>
          <w:noProof/>
          <w:szCs w:val="22"/>
          <w:vertAlign w:val="superscript"/>
        </w:rPr>
        <w:t>20</w:t>
      </w:r>
      <w:r w:rsidR="00240E05" w:rsidRPr="00F65FF2">
        <w:rPr>
          <w:bCs/>
          <w:szCs w:val="22"/>
          <w:lang w:val="en-US"/>
        </w:rPr>
        <w:fldChar w:fldCharType="end"/>
      </w:r>
    </w:p>
    <w:p w14:paraId="41528B20" w14:textId="0CFF0E95" w:rsidR="000612E4" w:rsidRPr="00F65FF2" w:rsidRDefault="00F65FF2" w:rsidP="00252AC9">
      <w:pPr>
        <w:rPr>
          <w:bCs/>
          <w:szCs w:val="22"/>
        </w:rPr>
      </w:pPr>
      <w:r w:rsidRPr="00F65FF2">
        <w:rPr>
          <w:bCs/>
          <w:szCs w:val="22"/>
        </w:rPr>
        <w:t xml:space="preserve">While there are still recommendations by the RACGP that women with a history of gestational diabetes have an OGTT 6–12 weeks </w:t>
      </w:r>
      <w:r w:rsidR="00216901" w:rsidRPr="00F65FF2">
        <w:rPr>
          <w:bCs/>
          <w:szCs w:val="22"/>
        </w:rPr>
        <w:t>post</w:t>
      </w:r>
      <w:r w:rsidR="00216901">
        <w:rPr>
          <w:bCs/>
          <w:szCs w:val="22"/>
        </w:rPr>
        <w:t>p</w:t>
      </w:r>
      <w:r w:rsidR="00216901" w:rsidRPr="00F65FF2">
        <w:rPr>
          <w:bCs/>
          <w:szCs w:val="22"/>
        </w:rPr>
        <w:t>artum</w:t>
      </w:r>
      <w:r w:rsidRPr="00F65FF2">
        <w:rPr>
          <w:bCs/>
          <w:szCs w:val="22"/>
        </w:rPr>
        <w:t>,</w:t>
      </w:r>
      <w:r w:rsidR="00240E05" w:rsidRPr="00F65FF2">
        <w:rPr>
          <w:bCs/>
          <w:szCs w:val="22"/>
        </w:rPr>
        <w:fldChar w:fldCharType="begin"/>
      </w:r>
      <w:r w:rsidR="00877C64">
        <w:rPr>
          <w:bCs/>
          <w:szCs w:val="22"/>
        </w:rPr>
        <w:instrText xml:space="preserve"> ADDIN EN.CITE &lt;EndNote&gt;&lt;Cite&gt;&lt;Author&gt;Nankervis&lt;/Author&gt;&lt;Year&gt;2013&lt;/Year&gt;&lt;RecNum&gt;19&lt;/RecNum&gt;&lt;DisplayText&gt;&lt;style face="superscript"&gt;21&lt;/style&gt;&lt;/DisplayText&gt;&lt;record&gt;&lt;rec-number&gt;19&lt;/rec-number&gt;&lt;foreign-keys&gt;&lt;key app="EN" db-id="dfs5xeapdpddpyexds6ppreypt5sp9spp2a5" timestamp="1477440292"&gt;19&lt;/key&gt;&lt;/foreign-keys&gt;&lt;ref-type name="Journal Article"&gt;17&lt;/ref-type&gt;&lt;contributors&gt;&lt;authors&gt;&lt;author&gt;Nankervis, A.&lt;/author&gt;&lt;author&gt;Conn, J.&lt;/author&gt;&lt;/authors&gt;&lt;/contributors&gt;&lt;titles&gt;&lt;title&gt;Gestational diabetes mellitus Negotiating the confusion&lt;/title&gt;&lt;secondary-title&gt;Australian Family Physician&lt;/secondary-title&gt;&lt;/titles&gt;&lt;periodical&gt;&lt;full-title&gt;Australian Family Physician&lt;/full-title&gt;&lt;/periodical&gt;&lt;pages&gt;528-531&lt;/pages&gt;&lt;volume&gt;42&lt;/volume&gt;&lt;keywords&gt;&lt;keyword&gt;australian, family, physician, afp, 2013, august, diabetes, gestational, diagnosis, hyperglycaemia, pregnancy&lt;/keyword&gt;&lt;/keywords&gt;&lt;dates&gt;&lt;year&gt;2013&lt;/year&gt;&lt;/dates&gt;&lt;publisher&gt;The Royal Australian College of General Practitioners (RACGP)&lt;/publisher&gt;&lt;urls&gt;&lt;related-urls&gt;&lt;url&gt;http://www.racgp.org.au/afp/2013/august/gestational-diabetes-mellitus/&lt;/url&gt;&lt;/related-urls&gt;&lt;/urls&gt;&lt;/record&gt;&lt;/Cite&gt;&lt;/EndNote&gt;</w:instrText>
      </w:r>
      <w:r w:rsidR="00240E05" w:rsidRPr="00F65FF2">
        <w:rPr>
          <w:bCs/>
          <w:szCs w:val="22"/>
        </w:rPr>
        <w:fldChar w:fldCharType="separate"/>
      </w:r>
      <w:r w:rsidR="00877C64" w:rsidRPr="00877C64">
        <w:rPr>
          <w:bCs/>
          <w:noProof/>
          <w:szCs w:val="22"/>
          <w:vertAlign w:val="superscript"/>
        </w:rPr>
        <w:t>21</w:t>
      </w:r>
      <w:r w:rsidR="00240E05" w:rsidRPr="00F65FF2">
        <w:rPr>
          <w:bCs/>
          <w:szCs w:val="22"/>
          <w:lang w:val="en-US"/>
        </w:rPr>
        <w:fldChar w:fldCharType="end"/>
      </w:r>
      <w:r w:rsidRPr="00F65FF2">
        <w:rPr>
          <w:bCs/>
          <w:szCs w:val="22"/>
        </w:rPr>
        <w:t xml:space="preserve"> there is a recognition that a shift to </w:t>
      </w:r>
      <w:r w:rsidR="007C1C32">
        <w:t xml:space="preserve">HbA1c </w:t>
      </w:r>
      <w:r w:rsidRPr="00F65FF2">
        <w:rPr>
          <w:bCs/>
          <w:szCs w:val="22"/>
        </w:rPr>
        <w:t>might improve adherence with testing.</w:t>
      </w:r>
    </w:p>
    <w:p w14:paraId="16B01269" w14:textId="77777777" w:rsidR="00252AC9" w:rsidRPr="00DA4A23" w:rsidRDefault="00F65FF2" w:rsidP="00DA4A23">
      <w:pPr>
        <w:pStyle w:val="Heading3Numbered"/>
      </w:pPr>
      <w:bookmarkStart w:id="70" w:name="_Toc485296602"/>
      <w:r w:rsidRPr="000E347D">
        <w:t>Quantitation of glycated haemoglobin: Items 66551 and 66554</w:t>
      </w:r>
      <w:bookmarkEnd w:id="70"/>
    </w:p>
    <w:p w14:paraId="7BBEFA11" w14:textId="14A1B9E2" w:rsidR="00F65FF2" w:rsidRPr="00DA4A23" w:rsidRDefault="00240E05" w:rsidP="00DA4A23">
      <w:pPr>
        <w:rPr>
          <w:b/>
        </w:rPr>
      </w:pPr>
      <w:r w:rsidRPr="00DA4A23">
        <w:rPr>
          <w:b/>
        </w:rPr>
        <w:t xml:space="preserve">Advice from </w:t>
      </w:r>
      <w:r w:rsidR="004200CD" w:rsidRPr="00DA4A23">
        <w:rPr>
          <w:b/>
        </w:rPr>
        <w:t>Endocrinology Clinical Committee</w:t>
      </w:r>
    </w:p>
    <w:p w14:paraId="688C59A8" w14:textId="42C96AF0" w:rsidR="00F65FF2" w:rsidRDefault="00F65FF2" w:rsidP="00F65FF2">
      <w:pPr>
        <w:pStyle w:val="BodyText"/>
      </w:pPr>
      <w:r>
        <w:t xml:space="preserve">The </w:t>
      </w:r>
      <w:r w:rsidR="004200CD">
        <w:rPr>
          <w:lang w:val="en-US"/>
        </w:rPr>
        <w:t>Endocrinology Clinical Committee</w:t>
      </w:r>
      <w:r w:rsidR="00E5655B">
        <w:rPr>
          <w:lang w:val="en-US"/>
        </w:rPr>
        <w:t xml:space="preserve"> </w:t>
      </w:r>
      <w:r>
        <w:t>proposed the following:</w:t>
      </w:r>
    </w:p>
    <w:p w14:paraId="6B58690E" w14:textId="1F625E44" w:rsidR="00F65FF2" w:rsidRPr="003367CA" w:rsidRDefault="00F65FF2" w:rsidP="00965AE3">
      <w:pPr>
        <w:pStyle w:val="Bullet1"/>
      </w:pPr>
      <w:r w:rsidRPr="00F65FF2">
        <w:t xml:space="preserve">Change the item descriptors to explicitly include the maximum number of tests permitted under </w:t>
      </w:r>
      <w:r w:rsidR="00472D28">
        <w:t>r</w:t>
      </w:r>
      <w:r w:rsidRPr="00F65FF2">
        <w:t xml:space="preserve">ule 25, which is four tests in a 12-month period for item 66551 and six tests for pregnant patients under item 66554. For example, the proposed item descriptor for item 66551 is as follows: ‘Quantitation of glycated haemoglobin performed in the management of pre-existing diabetes; maximum </w:t>
      </w:r>
      <w:r w:rsidR="00EE15D7">
        <w:t>four</w:t>
      </w:r>
      <w:r w:rsidR="00EE15D7" w:rsidRPr="00F65FF2">
        <w:t xml:space="preserve"> </w:t>
      </w:r>
      <w:r w:rsidRPr="00F65FF2">
        <w:t>tests in a 12-month period (Item is subject to rule 25).’</w:t>
      </w:r>
    </w:p>
    <w:p w14:paraId="39C334EC" w14:textId="77777777" w:rsidR="00F65FF2" w:rsidRPr="00DA4A23" w:rsidRDefault="00F65FF2" w:rsidP="00DA4A23">
      <w:pPr>
        <w:rPr>
          <w:b/>
        </w:rPr>
      </w:pPr>
      <w:bookmarkStart w:id="71" w:name="_Toc485295735"/>
      <w:r w:rsidRPr="00DA4A23">
        <w:rPr>
          <w:b/>
        </w:rPr>
        <w:t>Recommendation 5</w:t>
      </w:r>
      <w:bookmarkEnd w:id="71"/>
    </w:p>
    <w:p w14:paraId="10D21EE0" w14:textId="6F25BF63" w:rsidR="00F65FF2" w:rsidRDefault="001B36A2" w:rsidP="00F65FF2">
      <w:pPr>
        <w:pStyle w:val="BodyText"/>
      </w:pPr>
      <w:r>
        <w:t>T</w:t>
      </w:r>
      <w:r w:rsidR="00F65FF2" w:rsidRPr="00F65FF2">
        <w:t>he</w:t>
      </w:r>
      <w:r w:rsidR="001530FC">
        <w:t xml:space="preserve"> </w:t>
      </w:r>
      <w:r w:rsidR="00D17A1E" w:rsidRPr="00B84C4F">
        <w:rPr>
          <w:lang w:val="en-US"/>
        </w:rPr>
        <w:t xml:space="preserve">Pathology Clinical Committee </w:t>
      </w:r>
      <w:r w:rsidR="00F65FF2" w:rsidRPr="00F65FF2">
        <w:t>provides the following advice and recommendations.</w:t>
      </w:r>
    </w:p>
    <w:p w14:paraId="67F72262" w14:textId="19C35338" w:rsidR="00F65FF2" w:rsidRPr="0074694D" w:rsidRDefault="00F65FF2" w:rsidP="00965AE3">
      <w:pPr>
        <w:pStyle w:val="Bullet1"/>
      </w:pPr>
      <w:r w:rsidRPr="00F65FF2">
        <w:t>The</w:t>
      </w:r>
      <w:r w:rsidR="001B36A2" w:rsidRPr="001B36A2">
        <w:rPr>
          <w:lang w:val="en-US"/>
        </w:rPr>
        <w:t xml:space="preserve"> </w:t>
      </w:r>
      <w:r w:rsidR="001B36A2" w:rsidRPr="00B84C4F">
        <w:rPr>
          <w:lang w:val="en-US"/>
        </w:rPr>
        <w:t>Pathology Clinical</w:t>
      </w:r>
      <w:r w:rsidRPr="00F65FF2">
        <w:t xml:space="preserve"> </w:t>
      </w:r>
      <w:r w:rsidR="00D01B58" w:rsidRPr="00D01B58">
        <w:t>Committee</w:t>
      </w:r>
      <w:r w:rsidRPr="00F65FF2">
        <w:t xml:space="preserve"> supports the proposal to change the item descriptor for items 66551 and 66554 by adding rule 25 that limits the number of tests in a 12-month period to four and six tests, respectively.</w:t>
      </w:r>
    </w:p>
    <w:p w14:paraId="0EEEED7C" w14:textId="77777777" w:rsidR="00F65FF2" w:rsidRPr="00DA4A23" w:rsidRDefault="00F65FF2" w:rsidP="00DA4A23">
      <w:pPr>
        <w:rPr>
          <w:b/>
        </w:rPr>
      </w:pPr>
      <w:bookmarkStart w:id="72" w:name="_Toc485295736"/>
      <w:r w:rsidRPr="00DA4A23">
        <w:rPr>
          <w:b/>
        </w:rPr>
        <w:t>Rationale 5</w:t>
      </w:r>
      <w:bookmarkEnd w:id="72"/>
    </w:p>
    <w:p w14:paraId="7F196664" w14:textId="15B1F28A" w:rsidR="00F65FF2" w:rsidRPr="00F65FF2" w:rsidRDefault="00F65FF2" w:rsidP="00F65FF2">
      <w:pPr>
        <w:pStyle w:val="BodyText"/>
      </w:pPr>
      <w:r w:rsidRPr="00F65FF2">
        <w:t xml:space="preserve">Rule 25 of the Health Insurance (Pathology Services Table) Regulation 2015, states that for any particular patient, item 66551 is used not more than four times in a 12-month period and item 66554 is used not more than six times in a 12-month period. The current item descriptor does not specify how many tests can be ordered in a 12-month period, and making this explicit in the item descriptor may assist </w:t>
      </w:r>
      <w:r w:rsidR="0051059A">
        <w:t>requester</w:t>
      </w:r>
      <w:r w:rsidRPr="00F65FF2">
        <w:t>s.</w:t>
      </w:r>
    </w:p>
    <w:p w14:paraId="0C79FAF3" w14:textId="77777777" w:rsidR="00F65FF2" w:rsidRPr="009662CD" w:rsidRDefault="00F65FF2" w:rsidP="00DA4A23">
      <w:pPr>
        <w:pStyle w:val="Heading3Numbered"/>
      </w:pPr>
      <w:bookmarkStart w:id="73" w:name="_Toc485296603"/>
      <w:r>
        <w:t xml:space="preserve">Quantitation of </w:t>
      </w:r>
      <w:r w:rsidRPr="000E347D">
        <w:t>glycated</w:t>
      </w:r>
      <w:r>
        <w:t xml:space="preserve"> haemoglobin: Item 66841</w:t>
      </w:r>
      <w:bookmarkEnd w:id="73"/>
    </w:p>
    <w:p w14:paraId="3E9CF00E" w14:textId="2209890F" w:rsidR="007C00E1" w:rsidRPr="00DA4A23" w:rsidRDefault="00240E05" w:rsidP="00DA4A23">
      <w:pPr>
        <w:rPr>
          <w:b/>
        </w:rPr>
      </w:pPr>
      <w:r w:rsidRPr="00DA4A23">
        <w:rPr>
          <w:b/>
        </w:rPr>
        <w:t xml:space="preserve">Advice from </w:t>
      </w:r>
      <w:r w:rsidR="00B85B41" w:rsidRPr="00DA4A23">
        <w:rPr>
          <w:b/>
        </w:rPr>
        <w:t>Endocrinology</w:t>
      </w:r>
      <w:r w:rsidR="006E47CC" w:rsidRPr="00DA4A23">
        <w:rPr>
          <w:b/>
        </w:rPr>
        <w:t xml:space="preserve"> Clinical Committee</w:t>
      </w:r>
    </w:p>
    <w:p w14:paraId="25B21045" w14:textId="1A1DAB44" w:rsidR="007C00E1" w:rsidRDefault="00FF7D21" w:rsidP="002F5343">
      <w:pPr>
        <w:pStyle w:val="BodyText"/>
      </w:pPr>
      <w:r>
        <w:t xml:space="preserve">The </w:t>
      </w:r>
      <w:r w:rsidR="006E47CC">
        <w:rPr>
          <w:lang w:val="en-US"/>
        </w:rPr>
        <w:t>Endocrinology Clinical Committee</w:t>
      </w:r>
      <w:r w:rsidR="00E5655B">
        <w:rPr>
          <w:lang w:val="en-US"/>
        </w:rPr>
        <w:t xml:space="preserve"> </w:t>
      </w:r>
      <w:r>
        <w:t>proposed the following:</w:t>
      </w:r>
    </w:p>
    <w:p w14:paraId="3B26EFF9" w14:textId="672BDEBD" w:rsidR="00FF7D21" w:rsidRDefault="00FF7D21" w:rsidP="00965AE3">
      <w:pPr>
        <w:pStyle w:val="Bullet1"/>
      </w:pPr>
      <w:r w:rsidRPr="00FF7D21">
        <w:t xml:space="preserve">Change the item descriptor to include specific indications for asymptomatic patients tested for diabetes mellitus, and change the maximum number of tests permitted in a 12-month period (under </w:t>
      </w:r>
      <w:r w:rsidR="00472D28">
        <w:t>r</w:t>
      </w:r>
      <w:r w:rsidRPr="00FF7D21">
        <w:t>ule 25) to two, including this explicitly in the item descriptor. The proposed item descriptor is as follows:</w:t>
      </w:r>
    </w:p>
    <w:p w14:paraId="5FD0F32E" w14:textId="58D88921" w:rsidR="00FF7D21" w:rsidRDefault="00FF7D21" w:rsidP="00FF7D21">
      <w:pPr>
        <w:pStyle w:val="Bullet2"/>
      </w:pPr>
      <w:r>
        <w:t>Quantitation of HbA</w:t>
      </w:r>
      <w:r w:rsidR="00240E05" w:rsidRPr="00983653">
        <w:rPr>
          <w:rFonts w:eastAsia="Times New Roman" w:cs="Times New Roman"/>
          <w:szCs w:val="24"/>
        </w:rPr>
        <w:t>1c</w:t>
      </w:r>
      <w:r>
        <w:t xml:space="preserve"> (glycated haemoglobin) performed for the diagnosis of diabetes mellitus in asymptomatic patients at high risk because of</w:t>
      </w:r>
      <w:r w:rsidR="00EE15D7">
        <w:t>:</w:t>
      </w:r>
    </w:p>
    <w:p w14:paraId="6E0E0FBD" w14:textId="77777777" w:rsidR="00FF7D21" w:rsidRPr="00FF7D21" w:rsidRDefault="00FF7D21" w:rsidP="00FF7D21">
      <w:pPr>
        <w:pStyle w:val="Bullet3"/>
        <w:rPr>
          <w:b w:val="0"/>
        </w:rPr>
      </w:pPr>
      <w:r w:rsidRPr="00FF7D21">
        <w:rPr>
          <w:b w:val="0"/>
        </w:rPr>
        <w:t xml:space="preserve">(i) a medical condition or ethnic background associated with high rates of diabetes mellitus, or </w:t>
      </w:r>
    </w:p>
    <w:p w14:paraId="2C7EB24F" w14:textId="63363862" w:rsidR="00FF7D21" w:rsidRPr="00FF7D21" w:rsidRDefault="00FF7D21" w:rsidP="00FF7D21">
      <w:pPr>
        <w:pStyle w:val="Bullet3"/>
        <w:rPr>
          <w:b w:val="0"/>
        </w:rPr>
      </w:pPr>
      <w:r w:rsidRPr="00FF7D21">
        <w:rPr>
          <w:b w:val="0"/>
        </w:rPr>
        <w:t xml:space="preserve">(ii) an Australian type 2 diabetes risk (AUSDRISK) score </w:t>
      </w:r>
      <w:r w:rsidR="00283359">
        <w:rPr>
          <w:b w:val="0"/>
        </w:rPr>
        <w:t>≥</w:t>
      </w:r>
      <w:r w:rsidRPr="00FF7D21">
        <w:rPr>
          <w:b w:val="0"/>
        </w:rPr>
        <w:t xml:space="preserve"> 12.</w:t>
      </w:r>
    </w:p>
    <w:p w14:paraId="138B42DD" w14:textId="3C38E1D0" w:rsidR="00FF7D21" w:rsidRPr="00FF7D21" w:rsidRDefault="00FF7D21" w:rsidP="00FF7D21">
      <w:pPr>
        <w:pStyle w:val="Bullet2"/>
      </w:pPr>
      <w:r>
        <w:t xml:space="preserve">Tests limited to </w:t>
      </w:r>
      <w:r w:rsidR="00EE15D7">
        <w:t xml:space="preserve">one </w:t>
      </w:r>
      <w:r>
        <w:t xml:space="preserve">test per year if result </w:t>
      </w:r>
      <w:r w:rsidR="00EE15D7">
        <w:t xml:space="preserve">is </w:t>
      </w:r>
      <w:r w:rsidR="00D95C0D">
        <w:t xml:space="preserve">&lt; </w:t>
      </w:r>
      <w:r w:rsidR="00EE15D7">
        <w:t>48 mmol/mol</w:t>
      </w:r>
      <w:r w:rsidR="00EE15D7" w:rsidDel="00EE15D7">
        <w:t xml:space="preserve"> </w:t>
      </w:r>
      <w:r>
        <w:t>(</w:t>
      </w:r>
      <w:r w:rsidR="00EE15D7">
        <w:t>6.5%</w:t>
      </w:r>
      <w:r>
        <w:t xml:space="preserve">). A second test can be ordered </w:t>
      </w:r>
      <w:r w:rsidR="00D95C0D">
        <w:t xml:space="preserve">to </w:t>
      </w:r>
      <w:r>
        <w:t xml:space="preserve">confirm the diagnosis of diabetes if the initial test is </w:t>
      </w:r>
      <w:r w:rsidR="00D95C0D">
        <w:t xml:space="preserve">≥ 48 mmol/mol </w:t>
      </w:r>
      <w:r>
        <w:t>(</w:t>
      </w:r>
      <w:r w:rsidR="00D95C0D">
        <w:t>6.5%</w:t>
      </w:r>
      <w:r>
        <w:t xml:space="preserve">). (Item is subject to rule 25; maximum </w:t>
      </w:r>
      <w:r w:rsidR="00D95C0D">
        <w:t xml:space="preserve">two </w:t>
      </w:r>
      <w:r>
        <w:t>tests</w:t>
      </w:r>
      <w:r w:rsidR="00D95C0D">
        <w:t xml:space="preserve"> per </w:t>
      </w:r>
      <w:r>
        <w:t>year.)</w:t>
      </w:r>
    </w:p>
    <w:p w14:paraId="6090DAAC" w14:textId="77777777" w:rsidR="00FF7D21" w:rsidRPr="00DA4A23" w:rsidRDefault="00FF7D21" w:rsidP="00DA4A23">
      <w:pPr>
        <w:rPr>
          <w:b/>
        </w:rPr>
      </w:pPr>
      <w:bookmarkStart w:id="74" w:name="_Toc485295737"/>
      <w:r w:rsidRPr="00DA4A23">
        <w:rPr>
          <w:b/>
        </w:rPr>
        <w:t>Recommendation 6</w:t>
      </w:r>
      <w:bookmarkEnd w:id="74"/>
    </w:p>
    <w:p w14:paraId="3021CFC7" w14:textId="7921C1A2" w:rsidR="00FF7D21" w:rsidRDefault="001B36A2" w:rsidP="00FF7D21">
      <w:pPr>
        <w:pStyle w:val="BodyText"/>
      </w:pPr>
      <w:r>
        <w:t>T</w:t>
      </w:r>
      <w:r w:rsidR="00FF7D21" w:rsidRPr="00FF7D21">
        <w:t xml:space="preserve">he </w:t>
      </w:r>
      <w:r w:rsidR="00D17A1E" w:rsidRPr="00B84C4F">
        <w:rPr>
          <w:lang w:val="en-US"/>
        </w:rPr>
        <w:t xml:space="preserve">Pathology Clinical Committee </w:t>
      </w:r>
      <w:r w:rsidR="00FF7D21" w:rsidRPr="00FF7D21">
        <w:t>provides the following advice and recommendations.</w:t>
      </w:r>
    </w:p>
    <w:p w14:paraId="1C2CD039" w14:textId="63A54D1A" w:rsidR="00FF7D21" w:rsidRDefault="00FF7D21" w:rsidP="00965AE3">
      <w:pPr>
        <w:pStyle w:val="Bullet1"/>
      </w:pPr>
      <w:r>
        <w:t xml:space="preserve">The </w:t>
      </w:r>
      <w:r w:rsidR="001B36A2" w:rsidRPr="00B84C4F">
        <w:rPr>
          <w:lang w:val="en-US"/>
        </w:rPr>
        <w:t xml:space="preserve">Pathology Clinical </w:t>
      </w:r>
      <w:r w:rsidR="00D01B58" w:rsidRPr="00D01B58">
        <w:t>Committee</w:t>
      </w:r>
      <w:r>
        <w:t xml:space="preserve"> supports the </w:t>
      </w:r>
      <w:r w:rsidR="006E47CC">
        <w:rPr>
          <w:lang w:val="en-US"/>
        </w:rPr>
        <w:t>Endocrinology Clinical Committee</w:t>
      </w:r>
      <w:r w:rsidR="00E5655B">
        <w:rPr>
          <w:lang w:val="en-US"/>
        </w:rPr>
        <w:t xml:space="preserve"> </w:t>
      </w:r>
      <w:r>
        <w:t xml:space="preserve">proposal to change the number of available tests from one to two in a 12-month period </w:t>
      </w:r>
      <w:r w:rsidR="00D95C0D">
        <w:t xml:space="preserve">when </w:t>
      </w:r>
      <w:r>
        <w:t>the test is used to confirm diagnosis when HbA</w:t>
      </w:r>
      <w:r w:rsidR="00240E05" w:rsidRPr="00983653">
        <w:t>1c</w:t>
      </w:r>
      <w:r>
        <w:t xml:space="preserve"> is </w:t>
      </w:r>
      <w:r w:rsidR="00D95C0D">
        <w:t>≥ 48 mmol/mol</w:t>
      </w:r>
      <w:r w:rsidR="00D95C0D" w:rsidDel="00D95C0D">
        <w:t xml:space="preserve"> </w:t>
      </w:r>
      <w:r>
        <w:t>(</w:t>
      </w:r>
      <w:r w:rsidR="00D95C0D">
        <w:t>6.5%</w:t>
      </w:r>
      <w:r>
        <w:t>).</w:t>
      </w:r>
    </w:p>
    <w:p w14:paraId="7E3CE6C1" w14:textId="5E392F04" w:rsidR="00FF7D21" w:rsidRDefault="00FF7D21" w:rsidP="00965AE3">
      <w:pPr>
        <w:pStyle w:val="Bullet1"/>
      </w:pPr>
      <w:r>
        <w:t xml:space="preserve">The </w:t>
      </w:r>
      <w:r w:rsidR="001B36A2" w:rsidRPr="00B84C4F">
        <w:rPr>
          <w:lang w:val="en-US"/>
        </w:rPr>
        <w:t xml:space="preserve">Pathology Clinical </w:t>
      </w:r>
      <w:r w:rsidR="00D01B58" w:rsidRPr="00D01B58">
        <w:t>Committee</w:t>
      </w:r>
      <w:r>
        <w:t xml:space="preserve"> recommends that the </w:t>
      </w:r>
      <w:r w:rsidR="00B85B41">
        <w:rPr>
          <w:lang w:val="en-US"/>
        </w:rPr>
        <w:t>Endocrinology Clinical Committee</w:t>
      </w:r>
      <w:r w:rsidR="00E5655B">
        <w:rPr>
          <w:lang w:val="en-US"/>
        </w:rPr>
        <w:t xml:space="preserve"> </w:t>
      </w:r>
      <w:r>
        <w:t>proposal to change the item descriptor for item 66841 to include specific indications for asymptomatic patients tested for diabetes mellitus be moved to the explanatory notes. The proposed wording</w:t>
      </w:r>
      <w:r w:rsidR="00D95C0D">
        <w:t xml:space="preserve"> is</w:t>
      </w:r>
      <w:r>
        <w:t xml:space="preserve">: </w:t>
      </w:r>
    </w:p>
    <w:p w14:paraId="016D8855" w14:textId="30F6DB65" w:rsidR="00FF7D21" w:rsidRDefault="00FF7D21" w:rsidP="00FF7D21">
      <w:pPr>
        <w:pStyle w:val="Bullet2"/>
      </w:pPr>
      <w:r>
        <w:t>Quantitation of HbA</w:t>
      </w:r>
      <w:r w:rsidR="00240E05" w:rsidRPr="00983653">
        <w:rPr>
          <w:rFonts w:eastAsia="Times New Roman" w:cs="Times New Roman"/>
          <w:szCs w:val="24"/>
        </w:rPr>
        <w:t>1c</w:t>
      </w:r>
      <w:r>
        <w:t xml:space="preserve"> is indicated in patients with</w:t>
      </w:r>
      <w:r w:rsidR="00D95C0D">
        <w:t>:</w:t>
      </w:r>
    </w:p>
    <w:p w14:paraId="6213CF10" w14:textId="77777777" w:rsidR="00FF7D21" w:rsidRDefault="00FF7D21" w:rsidP="00FF7D21">
      <w:pPr>
        <w:pStyle w:val="Bullet2"/>
      </w:pPr>
      <w:r>
        <w:t xml:space="preserve">(i) a medical condition or ethnic background associated with high rates of diabetes mellitus, or </w:t>
      </w:r>
    </w:p>
    <w:p w14:paraId="2CFB7CC5" w14:textId="2D860802" w:rsidR="00FF7D21" w:rsidRDefault="00FF7D21" w:rsidP="00FF7D21">
      <w:pPr>
        <w:pStyle w:val="Bullet2"/>
      </w:pPr>
      <w:r>
        <w:t xml:space="preserve">(ii) an Australian type 2 diabetes risk (AUSDRISK) score </w:t>
      </w:r>
      <w:r w:rsidR="00283359">
        <w:rPr>
          <w:b/>
        </w:rPr>
        <w:t xml:space="preserve">≥ </w:t>
      </w:r>
      <w:r>
        <w:t>12.</w:t>
      </w:r>
    </w:p>
    <w:p w14:paraId="46EE5C58" w14:textId="5D106B23" w:rsidR="00FF7D21" w:rsidRDefault="00FF7D21" w:rsidP="00965AE3">
      <w:pPr>
        <w:pStyle w:val="Bullet1"/>
      </w:pPr>
      <w:r w:rsidRPr="00FF7D21">
        <w:t xml:space="preserve">The </w:t>
      </w:r>
      <w:r w:rsidR="001B36A2" w:rsidRPr="00B84C4F">
        <w:rPr>
          <w:lang w:val="en-US"/>
        </w:rPr>
        <w:t xml:space="preserve">Pathology Clinical </w:t>
      </w:r>
      <w:r w:rsidR="00D01B58" w:rsidRPr="00D01B58">
        <w:t>Committee</w:t>
      </w:r>
      <w:r w:rsidRPr="00FF7D21">
        <w:t xml:space="preserve"> supports an education program aimed at </w:t>
      </w:r>
      <w:r w:rsidR="0051059A">
        <w:t>requester</w:t>
      </w:r>
      <w:r w:rsidRPr="00FF7D21">
        <w:t>s to help with the implementation of the changes to the item descriptor.</w:t>
      </w:r>
    </w:p>
    <w:p w14:paraId="41598073" w14:textId="77777777" w:rsidR="00B30B43" w:rsidRDefault="00B30B43">
      <w:pPr>
        <w:spacing w:before="0" w:after="0" w:line="240" w:lineRule="auto"/>
      </w:pPr>
      <w:r>
        <w:br w:type="page"/>
      </w:r>
    </w:p>
    <w:p w14:paraId="4C8B9BE0" w14:textId="77777777" w:rsidR="00FF7D21" w:rsidRPr="00FF7D21" w:rsidRDefault="00FF7D21" w:rsidP="003744BA">
      <w:pPr>
        <w:pStyle w:val="Caption"/>
        <w:rPr>
          <w:lang w:val="en-US"/>
        </w:rPr>
      </w:pPr>
      <w:bookmarkStart w:id="75" w:name="_Toc472940502"/>
      <w:r>
        <w:rPr>
          <w:lang w:val="en-US"/>
        </w:rPr>
        <w:t xml:space="preserve">Table </w:t>
      </w:r>
      <w:r w:rsidR="00AD6C1A">
        <w:rPr>
          <w:lang w:val="en-US"/>
        </w:rPr>
        <w:t>10</w:t>
      </w:r>
      <w:r>
        <w:rPr>
          <w:lang w:val="en-US"/>
        </w:rPr>
        <w:t>: Current and proposed new item descriptor for item 66841</w:t>
      </w:r>
      <w:bookmarkEnd w:id="75"/>
    </w:p>
    <w:tbl>
      <w:tblPr>
        <w:tblStyle w:val="TableGrid"/>
        <w:tblW w:w="0" w:type="auto"/>
        <w:tblLook w:val="04A0" w:firstRow="1" w:lastRow="0" w:firstColumn="1" w:lastColumn="0" w:noHBand="0" w:noVBand="1"/>
        <w:tblCaption w:val="Current and proposed new item descriptor for item 66841"/>
        <w:tblDescription w:val="This table contains the current and proposed new item descriptor and explanatory notes for item 66841, quantitation of glycated haemoglobin (HbA1c). These item descriptors will appear on the Medicare Benefits Schedule."/>
      </w:tblPr>
      <w:tblGrid>
        <w:gridCol w:w="4506"/>
        <w:gridCol w:w="4510"/>
      </w:tblGrid>
      <w:tr w:rsidR="00FF7D21" w:rsidRPr="00FF7D21" w14:paraId="5A1D265B" w14:textId="77777777" w:rsidTr="002F5343">
        <w:trPr>
          <w:cantSplit/>
          <w:tblHeader/>
        </w:trPr>
        <w:tc>
          <w:tcPr>
            <w:tcW w:w="4621" w:type="dxa"/>
          </w:tcPr>
          <w:p w14:paraId="22E7BD70" w14:textId="77777777" w:rsidR="00FF7D21" w:rsidRPr="00FF7D21" w:rsidRDefault="00FF7D21" w:rsidP="00FF7D21">
            <w:pPr>
              <w:spacing w:before="0" w:after="0" w:line="240" w:lineRule="auto"/>
              <w:rPr>
                <w:b/>
                <w:bCs/>
                <w:lang w:val="en-US"/>
              </w:rPr>
            </w:pPr>
            <w:r w:rsidRPr="00FF7D21">
              <w:rPr>
                <w:b/>
                <w:bCs/>
                <w:lang w:val="en-US"/>
              </w:rPr>
              <w:t>Current item descriptor</w:t>
            </w:r>
          </w:p>
        </w:tc>
        <w:tc>
          <w:tcPr>
            <w:tcW w:w="4621" w:type="dxa"/>
          </w:tcPr>
          <w:p w14:paraId="2F5B3C18" w14:textId="77777777" w:rsidR="00FF7D21" w:rsidRPr="00FF7D21" w:rsidRDefault="00FF7D21" w:rsidP="00FF7D21">
            <w:pPr>
              <w:spacing w:before="0" w:after="0" w:line="240" w:lineRule="auto"/>
              <w:rPr>
                <w:b/>
                <w:bCs/>
                <w:lang w:val="en-US"/>
              </w:rPr>
            </w:pPr>
            <w:r w:rsidRPr="00FF7D21">
              <w:rPr>
                <w:b/>
                <w:bCs/>
                <w:lang w:val="en-US"/>
              </w:rPr>
              <w:t>Proposed new item descriptor</w:t>
            </w:r>
          </w:p>
        </w:tc>
      </w:tr>
      <w:tr w:rsidR="00FF7D21" w:rsidRPr="00FF7D21" w14:paraId="6810FEA4" w14:textId="77777777" w:rsidTr="002F5343">
        <w:trPr>
          <w:cantSplit/>
          <w:tblHeader/>
        </w:trPr>
        <w:tc>
          <w:tcPr>
            <w:tcW w:w="4621" w:type="dxa"/>
          </w:tcPr>
          <w:p w14:paraId="2B554F65" w14:textId="77777777" w:rsidR="00FF7D21" w:rsidRPr="00FF7D21" w:rsidRDefault="00FF7D21" w:rsidP="00983653">
            <w:pPr>
              <w:pStyle w:val="BodyText"/>
              <w:rPr>
                <w:bCs/>
                <w:lang w:val="en-US"/>
              </w:rPr>
            </w:pPr>
            <w:r w:rsidRPr="00FF7D21">
              <w:rPr>
                <w:lang w:val="en-GB"/>
              </w:rPr>
              <w:t xml:space="preserve">Quantitation of HbA1c (glycated haemoglobin) performed for the diagnosis of diabetes in asymptomatic patients at high risk. (Item is subject to rule 25.) </w:t>
            </w:r>
          </w:p>
        </w:tc>
        <w:tc>
          <w:tcPr>
            <w:tcW w:w="4621" w:type="dxa"/>
          </w:tcPr>
          <w:p w14:paraId="02D3A379" w14:textId="34A8EAA1" w:rsidR="00FF7D21" w:rsidRPr="00FF7D21" w:rsidRDefault="00FF7D21" w:rsidP="00983653">
            <w:pPr>
              <w:pStyle w:val="BodyText"/>
              <w:rPr>
                <w:lang w:val="en-GB"/>
              </w:rPr>
            </w:pPr>
            <w:r w:rsidRPr="00FF7D21">
              <w:rPr>
                <w:lang w:val="en-GB"/>
              </w:rPr>
              <w:t xml:space="preserve">Quantitation of </w:t>
            </w:r>
            <w:r w:rsidR="00283359" w:rsidRPr="00FF7D21">
              <w:rPr>
                <w:lang w:val="en-GB"/>
              </w:rPr>
              <w:t>glycated haemoglobin</w:t>
            </w:r>
            <w:r w:rsidR="00283359" w:rsidRPr="00FF7D21" w:rsidDel="00283359">
              <w:rPr>
                <w:lang w:val="en-GB"/>
              </w:rPr>
              <w:t xml:space="preserve"> </w:t>
            </w:r>
            <w:r w:rsidRPr="00FF7D21">
              <w:rPr>
                <w:lang w:val="en-GB"/>
              </w:rPr>
              <w:t>(</w:t>
            </w:r>
            <w:r w:rsidR="00283359" w:rsidRPr="00FF7D21">
              <w:rPr>
                <w:lang w:val="en-GB"/>
              </w:rPr>
              <w:t>HbA</w:t>
            </w:r>
            <w:r w:rsidR="00283359" w:rsidRPr="00082219">
              <w:rPr>
                <w:lang w:val="en-GB"/>
              </w:rPr>
              <w:t>1c</w:t>
            </w:r>
            <w:r w:rsidRPr="00FF7D21">
              <w:rPr>
                <w:lang w:val="en-GB"/>
              </w:rPr>
              <w:t xml:space="preserve">) performed for the diagnosis of diabetes in asymptomatic patients at increased risk. </w:t>
            </w:r>
          </w:p>
          <w:p w14:paraId="0C32FAE7" w14:textId="7238B7B6" w:rsidR="00FF7D21" w:rsidRPr="00FF7D21" w:rsidRDefault="00FF7D21" w:rsidP="00983653">
            <w:pPr>
              <w:pStyle w:val="BodyText"/>
            </w:pPr>
            <w:r w:rsidRPr="00FF7D21">
              <w:t xml:space="preserve">Tests limited to </w:t>
            </w:r>
            <w:r w:rsidR="00283359">
              <w:t>one</w:t>
            </w:r>
            <w:r w:rsidR="00283359" w:rsidRPr="00FF7D21">
              <w:t xml:space="preserve"> </w:t>
            </w:r>
            <w:r w:rsidRPr="00FF7D21">
              <w:t xml:space="preserve">test per year if result </w:t>
            </w:r>
            <w:r w:rsidR="00283359">
              <w:t xml:space="preserve">is </w:t>
            </w:r>
            <w:r w:rsidR="00283359" w:rsidRPr="00FF7D21">
              <w:t>&lt;</w:t>
            </w:r>
            <w:r w:rsidR="00283359">
              <w:t> </w:t>
            </w:r>
            <w:r w:rsidR="00283359" w:rsidRPr="00FF7D21">
              <w:t>48</w:t>
            </w:r>
            <w:r w:rsidR="00283359">
              <w:t> </w:t>
            </w:r>
            <w:r w:rsidR="00283359" w:rsidRPr="00FF7D21">
              <w:t xml:space="preserve">mmol/mol </w:t>
            </w:r>
            <w:r w:rsidRPr="00FF7D21">
              <w:t>(</w:t>
            </w:r>
            <w:r w:rsidR="00283359" w:rsidRPr="00FF7D21">
              <w:t>6.5%</w:t>
            </w:r>
            <w:r w:rsidRPr="00FF7D21">
              <w:t xml:space="preserve">). A second test can be performed for confirmation of the diagnosis of diabetes if the initial result is ≥ </w:t>
            </w:r>
            <w:r w:rsidR="00283359" w:rsidRPr="00FF7D21">
              <w:t>48 mmol/mol</w:t>
            </w:r>
            <w:r w:rsidR="00283359" w:rsidRPr="00FF7D21" w:rsidDel="00283359">
              <w:t xml:space="preserve"> </w:t>
            </w:r>
            <w:r w:rsidRPr="00FF7D21">
              <w:t>(</w:t>
            </w:r>
            <w:r w:rsidR="00283359" w:rsidRPr="00FF7D21">
              <w:t>6.5%</w:t>
            </w:r>
            <w:r w:rsidRPr="00FF7D21">
              <w:t xml:space="preserve">). (Item is subject to rule 25; maximum </w:t>
            </w:r>
            <w:r w:rsidR="00283359">
              <w:t>two</w:t>
            </w:r>
            <w:r w:rsidR="00283359" w:rsidRPr="00FF7D21">
              <w:t xml:space="preserve"> </w:t>
            </w:r>
            <w:r w:rsidRPr="00FF7D21">
              <w:t>tests</w:t>
            </w:r>
            <w:r w:rsidR="00283359">
              <w:t xml:space="preserve"> per </w:t>
            </w:r>
            <w:r w:rsidRPr="00FF7D21">
              <w:t>year.)</w:t>
            </w:r>
          </w:p>
          <w:p w14:paraId="1AD02E43" w14:textId="04ECC42C" w:rsidR="00FF7D21" w:rsidRPr="00FF7D21" w:rsidRDefault="00FF7D21" w:rsidP="00FF7D21">
            <w:pPr>
              <w:spacing w:before="0" w:after="0" w:line="240" w:lineRule="auto"/>
              <w:rPr>
                <w:b/>
              </w:rPr>
            </w:pPr>
            <w:r w:rsidRPr="00FF7D21">
              <w:rPr>
                <w:b/>
              </w:rPr>
              <w:t xml:space="preserve">Explanatory </w:t>
            </w:r>
            <w:r w:rsidR="0052373D">
              <w:rPr>
                <w:b/>
              </w:rPr>
              <w:t>n</w:t>
            </w:r>
            <w:r w:rsidR="0052373D" w:rsidRPr="00FF7D21">
              <w:rPr>
                <w:b/>
              </w:rPr>
              <w:t>ote</w:t>
            </w:r>
          </w:p>
          <w:p w14:paraId="3F8B8F9B" w14:textId="000563CD" w:rsidR="00FF7D21" w:rsidRPr="00FF7D21" w:rsidRDefault="00FF7D21" w:rsidP="00983653">
            <w:pPr>
              <w:pStyle w:val="BodyText"/>
              <w:rPr>
                <w:lang w:val="en-GB"/>
              </w:rPr>
            </w:pPr>
            <w:r w:rsidRPr="00FF7D21">
              <w:rPr>
                <w:lang w:val="en-GB"/>
              </w:rPr>
              <w:t>Quantitation of HbA</w:t>
            </w:r>
            <w:r w:rsidR="00240E05" w:rsidRPr="00082219">
              <w:rPr>
                <w:lang w:val="en-GB"/>
              </w:rPr>
              <w:t>1c</w:t>
            </w:r>
            <w:r w:rsidRPr="00FF7D21">
              <w:rPr>
                <w:lang w:val="en-GB"/>
              </w:rPr>
              <w:t xml:space="preserve"> is indicated in patients </w:t>
            </w:r>
            <w:r w:rsidR="00283359" w:rsidRPr="00FF7D21">
              <w:rPr>
                <w:lang w:val="en-GB"/>
              </w:rPr>
              <w:t>with</w:t>
            </w:r>
            <w:r w:rsidR="00283359">
              <w:rPr>
                <w:lang w:val="en-GB"/>
              </w:rPr>
              <w:t>:</w:t>
            </w:r>
            <w:r w:rsidRPr="00FF7D21">
              <w:rPr>
                <w:lang w:val="en-GB"/>
              </w:rPr>
              <w:br/>
              <w:t xml:space="preserve">(i) a medical condition or ethnic background associated with high rates of diabetes mellitus, or </w:t>
            </w:r>
            <w:r w:rsidRPr="00FF7D21">
              <w:rPr>
                <w:lang w:val="en-GB"/>
              </w:rPr>
              <w:br/>
              <w:t xml:space="preserve">(ii) an Australian type 2 diabetes risk (AUSDRISK) score </w:t>
            </w:r>
            <w:r w:rsidR="00C820B5">
              <w:rPr>
                <w:b/>
              </w:rPr>
              <w:t>≥</w:t>
            </w:r>
            <w:r w:rsidRPr="00FF7D21">
              <w:rPr>
                <w:lang w:val="en-GB"/>
              </w:rPr>
              <w:t xml:space="preserve"> 12.</w:t>
            </w:r>
          </w:p>
        </w:tc>
      </w:tr>
    </w:tbl>
    <w:p w14:paraId="6F05CD1D" w14:textId="77777777" w:rsidR="00F65FF2" w:rsidRDefault="00F65FF2">
      <w:pPr>
        <w:spacing w:before="0" w:after="0" w:line="240" w:lineRule="auto"/>
      </w:pPr>
    </w:p>
    <w:p w14:paraId="4C9AD52F" w14:textId="4137589C" w:rsidR="00FF7D21" w:rsidRPr="00DA4A23" w:rsidRDefault="00FF7D21" w:rsidP="00DA4A23">
      <w:pPr>
        <w:rPr>
          <w:b/>
        </w:rPr>
      </w:pPr>
      <w:bookmarkStart w:id="76" w:name="_Toc485295738"/>
      <w:r w:rsidRPr="00DA4A23">
        <w:rPr>
          <w:b/>
        </w:rPr>
        <w:t xml:space="preserve">Rationale </w:t>
      </w:r>
      <w:r w:rsidR="00B11C53" w:rsidRPr="00DA4A23">
        <w:rPr>
          <w:b/>
        </w:rPr>
        <w:t>6</w:t>
      </w:r>
      <w:bookmarkEnd w:id="76"/>
    </w:p>
    <w:p w14:paraId="6AF14B75" w14:textId="42A23BA9" w:rsidR="00725788" w:rsidRPr="00692C6A" w:rsidRDefault="00FF7D21" w:rsidP="00692C6A">
      <w:pPr>
        <w:pStyle w:val="BodyText"/>
      </w:pPr>
      <w:r w:rsidRPr="00692C6A">
        <w:t>Currently, this item is restricted to one test in a 12-month period; this restriction is inconsistent with guidelines for diagnosing diabetes mellitus. The Australian Diabetes Society Position Statement 2015 states: ‘an HbA</w:t>
      </w:r>
      <w:r w:rsidR="00240E05" w:rsidRPr="00692C6A">
        <w:t>1c</w:t>
      </w:r>
      <w:r w:rsidRPr="00692C6A">
        <w:t xml:space="preserve"> level ≥ 48 mmol/mol (6.5 per cent) suggests that the patient has diabetes mellitus, and a confirmatory test should be performed on another day, ideally as soon as possible and before any lifestyle or pharmacological interventions are commenced’.</w:t>
      </w:r>
      <w:r w:rsidR="00240E05" w:rsidRPr="00E27BF0">
        <w:rPr>
          <w:vertAlign w:val="superscript"/>
        </w:rPr>
        <w:fldChar w:fldCharType="begin"/>
      </w:r>
      <w:r w:rsidR="00877C64">
        <w:rPr>
          <w:vertAlign w:val="superscript"/>
        </w:rPr>
        <w:instrText xml:space="preserve"> ADDIN EN.CITE &lt;EndNote&gt;&lt;Cite&gt;&lt;Author&gt;d&amp;apos;Emden&lt;/Author&gt;&lt;Year&gt;2015&lt;/Year&gt;&lt;RecNum&gt;2&lt;/RecNum&gt;&lt;DisplayText&gt;&lt;style face="superscript"&gt;19&lt;/style&gt;&lt;/DisplayText&gt;&lt;record&gt;&lt;rec-number&gt;2&lt;/rec-number&gt;&lt;foreign-keys&gt;&lt;key app="EN" db-id="dfs5xeapdpddpyexds6ppreypt5sp9spp2a5" timestamp="1475801024"&gt;2&lt;/key&gt;&lt;key app="ENWeb" db-id=""&gt;0&lt;/key&gt;&lt;/foreign-keys&gt;&lt;ref-type name="Journal Article"&gt;17&lt;/ref-type&gt;&lt;contributors&gt;&lt;authors&gt;&lt;author&gt;d&amp;apos;Emden, M. C.&lt;/author&gt;&lt;author&gt;Shaw, J. E.&lt;/author&gt;&lt;author&gt;Jones, G. R.&lt;/author&gt;&lt;author&gt;Cheung, N. W.&lt;/author&gt;&lt;/authors&gt;&lt;/contributors&gt;&lt;auth-address&gt;Royal Brisbane and Women&amp;apos;s Hospital, Brisbane, QLD, Australia. Michael.d&amp;apos;Emden@health.qld.gov.au.&amp;#xD;Baker IDI Heart and Diabetes Institute, Melbourne, VIC, Australia.&amp;#xD;St Vincent&amp;apos;s Hospital, Sydney, NSW, Australia.&amp;#xD;Westmead Hospital, Sydney, NSW, Australia.&lt;/auth-address&gt;&lt;titles&gt;&lt;title&gt;Guidance concerning the use of glycated haemoglobin (HbA1c) for the diagnosis of diabetes mellitus&lt;/title&gt;&lt;secondary-title&gt;Med J Aust&lt;/secondary-title&gt;&lt;alt-title&gt;The Medical journal of Australia&lt;/alt-title&gt;&lt;/titles&gt;&lt;periodical&gt;&lt;full-title&gt;Med J Aust&lt;/full-title&gt;&lt;abbr-1&gt;The Medical journal of Australia&lt;/abbr-1&gt;&lt;/periodical&gt;&lt;alt-periodical&gt;&lt;full-title&gt;Med J Aust&lt;/full-title&gt;&lt;abbr-1&gt;The Medical journal of Australia&lt;/abbr-1&gt;&lt;/alt-periodical&gt;&lt;pages&gt;89-90&lt;/pages&gt;&lt;volume&gt;203&lt;/volume&gt;&lt;number&gt;2&lt;/number&gt;&lt;edition&gt;2015/07/16&lt;/edition&gt;&lt;keywords&gt;&lt;keyword&gt;Australia&lt;/keyword&gt;&lt;keyword&gt;Diabetes Mellitus&lt;/keyword&gt;&lt;keyword&gt;Diabetes Mellitus, Type 2/*diagnosis&lt;/keyword&gt;&lt;keyword&gt;Hemoglobin A, Glycosylated/*analysis&lt;/keyword&gt;&lt;keyword&gt;Humans&lt;/keyword&gt;&lt;keyword&gt;National Health Programs&lt;/keyword&gt;&lt;keyword&gt;Societies, Medical&lt;/keyword&gt;&lt;/keywords&gt;&lt;dates&gt;&lt;year&gt;2015&lt;/year&gt;&lt;pub-dates&gt;&lt;date&gt;Jul 20&lt;/date&gt;&lt;/pub-dates&gt;&lt;/dates&gt;&lt;isbn&gt;1326-5377 (Electronic)&amp;#xD;0025-729X (Linking)&lt;/isbn&gt;&lt;accession-num&gt;26175248&lt;/accession-num&gt;&lt;urls&gt;&lt;related-urls&gt;&lt;url&gt;http://www.ncbi.nlm.nih.gov/pubmed/26175248&lt;/url&gt;&lt;/related-urls&gt;&lt;/urls&gt;&lt;language&gt;eng&lt;/language&gt;&lt;/record&gt;&lt;/Cite&gt;&lt;/EndNote&gt;</w:instrText>
      </w:r>
      <w:r w:rsidR="00240E05" w:rsidRPr="00E27BF0">
        <w:rPr>
          <w:vertAlign w:val="superscript"/>
        </w:rPr>
        <w:fldChar w:fldCharType="separate"/>
      </w:r>
      <w:r w:rsidR="00877C64">
        <w:rPr>
          <w:noProof/>
          <w:vertAlign w:val="superscript"/>
        </w:rPr>
        <w:t>19</w:t>
      </w:r>
      <w:r w:rsidR="00240E05" w:rsidRPr="00E27BF0">
        <w:rPr>
          <w:vertAlign w:val="superscript"/>
        </w:rPr>
        <w:fldChar w:fldCharType="end"/>
      </w:r>
      <w:r w:rsidRPr="00692C6A">
        <w:t xml:space="preserve"> The RACGP,</w:t>
      </w:r>
      <w:r w:rsidR="00240E05" w:rsidRPr="00445614">
        <w:rPr>
          <w:vertAlign w:val="superscript"/>
        </w:rPr>
        <w:fldChar w:fldCharType="begin"/>
      </w:r>
      <w:r w:rsidR="00877C64">
        <w:rPr>
          <w:vertAlign w:val="superscript"/>
        </w:rPr>
        <w:instrText xml:space="preserve"> ADDIN EN.CITE &lt;EndNote&gt;&lt;Cite&gt;&lt;Author&gt;Royal Australian College of General Practitioners&lt;/Author&gt;&lt;Year&gt;2014&lt;/Year&gt;&lt;RecNum&gt;3&lt;/RecNum&gt;&lt;DisplayText&gt;&lt;style face="superscript"&gt;22&lt;/style&gt;&lt;/DisplayText&gt;&lt;record&gt;&lt;rec-number&gt;3&lt;/rec-number&gt;&lt;foreign-keys&gt;&lt;key app="EN" db-id="dfs5xeapdpddpyexds6ppreypt5sp9spp2a5" timestamp="1475801735"&gt;3&lt;/key&gt;&lt;/foreign-keys&gt;&lt;ref-type name="Journal Article"&gt;17&lt;/ref-type&gt;&lt;contributors&gt;&lt;authors&gt;&lt;author&gt;Royal Australian College of General Practitioners,&lt;/author&gt;&lt;/authors&gt;&lt;/contributors&gt;&lt;titles&gt;&lt;title&gt;General practice management of type 2 diabetes&lt;/title&gt;&lt;/titles&gt;&lt;dates&gt;&lt;year&gt;2014&lt;/year&gt;&lt;/dates&gt;&lt;urls&gt;&lt;/urls&gt;&lt;/record&gt;&lt;/Cite&gt;&lt;/EndNote&gt;</w:instrText>
      </w:r>
      <w:r w:rsidR="00240E05" w:rsidRPr="00445614">
        <w:rPr>
          <w:vertAlign w:val="superscript"/>
        </w:rPr>
        <w:fldChar w:fldCharType="separate"/>
      </w:r>
      <w:r w:rsidR="00877C64">
        <w:rPr>
          <w:noProof/>
          <w:vertAlign w:val="superscript"/>
        </w:rPr>
        <w:t>22</w:t>
      </w:r>
      <w:r w:rsidR="00240E05" w:rsidRPr="00445614">
        <w:rPr>
          <w:vertAlign w:val="superscript"/>
        </w:rPr>
        <w:fldChar w:fldCharType="end"/>
      </w:r>
      <w:r w:rsidRPr="00445614">
        <w:rPr>
          <w:vertAlign w:val="superscript"/>
        </w:rPr>
        <w:t xml:space="preserve"> </w:t>
      </w:r>
      <w:r w:rsidRPr="00692C6A">
        <w:t>the World Health Organisation</w:t>
      </w:r>
      <w:r w:rsidR="00240E05" w:rsidRPr="00E27BF0">
        <w:rPr>
          <w:vertAlign w:val="superscript"/>
        </w:rPr>
        <w:fldChar w:fldCharType="begin"/>
      </w:r>
      <w:r w:rsidR="00877C64">
        <w:rPr>
          <w:vertAlign w:val="superscript"/>
        </w:rPr>
        <w:instrText xml:space="preserve"> ADDIN EN.CITE &lt;EndNote&gt;&lt;Cite&gt;&lt;Author&gt;World Health Organization&lt;/Author&gt;&lt;Year&gt;2011&lt;/Year&gt;&lt;RecNum&gt;4&lt;/RecNum&gt;&lt;DisplayText&gt;&lt;style face="superscript"&gt;23&lt;/style&gt;&lt;/DisplayText&gt;&lt;record&gt;&lt;rec-number&gt;4&lt;/rec-number&gt;&lt;foreign-keys&gt;&lt;key app="EN" db-id="dfs5xeapdpddpyexds6ppreypt5sp9spp2a5" timestamp="1475802146"&gt;4&lt;/key&gt;&lt;/foreign-keys&gt;&lt;ref-type name="Report"&gt;27&lt;/ref-type&gt;&lt;contributors&gt;&lt;authors&gt;&lt;author&gt;World Health Organization,&lt;/author&gt;&lt;/authors&gt;&lt;/contributors&gt;&lt;titles&gt;&lt;title&gt;Use of glycated haemoglobin (HbA1c) in the diagnosis of diabetes mellitus&lt;/title&gt;&lt;/titles&gt;&lt;dates&gt;&lt;year&gt;2011&lt;/year&gt;&lt;/dates&gt;&lt;urls&gt;&lt;related-urls&gt;&lt;url&gt;http://www.who.int/diabetes/publications/report-hba1c_2011.pdf&lt;/url&gt;&lt;/related-urls&gt;&lt;/urls&gt;&lt;access-date&gt;26.10.2016&lt;/access-date&gt;&lt;/record&gt;&lt;/Cite&gt;&lt;/EndNote&gt;</w:instrText>
      </w:r>
      <w:r w:rsidR="00240E05" w:rsidRPr="00E27BF0">
        <w:rPr>
          <w:vertAlign w:val="superscript"/>
        </w:rPr>
        <w:fldChar w:fldCharType="separate"/>
      </w:r>
      <w:r w:rsidR="00877C64">
        <w:rPr>
          <w:noProof/>
          <w:vertAlign w:val="superscript"/>
        </w:rPr>
        <w:t>23</w:t>
      </w:r>
      <w:r w:rsidR="00240E05" w:rsidRPr="00E27BF0">
        <w:rPr>
          <w:vertAlign w:val="superscript"/>
        </w:rPr>
        <w:fldChar w:fldCharType="end"/>
      </w:r>
      <w:r w:rsidRPr="00E27BF0">
        <w:rPr>
          <w:vertAlign w:val="superscript"/>
        </w:rPr>
        <w:t xml:space="preserve"> </w:t>
      </w:r>
      <w:r w:rsidRPr="00692C6A">
        <w:t>and the American Diabetes Association</w:t>
      </w:r>
      <w:r w:rsidR="00240E05" w:rsidRPr="00445614">
        <w:rPr>
          <w:vertAlign w:val="superscript"/>
        </w:rPr>
        <w:fldChar w:fldCharType="begin"/>
      </w:r>
      <w:r w:rsidR="00877C64">
        <w:rPr>
          <w:vertAlign w:val="superscript"/>
        </w:rPr>
        <w:instrText xml:space="preserve"> ADDIN EN.CITE &lt;EndNote&gt;&lt;Cite&gt;&lt;Author&gt;American Diabetes Association&lt;/Author&gt;&lt;Year&gt;2016&lt;/Year&gt;&lt;RecNum&gt;5&lt;/RecNum&gt;&lt;DisplayText&gt;&lt;style face="superscript"&gt;24&lt;/style&gt;&lt;/DisplayText&gt;&lt;record&gt;&lt;rec-number&gt;5&lt;/rec-number&gt;&lt;foreign-keys&gt;&lt;key app="EN" db-id="dfs5xeapdpddpyexds6ppreypt5sp9spp2a5" timestamp="1475802280"&gt;5&lt;/key&gt;&lt;/foreign-keys&gt;&lt;ref-type name="Journal Article"&gt;17&lt;/ref-type&gt;&lt;contributors&gt;&lt;authors&gt;&lt;author&gt;American Diabetes Association,&lt;/author&gt;&lt;/authors&gt;&lt;/contributors&gt;&lt;titles&gt;&lt;title&gt;12. Management of Diabetes in Pregnancy&lt;/title&gt;&lt;secondary-title&gt;Diabetes Care&lt;/secondary-title&gt;&lt;/titles&gt;&lt;periodical&gt;&lt;full-title&gt;Diabetes Care&lt;/full-title&gt;&lt;/periodical&gt;&lt;pages&gt;S94-S98&lt;/pages&gt;&lt;volume&gt;39&lt;/volume&gt;&lt;number&gt;Supplement 1&lt;/number&gt;&lt;dates&gt;&lt;year&gt;2016&lt;/year&gt;&lt;/dates&gt;&lt;urls&gt;&lt;related-urls&gt;&lt;url&gt;http://care.diabetesjournals.org/content/diacare/39/Supplement_1/S94.full.pdf&lt;/url&gt;&lt;/related-urls&gt;&lt;/urls&gt;&lt;electronic-resource-num&gt;10.2337/dc16-S015&lt;/electronic-resource-num&gt;&lt;/record&gt;&lt;/Cite&gt;&lt;/EndNote&gt;</w:instrText>
      </w:r>
      <w:r w:rsidR="00240E05" w:rsidRPr="00445614">
        <w:rPr>
          <w:vertAlign w:val="superscript"/>
        </w:rPr>
        <w:fldChar w:fldCharType="separate"/>
      </w:r>
      <w:r w:rsidR="00877C64">
        <w:rPr>
          <w:noProof/>
          <w:vertAlign w:val="superscript"/>
        </w:rPr>
        <w:t>24</w:t>
      </w:r>
      <w:r w:rsidR="00240E05" w:rsidRPr="00445614">
        <w:rPr>
          <w:vertAlign w:val="superscript"/>
        </w:rPr>
        <w:fldChar w:fldCharType="end"/>
      </w:r>
      <w:r w:rsidRPr="00692C6A">
        <w:t xml:space="preserve"> provide the same advice.</w:t>
      </w:r>
    </w:p>
    <w:p w14:paraId="45E8AA1C" w14:textId="1053AC5B" w:rsidR="00FF7D21" w:rsidRPr="00692C6A" w:rsidRDefault="00FF7D21" w:rsidP="00692C6A">
      <w:pPr>
        <w:pStyle w:val="BodyText"/>
      </w:pPr>
      <w:r w:rsidRPr="00692C6A">
        <w:t>The Australian Diabetes Society Position Statement (2015) also states: ‘There is an apparent conflict between these practice guidelines and the Medicare regulations (one diagnostic HbA</w:t>
      </w:r>
      <w:r w:rsidR="00240E05" w:rsidRPr="00692C6A">
        <w:t>1c</w:t>
      </w:r>
      <w:r w:rsidRPr="00692C6A">
        <w:t xml:space="preserve"> test in a 12-month period). Medicare recognises a single elevated HbA</w:t>
      </w:r>
      <w:r w:rsidR="00240E05" w:rsidRPr="00692C6A">
        <w:t>1c</w:t>
      </w:r>
      <w:r w:rsidRPr="00692C6A">
        <w:t xml:space="preserve"> measurement as establishing a diabetes diagnosis; this entitles the patient to four monitoring HbA</w:t>
      </w:r>
      <w:r w:rsidR="00240E05" w:rsidRPr="00692C6A">
        <w:t>1c</w:t>
      </w:r>
      <w:r w:rsidRPr="00692C6A">
        <w:t xml:space="preserve"> tests in each subsequent 12-month period.’</w:t>
      </w:r>
      <w:r w:rsidR="00240E05" w:rsidRPr="00E27BF0">
        <w:rPr>
          <w:vertAlign w:val="superscript"/>
        </w:rPr>
        <w:fldChar w:fldCharType="begin">
          <w:fldData xml:space="preserve">PEVuZE5vdGU+PENpdGU+PEF1dGhvcj5HdW50b248L0F1dGhvcj48WWVhcj4yMDE0PC9ZZWFyPjxS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PC9hYmJyLTE+PC9hbHQtcGVyaW9kaWNhbD48cGFnZXM+NjUwLTM8L3BhZ2VzPjx2b2x1bWU+MjAx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</w:fldData>
        </w:fldChar>
      </w:r>
      <w:r w:rsidR="00877C64">
        <w:rPr>
          <w:vertAlign w:val="superscript"/>
        </w:rPr>
        <w:instrText xml:space="preserve"> ADDIN EN.CITE </w:instrText>
      </w:r>
      <w:r w:rsidR="00877C64">
        <w:rPr>
          <w:vertAlign w:val="superscript"/>
        </w:rPr>
        <w:fldChar w:fldCharType="begin">
          <w:fldData xml:space="preserve">PEVuZE5vdGU+PENpdGU+PEF1dGhvcj5HdW50b248L0F1dGhvcj48WWVhcj4yMDE0PC9ZZWFyPjxS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</w:fldData>
        </w:fldChar>
      </w:r>
      <w:r w:rsidR="00877C64">
        <w:rPr>
          <w:vertAlign w:val="superscript"/>
        </w:rPr>
        <w:instrText xml:space="preserve"> ADDIN EN.CITE.DATA </w:instrText>
      </w:r>
      <w:r w:rsidR="00877C64">
        <w:rPr>
          <w:vertAlign w:val="superscript"/>
        </w:rPr>
      </w:r>
      <w:r w:rsidR="00877C64">
        <w:rPr>
          <w:vertAlign w:val="superscript"/>
        </w:rPr>
        <w:fldChar w:fldCharType="end"/>
      </w:r>
      <w:r w:rsidR="00240E05" w:rsidRPr="00E27BF0">
        <w:rPr>
          <w:vertAlign w:val="superscript"/>
        </w:rPr>
      </w:r>
      <w:r w:rsidR="00240E05" w:rsidRPr="00E27BF0">
        <w:rPr>
          <w:vertAlign w:val="superscript"/>
        </w:rPr>
        <w:fldChar w:fldCharType="separate"/>
      </w:r>
      <w:r w:rsidR="00877C64">
        <w:rPr>
          <w:noProof/>
          <w:vertAlign w:val="superscript"/>
        </w:rPr>
        <w:t>25</w:t>
      </w:r>
      <w:r w:rsidR="00240E05" w:rsidRPr="00E27BF0">
        <w:rPr>
          <w:vertAlign w:val="superscript"/>
        </w:rPr>
        <w:fldChar w:fldCharType="end"/>
      </w:r>
    </w:p>
    <w:p w14:paraId="09D2CF83" w14:textId="480DEBBC" w:rsidR="00FF7D21" w:rsidRPr="00692C6A" w:rsidRDefault="00FF7D21" w:rsidP="00692C6A">
      <w:pPr>
        <w:pStyle w:val="BodyText"/>
      </w:pPr>
      <w:r w:rsidRPr="00692C6A">
        <w:t>The current MBS restriction requires the requesting health professional to state that a patient has an established diagnosis of diabetes for an asymptomatic patient with elevated HbA</w:t>
      </w:r>
      <w:r w:rsidR="00240E05" w:rsidRPr="00692C6A">
        <w:t>1c</w:t>
      </w:r>
      <w:r w:rsidRPr="00692C6A">
        <w:t>, when in fact the diagnosis is still to be established. This may have unintended consequences for insurance (e</w:t>
      </w:r>
      <w:r w:rsidR="005D3387" w:rsidRPr="00692C6A">
        <w:t>.</w:t>
      </w:r>
      <w:r w:rsidRPr="00692C6A">
        <w:t>g</w:t>
      </w:r>
      <w:r w:rsidR="005D3387" w:rsidRPr="00692C6A">
        <w:t>.</w:t>
      </w:r>
      <w:r w:rsidRPr="00692C6A">
        <w:t xml:space="preserve"> for patients who are not found to have diabetes on this repeat testing).</w:t>
      </w:r>
    </w:p>
    <w:p w14:paraId="776F982C" w14:textId="77777777" w:rsidR="00FF7D21" w:rsidRPr="00692C6A" w:rsidRDefault="00FF7D21" w:rsidP="00692C6A">
      <w:pPr>
        <w:pStyle w:val="BodyText"/>
      </w:pPr>
      <w:r w:rsidRPr="00692C6A">
        <w:t>It is acknowledged that there is inherent imprecision in pathology tests around any specified cut-off level, and that the implications of incorrect diagnosis are quite significant. To be sure of an established diagnosis rather than a suggested diagnosis, it therefore seems reasonable to allow for a confirmatory test to address any concerns of imprecision or error.</w:t>
      </w:r>
    </w:p>
    <w:p w14:paraId="0F2DCA0C" w14:textId="0611940E" w:rsidR="00FF7D21" w:rsidRPr="00692C6A" w:rsidRDefault="00FF7D21" w:rsidP="00692C6A">
      <w:pPr>
        <w:pStyle w:val="BodyText"/>
      </w:pPr>
      <w:r w:rsidRPr="00692C6A">
        <w:t>The item descriptor currently states ‘diabetes’ rather than ‘diabetes mellitus.’ HbA</w:t>
      </w:r>
      <w:r w:rsidR="00240E05" w:rsidRPr="00692C6A">
        <w:t>1c</w:t>
      </w:r>
      <w:r w:rsidR="005D3387" w:rsidRPr="00692C6A">
        <w:t xml:space="preserve"> </w:t>
      </w:r>
      <w:r w:rsidRPr="00692C6A">
        <w:t>screening is not recommended for type 1 diabetes or gestational diabetes. It is acknowledged that other subtypes of diabetes exist.</w:t>
      </w:r>
    </w:p>
    <w:p w14:paraId="6AACDDC9" w14:textId="77777777" w:rsidR="00FF7D21" w:rsidRPr="00DA4A23" w:rsidRDefault="00FF7D21" w:rsidP="00DA4A23">
      <w:pPr>
        <w:pStyle w:val="Heading3Numbered"/>
      </w:pPr>
      <w:bookmarkStart w:id="77" w:name="_Toc485296604"/>
      <w:r w:rsidRPr="000E347D">
        <w:t>Quantitation of fructosamine: Item 66557</w:t>
      </w:r>
      <w:bookmarkEnd w:id="77"/>
    </w:p>
    <w:p w14:paraId="04C56767" w14:textId="4C654285" w:rsidR="00FF7D21" w:rsidRPr="00DA4A23" w:rsidRDefault="00240E05" w:rsidP="00DA4A23">
      <w:pPr>
        <w:rPr>
          <w:b/>
        </w:rPr>
      </w:pPr>
      <w:r w:rsidRPr="00DA4A23">
        <w:rPr>
          <w:b/>
        </w:rPr>
        <w:t xml:space="preserve">Advice from </w:t>
      </w:r>
      <w:r w:rsidR="00021658" w:rsidRPr="00DA4A23">
        <w:rPr>
          <w:b/>
        </w:rPr>
        <w:t>Endocrinology</w:t>
      </w:r>
      <w:r w:rsidR="006E47CC" w:rsidRPr="00DA4A23">
        <w:rPr>
          <w:b/>
        </w:rPr>
        <w:t xml:space="preserve"> Clinical Committee</w:t>
      </w:r>
    </w:p>
    <w:p w14:paraId="241C85CE" w14:textId="4B1B2E3C" w:rsidR="00FF7D21" w:rsidRDefault="00FF7D21" w:rsidP="00FF7D21">
      <w:pPr>
        <w:pStyle w:val="BodyText"/>
      </w:pPr>
      <w:r>
        <w:t xml:space="preserve">The </w:t>
      </w:r>
      <w:r w:rsidR="004200CD">
        <w:rPr>
          <w:lang w:val="en-US"/>
        </w:rPr>
        <w:t>Endocrinology Clinical Committee</w:t>
      </w:r>
      <w:r w:rsidR="00E5655B">
        <w:rPr>
          <w:lang w:val="en-US"/>
        </w:rPr>
        <w:t xml:space="preserve"> </w:t>
      </w:r>
      <w:r>
        <w:t>proposed the following:</w:t>
      </w:r>
    </w:p>
    <w:p w14:paraId="7545E9D4" w14:textId="77777777" w:rsidR="00FF7D21" w:rsidRDefault="00FF7D21" w:rsidP="00965AE3">
      <w:pPr>
        <w:pStyle w:val="Bullet1"/>
      </w:pPr>
      <w:r w:rsidRPr="00FF7D21">
        <w:t>Change the item descriptor to highlight that the test should only be conducted when measurement of HbA</w:t>
      </w:r>
      <w:r w:rsidR="00240E05" w:rsidRPr="00082219">
        <w:t>1c</w:t>
      </w:r>
      <w:r w:rsidRPr="00FF7D21">
        <w:t xml:space="preserve"> is unreliable. The proposed item descriptor is as follows:</w:t>
      </w:r>
    </w:p>
    <w:p w14:paraId="16285A7C" w14:textId="3D808A71" w:rsidR="00FF7D21" w:rsidRDefault="00FF7D21" w:rsidP="00FF7D21">
      <w:pPr>
        <w:pStyle w:val="Bullet2"/>
      </w:pPr>
      <w:r w:rsidRPr="00FF7D21">
        <w:t>Quantitation of fructosamine performed in the management of established diabetes, when measurement of HbA</w:t>
      </w:r>
      <w:r w:rsidR="00240E05" w:rsidRPr="00983653">
        <w:rPr>
          <w:rFonts w:eastAsia="Times New Roman" w:cs="Times New Roman"/>
          <w:szCs w:val="24"/>
        </w:rPr>
        <w:t>1c</w:t>
      </w:r>
      <w:r w:rsidRPr="00FF7D21">
        <w:t xml:space="preserve"> is unreliable, to a maximum of </w:t>
      </w:r>
      <w:r w:rsidR="00DC09DC">
        <w:t>four</w:t>
      </w:r>
      <w:r w:rsidR="00DC09DC" w:rsidRPr="00FF7D21">
        <w:t xml:space="preserve"> </w:t>
      </w:r>
      <w:r w:rsidRPr="00FF7D21">
        <w:t>tests in a 12</w:t>
      </w:r>
      <w:r w:rsidR="00DC09DC">
        <w:t>-</w:t>
      </w:r>
      <w:r w:rsidRPr="00FF7D21">
        <w:t>month period.</w:t>
      </w:r>
    </w:p>
    <w:p w14:paraId="25241340" w14:textId="77777777" w:rsidR="00FF7D21" w:rsidRPr="00FF7D21" w:rsidRDefault="00FF7D21" w:rsidP="00965AE3">
      <w:pPr>
        <w:pStyle w:val="Bullet1"/>
      </w:pPr>
      <w:r w:rsidRPr="00FF7D21">
        <w:t xml:space="preserve">Add explanatory notes to guide clinicians in the appropriate use of the item. Explanatory notes are not currently provided for this item. The proposed explanatory notes are as follows: </w:t>
      </w:r>
    </w:p>
    <w:p w14:paraId="74034DAC" w14:textId="074BD803" w:rsidR="00FF7D21" w:rsidRDefault="00FF7D21" w:rsidP="00FF7D21">
      <w:pPr>
        <w:pStyle w:val="Bullet2"/>
      </w:pPr>
      <w:r>
        <w:t>HbA</w:t>
      </w:r>
      <w:r w:rsidR="00240E05" w:rsidRPr="00983653">
        <w:rPr>
          <w:rFonts w:eastAsia="Times New Roman" w:cs="Times New Roman"/>
          <w:szCs w:val="24"/>
        </w:rPr>
        <w:t>1c</w:t>
      </w:r>
      <w:r>
        <w:t xml:space="preserve"> measurement is unreliable in non-pregnant patients with</w:t>
      </w:r>
      <w:r w:rsidR="0012096A">
        <w:t>:</w:t>
      </w:r>
    </w:p>
    <w:p w14:paraId="3DC7AE01" w14:textId="77777777" w:rsidR="00FF7D21" w:rsidRDefault="00FF7D21" w:rsidP="00FF7D21">
      <w:pPr>
        <w:pStyle w:val="Bullet2"/>
      </w:pPr>
      <w:r>
        <w:t xml:space="preserve">(i) a severe illness such as chronic renal impairment that may shorten the red cell lifespan or </w:t>
      </w:r>
    </w:p>
    <w:p w14:paraId="306B3335" w14:textId="77777777" w:rsidR="00FF7D21" w:rsidRDefault="00FF7D21" w:rsidP="00FF7D21">
      <w:pPr>
        <w:pStyle w:val="Bullet2"/>
      </w:pPr>
      <w:r>
        <w:t>(ii) a haemoglobinopathy.</w:t>
      </w:r>
    </w:p>
    <w:p w14:paraId="1B983FBD" w14:textId="77777777" w:rsidR="00FF7D21" w:rsidRPr="00DA4A23" w:rsidRDefault="00FF7D21" w:rsidP="00DA4A23">
      <w:pPr>
        <w:rPr>
          <w:b/>
        </w:rPr>
      </w:pPr>
      <w:bookmarkStart w:id="78" w:name="_Toc485295739"/>
      <w:r w:rsidRPr="00DA4A23">
        <w:rPr>
          <w:b/>
        </w:rPr>
        <w:t>Recommendation 7</w:t>
      </w:r>
      <w:bookmarkEnd w:id="78"/>
    </w:p>
    <w:p w14:paraId="3AD1F413" w14:textId="143258A3" w:rsidR="00FF7D21" w:rsidRDefault="001B36A2" w:rsidP="00FF7D21">
      <w:pPr>
        <w:pStyle w:val="BodyText"/>
      </w:pPr>
      <w:r>
        <w:t>T</w:t>
      </w:r>
      <w:r w:rsidR="00FF7D21" w:rsidRPr="00FF7D21">
        <w:t xml:space="preserve">he </w:t>
      </w:r>
      <w:r w:rsidR="00D17A1E" w:rsidRPr="00B84C4F">
        <w:rPr>
          <w:lang w:val="en-US"/>
        </w:rPr>
        <w:t xml:space="preserve">Pathology Clinical Committee </w:t>
      </w:r>
      <w:r w:rsidR="00FF7D21" w:rsidRPr="00FF7D21">
        <w:t>provides the following advice and recommendations.</w:t>
      </w:r>
    </w:p>
    <w:p w14:paraId="238D6282" w14:textId="109C7027" w:rsidR="00FF7D21" w:rsidRDefault="00FF7D21" w:rsidP="00965AE3">
      <w:pPr>
        <w:pStyle w:val="Bullet1"/>
      </w:pPr>
      <w:r w:rsidRPr="00FF7D21">
        <w:t xml:space="preserve">The </w:t>
      </w:r>
      <w:r w:rsidR="001B36A2" w:rsidRPr="00B84C4F">
        <w:rPr>
          <w:lang w:val="en-US"/>
        </w:rPr>
        <w:t xml:space="preserve">Pathology Clinical </w:t>
      </w:r>
      <w:r w:rsidR="00D01B58" w:rsidRPr="00D01B58">
        <w:t>Committee</w:t>
      </w:r>
      <w:r w:rsidRPr="00FF7D21">
        <w:t xml:space="preserve"> supports the </w:t>
      </w:r>
      <w:r w:rsidR="006E47CC">
        <w:rPr>
          <w:lang w:val="en-US"/>
        </w:rPr>
        <w:t>Endocrinology Clinical Committee</w:t>
      </w:r>
      <w:r w:rsidR="00E5655B">
        <w:rPr>
          <w:lang w:val="en-US"/>
        </w:rPr>
        <w:t xml:space="preserve"> </w:t>
      </w:r>
      <w:r w:rsidRPr="00FF7D21">
        <w:t>proposal to change the item descriptor to stipulate the test only be conducted when HbA</w:t>
      </w:r>
      <w:r w:rsidR="00240E05" w:rsidRPr="00983653">
        <w:t>1c</w:t>
      </w:r>
      <w:r w:rsidRPr="00FF7D21">
        <w:t xml:space="preserve"> is unreliable. The proposed item descriptor wording is as follows:</w:t>
      </w:r>
    </w:p>
    <w:p w14:paraId="0208D465" w14:textId="75FB7FF2" w:rsidR="00FF7D21" w:rsidRDefault="00FF7D21" w:rsidP="00FF7D21">
      <w:pPr>
        <w:pStyle w:val="Bullet2"/>
      </w:pPr>
      <w:r w:rsidRPr="00FF7D21">
        <w:t xml:space="preserve">Quantitation of fructosamine performed in the management of established diabetes, when measurement of </w:t>
      </w:r>
      <w:r w:rsidR="007C1C32">
        <w:t xml:space="preserve">HbA1c </w:t>
      </w:r>
      <w:r w:rsidRPr="00FF7D21">
        <w:t xml:space="preserve">is unreliable, to a maximum of </w:t>
      </w:r>
      <w:r w:rsidR="0012096A">
        <w:t>four</w:t>
      </w:r>
      <w:r w:rsidR="0012096A" w:rsidRPr="00FF7D21">
        <w:t xml:space="preserve"> </w:t>
      </w:r>
      <w:r w:rsidRPr="00FF7D21">
        <w:t>tests in a 12</w:t>
      </w:r>
      <w:r w:rsidR="0012096A">
        <w:t>-</w:t>
      </w:r>
      <w:r w:rsidRPr="00FF7D21">
        <w:t>month period.</w:t>
      </w:r>
    </w:p>
    <w:p w14:paraId="27C8DEE4" w14:textId="507FAEE9" w:rsidR="00FF7D21" w:rsidRPr="00FF7D21" w:rsidRDefault="00FF7D21" w:rsidP="00965AE3">
      <w:pPr>
        <w:pStyle w:val="Bullet1"/>
      </w:pPr>
      <w:r w:rsidRPr="00FF7D21">
        <w:t xml:space="preserve">The </w:t>
      </w:r>
      <w:r w:rsidR="001B36A2" w:rsidRPr="00B84C4F">
        <w:rPr>
          <w:lang w:val="en-US"/>
        </w:rPr>
        <w:t xml:space="preserve">Pathology Clinical </w:t>
      </w:r>
      <w:r w:rsidR="00D01B58" w:rsidRPr="00D01B58">
        <w:t>Committee</w:t>
      </w:r>
      <w:r w:rsidRPr="00FF7D21">
        <w:t xml:space="preserve"> supports the </w:t>
      </w:r>
      <w:r w:rsidR="006E47CC">
        <w:rPr>
          <w:lang w:val="en-US"/>
        </w:rPr>
        <w:t>Endocrinology Clinical Committee</w:t>
      </w:r>
      <w:r w:rsidR="00E5655B">
        <w:rPr>
          <w:lang w:val="en-US"/>
        </w:rPr>
        <w:t xml:space="preserve"> </w:t>
      </w:r>
      <w:r w:rsidRPr="00FF7D21">
        <w:t xml:space="preserve">proposal to add explanatory notes to the item descriptor to specify the clinical circumstances as follows: </w:t>
      </w:r>
    </w:p>
    <w:p w14:paraId="601B8D25" w14:textId="5CCBA8C3" w:rsidR="00FF7D21" w:rsidRDefault="00FF7D21" w:rsidP="00FF7D21">
      <w:pPr>
        <w:pStyle w:val="Bullet2"/>
      </w:pPr>
      <w:r>
        <w:t>HbA1c measurement is unreliable in patients with</w:t>
      </w:r>
      <w:r w:rsidR="00EC0D96">
        <w:t>:</w:t>
      </w:r>
    </w:p>
    <w:p w14:paraId="1C02BDC1" w14:textId="77777777" w:rsidR="00FF7D21" w:rsidRDefault="00FF7D21" w:rsidP="00FF7D21">
      <w:pPr>
        <w:pStyle w:val="Bullet2"/>
      </w:pPr>
      <w:r>
        <w:t xml:space="preserve">(i) a condition that will shorten the red cell lifespan or </w:t>
      </w:r>
    </w:p>
    <w:p w14:paraId="30364B83" w14:textId="77777777" w:rsidR="00FF7D21" w:rsidRDefault="00FF7D21" w:rsidP="00FF7D21">
      <w:pPr>
        <w:pStyle w:val="Bullet2"/>
      </w:pPr>
      <w:r>
        <w:t>(ii) a haemoglobinopathy.</w:t>
      </w:r>
    </w:p>
    <w:p w14:paraId="2DFBB57C" w14:textId="65996B3D" w:rsidR="00FF7D21" w:rsidRDefault="00FF7D21" w:rsidP="00965AE3">
      <w:pPr>
        <w:pStyle w:val="Bullet1"/>
      </w:pPr>
      <w:r w:rsidRPr="00FF7D21">
        <w:t xml:space="preserve">The </w:t>
      </w:r>
      <w:r w:rsidR="001B36A2" w:rsidRPr="00B84C4F">
        <w:rPr>
          <w:lang w:val="en-US"/>
        </w:rPr>
        <w:t xml:space="preserve">Pathology Clinical </w:t>
      </w:r>
      <w:r w:rsidR="00D01B58" w:rsidRPr="00D01B58">
        <w:t>Committee</w:t>
      </w:r>
      <w:r w:rsidRPr="00FF7D21">
        <w:t xml:space="preserve"> proposed to remove the wording ‘non-pregnant’ from the explanatory notes suggested by the </w:t>
      </w:r>
      <w:r w:rsidR="00021658">
        <w:rPr>
          <w:lang w:val="en-US"/>
        </w:rPr>
        <w:t>Endocrinology</w:t>
      </w:r>
      <w:r w:rsidR="006E47CC">
        <w:rPr>
          <w:lang w:val="en-US"/>
        </w:rPr>
        <w:t xml:space="preserve"> Clinical Committee</w:t>
      </w:r>
      <w:r w:rsidRPr="00FF7D21">
        <w:t>, as HbA1</w:t>
      </w:r>
      <w:r w:rsidR="00445614">
        <w:t>c</w:t>
      </w:r>
      <w:r w:rsidRPr="00FF7D21">
        <w:t xml:space="preserve"> may also be unreliable in pregnancy.</w:t>
      </w:r>
    </w:p>
    <w:p w14:paraId="2C6E282B" w14:textId="77777777" w:rsidR="00EC0D96" w:rsidRDefault="00EC0D96">
      <w:pPr>
        <w:spacing w:before="0" w:after="0" w:line="240" w:lineRule="auto"/>
      </w:pPr>
      <w:r>
        <w:br w:type="page"/>
      </w:r>
    </w:p>
    <w:p w14:paraId="5CBB225D" w14:textId="77777777" w:rsidR="00B01112" w:rsidRPr="00B01112" w:rsidRDefault="00B01112" w:rsidP="003744BA">
      <w:pPr>
        <w:pStyle w:val="Caption"/>
        <w:rPr>
          <w:lang w:val="en-US"/>
        </w:rPr>
      </w:pPr>
      <w:bookmarkStart w:id="79" w:name="_Toc472940503"/>
      <w:r>
        <w:rPr>
          <w:lang w:val="en-US"/>
        </w:rPr>
        <w:t>Table 1</w:t>
      </w:r>
      <w:r w:rsidR="00AD6C1A">
        <w:rPr>
          <w:lang w:val="en-US"/>
        </w:rPr>
        <w:t>1</w:t>
      </w:r>
      <w:r>
        <w:rPr>
          <w:lang w:val="en-US"/>
        </w:rPr>
        <w:t>: Current and proposed new item descriptor for item 66557</w:t>
      </w:r>
      <w:bookmarkEnd w:id="79"/>
    </w:p>
    <w:tbl>
      <w:tblPr>
        <w:tblStyle w:val="TableGrid"/>
        <w:tblW w:w="0" w:type="auto"/>
        <w:tblLook w:val="04A0" w:firstRow="1" w:lastRow="0" w:firstColumn="1" w:lastColumn="0" w:noHBand="0" w:noVBand="1"/>
        <w:tblCaption w:val="Current and proposed new item descriptor for item 66557"/>
        <w:tblDescription w:val="This table contains the current and proposed new item descriptor and explanatory notes for item 66557, quantitation of fructosamine. These item descriptors will appear on the Medicare Benefits Schedule."/>
      </w:tblPr>
      <w:tblGrid>
        <w:gridCol w:w="4494"/>
        <w:gridCol w:w="4522"/>
      </w:tblGrid>
      <w:tr w:rsidR="00B01112" w:rsidRPr="00FD691A" w14:paraId="78AE12CA" w14:textId="77777777" w:rsidTr="002F5343">
        <w:trPr>
          <w:cantSplit/>
          <w:tblHeader/>
        </w:trPr>
        <w:tc>
          <w:tcPr>
            <w:tcW w:w="4494" w:type="dxa"/>
          </w:tcPr>
          <w:p w14:paraId="12223E27" w14:textId="77777777" w:rsidR="00B01112" w:rsidRPr="00FD691A" w:rsidRDefault="00B01112" w:rsidP="00FD691A">
            <w:pPr>
              <w:spacing w:before="0" w:after="0" w:line="360" w:lineRule="auto"/>
              <w:rPr>
                <w:b/>
                <w:bCs/>
                <w:sz w:val="20"/>
                <w:szCs w:val="20"/>
                <w:lang w:val="en-US" w:eastAsia="en-US"/>
              </w:rPr>
            </w:pPr>
            <w:r w:rsidRPr="00FD691A">
              <w:rPr>
                <w:b/>
                <w:bCs/>
                <w:sz w:val="20"/>
                <w:szCs w:val="20"/>
                <w:lang w:val="en-US" w:eastAsia="en-US"/>
              </w:rPr>
              <w:t xml:space="preserve">Current item descriptor </w:t>
            </w:r>
          </w:p>
        </w:tc>
        <w:tc>
          <w:tcPr>
            <w:tcW w:w="4522" w:type="dxa"/>
          </w:tcPr>
          <w:p w14:paraId="46B71504" w14:textId="77777777" w:rsidR="00B01112" w:rsidRPr="00FD691A" w:rsidRDefault="00B01112" w:rsidP="00FD691A">
            <w:pPr>
              <w:spacing w:before="0" w:after="0" w:line="360" w:lineRule="auto"/>
              <w:rPr>
                <w:b/>
                <w:bCs/>
                <w:sz w:val="20"/>
                <w:szCs w:val="20"/>
                <w:lang w:val="en-US" w:eastAsia="en-US"/>
              </w:rPr>
            </w:pPr>
            <w:r w:rsidRPr="00FD691A">
              <w:rPr>
                <w:b/>
                <w:bCs/>
                <w:sz w:val="20"/>
                <w:szCs w:val="20"/>
                <w:lang w:val="en-US" w:eastAsia="en-US"/>
              </w:rPr>
              <w:t>Proposed new item descriptor</w:t>
            </w:r>
          </w:p>
        </w:tc>
      </w:tr>
      <w:tr w:rsidR="00B01112" w:rsidRPr="00FD691A" w14:paraId="220138B8" w14:textId="77777777" w:rsidTr="002F5343">
        <w:trPr>
          <w:cantSplit/>
          <w:tblHeader/>
        </w:trPr>
        <w:tc>
          <w:tcPr>
            <w:tcW w:w="4494" w:type="dxa"/>
          </w:tcPr>
          <w:p w14:paraId="4913D581" w14:textId="77777777" w:rsidR="00B01112" w:rsidRPr="00FD691A" w:rsidRDefault="00B01112" w:rsidP="00983653">
            <w:pPr>
              <w:pStyle w:val="BodyText"/>
              <w:rPr>
                <w:bCs/>
                <w:lang w:val="en-US" w:eastAsia="en-US"/>
              </w:rPr>
            </w:pPr>
            <w:r w:rsidRPr="00FD691A">
              <w:rPr>
                <w:lang w:val="en-GB" w:eastAsia="en-US"/>
              </w:rPr>
              <w:t>Quantitation of fructosamine performed in the management of established diabetes – each test to a maximum of 4 tests in a 12 month period.</w:t>
            </w:r>
          </w:p>
        </w:tc>
        <w:tc>
          <w:tcPr>
            <w:tcW w:w="4522" w:type="dxa"/>
          </w:tcPr>
          <w:p w14:paraId="18F2951A" w14:textId="5E788D65" w:rsidR="00B01112" w:rsidRPr="00FD691A" w:rsidRDefault="00B01112" w:rsidP="00983653">
            <w:pPr>
              <w:pStyle w:val="BodyText"/>
              <w:rPr>
                <w:b/>
                <w:lang w:eastAsia="en-US"/>
              </w:rPr>
            </w:pPr>
            <w:r w:rsidRPr="00FD691A">
              <w:rPr>
                <w:lang w:eastAsia="en-US"/>
              </w:rPr>
              <w:t>Quantitation of fructosamine performed in the management of established diabetes, when measurement of HbA</w:t>
            </w:r>
            <w:r w:rsidR="00240E05" w:rsidRPr="003B4B2A">
              <w:rPr>
                <w:sz w:val="20"/>
                <w:lang w:eastAsia="en-US"/>
              </w:rPr>
              <w:t>1c</w:t>
            </w:r>
            <w:r w:rsidRPr="00FD691A">
              <w:rPr>
                <w:lang w:eastAsia="en-US"/>
              </w:rPr>
              <w:t xml:space="preserve"> is unreliable, to a maximum of </w:t>
            </w:r>
            <w:r w:rsidR="00EC0D96">
              <w:rPr>
                <w:lang w:eastAsia="en-US"/>
              </w:rPr>
              <w:t>four</w:t>
            </w:r>
            <w:r w:rsidR="00EC0D96" w:rsidRPr="00FD691A">
              <w:rPr>
                <w:lang w:eastAsia="en-US"/>
              </w:rPr>
              <w:t xml:space="preserve"> </w:t>
            </w:r>
            <w:r w:rsidRPr="00FD691A">
              <w:rPr>
                <w:lang w:eastAsia="en-US"/>
              </w:rPr>
              <w:t>tests in a 12</w:t>
            </w:r>
            <w:r w:rsidR="00EC0D96">
              <w:rPr>
                <w:lang w:eastAsia="en-US"/>
              </w:rPr>
              <w:t>-</w:t>
            </w:r>
            <w:r w:rsidRPr="00FD691A">
              <w:rPr>
                <w:lang w:eastAsia="en-US"/>
              </w:rPr>
              <w:t>month period</w:t>
            </w:r>
            <w:r w:rsidR="00EC0D96">
              <w:rPr>
                <w:lang w:eastAsia="en-US"/>
              </w:rPr>
              <w:t>.</w:t>
            </w:r>
          </w:p>
          <w:p w14:paraId="2D4EB4C1" w14:textId="51D54065" w:rsidR="00B01112" w:rsidRPr="00FD691A" w:rsidRDefault="00B01112" w:rsidP="00983653">
            <w:pPr>
              <w:pStyle w:val="BodyText"/>
              <w:rPr>
                <w:b/>
                <w:lang w:eastAsia="en-US"/>
              </w:rPr>
            </w:pPr>
            <w:r w:rsidRPr="00FD691A">
              <w:rPr>
                <w:b/>
                <w:lang w:eastAsia="en-US"/>
              </w:rPr>
              <w:t xml:space="preserve">Explanatory </w:t>
            </w:r>
            <w:r w:rsidR="0052373D">
              <w:rPr>
                <w:b/>
                <w:lang w:eastAsia="en-US"/>
              </w:rPr>
              <w:t>n</w:t>
            </w:r>
            <w:r w:rsidR="0052373D" w:rsidRPr="00FD691A">
              <w:rPr>
                <w:b/>
                <w:lang w:eastAsia="en-US"/>
              </w:rPr>
              <w:t>ote</w:t>
            </w:r>
          </w:p>
          <w:p w14:paraId="3F790D54" w14:textId="77777777" w:rsidR="00B01112" w:rsidRPr="00FD691A" w:rsidRDefault="00B01112" w:rsidP="00983653">
            <w:pPr>
              <w:pStyle w:val="BodyText"/>
              <w:rPr>
                <w:lang w:val="en-GB" w:eastAsia="en-US"/>
              </w:rPr>
            </w:pPr>
            <w:r w:rsidRPr="00FD691A">
              <w:rPr>
                <w:lang w:val="en-GB" w:eastAsia="en-US"/>
              </w:rPr>
              <w:t>HbA</w:t>
            </w:r>
            <w:r w:rsidR="00240E05" w:rsidRPr="003B4B2A">
              <w:rPr>
                <w:sz w:val="20"/>
                <w:lang w:val="en-GB" w:eastAsia="en-US"/>
              </w:rPr>
              <w:t>1c</w:t>
            </w:r>
            <w:r w:rsidRPr="00FD691A">
              <w:rPr>
                <w:lang w:val="en-GB" w:eastAsia="en-US"/>
              </w:rPr>
              <w:t xml:space="preserve"> measurement is unreliable in patients with </w:t>
            </w:r>
            <w:r w:rsidRPr="00FD691A">
              <w:rPr>
                <w:lang w:val="en-GB" w:eastAsia="en-US"/>
              </w:rPr>
              <w:br/>
              <w:t xml:space="preserve">(i) a condition that will shorten the red cell lifespan or </w:t>
            </w:r>
            <w:r w:rsidRPr="00FD691A">
              <w:rPr>
                <w:lang w:val="en-GB" w:eastAsia="en-US"/>
              </w:rPr>
              <w:br/>
              <w:t>(ii) a haemoglobinopathy.’</w:t>
            </w:r>
          </w:p>
        </w:tc>
      </w:tr>
    </w:tbl>
    <w:p w14:paraId="23E99F38" w14:textId="77777777" w:rsidR="00B01112" w:rsidRPr="00DA4A23" w:rsidRDefault="00B01112" w:rsidP="00DA4A23">
      <w:pPr>
        <w:rPr>
          <w:b/>
        </w:rPr>
      </w:pPr>
      <w:bookmarkStart w:id="80" w:name="_Toc485295740"/>
      <w:r w:rsidRPr="00DA4A23">
        <w:rPr>
          <w:b/>
        </w:rPr>
        <w:t>Rationale 7</w:t>
      </w:r>
      <w:bookmarkEnd w:id="80"/>
    </w:p>
    <w:p w14:paraId="548DFFE8" w14:textId="6D06BCC8" w:rsidR="007C00E1" w:rsidRDefault="00B01112" w:rsidP="003B4B2A">
      <w:pPr>
        <w:spacing w:before="0" w:after="0"/>
        <w:rPr>
          <w:szCs w:val="22"/>
          <w:lang w:val="en-GB" w:eastAsia="en-US"/>
        </w:rPr>
      </w:pPr>
      <w:r w:rsidRPr="00B01112">
        <w:rPr>
          <w:szCs w:val="22"/>
          <w:lang w:val="en-GB" w:eastAsia="en-US"/>
        </w:rPr>
        <w:t xml:space="preserve">The most reliable test for managing established diabetes is an </w:t>
      </w:r>
      <w:r w:rsidR="007C1C32">
        <w:t xml:space="preserve">HbA1c </w:t>
      </w:r>
      <w:r w:rsidRPr="00B01112">
        <w:rPr>
          <w:szCs w:val="22"/>
          <w:lang w:val="en-GB" w:eastAsia="en-US"/>
        </w:rPr>
        <w:t xml:space="preserve">measurement. Relatively few fructosamine </w:t>
      </w:r>
      <w:r w:rsidR="0052373D" w:rsidRPr="00B01112">
        <w:rPr>
          <w:szCs w:val="22"/>
          <w:lang w:val="en-GB" w:eastAsia="en-US"/>
        </w:rPr>
        <w:t xml:space="preserve">quantitation </w:t>
      </w:r>
      <w:r w:rsidRPr="00B01112">
        <w:rPr>
          <w:szCs w:val="22"/>
          <w:lang w:val="en-GB" w:eastAsia="en-US"/>
        </w:rPr>
        <w:t xml:space="preserve">tests </w:t>
      </w:r>
      <w:r w:rsidR="0052373D" w:rsidRPr="00B01112">
        <w:rPr>
          <w:szCs w:val="22"/>
          <w:lang w:val="en-GB" w:eastAsia="en-US"/>
        </w:rPr>
        <w:t>(14,741)</w:t>
      </w:r>
      <w:r w:rsidR="0052373D">
        <w:rPr>
          <w:szCs w:val="22"/>
          <w:lang w:val="en-GB" w:eastAsia="en-US"/>
        </w:rPr>
        <w:t xml:space="preserve"> </w:t>
      </w:r>
      <w:r w:rsidRPr="00B01112">
        <w:rPr>
          <w:szCs w:val="22"/>
          <w:lang w:val="en-GB" w:eastAsia="en-US"/>
        </w:rPr>
        <w:t xml:space="preserve">were conducted in </w:t>
      </w:r>
      <w:r w:rsidR="0052373D">
        <w:rPr>
          <w:szCs w:val="22"/>
          <w:lang w:val="en-GB" w:eastAsia="en-US"/>
        </w:rPr>
        <w:t xml:space="preserve">the </w:t>
      </w:r>
      <w:r w:rsidR="0052373D" w:rsidRPr="00B01112">
        <w:rPr>
          <w:szCs w:val="22"/>
          <w:lang w:val="en-GB" w:eastAsia="en-US"/>
        </w:rPr>
        <w:t>2014</w:t>
      </w:r>
      <w:r w:rsidR="0052373D">
        <w:rPr>
          <w:szCs w:val="22"/>
          <w:lang w:val="en-GB" w:eastAsia="en-US"/>
        </w:rPr>
        <w:t>–</w:t>
      </w:r>
      <w:r w:rsidRPr="00B01112">
        <w:rPr>
          <w:szCs w:val="22"/>
          <w:lang w:val="en-GB" w:eastAsia="en-US"/>
        </w:rPr>
        <w:t xml:space="preserve">15 </w:t>
      </w:r>
      <w:r w:rsidR="0052373D">
        <w:rPr>
          <w:szCs w:val="22"/>
          <w:lang w:val="en-GB" w:eastAsia="en-US"/>
        </w:rPr>
        <w:t>financial year</w:t>
      </w:r>
      <w:r w:rsidRPr="00B01112">
        <w:rPr>
          <w:szCs w:val="22"/>
          <w:lang w:val="en-GB" w:eastAsia="en-US"/>
        </w:rPr>
        <w:t>.</w:t>
      </w:r>
      <w:r w:rsidR="00240E05" w:rsidRPr="00B01112">
        <w:rPr>
          <w:szCs w:val="22"/>
          <w:lang w:val="en-GB" w:eastAsia="en-US"/>
        </w:rPr>
        <w:fldChar w:fldCharType="begin"/>
      </w:r>
      <w:r w:rsidR="00877C64">
        <w:rPr>
          <w:szCs w:val="22"/>
          <w:lang w:val="en-GB"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B01112">
        <w:rPr>
          <w:szCs w:val="22"/>
          <w:lang w:val="en-GB" w:eastAsia="en-US"/>
        </w:rPr>
        <w:fldChar w:fldCharType="separate"/>
      </w:r>
      <w:r w:rsidR="00877C64" w:rsidRPr="00877C64">
        <w:rPr>
          <w:noProof/>
          <w:szCs w:val="22"/>
          <w:vertAlign w:val="superscript"/>
          <w:lang w:val="en-GB" w:eastAsia="en-US"/>
        </w:rPr>
        <w:t>8</w:t>
      </w:r>
      <w:r w:rsidR="00240E05" w:rsidRPr="00B01112">
        <w:rPr>
          <w:szCs w:val="22"/>
          <w:lang w:val="en-US" w:eastAsia="en-US"/>
        </w:rPr>
        <w:fldChar w:fldCharType="end"/>
      </w:r>
      <w:r w:rsidR="00445614">
        <w:rPr>
          <w:szCs w:val="22"/>
          <w:lang w:val="en-US" w:eastAsia="en-US"/>
        </w:rPr>
        <w:t xml:space="preserve"> </w:t>
      </w:r>
      <w:r w:rsidRPr="00B01112">
        <w:rPr>
          <w:szCs w:val="22"/>
          <w:lang w:val="en-GB" w:eastAsia="en-US"/>
        </w:rPr>
        <w:t>There was concern that some patients may not be receiving the most reliable monitoring test for the management of their established diabetes. The easiest solution was to change the item descriptor and add explanatory notes to guide clinicians to use an Hb</w:t>
      </w:r>
      <w:r w:rsidRPr="003B4B2A">
        <w:rPr>
          <w:szCs w:val="22"/>
          <w:lang w:val="en-GB" w:eastAsia="en-US"/>
        </w:rPr>
        <w:t>A</w:t>
      </w:r>
      <w:r w:rsidR="0052373D" w:rsidRPr="003B4B2A">
        <w:rPr>
          <w:sz w:val="20"/>
          <w:szCs w:val="20"/>
          <w:lang w:val="en-GB" w:eastAsia="en-US"/>
        </w:rPr>
        <w:t>1</w:t>
      </w:r>
      <w:r w:rsidR="0052373D" w:rsidRPr="00445614">
        <w:rPr>
          <w:sz w:val="20"/>
          <w:szCs w:val="20"/>
          <w:lang w:val="en-GB" w:eastAsia="en-US"/>
        </w:rPr>
        <w:t>c</w:t>
      </w:r>
      <w:r w:rsidRPr="003B4B2A">
        <w:rPr>
          <w:szCs w:val="22"/>
          <w:lang w:val="en-GB" w:eastAsia="en-US"/>
        </w:rPr>
        <w:t xml:space="preserve"> </w:t>
      </w:r>
      <w:r w:rsidRPr="00B01112">
        <w:rPr>
          <w:szCs w:val="22"/>
          <w:lang w:val="en-GB" w:eastAsia="en-US"/>
        </w:rPr>
        <w:t>measurement instead, when appropriate. This aligns with other recommendations for diabetes-related items, outlined above.</w:t>
      </w:r>
    </w:p>
    <w:p w14:paraId="669F5BF1" w14:textId="77777777" w:rsidR="00FF7D21" w:rsidRDefault="00FF7D21">
      <w:pPr>
        <w:spacing w:before="0" w:after="0" w:line="240" w:lineRule="auto"/>
        <w:rPr>
          <w:szCs w:val="22"/>
          <w:lang w:val="en-US" w:eastAsia="en-US"/>
        </w:rPr>
      </w:pPr>
    </w:p>
    <w:p w14:paraId="0A9725A3" w14:textId="77777777" w:rsidR="00B01112" w:rsidRDefault="00B01112" w:rsidP="00DA4A23">
      <w:pPr>
        <w:pStyle w:val="Heading3Numbered"/>
      </w:pPr>
      <w:bookmarkStart w:id="81" w:name="_Toc485296605"/>
      <w:r>
        <w:t xml:space="preserve">Microalbumin: </w:t>
      </w:r>
      <w:r w:rsidRPr="000E347D">
        <w:t>Item</w:t>
      </w:r>
      <w:r>
        <w:t xml:space="preserve"> 66560</w:t>
      </w:r>
      <w:bookmarkEnd w:id="81"/>
    </w:p>
    <w:p w14:paraId="638BA612" w14:textId="77777777" w:rsidR="007C00E1" w:rsidRDefault="00B01112" w:rsidP="003B4B2A">
      <w:pPr>
        <w:spacing w:before="0" w:after="0"/>
        <w:rPr>
          <w:szCs w:val="22"/>
          <w:lang w:val="en-US" w:eastAsia="en-US"/>
        </w:rPr>
      </w:pPr>
      <w:r w:rsidRPr="00B01112">
        <w:rPr>
          <w:szCs w:val="22"/>
          <w:lang w:val="en-US" w:eastAsia="en-US"/>
        </w:rPr>
        <w:t>The following observations have been made with regard to microalbumin tests:</w:t>
      </w:r>
    </w:p>
    <w:p w14:paraId="7F6EE1CB" w14:textId="6B698120" w:rsidR="00B01112" w:rsidRPr="00B01112" w:rsidRDefault="00B01112" w:rsidP="00965AE3">
      <w:pPr>
        <w:pStyle w:val="Bullet1"/>
        <w:rPr>
          <w:lang w:eastAsia="en-US"/>
        </w:rPr>
      </w:pPr>
      <w:r w:rsidRPr="00B01112">
        <w:rPr>
          <w:lang w:eastAsia="en-US"/>
        </w:rPr>
        <w:t xml:space="preserve">The </w:t>
      </w:r>
      <w:r w:rsidRPr="00B01112">
        <w:rPr>
          <w:lang w:val="en-GB" w:eastAsia="en-US"/>
        </w:rPr>
        <w:t>MBS data show an increased uptake of microalbumin testing</w:t>
      </w:r>
      <w:r w:rsidR="0052373D">
        <w:rPr>
          <w:lang w:val="en-GB" w:eastAsia="en-US"/>
        </w:rPr>
        <w:t>,</w:t>
      </w:r>
      <w:r w:rsidRPr="00B01112">
        <w:rPr>
          <w:lang w:val="en-GB" w:eastAsia="en-US"/>
        </w:rPr>
        <w:t xml:space="preserve"> with 1.23 million services in </w:t>
      </w:r>
      <w:r w:rsidR="0052373D">
        <w:rPr>
          <w:lang w:val="en-GB" w:eastAsia="en-US"/>
        </w:rPr>
        <w:t xml:space="preserve">the </w:t>
      </w:r>
      <w:r w:rsidRPr="00B01112">
        <w:rPr>
          <w:lang w:val="en-GB" w:eastAsia="en-US"/>
        </w:rPr>
        <w:t>2014</w:t>
      </w:r>
      <w:r w:rsidR="0052373D">
        <w:rPr>
          <w:lang w:val="en-GB" w:eastAsia="en-US"/>
        </w:rPr>
        <w:t>–</w:t>
      </w:r>
      <w:r w:rsidRPr="00B01112">
        <w:rPr>
          <w:lang w:val="en-GB" w:eastAsia="en-US"/>
        </w:rPr>
        <w:t xml:space="preserve">15 </w:t>
      </w:r>
      <w:r w:rsidR="0052373D">
        <w:rPr>
          <w:lang w:val="en-GB" w:eastAsia="en-US"/>
        </w:rPr>
        <w:t xml:space="preserve">financial year </w:t>
      </w:r>
      <w:r w:rsidRPr="00B01112">
        <w:rPr>
          <w:lang w:val="en-GB" w:eastAsia="en-US"/>
        </w:rPr>
        <w:t xml:space="preserve">and an annual growth rate of 6.9% over the last 5 years. Given that Australia has </w:t>
      </w:r>
      <w:r w:rsidR="0052373D">
        <w:rPr>
          <w:lang w:val="en-GB" w:eastAsia="en-US"/>
        </w:rPr>
        <w:t xml:space="preserve">a </w:t>
      </w:r>
      <w:r w:rsidRPr="00B01112">
        <w:rPr>
          <w:lang w:val="en-GB" w:eastAsia="en-US"/>
        </w:rPr>
        <w:t xml:space="preserve">million </w:t>
      </w:r>
      <w:r w:rsidR="0052373D">
        <w:rPr>
          <w:lang w:val="en-GB" w:eastAsia="en-US"/>
        </w:rPr>
        <w:t xml:space="preserve">people with </w:t>
      </w:r>
      <w:r w:rsidRPr="00B01112">
        <w:rPr>
          <w:lang w:val="en-GB" w:eastAsia="en-US"/>
        </w:rPr>
        <w:t xml:space="preserve">known </w:t>
      </w:r>
      <w:r w:rsidR="0052373D" w:rsidRPr="00B01112">
        <w:rPr>
          <w:lang w:val="en-GB" w:eastAsia="en-US"/>
        </w:rPr>
        <w:t>diabet</w:t>
      </w:r>
      <w:r w:rsidR="0052373D">
        <w:rPr>
          <w:lang w:val="en-GB" w:eastAsia="en-US"/>
        </w:rPr>
        <w:t>e</w:t>
      </w:r>
      <w:r w:rsidR="0052373D" w:rsidRPr="00B01112">
        <w:rPr>
          <w:lang w:val="en-GB" w:eastAsia="en-US"/>
        </w:rPr>
        <w:t>s</w:t>
      </w:r>
      <w:r w:rsidRPr="00B01112">
        <w:rPr>
          <w:lang w:val="en-GB" w:eastAsia="en-US"/>
        </w:rPr>
        <w:t xml:space="preserve">, </w:t>
      </w:r>
      <w:r w:rsidR="0052373D">
        <w:rPr>
          <w:lang w:val="en-GB" w:eastAsia="en-US"/>
        </w:rPr>
        <w:t xml:space="preserve">more than </w:t>
      </w:r>
      <w:r w:rsidRPr="00B01112">
        <w:rPr>
          <w:lang w:val="en-GB" w:eastAsia="en-US"/>
        </w:rPr>
        <w:t>30% of adult Australians have hypertension, and metabolic syndrome is increasingly frequent, there is little evidence of over</w:t>
      </w:r>
      <w:r w:rsidR="0052373D">
        <w:rPr>
          <w:lang w:val="en-GB" w:eastAsia="en-US"/>
        </w:rPr>
        <w:t>-</w:t>
      </w:r>
      <w:r w:rsidRPr="00B01112">
        <w:rPr>
          <w:lang w:val="en-GB" w:eastAsia="en-US"/>
        </w:rPr>
        <w:t xml:space="preserve">testing. </w:t>
      </w:r>
    </w:p>
    <w:p w14:paraId="5BD9201B" w14:textId="546B5EEF" w:rsidR="00B01112" w:rsidRPr="00B01112" w:rsidRDefault="00B01112" w:rsidP="00965AE3">
      <w:pPr>
        <w:pStyle w:val="Bullet1"/>
        <w:rPr>
          <w:lang w:eastAsia="en-US"/>
        </w:rPr>
      </w:pPr>
      <w:r w:rsidRPr="00B01112">
        <w:rPr>
          <w:lang w:val="en-GB" w:eastAsia="en-US"/>
        </w:rPr>
        <w:t xml:space="preserve">Review of the geographic distribution of microalbumin testing shows a higher frequency of testing in very remote areas compared </w:t>
      </w:r>
      <w:r w:rsidR="00B062D5">
        <w:rPr>
          <w:lang w:val="en-GB" w:eastAsia="en-US"/>
        </w:rPr>
        <w:t xml:space="preserve">with </w:t>
      </w:r>
      <w:r w:rsidRPr="00B01112">
        <w:rPr>
          <w:lang w:val="en-GB" w:eastAsia="en-US"/>
        </w:rPr>
        <w:t>cities (8</w:t>
      </w:r>
      <w:r w:rsidR="00E5655B">
        <w:rPr>
          <w:lang w:val="en-GB" w:eastAsia="en-US"/>
        </w:rPr>
        <w:t>,</w:t>
      </w:r>
      <w:r w:rsidRPr="00B01112">
        <w:rPr>
          <w:lang w:val="en-GB" w:eastAsia="en-US"/>
        </w:rPr>
        <w:t>815 per 100,000 populations in very remote areas versus 4</w:t>
      </w:r>
      <w:r w:rsidR="00E5655B">
        <w:rPr>
          <w:lang w:val="en-GB" w:eastAsia="en-US"/>
        </w:rPr>
        <w:t>,</w:t>
      </w:r>
      <w:r w:rsidRPr="00B01112">
        <w:rPr>
          <w:lang w:val="en-GB" w:eastAsia="en-US"/>
        </w:rPr>
        <w:t>743 per 100,000 population in the city). This is appropriate</w:t>
      </w:r>
      <w:r w:rsidR="00B062D5">
        <w:rPr>
          <w:lang w:val="en-GB" w:eastAsia="en-US"/>
        </w:rPr>
        <w:t>,</w:t>
      </w:r>
      <w:r w:rsidRPr="00B01112">
        <w:rPr>
          <w:lang w:val="en-GB" w:eastAsia="en-US"/>
        </w:rPr>
        <w:t xml:space="preserve"> as the frequency of diabetes and renal failure is markedly increased in Aboriginal and Torres Strait Islander people. </w:t>
      </w:r>
      <w:r w:rsidR="00B062D5">
        <w:rPr>
          <w:lang w:val="en-GB" w:eastAsia="en-US"/>
        </w:rPr>
        <w:br/>
      </w:r>
      <w:r w:rsidRPr="00B01112">
        <w:rPr>
          <w:lang w:val="en-GB" w:eastAsia="en-US"/>
        </w:rPr>
        <w:t>However, MBS data also suggest</w:t>
      </w:r>
      <w:r w:rsidR="00B062D5">
        <w:rPr>
          <w:lang w:val="en-GB" w:eastAsia="en-US"/>
        </w:rPr>
        <w:t>s</w:t>
      </w:r>
      <w:r w:rsidRPr="00B01112">
        <w:rPr>
          <w:lang w:val="en-GB" w:eastAsia="en-US"/>
        </w:rPr>
        <w:t xml:space="preserve"> that the number of tests per patient in some people exceed</w:t>
      </w:r>
      <w:r w:rsidR="00B062D5">
        <w:rPr>
          <w:lang w:val="en-GB" w:eastAsia="en-US"/>
        </w:rPr>
        <w:t>s</w:t>
      </w:r>
      <w:r w:rsidRPr="00B01112">
        <w:rPr>
          <w:lang w:val="en-GB" w:eastAsia="en-US"/>
        </w:rPr>
        <w:t xml:space="preserve"> best practice: in </w:t>
      </w:r>
      <w:r w:rsidR="00B062D5">
        <w:rPr>
          <w:lang w:val="en-GB" w:eastAsia="en-US"/>
        </w:rPr>
        <w:t xml:space="preserve">the </w:t>
      </w:r>
      <w:r w:rsidR="00B062D5" w:rsidRPr="00B01112">
        <w:rPr>
          <w:lang w:val="en-GB" w:eastAsia="en-US"/>
        </w:rPr>
        <w:t>2014</w:t>
      </w:r>
      <w:r w:rsidR="00B062D5">
        <w:rPr>
          <w:lang w:val="en-GB" w:eastAsia="en-US"/>
        </w:rPr>
        <w:t>–</w:t>
      </w:r>
      <w:r w:rsidRPr="00B01112">
        <w:rPr>
          <w:lang w:val="en-GB" w:eastAsia="en-US"/>
        </w:rPr>
        <w:t xml:space="preserve">15 </w:t>
      </w:r>
      <w:r w:rsidR="00B062D5">
        <w:rPr>
          <w:lang w:val="en-GB" w:eastAsia="en-US"/>
        </w:rPr>
        <w:t>financial year, one</w:t>
      </w:r>
      <w:r w:rsidR="00B062D5" w:rsidRPr="00B01112">
        <w:rPr>
          <w:lang w:val="en-GB" w:eastAsia="en-US"/>
        </w:rPr>
        <w:t xml:space="preserve"> </w:t>
      </w:r>
      <w:r w:rsidRPr="00B01112">
        <w:rPr>
          <w:lang w:val="en-GB" w:eastAsia="en-US"/>
        </w:rPr>
        <w:t xml:space="preserve">per cent of patients had more than four tests. These figures have increased by an average of </w:t>
      </w:r>
      <w:r w:rsidR="00B062D5">
        <w:rPr>
          <w:lang w:val="en-GB" w:eastAsia="en-US"/>
        </w:rPr>
        <w:t>eight</w:t>
      </w:r>
      <w:r w:rsidR="00B062D5" w:rsidRPr="00B01112">
        <w:rPr>
          <w:lang w:val="en-GB" w:eastAsia="en-US"/>
        </w:rPr>
        <w:t xml:space="preserve"> </w:t>
      </w:r>
      <w:r w:rsidRPr="00B01112">
        <w:rPr>
          <w:lang w:val="en-GB" w:eastAsia="en-US"/>
        </w:rPr>
        <w:t xml:space="preserve">per cent and 17 per cent per year, respectively, over the last </w:t>
      </w:r>
      <w:r w:rsidR="00B062D5">
        <w:rPr>
          <w:lang w:val="en-GB" w:eastAsia="en-US"/>
        </w:rPr>
        <w:t>5</w:t>
      </w:r>
      <w:r w:rsidR="00321B3D">
        <w:rPr>
          <w:lang w:val="en-GB" w:eastAsia="en-US"/>
        </w:rPr>
        <w:t xml:space="preserve"> </w:t>
      </w:r>
      <w:r w:rsidRPr="00B01112">
        <w:rPr>
          <w:lang w:val="en-GB" w:eastAsia="en-US"/>
        </w:rPr>
        <w:t>years. In the same year, 65 patients had 20 or more tests. While very small, this figure has increased by an average of 25 per cent per year over the last five years.</w:t>
      </w:r>
      <w:r w:rsidR="00240E05" w:rsidRPr="00B01112">
        <w:rPr>
          <w:lang w:val="en-GB" w:eastAsia="en-US"/>
        </w:rPr>
        <w:fldChar w:fldCharType="begin"/>
      </w:r>
      <w:r w:rsidR="00877C64">
        <w:rPr>
          <w:lang w:val="en-GB"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B01112">
        <w:rPr>
          <w:lang w:val="en-GB" w:eastAsia="en-US"/>
        </w:rPr>
        <w:fldChar w:fldCharType="separate"/>
      </w:r>
      <w:r w:rsidR="00877C64" w:rsidRPr="00877C64">
        <w:rPr>
          <w:noProof/>
          <w:vertAlign w:val="superscript"/>
          <w:lang w:val="en-GB" w:eastAsia="en-US"/>
        </w:rPr>
        <w:t>8</w:t>
      </w:r>
      <w:r w:rsidR="00240E05" w:rsidRPr="00B01112">
        <w:rPr>
          <w:lang w:val="en-US" w:eastAsia="en-US"/>
        </w:rPr>
        <w:fldChar w:fldCharType="end"/>
      </w:r>
    </w:p>
    <w:p w14:paraId="3E6C2B71" w14:textId="3C559E27"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56CB524F" w14:textId="07CF9525" w:rsidR="007C00E1" w:rsidRDefault="00B01112" w:rsidP="002F5343">
      <w:pPr>
        <w:spacing w:before="0" w:after="0"/>
        <w:rPr>
          <w:szCs w:val="22"/>
          <w:lang w:val="en-US" w:eastAsia="en-US"/>
        </w:rPr>
      </w:pPr>
      <w:r w:rsidRPr="00B01112">
        <w:rPr>
          <w:szCs w:val="22"/>
          <w:lang w:val="en-US" w:eastAsia="en-US"/>
        </w:rPr>
        <w:t xml:space="preserve">The </w:t>
      </w:r>
      <w:r w:rsidR="006E47CC">
        <w:rPr>
          <w:lang w:val="en-US"/>
        </w:rPr>
        <w:t>Endocrinology Clinical Committee</w:t>
      </w:r>
      <w:r w:rsidR="001B36A2">
        <w:rPr>
          <w:lang w:val="en-US"/>
        </w:rPr>
        <w:t xml:space="preserve"> </w:t>
      </w:r>
      <w:r w:rsidRPr="00B01112">
        <w:rPr>
          <w:szCs w:val="22"/>
          <w:lang w:val="en-US" w:eastAsia="en-US"/>
        </w:rPr>
        <w:t>proposed the following:</w:t>
      </w:r>
    </w:p>
    <w:p w14:paraId="51218CBF" w14:textId="77777777" w:rsidR="007C00E1" w:rsidRDefault="00B01112" w:rsidP="00965AE3">
      <w:pPr>
        <w:pStyle w:val="Bullet1"/>
        <w:rPr>
          <w:lang w:val="en-US" w:eastAsia="en-US"/>
        </w:rPr>
      </w:pPr>
      <w:r w:rsidRPr="00B01112">
        <w:rPr>
          <w:lang w:val="en-US" w:eastAsia="en-US"/>
        </w:rPr>
        <w:t xml:space="preserve">Consider changing the item descriptor to incorporate the following suggestions: </w:t>
      </w:r>
    </w:p>
    <w:p w14:paraId="0F215262" w14:textId="76B1BBC7" w:rsidR="007C00E1" w:rsidRDefault="00B01112" w:rsidP="003B4B2A">
      <w:pPr>
        <w:pStyle w:val="Bullet2"/>
        <w:spacing w:line="288" w:lineRule="auto"/>
        <w:rPr>
          <w:lang w:val="en-US" w:eastAsia="en-US"/>
        </w:rPr>
      </w:pPr>
      <w:r w:rsidRPr="00B01112">
        <w:rPr>
          <w:lang w:val="en-US" w:eastAsia="en-US"/>
        </w:rPr>
        <w:t>Microalbumin – quantitation in urine. One test annually for</w:t>
      </w:r>
      <w:r w:rsidR="00321B3D">
        <w:rPr>
          <w:lang w:val="en-US" w:eastAsia="en-US"/>
        </w:rPr>
        <w:t>:</w:t>
      </w:r>
    </w:p>
    <w:p w14:paraId="0C6228A9" w14:textId="1B7DBF40" w:rsidR="007C00E1" w:rsidRDefault="00B01112" w:rsidP="003B4B2A">
      <w:pPr>
        <w:pStyle w:val="Bullet3"/>
        <w:numPr>
          <w:ilvl w:val="0"/>
          <w:numId w:val="0"/>
        </w:numPr>
        <w:spacing w:line="288" w:lineRule="auto"/>
        <w:ind w:left="1797"/>
        <w:rPr>
          <w:b w:val="0"/>
          <w:lang w:val="en-US" w:eastAsia="en-US"/>
        </w:rPr>
      </w:pPr>
      <w:r w:rsidRPr="00B01112">
        <w:rPr>
          <w:lang w:val="en-US" w:eastAsia="en-US"/>
        </w:rPr>
        <w:t>(</w:t>
      </w:r>
      <w:r w:rsidRPr="00B01112">
        <w:rPr>
          <w:b w:val="0"/>
          <w:lang w:val="en-US" w:eastAsia="en-US"/>
        </w:rPr>
        <w:t>i) patients with type 1 diabetes</w:t>
      </w:r>
      <w:r w:rsidR="00B63FC5">
        <w:rPr>
          <w:b w:val="0"/>
          <w:lang w:val="en-US" w:eastAsia="en-US"/>
        </w:rPr>
        <w:t>,</w:t>
      </w:r>
      <w:r w:rsidRPr="00B01112">
        <w:rPr>
          <w:b w:val="0"/>
          <w:lang w:val="en-US" w:eastAsia="en-US"/>
        </w:rPr>
        <w:t xml:space="preserve"> starting 5 years after diagnosis</w:t>
      </w:r>
    </w:p>
    <w:p w14:paraId="2CBE9192" w14:textId="421EBAC3" w:rsidR="007C00E1" w:rsidRDefault="00B01112" w:rsidP="003B4B2A">
      <w:pPr>
        <w:pStyle w:val="Bullet3"/>
        <w:numPr>
          <w:ilvl w:val="0"/>
          <w:numId w:val="0"/>
        </w:numPr>
        <w:spacing w:line="288" w:lineRule="auto"/>
        <w:ind w:left="1797"/>
        <w:rPr>
          <w:b w:val="0"/>
          <w:lang w:val="en-US" w:eastAsia="en-US"/>
        </w:rPr>
      </w:pPr>
      <w:r w:rsidRPr="00B01112">
        <w:rPr>
          <w:b w:val="0"/>
          <w:lang w:val="en-US" w:eastAsia="en-US"/>
        </w:rPr>
        <w:t>(ii) patients with type 2 diabetes mellitus</w:t>
      </w:r>
      <w:r w:rsidR="00321B3D">
        <w:rPr>
          <w:b w:val="0"/>
          <w:lang w:val="en-US" w:eastAsia="en-US"/>
        </w:rPr>
        <w:t>,</w:t>
      </w:r>
      <w:r w:rsidRPr="00B01112">
        <w:rPr>
          <w:b w:val="0"/>
          <w:lang w:val="en-US" w:eastAsia="en-US"/>
        </w:rPr>
        <w:t xml:space="preserve"> from diagnosis</w:t>
      </w:r>
    </w:p>
    <w:p w14:paraId="25E34E08" w14:textId="77777777" w:rsidR="007C00E1" w:rsidRDefault="00B01112" w:rsidP="003B4B2A">
      <w:pPr>
        <w:pStyle w:val="Bullet3"/>
        <w:numPr>
          <w:ilvl w:val="0"/>
          <w:numId w:val="0"/>
        </w:numPr>
        <w:spacing w:line="288" w:lineRule="auto"/>
        <w:ind w:left="1797"/>
        <w:rPr>
          <w:b w:val="0"/>
          <w:lang w:val="en-US" w:eastAsia="en-US"/>
        </w:rPr>
      </w:pPr>
      <w:r w:rsidRPr="00B01112">
        <w:rPr>
          <w:b w:val="0"/>
          <w:lang w:val="en-US" w:eastAsia="en-US"/>
        </w:rPr>
        <w:t>(iii) patients with hypertension or metabolic syndrome</w:t>
      </w:r>
      <w:r w:rsidR="00321B3D">
        <w:rPr>
          <w:b w:val="0"/>
          <w:lang w:val="en-US" w:eastAsia="en-US"/>
        </w:rPr>
        <w:t>,</w:t>
      </w:r>
      <w:r w:rsidRPr="00B01112">
        <w:rPr>
          <w:b w:val="0"/>
          <w:lang w:val="en-US" w:eastAsia="en-US"/>
        </w:rPr>
        <w:t xml:space="preserve"> from diagnosis.</w:t>
      </w:r>
    </w:p>
    <w:p w14:paraId="1C354108" w14:textId="3EAC7384" w:rsidR="007C00E1" w:rsidRDefault="00B01112" w:rsidP="003B4B2A">
      <w:pPr>
        <w:pStyle w:val="Bullet2"/>
        <w:spacing w:line="288" w:lineRule="auto"/>
        <w:rPr>
          <w:lang w:val="en-US" w:eastAsia="en-US"/>
        </w:rPr>
      </w:pPr>
      <w:r w:rsidRPr="00B01112">
        <w:rPr>
          <w:lang w:val="en-US" w:eastAsia="en-US"/>
        </w:rPr>
        <w:t xml:space="preserve">In patients with previously established albuminuria (defined as a urinary albumin:creatinine ratio &gt; 2.4 mg/mmol for men and &gt; 3.4 mg/mmol for women) documented on a previous test and stated on the request form, up to a maximum of </w:t>
      </w:r>
      <w:r w:rsidR="00321B3D">
        <w:rPr>
          <w:lang w:val="en-US" w:eastAsia="en-US"/>
        </w:rPr>
        <w:t>four</w:t>
      </w:r>
      <w:r w:rsidR="00321B3D" w:rsidRPr="00B01112">
        <w:rPr>
          <w:lang w:val="en-US" w:eastAsia="en-US"/>
        </w:rPr>
        <w:t xml:space="preserve"> </w:t>
      </w:r>
      <w:r w:rsidRPr="00B01112">
        <w:rPr>
          <w:lang w:val="en-US" w:eastAsia="en-US"/>
        </w:rPr>
        <w:t xml:space="preserve">tests per year for </w:t>
      </w:r>
    </w:p>
    <w:p w14:paraId="420C8541" w14:textId="77777777" w:rsidR="007C00E1" w:rsidRDefault="00B01112" w:rsidP="003B4B2A">
      <w:pPr>
        <w:pStyle w:val="Bullet3"/>
        <w:numPr>
          <w:ilvl w:val="0"/>
          <w:numId w:val="0"/>
        </w:numPr>
        <w:spacing w:line="288" w:lineRule="auto"/>
        <w:ind w:left="1797"/>
        <w:rPr>
          <w:b w:val="0"/>
          <w:lang w:val="en-US" w:eastAsia="en-US"/>
        </w:rPr>
      </w:pPr>
      <w:r w:rsidRPr="00B01112">
        <w:rPr>
          <w:b w:val="0"/>
          <w:lang w:val="en-US" w:eastAsia="en-US"/>
        </w:rPr>
        <w:t xml:space="preserve">(i) confirmation of albuminuria and </w:t>
      </w:r>
    </w:p>
    <w:p w14:paraId="7560F50A" w14:textId="77777777" w:rsidR="007C00E1" w:rsidRDefault="00B01112" w:rsidP="003B4B2A">
      <w:pPr>
        <w:pStyle w:val="Bullet3"/>
        <w:numPr>
          <w:ilvl w:val="0"/>
          <w:numId w:val="0"/>
        </w:numPr>
        <w:spacing w:line="288" w:lineRule="auto"/>
        <w:ind w:left="1797"/>
        <w:rPr>
          <w:b w:val="0"/>
          <w:lang w:val="en-US" w:eastAsia="en-US"/>
        </w:rPr>
      </w:pPr>
      <w:r w:rsidRPr="00B01112">
        <w:rPr>
          <w:b w:val="0"/>
          <w:lang w:val="en-US" w:eastAsia="en-US"/>
        </w:rPr>
        <w:t>(ii) monitoring of progression of albuminuria.</w:t>
      </w:r>
    </w:p>
    <w:p w14:paraId="23A56616" w14:textId="77777777" w:rsidR="007C00E1" w:rsidRDefault="00B01112" w:rsidP="00965AE3">
      <w:pPr>
        <w:pStyle w:val="Bullet1"/>
        <w:rPr>
          <w:lang w:val="en-US" w:eastAsia="en-US"/>
        </w:rPr>
      </w:pPr>
      <w:r w:rsidRPr="00B01112">
        <w:rPr>
          <w:lang w:val="en-US" w:eastAsia="en-US"/>
        </w:rPr>
        <w:t xml:space="preserve">Note that these recommendations represent a diabetes and endocrine perspective, and other users such as nephrologists should be considered. </w:t>
      </w:r>
    </w:p>
    <w:p w14:paraId="0862C7AD" w14:textId="77777777" w:rsidR="007C00E1" w:rsidRPr="00DA4A23" w:rsidRDefault="00B01112" w:rsidP="00DA4A23">
      <w:pPr>
        <w:rPr>
          <w:b/>
        </w:rPr>
      </w:pPr>
      <w:bookmarkStart w:id="82" w:name="_Toc485295741"/>
      <w:r w:rsidRPr="00DA4A23">
        <w:rPr>
          <w:b/>
        </w:rPr>
        <w:t>Recommendation 8</w:t>
      </w:r>
      <w:bookmarkEnd w:id="82"/>
    </w:p>
    <w:p w14:paraId="5092EB2C" w14:textId="6436E280" w:rsidR="007C00E1" w:rsidRDefault="001B36A2" w:rsidP="003B4B2A">
      <w:pPr>
        <w:pStyle w:val="BodyText"/>
        <w:spacing w:line="288" w:lineRule="auto"/>
      </w:pPr>
      <w:r>
        <w:t>T</w:t>
      </w:r>
      <w:r w:rsidR="00B01112" w:rsidRPr="00B01112">
        <w:t xml:space="preserve">he </w:t>
      </w:r>
      <w:r w:rsidR="00D17A1E" w:rsidRPr="00B84C4F">
        <w:rPr>
          <w:lang w:val="en-US"/>
        </w:rPr>
        <w:t xml:space="preserve">Pathology Clinical Committee </w:t>
      </w:r>
      <w:r w:rsidR="00B01112" w:rsidRPr="00B01112">
        <w:t>provides the following advice and recommendations.</w:t>
      </w:r>
    </w:p>
    <w:p w14:paraId="2F54E116" w14:textId="274F9CE2" w:rsidR="007C00E1" w:rsidRDefault="00B01112" w:rsidP="00965AE3">
      <w:pPr>
        <w:pStyle w:val="Bullet1"/>
      </w:pPr>
      <w:r>
        <w:t>The</w:t>
      </w:r>
      <w:r w:rsidR="001B36A2" w:rsidRPr="001B36A2">
        <w:rPr>
          <w:lang w:val="en-US"/>
        </w:rPr>
        <w:t xml:space="preserve"> </w:t>
      </w:r>
      <w:r w:rsidR="001B36A2" w:rsidRPr="00B84C4F">
        <w:rPr>
          <w:lang w:val="en-US"/>
        </w:rPr>
        <w:t>Pathology Clinical</w:t>
      </w:r>
      <w:r>
        <w:t xml:space="preserve"> </w:t>
      </w:r>
      <w:r w:rsidR="00D01B58" w:rsidRPr="00D01B58">
        <w:t>Committee</w:t>
      </w:r>
      <w:r>
        <w:t xml:space="preserve"> agrees with the clinical recommendations made by the </w:t>
      </w:r>
      <w:r w:rsidR="006E47CC">
        <w:rPr>
          <w:lang w:val="en-US"/>
        </w:rPr>
        <w:t>Endocrinology Clinical Committee</w:t>
      </w:r>
      <w:r w:rsidR="00E5655B">
        <w:rPr>
          <w:lang w:val="en-US"/>
        </w:rPr>
        <w:t xml:space="preserve"> </w:t>
      </w:r>
      <w:r>
        <w:t>but suggest that these detailed clinical requirements be contained in the explanatory notes.</w:t>
      </w:r>
    </w:p>
    <w:p w14:paraId="664BC442" w14:textId="4F6B2B50" w:rsidR="007C00E1" w:rsidRDefault="00B01112" w:rsidP="00965AE3">
      <w:pPr>
        <w:pStyle w:val="Bullet1"/>
      </w:pPr>
      <w:r>
        <w:t xml:space="preserve">The </w:t>
      </w:r>
      <w:r w:rsidR="001B36A2" w:rsidRPr="00B84C4F">
        <w:rPr>
          <w:lang w:val="en-US"/>
        </w:rPr>
        <w:t xml:space="preserve">Pathology Clinical </w:t>
      </w:r>
      <w:r w:rsidR="00D01B58" w:rsidRPr="00D01B58">
        <w:t>Committee</w:t>
      </w:r>
      <w:r>
        <w:t xml:space="preserve"> suggests including ‘renal disease’ and that ‘testing is restricted to </w:t>
      </w:r>
      <w:r w:rsidR="004A61DB">
        <w:t xml:space="preserve">four </w:t>
      </w:r>
      <w:r>
        <w:t>times within a 12-month period’ is also contained within the notes.</w:t>
      </w:r>
    </w:p>
    <w:p w14:paraId="03B50BD2" w14:textId="3073C484" w:rsidR="007C00E1" w:rsidRDefault="00B01112" w:rsidP="00B65C81">
      <w:pPr>
        <w:pStyle w:val="Bullet1"/>
      </w:pPr>
      <w:r>
        <w:t xml:space="preserve">The </w:t>
      </w:r>
      <w:r w:rsidR="001B36A2" w:rsidRPr="00B84C4F">
        <w:rPr>
          <w:lang w:val="en-US"/>
        </w:rPr>
        <w:t xml:space="preserve">Pathology Clinical </w:t>
      </w:r>
      <w:r w:rsidR="00D01B58" w:rsidRPr="00D01B58">
        <w:t>Committee</w:t>
      </w:r>
      <w:r>
        <w:t xml:space="preserve"> recommends that this item should be accompanied by an explanatory note as follows:</w:t>
      </w:r>
    </w:p>
    <w:p w14:paraId="539323B8" w14:textId="60B92739" w:rsidR="007C00E1" w:rsidRDefault="00B01112" w:rsidP="003B4B2A">
      <w:pPr>
        <w:pStyle w:val="Bullet2"/>
        <w:spacing w:line="288" w:lineRule="auto"/>
      </w:pPr>
      <w:r>
        <w:t>It is recommended that the following patients should be tested annually</w:t>
      </w:r>
      <w:r w:rsidR="00B63FC5">
        <w:t>:</w:t>
      </w:r>
    </w:p>
    <w:p w14:paraId="4ECE3F08" w14:textId="3A229338" w:rsidR="007C00E1" w:rsidRDefault="00B01112" w:rsidP="003B4B2A">
      <w:pPr>
        <w:pStyle w:val="Bullet3"/>
        <w:numPr>
          <w:ilvl w:val="0"/>
          <w:numId w:val="0"/>
        </w:numPr>
        <w:spacing w:line="288" w:lineRule="auto"/>
        <w:ind w:left="1797"/>
        <w:rPr>
          <w:b w:val="0"/>
        </w:rPr>
      </w:pPr>
      <w:r w:rsidRPr="00B01112">
        <w:rPr>
          <w:b w:val="0"/>
        </w:rPr>
        <w:t>(i) patients with type 1 diabetes</w:t>
      </w:r>
      <w:r w:rsidR="00B63FC5">
        <w:rPr>
          <w:b w:val="0"/>
        </w:rPr>
        <w:t>,</w:t>
      </w:r>
      <w:r w:rsidRPr="00B01112">
        <w:rPr>
          <w:b w:val="0"/>
        </w:rPr>
        <w:t xml:space="preserve"> starting 5 years after diagnosis</w:t>
      </w:r>
    </w:p>
    <w:p w14:paraId="5954F30A" w14:textId="5B769931" w:rsidR="007C00E1" w:rsidRDefault="00B01112" w:rsidP="003B4B2A">
      <w:pPr>
        <w:pStyle w:val="Bullet3"/>
        <w:numPr>
          <w:ilvl w:val="0"/>
          <w:numId w:val="0"/>
        </w:numPr>
        <w:spacing w:line="288" w:lineRule="auto"/>
        <w:ind w:left="1797"/>
        <w:rPr>
          <w:b w:val="0"/>
        </w:rPr>
      </w:pPr>
      <w:r w:rsidRPr="00B01112">
        <w:rPr>
          <w:b w:val="0"/>
        </w:rPr>
        <w:t>(ii) patients with type 2 diabetes mellitus</w:t>
      </w:r>
      <w:r w:rsidR="00B63FC5">
        <w:rPr>
          <w:b w:val="0"/>
        </w:rPr>
        <w:t>,</w:t>
      </w:r>
      <w:r w:rsidRPr="00B01112">
        <w:rPr>
          <w:b w:val="0"/>
        </w:rPr>
        <w:t xml:space="preserve"> from diagnosis</w:t>
      </w:r>
    </w:p>
    <w:p w14:paraId="2AFCBE5F" w14:textId="6FDFE270" w:rsidR="007C00E1" w:rsidRDefault="00B01112" w:rsidP="003B4B2A">
      <w:pPr>
        <w:pStyle w:val="Bullet3"/>
        <w:numPr>
          <w:ilvl w:val="0"/>
          <w:numId w:val="0"/>
        </w:numPr>
        <w:spacing w:line="288" w:lineRule="auto"/>
        <w:ind w:left="1797"/>
        <w:rPr>
          <w:b w:val="0"/>
        </w:rPr>
      </w:pPr>
      <w:r w:rsidRPr="00B01112">
        <w:rPr>
          <w:b w:val="0"/>
        </w:rPr>
        <w:t>(iii) patients with hypertension or metabolic syndrome</w:t>
      </w:r>
      <w:r w:rsidR="00B63FC5">
        <w:rPr>
          <w:b w:val="0"/>
        </w:rPr>
        <w:t>,</w:t>
      </w:r>
      <w:r w:rsidRPr="00B01112">
        <w:rPr>
          <w:b w:val="0"/>
        </w:rPr>
        <w:t xml:space="preserve"> from diagnosis</w:t>
      </w:r>
    </w:p>
    <w:p w14:paraId="3D200007" w14:textId="0E8CC92A" w:rsidR="007C00E1" w:rsidRDefault="00B01112" w:rsidP="003B4B2A">
      <w:pPr>
        <w:pStyle w:val="Bullet3"/>
        <w:numPr>
          <w:ilvl w:val="0"/>
          <w:numId w:val="0"/>
        </w:numPr>
        <w:spacing w:line="288" w:lineRule="auto"/>
        <w:ind w:left="1797"/>
        <w:rPr>
          <w:b w:val="0"/>
        </w:rPr>
      </w:pPr>
      <w:r w:rsidRPr="00B01112">
        <w:rPr>
          <w:b w:val="0"/>
        </w:rPr>
        <w:t xml:space="preserve">(iv) patients with </w:t>
      </w:r>
      <w:r w:rsidR="00A2436B">
        <w:rPr>
          <w:b w:val="0"/>
        </w:rPr>
        <w:t xml:space="preserve">or at risk of </w:t>
      </w:r>
      <w:r w:rsidRPr="00B01112">
        <w:rPr>
          <w:b w:val="0"/>
        </w:rPr>
        <w:t>renal disease.</w:t>
      </w:r>
    </w:p>
    <w:p w14:paraId="0FADEB41" w14:textId="4AA4FB37" w:rsidR="007C00E1" w:rsidRDefault="00B01112" w:rsidP="003B4B2A">
      <w:pPr>
        <w:pStyle w:val="Bullet2"/>
        <w:spacing w:line="288" w:lineRule="auto"/>
      </w:pPr>
      <w:r>
        <w:t>In patients with previously established albuminuria (defined as a urinary albumin:creatinine ratio &gt; 2.4 mg/mmol for men and &gt; 3.4 mg/mmol for women) documented on a previous test and stated on the request form</w:t>
      </w:r>
      <w:r w:rsidR="0076275C">
        <w:t xml:space="preserve">; </w:t>
      </w:r>
      <w:r>
        <w:t xml:space="preserve">up to a maximum of </w:t>
      </w:r>
      <w:r w:rsidR="0076275C">
        <w:t xml:space="preserve">four </w:t>
      </w:r>
      <w:r>
        <w:t>tests per year may be indicated for confirmation of albuminuria and monitoring of progression of albuminuria.</w:t>
      </w:r>
    </w:p>
    <w:p w14:paraId="1E26E6DF" w14:textId="6D46A12B" w:rsidR="00B01112" w:rsidRDefault="00B01112" w:rsidP="00965AE3">
      <w:pPr>
        <w:pStyle w:val="Bullet1"/>
      </w:pPr>
      <w:r w:rsidRPr="00B01112">
        <w:t xml:space="preserve">The </w:t>
      </w:r>
      <w:r w:rsidR="001B36A2" w:rsidRPr="00B84C4F">
        <w:rPr>
          <w:lang w:val="en-US"/>
        </w:rPr>
        <w:t xml:space="preserve">Pathology Clinical </w:t>
      </w:r>
      <w:r w:rsidR="00D01B58" w:rsidRPr="00D01B58">
        <w:t>Committee</w:t>
      </w:r>
      <w:r w:rsidRPr="00B01112">
        <w:t xml:space="preserve"> recommends changing the name of the item descriptor from microalbumin to albumin</w:t>
      </w:r>
      <w:r w:rsidR="0076275C">
        <w:t>:</w:t>
      </w:r>
      <w:r w:rsidRPr="00B01112">
        <w:t>creatinine ratio.</w:t>
      </w:r>
    </w:p>
    <w:p w14:paraId="5573ACB6" w14:textId="34C26A1E" w:rsidR="00B01112" w:rsidRPr="00B01112" w:rsidRDefault="00B01112" w:rsidP="003744BA">
      <w:pPr>
        <w:pStyle w:val="Caption"/>
      </w:pPr>
      <w:bookmarkStart w:id="83" w:name="_Toc472940504"/>
      <w:r>
        <w:t>Table 1</w:t>
      </w:r>
      <w:r w:rsidR="00AD6C1A">
        <w:t>2</w:t>
      </w:r>
      <w:r>
        <w:t xml:space="preserve">: Current and proposed new item descriptor for item </w:t>
      </w:r>
      <w:r w:rsidRPr="00B01112">
        <w:t>66560</w:t>
      </w:r>
      <w:bookmarkEnd w:id="83"/>
    </w:p>
    <w:tbl>
      <w:tblPr>
        <w:tblStyle w:val="TableGrid"/>
        <w:tblW w:w="0" w:type="auto"/>
        <w:tblLook w:val="04A0" w:firstRow="1" w:lastRow="0" w:firstColumn="1" w:lastColumn="0" w:noHBand="0" w:noVBand="1"/>
        <w:tblCaption w:val="Current and proposed new item descriptor for item 66560"/>
        <w:tblDescription w:val="This table contains the current and proposed new item descriptor and explanatory notes for item 66560, quantitation of albumin:creatinine ratio (ACR) in urine. These item descriptors will appear on the Medicare Benefits Schedule."/>
      </w:tblPr>
      <w:tblGrid>
        <w:gridCol w:w="4496"/>
        <w:gridCol w:w="4520"/>
      </w:tblGrid>
      <w:tr w:rsidR="00B01112" w:rsidRPr="00FD691A" w14:paraId="711D32A6" w14:textId="77777777" w:rsidTr="002F5343">
        <w:trPr>
          <w:cantSplit/>
          <w:tblHeader/>
        </w:trPr>
        <w:tc>
          <w:tcPr>
            <w:tcW w:w="4496" w:type="dxa"/>
          </w:tcPr>
          <w:p w14:paraId="51B5A8B1" w14:textId="77777777" w:rsidR="00B01112" w:rsidRPr="00FD691A" w:rsidRDefault="00B01112" w:rsidP="00B01112">
            <w:pPr>
              <w:pStyle w:val="BodyText"/>
              <w:rPr>
                <w:b/>
                <w:bCs/>
                <w:sz w:val="20"/>
                <w:lang w:val="en-US"/>
              </w:rPr>
            </w:pPr>
            <w:r w:rsidRPr="00FD691A">
              <w:rPr>
                <w:b/>
                <w:bCs/>
                <w:sz w:val="20"/>
                <w:lang w:val="en-US"/>
              </w:rPr>
              <w:t xml:space="preserve">Current item descriptor </w:t>
            </w:r>
          </w:p>
        </w:tc>
        <w:tc>
          <w:tcPr>
            <w:tcW w:w="4520" w:type="dxa"/>
          </w:tcPr>
          <w:p w14:paraId="411581B1" w14:textId="77777777" w:rsidR="00B01112" w:rsidRPr="00FD691A" w:rsidRDefault="00B01112" w:rsidP="00B01112">
            <w:pPr>
              <w:pStyle w:val="BodyText"/>
              <w:rPr>
                <w:b/>
                <w:bCs/>
                <w:sz w:val="20"/>
                <w:lang w:val="en-US"/>
              </w:rPr>
            </w:pPr>
            <w:r w:rsidRPr="00FD691A">
              <w:rPr>
                <w:b/>
                <w:bCs/>
                <w:sz w:val="20"/>
                <w:lang w:val="en-US"/>
              </w:rPr>
              <w:t>Proposed new item descriptor</w:t>
            </w:r>
          </w:p>
        </w:tc>
      </w:tr>
      <w:tr w:rsidR="00B01112" w:rsidRPr="00FD691A" w14:paraId="016E41F1" w14:textId="77777777" w:rsidTr="002F5343">
        <w:trPr>
          <w:cantSplit/>
          <w:tblHeader/>
        </w:trPr>
        <w:tc>
          <w:tcPr>
            <w:tcW w:w="4496" w:type="dxa"/>
          </w:tcPr>
          <w:p w14:paraId="082CF1DC" w14:textId="77777777" w:rsidR="00B01112" w:rsidRPr="00FD691A" w:rsidRDefault="00B01112" w:rsidP="00B01112">
            <w:pPr>
              <w:pStyle w:val="BodyText"/>
              <w:rPr>
                <w:bCs/>
                <w:sz w:val="20"/>
                <w:lang w:val="en-US"/>
              </w:rPr>
            </w:pPr>
            <w:r w:rsidRPr="00FD691A">
              <w:rPr>
                <w:sz w:val="20"/>
                <w:lang w:val="en-GB"/>
              </w:rPr>
              <w:t>Microalbumin – quantitation in urine.</w:t>
            </w:r>
          </w:p>
        </w:tc>
        <w:tc>
          <w:tcPr>
            <w:tcW w:w="4520" w:type="dxa"/>
          </w:tcPr>
          <w:p w14:paraId="3F473999" w14:textId="498B90A0" w:rsidR="00B01112" w:rsidRPr="00FD691A" w:rsidRDefault="00B01112" w:rsidP="00B01112">
            <w:pPr>
              <w:pStyle w:val="BodyText"/>
              <w:rPr>
                <w:sz w:val="20"/>
                <w:lang w:val="en-GB"/>
              </w:rPr>
            </w:pPr>
            <w:r w:rsidRPr="00FD691A">
              <w:rPr>
                <w:sz w:val="20"/>
                <w:lang w:val="en-GB"/>
              </w:rPr>
              <w:t>Albumin</w:t>
            </w:r>
            <w:r w:rsidR="0076275C">
              <w:rPr>
                <w:sz w:val="20"/>
                <w:lang w:val="en-GB"/>
              </w:rPr>
              <w:t>:</w:t>
            </w:r>
            <w:r w:rsidRPr="00FD691A">
              <w:rPr>
                <w:sz w:val="20"/>
                <w:lang w:val="en-GB"/>
              </w:rPr>
              <w:t>creatinine ratio (ACR) – quantitation in urine.</w:t>
            </w:r>
          </w:p>
          <w:p w14:paraId="2A7970A9" w14:textId="0A382877" w:rsidR="00B01112" w:rsidRPr="00FD691A" w:rsidRDefault="00B01112" w:rsidP="00B01112">
            <w:pPr>
              <w:pStyle w:val="BodyText"/>
              <w:rPr>
                <w:b/>
                <w:sz w:val="20"/>
              </w:rPr>
            </w:pPr>
            <w:r w:rsidRPr="00FD691A">
              <w:rPr>
                <w:b/>
                <w:sz w:val="20"/>
              </w:rPr>
              <w:t xml:space="preserve">Explanatory </w:t>
            </w:r>
            <w:r w:rsidR="0076275C">
              <w:rPr>
                <w:b/>
                <w:sz w:val="20"/>
              </w:rPr>
              <w:t>n</w:t>
            </w:r>
            <w:r w:rsidRPr="00FD691A">
              <w:rPr>
                <w:b/>
                <w:sz w:val="20"/>
              </w:rPr>
              <w:t>ote</w:t>
            </w:r>
          </w:p>
          <w:p w14:paraId="0FE3C137" w14:textId="4A0E103F" w:rsidR="00B01112" w:rsidRPr="00FD691A" w:rsidRDefault="00B01112" w:rsidP="00B01112">
            <w:pPr>
              <w:pStyle w:val="BodyText"/>
              <w:rPr>
                <w:sz w:val="20"/>
                <w:lang w:val="en-US"/>
              </w:rPr>
            </w:pPr>
            <w:r w:rsidRPr="00FD691A">
              <w:rPr>
                <w:sz w:val="20"/>
                <w:lang w:val="en-US"/>
              </w:rPr>
              <w:t>The following patients should be tested annually</w:t>
            </w:r>
            <w:r w:rsidR="0076275C">
              <w:rPr>
                <w:sz w:val="20"/>
                <w:lang w:val="en-US"/>
              </w:rPr>
              <w:t>:</w:t>
            </w:r>
            <w:r w:rsidRPr="00FD691A">
              <w:rPr>
                <w:sz w:val="20"/>
                <w:lang w:val="en-US"/>
              </w:rPr>
              <w:t xml:space="preserve"> </w:t>
            </w:r>
            <w:r w:rsidRPr="00FD691A">
              <w:rPr>
                <w:sz w:val="20"/>
                <w:lang w:val="en-US"/>
              </w:rPr>
              <w:br/>
              <w:t>(i) patients with type 1 diabetes</w:t>
            </w:r>
            <w:r w:rsidR="0076275C">
              <w:rPr>
                <w:sz w:val="20"/>
                <w:lang w:val="en-US"/>
              </w:rPr>
              <w:t>,</w:t>
            </w:r>
            <w:r w:rsidRPr="00FD691A">
              <w:rPr>
                <w:sz w:val="20"/>
                <w:lang w:val="en-US"/>
              </w:rPr>
              <w:t xml:space="preserve"> starting 5 years after diagnosis</w:t>
            </w:r>
            <w:r w:rsidRPr="00FD691A">
              <w:rPr>
                <w:sz w:val="20"/>
                <w:lang w:val="en-US"/>
              </w:rPr>
              <w:br/>
              <w:t>(ii) patients with type 2 diabetes mellitus</w:t>
            </w:r>
            <w:r w:rsidR="0076275C">
              <w:rPr>
                <w:sz w:val="20"/>
                <w:lang w:val="en-US"/>
              </w:rPr>
              <w:t>,</w:t>
            </w:r>
            <w:r w:rsidRPr="00FD691A">
              <w:rPr>
                <w:sz w:val="20"/>
                <w:lang w:val="en-US"/>
              </w:rPr>
              <w:t xml:space="preserve"> from diagnosis</w:t>
            </w:r>
            <w:r w:rsidRPr="00FD691A">
              <w:rPr>
                <w:sz w:val="20"/>
                <w:lang w:val="en-US"/>
              </w:rPr>
              <w:br/>
              <w:t>(iii) patients with hypertension or metabolic syndrome</w:t>
            </w:r>
            <w:r w:rsidR="0076275C">
              <w:rPr>
                <w:sz w:val="20"/>
                <w:lang w:val="en-US"/>
              </w:rPr>
              <w:t>,</w:t>
            </w:r>
            <w:r w:rsidRPr="00FD691A">
              <w:rPr>
                <w:sz w:val="20"/>
                <w:lang w:val="en-US"/>
              </w:rPr>
              <w:t xml:space="preserve"> from diagnosis</w:t>
            </w:r>
            <w:r w:rsidR="0076275C">
              <w:rPr>
                <w:sz w:val="20"/>
                <w:lang w:val="en-US"/>
              </w:rPr>
              <w:br/>
            </w:r>
            <w:r w:rsidRPr="00FD691A">
              <w:rPr>
                <w:sz w:val="20"/>
                <w:lang w:val="en-US"/>
              </w:rPr>
              <w:t xml:space="preserve">(iv) patients with </w:t>
            </w:r>
            <w:r w:rsidR="00A2436B">
              <w:rPr>
                <w:sz w:val="20"/>
                <w:lang w:val="en-US"/>
              </w:rPr>
              <w:t xml:space="preserve">or at risk of </w:t>
            </w:r>
            <w:r w:rsidRPr="00FD691A">
              <w:rPr>
                <w:sz w:val="20"/>
                <w:lang w:val="en-US"/>
              </w:rPr>
              <w:t>renal disease.</w:t>
            </w:r>
          </w:p>
          <w:p w14:paraId="2F7808D7" w14:textId="16811BA0" w:rsidR="00B01112" w:rsidRPr="00FD691A" w:rsidRDefault="00B01112" w:rsidP="00B01112">
            <w:pPr>
              <w:pStyle w:val="BodyText"/>
              <w:rPr>
                <w:sz w:val="20"/>
                <w:lang w:val="en-US"/>
              </w:rPr>
            </w:pPr>
            <w:r w:rsidRPr="00FD691A">
              <w:rPr>
                <w:sz w:val="20"/>
                <w:lang w:val="en-US"/>
              </w:rPr>
              <w:t xml:space="preserve">Testing is restricted to </w:t>
            </w:r>
            <w:r w:rsidR="0076275C">
              <w:rPr>
                <w:sz w:val="20"/>
                <w:lang w:val="en-US"/>
              </w:rPr>
              <w:t>four</w:t>
            </w:r>
            <w:r w:rsidR="0076275C" w:rsidRPr="00FD691A">
              <w:rPr>
                <w:sz w:val="20"/>
                <w:lang w:val="en-US"/>
              </w:rPr>
              <w:t xml:space="preserve"> </w:t>
            </w:r>
            <w:r w:rsidRPr="00FD691A">
              <w:rPr>
                <w:sz w:val="20"/>
                <w:lang w:val="en-US"/>
              </w:rPr>
              <w:t>times within a 12-month period</w:t>
            </w:r>
            <w:r w:rsidR="0076275C">
              <w:rPr>
                <w:sz w:val="20"/>
                <w:lang w:val="en-US"/>
              </w:rPr>
              <w:t>:</w:t>
            </w:r>
          </w:p>
          <w:p w14:paraId="2AF7D9E0" w14:textId="7FE0C275" w:rsidR="00B01112" w:rsidRPr="00FD691A" w:rsidRDefault="0076275C" w:rsidP="0076275C">
            <w:pPr>
              <w:pStyle w:val="BodyText"/>
              <w:numPr>
                <w:ilvl w:val="0"/>
                <w:numId w:val="1"/>
              </w:numPr>
              <w:rPr>
                <w:sz w:val="20"/>
                <w:lang w:val="en-GB"/>
              </w:rPr>
            </w:pPr>
            <w:r>
              <w:rPr>
                <w:sz w:val="20"/>
                <w:lang w:val="en-US"/>
              </w:rPr>
              <w:t>i</w:t>
            </w:r>
            <w:r w:rsidRPr="00FD691A">
              <w:rPr>
                <w:sz w:val="20"/>
                <w:lang w:val="en-US"/>
              </w:rPr>
              <w:t xml:space="preserve">n </w:t>
            </w:r>
            <w:r w:rsidR="00B01112" w:rsidRPr="00FD691A">
              <w:rPr>
                <w:sz w:val="20"/>
                <w:lang w:val="en-US"/>
              </w:rPr>
              <w:t>patients with previously established albuminuria (defined as a urinary albumin:creatinine ratio &gt; 2.4 mg/mmol for men and &gt; 3.4 mg/mmol for women) documented on a previous test and stated on the request form</w:t>
            </w:r>
            <w:r>
              <w:rPr>
                <w:sz w:val="20"/>
                <w:lang w:val="en-US"/>
              </w:rPr>
              <w:t>;</w:t>
            </w:r>
            <w:r w:rsidRPr="00FD691A">
              <w:rPr>
                <w:sz w:val="20"/>
                <w:lang w:val="en-US"/>
              </w:rPr>
              <w:t xml:space="preserve"> </w:t>
            </w:r>
            <w:r w:rsidR="00B01112" w:rsidRPr="00FD691A">
              <w:rPr>
                <w:sz w:val="20"/>
                <w:lang w:val="en-US"/>
              </w:rPr>
              <w:t xml:space="preserve">up to a maximum of </w:t>
            </w:r>
            <w:r>
              <w:rPr>
                <w:sz w:val="20"/>
                <w:lang w:val="en-US"/>
              </w:rPr>
              <w:t>four</w:t>
            </w:r>
            <w:r w:rsidRPr="00FD691A">
              <w:rPr>
                <w:sz w:val="20"/>
                <w:lang w:val="en-US"/>
              </w:rPr>
              <w:t xml:space="preserve"> </w:t>
            </w:r>
            <w:r w:rsidR="00B01112" w:rsidRPr="00FD691A">
              <w:rPr>
                <w:sz w:val="20"/>
                <w:lang w:val="en-US"/>
              </w:rPr>
              <w:t>tests per year may be indicated for confirmation of albuminuria and monitoring of progression of albuminuria.</w:t>
            </w:r>
          </w:p>
        </w:tc>
      </w:tr>
    </w:tbl>
    <w:p w14:paraId="7DE46CAD" w14:textId="36175F4A" w:rsidR="007C00E1" w:rsidRPr="00DA4A23" w:rsidRDefault="00B01112" w:rsidP="00DA4A23">
      <w:pPr>
        <w:rPr>
          <w:b/>
        </w:rPr>
      </w:pPr>
      <w:bookmarkStart w:id="84" w:name="_Toc485295742"/>
      <w:r w:rsidRPr="00DA4A23">
        <w:rPr>
          <w:b/>
        </w:rPr>
        <w:t xml:space="preserve">Rationale </w:t>
      </w:r>
      <w:r w:rsidR="00DB35C4" w:rsidRPr="00DA4A23">
        <w:rPr>
          <w:b/>
        </w:rPr>
        <w:t>8</w:t>
      </w:r>
      <w:bookmarkEnd w:id="84"/>
    </w:p>
    <w:p w14:paraId="3F2A168B" w14:textId="77777777" w:rsidR="00712BC4" w:rsidRPr="00692C6A" w:rsidRDefault="00B01112" w:rsidP="00DB35C4">
      <w:pPr>
        <w:pStyle w:val="BodyText"/>
      </w:pPr>
      <w:r w:rsidRPr="00692C6A">
        <w:t>This test is primarily used for two clinical purposes: screening and diagnosis of patients who are at risk of developing albuminuria, and monitoring the progression of albuminuria.</w:t>
      </w:r>
    </w:p>
    <w:p w14:paraId="4CAFB4E0" w14:textId="2EE998E7" w:rsidR="00712BC4" w:rsidRDefault="00B01112" w:rsidP="00DB35C4">
      <w:pPr>
        <w:pStyle w:val="DepartmentalNormal0"/>
        <w:rPr>
          <w:lang w:val="en-GB"/>
        </w:rPr>
      </w:pPr>
      <w:r w:rsidRPr="00B01112">
        <w:rPr>
          <w:lang w:val="en-GB"/>
        </w:rPr>
        <w:t xml:space="preserve">The number of times a single patient is tested within a 12-month period depends on the purpose of the test. The position of the </w:t>
      </w:r>
      <w:r w:rsidR="00D01B58" w:rsidRPr="00D01B58">
        <w:rPr>
          <w:lang w:val="en-GB"/>
        </w:rPr>
        <w:t>Committee</w:t>
      </w:r>
      <w:r w:rsidRPr="00B01112">
        <w:rPr>
          <w:lang w:val="en-GB"/>
        </w:rPr>
        <w:t xml:space="preserve"> is that the explanatory notes should include the appropriate indications for each test. These indications were determined based on the </w:t>
      </w:r>
      <w:r w:rsidR="00D01B58" w:rsidRPr="00D01B58">
        <w:rPr>
          <w:lang w:val="en-GB"/>
        </w:rPr>
        <w:t>Committee</w:t>
      </w:r>
      <w:r w:rsidRPr="00B01112">
        <w:rPr>
          <w:lang w:val="en-GB"/>
        </w:rPr>
        <w:t>’s clinical judgment and the relevant literature.</w:t>
      </w:r>
      <w:r w:rsidR="00240E05" w:rsidRPr="00B01112">
        <w:rPr>
          <w:lang w:val="en-GB"/>
        </w:rPr>
        <w:fldChar w:fldCharType="begin">
          <w:fldData xml:space="preserve">PEVuZE5vdGU+PENpdGUgRXhjbHVkZUF1dGg9IjEiPjxZZWFyPjIwMTU8L1llYXI+PFJlY051bT4x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</w:fldData>
        </w:fldChar>
      </w:r>
      <w:r w:rsidR="00877C64">
        <w:rPr>
          <w:lang w:val="en-GB"/>
        </w:rPr>
        <w:instrText xml:space="preserve"> ADDIN EN.CITE </w:instrText>
      </w:r>
      <w:r w:rsidR="00877C64">
        <w:rPr>
          <w:lang w:val="en-GB"/>
        </w:rPr>
        <w:fldChar w:fldCharType="begin">
          <w:fldData xml:space="preserve">PEVuZE5vdGU+PENpdGUgRXhjbHVkZUF1dGg9IjEiPjxZZWFyPjIwMTU8L1llYXI+PFJlY051bT4x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</w:fldData>
        </w:fldChar>
      </w:r>
      <w:r w:rsidR="00877C64">
        <w:rPr>
          <w:lang w:val="en-GB"/>
        </w:rPr>
        <w:instrText xml:space="preserve"> ADDIN EN.CITE.DATA </w:instrText>
      </w:r>
      <w:r w:rsidR="00877C64">
        <w:rPr>
          <w:lang w:val="en-GB"/>
        </w:rPr>
      </w:r>
      <w:r w:rsidR="00877C64">
        <w:rPr>
          <w:lang w:val="en-GB"/>
        </w:rPr>
        <w:fldChar w:fldCharType="end"/>
      </w:r>
      <w:r w:rsidR="00240E05" w:rsidRPr="00B01112">
        <w:rPr>
          <w:lang w:val="en-GB"/>
        </w:rPr>
      </w:r>
      <w:r w:rsidR="00240E05" w:rsidRPr="00B01112">
        <w:rPr>
          <w:lang w:val="en-GB"/>
        </w:rPr>
        <w:fldChar w:fldCharType="separate"/>
      </w:r>
      <w:r w:rsidR="00877C64" w:rsidRPr="00877C64">
        <w:rPr>
          <w:noProof/>
          <w:vertAlign w:val="superscript"/>
          <w:lang w:val="en-GB"/>
        </w:rPr>
        <w:t>26-28</w:t>
      </w:r>
      <w:r w:rsidR="00240E05" w:rsidRPr="00B01112">
        <w:fldChar w:fldCharType="end"/>
      </w:r>
    </w:p>
    <w:p w14:paraId="1B8381EF" w14:textId="585EC468" w:rsidR="00B01112" w:rsidRDefault="00B01112" w:rsidP="00DB35C4">
      <w:pPr>
        <w:pStyle w:val="BodyText"/>
      </w:pPr>
      <w:r w:rsidRPr="00B01112">
        <w:rPr>
          <w:lang w:val="en-GB"/>
        </w:rPr>
        <w:t xml:space="preserve">The </w:t>
      </w:r>
      <w:r w:rsidR="001B36A2" w:rsidRPr="00B84C4F">
        <w:rPr>
          <w:lang w:val="en-US"/>
        </w:rPr>
        <w:t xml:space="preserve">Pathology Clinical </w:t>
      </w:r>
      <w:r w:rsidR="00D01B58" w:rsidRPr="00D01B58">
        <w:rPr>
          <w:lang w:val="en-GB"/>
        </w:rPr>
        <w:t>Committee</w:t>
      </w:r>
      <w:r w:rsidRPr="00B01112">
        <w:rPr>
          <w:lang w:val="en-GB"/>
        </w:rPr>
        <w:t xml:space="preserve"> also noted that this test was ordered by nephrologists and is also indicated in renal disease. The </w:t>
      </w:r>
      <w:r w:rsidR="00D01B58" w:rsidRPr="00D01B58">
        <w:rPr>
          <w:lang w:val="en-GB"/>
        </w:rPr>
        <w:t>Committee</w:t>
      </w:r>
      <w:r w:rsidRPr="00B01112">
        <w:rPr>
          <w:lang w:val="en-GB"/>
        </w:rPr>
        <w:t xml:space="preserve"> recognised that the term ‘microalbumin’ is now an outdated term and that the preferred name is albumin</w:t>
      </w:r>
      <w:r w:rsidR="00712BC4">
        <w:rPr>
          <w:lang w:val="en-GB"/>
        </w:rPr>
        <w:t>:</w:t>
      </w:r>
      <w:r w:rsidRPr="00B01112">
        <w:rPr>
          <w:lang w:val="en-GB"/>
        </w:rPr>
        <w:t xml:space="preserve">creatinine ratio, reflecting the measurement of albumin corrected for the excretion of creatinine in a random sample. It therefore suggested changing the name of the item descriptor to </w:t>
      </w:r>
      <w:r w:rsidR="00712BC4" w:rsidRPr="00B01112">
        <w:rPr>
          <w:lang w:val="en-GB"/>
        </w:rPr>
        <w:t>albumin</w:t>
      </w:r>
      <w:r w:rsidR="00712BC4">
        <w:rPr>
          <w:lang w:val="en-GB"/>
        </w:rPr>
        <w:t>:</w:t>
      </w:r>
      <w:r w:rsidRPr="00B01112">
        <w:rPr>
          <w:lang w:val="en-GB"/>
        </w:rPr>
        <w:t xml:space="preserve">creatinine ratio. This also removes the link to absolute </w:t>
      </w:r>
      <w:r w:rsidRPr="00DB35C4">
        <w:t>concentrations</w:t>
      </w:r>
      <w:r w:rsidRPr="00B01112">
        <w:rPr>
          <w:lang w:val="en-GB"/>
        </w:rPr>
        <w:t xml:space="preserve"> of albumin, which can range from very small amounts to grams per day.</w:t>
      </w:r>
      <w:r w:rsidR="00240E05" w:rsidRPr="00B01112">
        <w:rPr>
          <w:lang w:val="en-GB"/>
        </w:rPr>
        <w:fldChar w:fldCharType="begin" w:fldLock="1"/>
      </w:r>
      <w:r w:rsidRPr="00B01112">
        <w:rPr>
          <w:lang w:val="en-GB"/>
        </w:rPr>
        <w:instrText>ADDIN CSL_CITATION { "citationItems" : [ { "id" : "ITEM-1", "itemData" : { "DOI" : "10.1038/kisup.2012.76", "ISBN" : "979-448-732-5", "ISSN" : "2157-1724", "PMID" : "23989362", "abstract" : "The 2009 Kidney Disease: Improving Global Outcomes (KDIGO) clinical practice guideline on the management of chronic kidney disease\u2013mineral and bone disorder (CKD\u2013MBD) is intended to assist the practitioner caring for adults and children with CKD stages 3\u20135, on chronic dialysis therapy, or with a kidney transplant. The guideline contains recommendations on evaluation and treatment for abnormalities of CKD\u2013MBD. This disease concept of CKD\u2013MBD is based on a prior KDIGO consensus conference. Tests considered are those that relate to the detection and monitoring of laboratory, bone, and cardiovascular abnormalities. Treatments considered are interventions to treat hyperphosphatemia, hyperparathyroidism, and bone disease in patients with CKD stages 3\u20135D and 1\u20135T. The guideline development process followed an evidence based approach and treatment recommendations are based on systematic reviews of relevant treatment trials. Recommendations for testing used evidence based on diagnostic accuracy or risk prediction and linked it indirectly with how this would be expected to achieve better outcomes for patients through better detection, evaluation or treatment of disease. Critical appraisal of the quality of the evidence and the strength of recommendations followed the GRADE approach. An ungraded statement was provided when a question did not lend itself to systematic literature review. Limitations of the evidence, especially the lack of definitive clinical outcome trials, are discussed and suggestions are provided for future research.", "author" : [ { "dropping-particle" : "", "family" : "Of", "given" : "Official Journal Onal Society", "non-dropping-particle" : "", "parse-names" : false, "suffix" : "" }, { "dropping-particle" : "", "family" : "Kidney Disease: Improving Global Outcomes (KDIGO) CKD Work Group", "given" : "", "non-dropping-particle" : "", "parse-names" : false, "suffix" : "" } ], "container-title" : "Kidney International Supplements", "id" : "ITEM-1", "issue" : "1", "issued" : { "date-parts" : [ [ "2013" ] ] }, "page" : "4-4", "title" : "KDIGO 2012 Clinical Practice Guideline for the Evaluation and Management of Chronic Kidney Disease", "type" : "article-journal", "volume" : "3" }, "uris" : [ "http://www.mendeley.com/documents/?uuid=bd3f22ba-d7ff-48b1-8373-afc98980e8ef" ] }, { "id" : "ITEM-2", "itemData" : { "author" : [ { "dropping-particle" : "", "family" : "Cameron", "given" : "AJ", "non-dropping-particle" : "", "parse-names" : false, "suffix" : "" }, { "dropping-particle" : "", "family" : "Magliano", "given" : "DJ", "non-dropping-particle" : "", "parse-names" : false, "suffix" : "" }, { "dropping-particle" : "", "family" : "Zimmet", "given" : "PZ", "non-dropping-particle" : "", "parse-names" : false, "suffix" : "" }, { "dropping-particle" : "", "family" : "Welborn", "given" : "T", "non-dropping-particle" : "", "parse-names" : false, "suffix" : "" }, { "dropping-particle" : "", "family" : "Shaw", "given" : "JE", "non-dropping-particle" : "", "parse-names" : false, "suffix" : "" } ], "id" : "ITEM-2", "issue" : "3", "issued" : { "date-parts" : [ [ "0" ] ] }, "page" : "471-8", "title" : "The metabolic syndrome in Australia: prevalence using four definitions", "type" : "article-journal", "volume" : "77" }, "uris" : [ "http://www.mendeley.com/documents/?uuid=ae02cd21-ece1-472e-b9ff-78960c3b7b88" ] }, { "id" : "ITEM-3", "itemData" : { "DOI" : "10.2337/dc15-S012", "ISBN" : "10600280", "ISSN" : "0149-5992, 1935-5548", "PMID" : "15216606", "abstract" : "The article presents microvascular complications and foot care in patients with diabetes. It says that there is a need to evaluate urinary albumin at least once annually, for example, spot urinary albumin-to-creatinine ratio, and estimated glomerular filtration rate in patients with type 1 diabetes with duration of greater than or equal to five years, in all patients with type 2 diabetes, and in all patients with comorbid hypertension.", "author" : [ { "dropping-particle" : "", "family" : "American Diabetes Association", "given" : "", "non-dropping-particle" : "", "parse-names" : false, "suffix" : "" } ], "container-title" : "Diabetes Care", "id" : "ITEM-3", "issue" : "Supplement 1", "issued" : { "date-parts" : [ [ "2015" ] ] }, "page" : "S58-S66", "title" : "9. Microvascular Complications and Foot Care", "type" : "article-journal", "volume" : "38" }, "uris" : [ "http://www.mendeley.com/documents/?uuid=06eca57b-aad7-4722-bae3-0f9f29b4ddb0" ] } ], "mendeley" : { "formattedCitation" : "[21]\u2013[23]", "plainTextFormattedCitation" : "[21]\u2013[23]", "previouslyFormattedCitation" : "[21]\u2013[23]" }, "properties" : { "noteIndex" : 0 }, "schema" : "https://github.com/citation-style-language/schema/raw/master/csl-citation.json" }</w:instrText>
      </w:r>
      <w:r w:rsidR="00240E05" w:rsidRPr="00B01112">
        <w:fldChar w:fldCharType="end"/>
      </w:r>
    </w:p>
    <w:p w14:paraId="1F1C8066" w14:textId="646EC7A9" w:rsidR="00B01112" w:rsidRDefault="00AF5D5F" w:rsidP="00AF5D5F">
      <w:pPr>
        <w:pStyle w:val="Heading2Report"/>
      </w:pPr>
      <w:bookmarkStart w:id="85" w:name="_Toc485295743"/>
      <w:bookmarkStart w:id="86" w:name="_Toc485296606"/>
      <w:r>
        <w:t>Quantitation of hormones and hormone-binding proteins: Items 66695–8, 66701, 66704 and 66707</w:t>
      </w:r>
      <w:bookmarkEnd w:id="85"/>
      <w:bookmarkEnd w:id="86"/>
    </w:p>
    <w:p w14:paraId="237682FA" w14:textId="77777777" w:rsidR="00AF5D5F" w:rsidRPr="00AF5D5F" w:rsidRDefault="00AF5D5F" w:rsidP="003744BA">
      <w:pPr>
        <w:pStyle w:val="Caption"/>
      </w:pPr>
      <w:bookmarkStart w:id="87" w:name="_Toc472940505"/>
      <w:r>
        <w:t>Table 1</w:t>
      </w:r>
      <w:r w:rsidR="00AD6C1A">
        <w:t>3</w:t>
      </w:r>
      <w:r>
        <w:t xml:space="preserve">: </w:t>
      </w:r>
      <w:r w:rsidRPr="00AF5D5F">
        <w:t>Item introduction table for items 66695–8, 66701, 66704 and 66707</w:t>
      </w:r>
      <w:bookmarkEnd w:id="87"/>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s 66695–8, 66701, 66704 and 66707"/>
        <w:tblDescription w:val="This is a table that contains Medicare Benefits Schedule data for items 66695–8, 66701, 66704 and 66707, for the finanical year 2014–2015. The data includes total volume of services, benefits and services annual average growth."/>
      </w:tblPr>
      <w:tblGrid>
        <w:gridCol w:w="705"/>
        <w:gridCol w:w="4014"/>
        <w:gridCol w:w="905"/>
        <w:gridCol w:w="1035"/>
        <w:gridCol w:w="1170"/>
        <w:gridCol w:w="1187"/>
      </w:tblGrid>
      <w:tr w:rsidR="00AF5D5F" w:rsidRPr="00FD691A" w14:paraId="271F0892" w14:textId="77777777" w:rsidTr="00AF5D5F">
        <w:trPr>
          <w:tblHeader/>
        </w:trPr>
        <w:tc>
          <w:tcPr>
            <w:tcW w:w="391" w:type="pct"/>
            <w:shd w:val="clear" w:color="auto" w:fill="D9D9D9" w:themeFill="background1" w:themeFillShade="D9"/>
            <w:vAlign w:val="bottom"/>
          </w:tcPr>
          <w:p w14:paraId="148B73F6" w14:textId="77777777" w:rsidR="00AF5D5F" w:rsidRPr="00FD691A" w:rsidRDefault="00AF5D5F" w:rsidP="00AF5D5F">
            <w:pPr>
              <w:pStyle w:val="BodyText"/>
              <w:rPr>
                <w:b/>
                <w:sz w:val="20"/>
                <w:lang w:val="en-GB"/>
              </w:rPr>
            </w:pPr>
            <w:r w:rsidRPr="00FD691A">
              <w:rPr>
                <w:b/>
                <w:sz w:val="20"/>
                <w:lang w:val="en-GB"/>
              </w:rPr>
              <w:t>Item</w:t>
            </w:r>
          </w:p>
        </w:tc>
        <w:tc>
          <w:tcPr>
            <w:tcW w:w="2226" w:type="pct"/>
            <w:shd w:val="clear" w:color="auto" w:fill="D9D9D9" w:themeFill="background1" w:themeFillShade="D9"/>
            <w:tcMar>
              <w:left w:w="57" w:type="dxa"/>
            </w:tcMar>
            <w:vAlign w:val="bottom"/>
          </w:tcPr>
          <w:p w14:paraId="44EC4E41" w14:textId="77777777" w:rsidR="00AF5D5F" w:rsidRPr="00FD691A" w:rsidRDefault="00AF5D5F" w:rsidP="00AF5D5F">
            <w:pPr>
              <w:pStyle w:val="BodyText"/>
              <w:rPr>
                <w:b/>
                <w:sz w:val="20"/>
                <w:lang w:val="en-GB"/>
              </w:rPr>
            </w:pPr>
            <w:r w:rsidRPr="00FD691A">
              <w:rPr>
                <w:b/>
                <w:sz w:val="20"/>
                <w:lang w:val="en-GB"/>
              </w:rPr>
              <w:t>Descriptor [date last amended]</w:t>
            </w:r>
          </w:p>
        </w:tc>
        <w:tc>
          <w:tcPr>
            <w:tcW w:w="502" w:type="pct"/>
            <w:shd w:val="clear" w:color="auto" w:fill="D9D9D9" w:themeFill="background1" w:themeFillShade="D9"/>
            <w:vAlign w:val="bottom"/>
          </w:tcPr>
          <w:p w14:paraId="0F330B77" w14:textId="2E98530F" w:rsidR="00AF5D5F" w:rsidRPr="00FD691A" w:rsidRDefault="00AF5D5F" w:rsidP="00712BC4">
            <w:pPr>
              <w:pStyle w:val="BodyText"/>
              <w:rPr>
                <w:b/>
                <w:sz w:val="20"/>
                <w:lang w:val="en-GB"/>
              </w:rPr>
            </w:pPr>
            <w:r w:rsidRPr="00FD691A">
              <w:rPr>
                <w:b/>
                <w:sz w:val="20"/>
                <w:lang w:val="en-GB"/>
              </w:rPr>
              <w:t>Schedule</w:t>
            </w:r>
            <w:r w:rsidR="00712BC4">
              <w:rPr>
                <w:b/>
                <w:sz w:val="20"/>
                <w:lang w:val="en-GB"/>
              </w:rPr>
              <w:t xml:space="preserve"> </w:t>
            </w:r>
            <w:r w:rsidRPr="00FD691A">
              <w:rPr>
                <w:b/>
                <w:sz w:val="20"/>
                <w:lang w:val="en-GB"/>
              </w:rPr>
              <w:t>fee</w:t>
            </w:r>
          </w:p>
        </w:tc>
        <w:tc>
          <w:tcPr>
            <w:tcW w:w="574" w:type="pct"/>
            <w:shd w:val="clear" w:color="auto" w:fill="D9D9D9" w:themeFill="background1" w:themeFillShade="D9"/>
            <w:vAlign w:val="bottom"/>
          </w:tcPr>
          <w:p w14:paraId="344B98DE" w14:textId="77777777" w:rsidR="00AF5D5F" w:rsidRPr="00FD691A" w:rsidRDefault="00AF5D5F" w:rsidP="00AF5D5F">
            <w:pPr>
              <w:pStyle w:val="BodyText"/>
              <w:rPr>
                <w:b/>
                <w:sz w:val="20"/>
                <w:lang w:val="en-GB"/>
              </w:rPr>
            </w:pPr>
            <w:r w:rsidRPr="00FD691A">
              <w:rPr>
                <w:b/>
                <w:sz w:val="20"/>
                <w:lang w:val="en-GB"/>
              </w:rPr>
              <w:t>Services FY2014/15</w:t>
            </w:r>
          </w:p>
        </w:tc>
        <w:tc>
          <w:tcPr>
            <w:tcW w:w="649" w:type="pct"/>
            <w:shd w:val="clear" w:color="auto" w:fill="D9D9D9" w:themeFill="background1" w:themeFillShade="D9"/>
            <w:vAlign w:val="bottom"/>
          </w:tcPr>
          <w:p w14:paraId="53343ECF" w14:textId="77777777" w:rsidR="00AF5D5F" w:rsidRPr="00FD691A" w:rsidRDefault="00AF5D5F" w:rsidP="00AF5D5F">
            <w:pPr>
              <w:pStyle w:val="BodyText"/>
              <w:rPr>
                <w:b/>
                <w:sz w:val="20"/>
                <w:lang w:val="en-GB"/>
              </w:rPr>
            </w:pPr>
            <w:r w:rsidRPr="00FD691A">
              <w:rPr>
                <w:b/>
                <w:sz w:val="20"/>
                <w:lang w:val="en-GB"/>
              </w:rPr>
              <w:t>Benefits FY2014/15</w:t>
            </w:r>
          </w:p>
        </w:tc>
        <w:tc>
          <w:tcPr>
            <w:tcW w:w="658" w:type="pct"/>
            <w:shd w:val="clear" w:color="auto" w:fill="D9D9D9" w:themeFill="background1" w:themeFillShade="D9"/>
            <w:vAlign w:val="bottom"/>
          </w:tcPr>
          <w:p w14:paraId="165A73F4" w14:textId="2A19A9C7" w:rsidR="00AF5D5F" w:rsidRPr="00FD691A" w:rsidRDefault="00AF5D5F" w:rsidP="00AF5D5F">
            <w:pPr>
              <w:pStyle w:val="BodyText"/>
              <w:rPr>
                <w:b/>
                <w:sz w:val="20"/>
                <w:lang w:val="en-GB"/>
              </w:rPr>
            </w:pPr>
            <w:r w:rsidRPr="00FD691A">
              <w:rPr>
                <w:b/>
                <w:sz w:val="20"/>
                <w:lang w:val="en-GB"/>
              </w:rPr>
              <w:t>Services 5</w:t>
            </w:r>
            <w:r w:rsidR="00712BC4">
              <w:rPr>
                <w:b/>
                <w:sz w:val="20"/>
                <w:lang w:val="en-GB"/>
              </w:rPr>
              <w:t>-</w:t>
            </w:r>
            <w:r w:rsidRPr="00FD691A">
              <w:rPr>
                <w:b/>
                <w:sz w:val="20"/>
                <w:lang w:val="en-GB"/>
              </w:rPr>
              <w:t>year annual avg. growth</w:t>
            </w:r>
          </w:p>
        </w:tc>
      </w:tr>
      <w:tr w:rsidR="00AF5D5F" w:rsidRPr="00FD691A" w14:paraId="6C05EC80" w14:textId="77777777" w:rsidTr="00AF5D5F">
        <w:tc>
          <w:tcPr>
            <w:tcW w:w="391" w:type="pct"/>
          </w:tcPr>
          <w:p w14:paraId="6C9893F7" w14:textId="77777777" w:rsidR="00AF5D5F" w:rsidRPr="00FD691A" w:rsidRDefault="00AF5D5F" w:rsidP="00AF5D5F">
            <w:pPr>
              <w:pStyle w:val="BodyText"/>
              <w:rPr>
                <w:sz w:val="20"/>
                <w:lang w:val="en-GB"/>
              </w:rPr>
            </w:pPr>
            <w:r w:rsidRPr="00FD691A">
              <w:rPr>
                <w:sz w:val="20"/>
                <w:lang w:val="en-GB"/>
              </w:rPr>
              <w:t>66695</w:t>
            </w:r>
          </w:p>
        </w:tc>
        <w:tc>
          <w:tcPr>
            <w:tcW w:w="2226" w:type="pct"/>
            <w:tcMar>
              <w:left w:w="57" w:type="dxa"/>
            </w:tcMar>
            <w:vAlign w:val="center"/>
          </w:tcPr>
          <w:p w14:paraId="34715D26" w14:textId="77777777" w:rsidR="00AF5D5F" w:rsidRPr="00FD691A" w:rsidRDefault="00AF5D5F" w:rsidP="00AF5D5F">
            <w:pPr>
              <w:pStyle w:val="BodyText"/>
              <w:rPr>
                <w:sz w:val="20"/>
                <w:lang w:val="en-GB"/>
              </w:rPr>
            </w:pPr>
            <w:r w:rsidRPr="00FD691A">
              <w:rPr>
                <w:sz w:val="20"/>
                <w:lang w:val="en-GB"/>
              </w:rPr>
              <w:t>Quantitation in blood or urine of hormones and hormone binding proteins – ACTH, aldosterone, androstenedione, C-peptide, calcitonin, cortisol, DHEAS, 11-deoxycortisol, dihydrotestosterone, FSH, gastrin, glucagon, growth hormone, hydroxyprogesterone, insulin, LH, oestradiol, oestrone, progesterone, prolactin, PTH, renin, sex hormone binding globulin, somatomedin C (IGF-1), free or total testosterone, urine steroid fraction or fractions, vasoactive intestinal peptide, – 1 test. (Item is subject to rule 6.) [1998]</w:t>
            </w:r>
          </w:p>
        </w:tc>
        <w:tc>
          <w:tcPr>
            <w:tcW w:w="502" w:type="pct"/>
          </w:tcPr>
          <w:p w14:paraId="7C0F3C5D" w14:textId="77777777" w:rsidR="00AF5D5F" w:rsidRPr="00FD691A" w:rsidRDefault="00AF5D5F" w:rsidP="00AF5D5F">
            <w:pPr>
              <w:pStyle w:val="BodyText"/>
              <w:rPr>
                <w:sz w:val="20"/>
                <w:lang w:val="en-GB"/>
              </w:rPr>
            </w:pPr>
            <w:r w:rsidRPr="00FD691A">
              <w:rPr>
                <w:sz w:val="20"/>
                <w:lang w:val="en-GB"/>
              </w:rPr>
              <w:t>$30.50</w:t>
            </w:r>
          </w:p>
        </w:tc>
        <w:tc>
          <w:tcPr>
            <w:tcW w:w="574" w:type="pct"/>
          </w:tcPr>
          <w:p w14:paraId="6F8BB983" w14:textId="77777777" w:rsidR="00AF5D5F" w:rsidRPr="00FD691A" w:rsidRDefault="00AF5D5F" w:rsidP="00AF5D5F">
            <w:pPr>
              <w:pStyle w:val="BodyText"/>
              <w:rPr>
                <w:sz w:val="20"/>
                <w:lang w:val="en-GB"/>
              </w:rPr>
            </w:pPr>
            <w:r w:rsidRPr="00FD691A">
              <w:rPr>
                <w:sz w:val="20"/>
                <w:lang w:val="en-GB"/>
              </w:rPr>
              <w:t>602,001</w:t>
            </w:r>
          </w:p>
        </w:tc>
        <w:tc>
          <w:tcPr>
            <w:tcW w:w="649" w:type="pct"/>
          </w:tcPr>
          <w:p w14:paraId="5E58CF00" w14:textId="77777777" w:rsidR="00AF5D5F" w:rsidRPr="00FD691A" w:rsidRDefault="00AF5D5F" w:rsidP="00AF5D5F">
            <w:pPr>
              <w:pStyle w:val="BodyText"/>
              <w:rPr>
                <w:sz w:val="20"/>
                <w:lang w:val="en-GB"/>
              </w:rPr>
            </w:pPr>
            <w:r w:rsidRPr="00FD691A">
              <w:rPr>
                <w:sz w:val="20"/>
                <w:lang w:val="en-GB"/>
              </w:rPr>
              <w:t>$15,579,871</w:t>
            </w:r>
          </w:p>
        </w:tc>
        <w:tc>
          <w:tcPr>
            <w:tcW w:w="658" w:type="pct"/>
          </w:tcPr>
          <w:p w14:paraId="100A08F2" w14:textId="77777777" w:rsidR="00AF5D5F" w:rsidRPr="00FD691A" w:rsidRDefault="00AF5D5F" w:rsidP="00AF5D5F">
            <w:pPr>
              <w:pStyle w:val="BodyText"/>
              <w:rPr>
                <w:sz w:val="20"/>
                <w:lang w:val="en-GB"/>
              </w:rPr>
            </w:pPr>
            <w:r w:rsidRPr="00FD691A">
              <w:rPr>
                <w:sz w:val="20"/>
                <w:lang w:val="en-GB"/>
              </w:rPr>
              <w:t>7.1%</w:t>
            </w:r>
          </w:p>
        </w:tc>
      </w:tr>
      <w:tr w:rsidR="00AF5D5F" w:rsidRPr="00FD691A" w14:paraId="5478D50F" w14:textId="77777777" w:rsidTr="00AF5D5F">
        <w:tc>
          <w:tcPr>
            <w:tcW w:w="391" w:type="pct"/>
          </w:tcPr>
          <w:p w14:paraId="3A4EDA5E" w14:textId="77777777" w:rsidR="00AF5D5F" w:rsidRPr="00FD691A" w:rsidRDefault="00AF5D5F" w:rsidP="00AF5D5F">
            <w:pPr>
              <w:pStyle w:val="BodyText"/>
              <w:rPr>
                <w:sz w:val="20"/>
                <w:lang w:val="en-GB"/>
              </w:rPr>
            </w:pPr>
            <w:r w:rsidRPr="00FD691A">
              <w:rPr>
                <w:sz w:val="20"/>
                <w:lang w:val="en-GB"/>
              </w:rPr>
              <w:t>66696</w:t>
            </w:r>
          </w:p>
        </w:tc>
        <w:tc>
          <w:tcPr>
            <w:tcW w:w="2226" w:type="pct"/>
            <w:tcMar>
              <w:left w:w="57" w:type="dxa"/>
            </w:tcMar>
            <w:vAlign w:val="center"/>
          </w:tcPr>
          <w:p w14:paraId="7E1C2954" w14:textId="77777777" w:rsidR="00AF5D5F" w:rsidRPr="00FD691A" w:rsidRDefault="00AF5D5F" w:rsidP="00AF5D5F">
            <w:pPr>
              <w:pStyle w:val="BodyText"/>
              <w:rPr>
                <w:sz w:val="20"/>
                <w:lang w:val="en-GB"/>
              </w:rPr>
            </w:pPr>
            <w:r w:rsidRPr="00FD691A">
              <w:rPr>
                <w:sz w:val="20"/>
                <w:lang w:val="en-GB"/>
              </w:rPr>
              <w:t>A test described in item 66695, if rendered by a receiving APP – where no tests in the item have been rendered by the referring APP. (Item is subject to rule 6 and 18.) [2007]</w:t>
            </w:r>
          </w:p>
        </w:tc>
        <w:tc>
          <w:tcPr>
            <w:tcW w:w="502" w:type="pct"/>
          </w:tcPr>
          <w:p w14:paraId="196A6BE9" w14:textId="77777777" w:rsidR="00AF5D5F" w:rsidRPr="00FD691A" w:rsidRDefault="00AF5D5F" w:rsidP="00AF5D5F">
            <w:pPr>
              <w:pStyle w:val="BodyText"/>
              <w:rPr>
                <w:sz w:val="20"/>
                <w:lang w:val="en-GB"/>
              </w:rPr>
            </w:pPr>
            <w:r w:rsidRPr="00FD691A">
              <w:rPr>
                <w:sz w:val="20"/>
                <w:lang w:val="en-GB"/>
              </w:rPr>
              <w:t>$30.50</w:t>
            </w:r>
          </w:p>
        </w:tc>
        <w:tc>
          <w:tcPr>
            <w:tcW w:w="574" w:type="pct"/>
          </w:tcPr>
          <w:p w14:paraId="22BA8ECE" w14:textId="77777777" w:rsidR="00AF5D5F" w:rsidRPr="00FD691A" w:rsidRDefault="00AF5D5F" w:rsidP="00AF5D5F">
            <w:pPr>
              <w:pStyle w:val="BodyText"/>
              <w:rPr>
                <w:sz w:val="20"/>
                <w:lang w:val="en-GB"/>
              </w:rPr>
            </w:pPr>
            <w:r w:rsidRPr="00FD691A">
              <w:rPr>
                <w:sz w:val="20"/>
                <w:lang w:val="en-GB"/>
              </w:rPr>
              <w:t>15,160</w:t>
            </w:r>
          </w:p>
        </w:tc>
        <w:tc>
          <w:tcPr>
            <w:tcW w:w="649" w:type="pct"/>
          </w:tcPr>
          <w:p w14:paraId="6A054169" w14:textId="77777777" w:rsidR="00AF5D5F" w:rsidRPr="00FD691A" w:rsidRDefault="00AF5D5F" w:rsidP="00AF5D5F">
            <w:pPr>
              <w:pStyle w:val="BodyText"/>
              <w:rPr>
                <w:sz w:val="20"/>
                <w:lang w:val="en-GB"/>
              </w:rPr>
            </w:pPr>
            <w:r w:rsidRPr="00FD691A">
              <w:rPr>
                <w:sz w:val="20"/>
                <w:lang w:val="en-GB"/>
              </w:rPr>
              <w:t>$390,842</w:t>
            </w:r>
          </w:p>
        </w:tc>
        <w:tc>
          <w:tcPr>
            <w:tcW w:w="658" w:type="pct"/>
          </w:tcPr>
          <w:p w14:paraId="66AB4B68" w14:textId="77777777" w:rsidR="00AF5D5F" w:rsidRPr="00FD691A" w:rsidRDefault="00AF5D5F" w:rsidP="00AF5D5F">
            <w:pPr>
              <w:pStyle w:val="BodyText"/>
              <w:rPr>
                <w:sz w:val="20"/>
                <w:lang w:val="en-GB"/>
              </w:rPr>
            </w:pPr>
            <w:r w:rsidRPr="00FD691A">
              <w:rPr>
                <w:sz w:val="20"/>
                <w:lang w:val="en-GB"/>
              </w:rPr>
              <w:t>0.0%</w:t>
            </w:r>
          </w:p>
        </w:tc>
      </w:tr>
      <w:tr w:rsidR="00AF5D5F" w:rsidRPr="00FD691A" w14:paraId="36A5F6DF" w14:textId="77777777" w:rsidTr="00AF5D5F">
        <w:tc>
          <w:tcPr>
            <w:tcW w:w="391" w:type="pct"/>
          </w:tcPr>
          <w:p w14:paraId="3A927917" w14:textId="77777777" w:rsidR="00AF5D5F" w:rsidRPr="00FD691A" w:rsidRDefault="00AF5D5F" w:rsidP="00AF5D5F">
            <w:pPr>
              <w:pStyle w:val="BodyText"/>
              <w:rPr>
                <w:sz w:val="20"/>
                <w:lang w:val="en-GB"/>
              </w:rPr>
            </w:pPr>
            <w:r w:rsidRPr="00FD691A">
              <w:rPr>
                <w:sz w:val="20"/>
                <w:lang w:val="en-GB"/>
              </w:rPr>
              <w:t>66697</w:t>
            </w:r>
          </w:p>
        </w:tc>
        <w:tc>
          <w:tcPr>
            <w:tcW w:w="2226" w:type="pct"/>
            <w:tcMar>
              <w:left w:w="57" w:type="dxa"/>
            </w:tcMar>
            <w:vAlign w:val="center"/>
          </w:tcPr>
          <w:p w14:paraId="203C3CA0" w14:textId="77777777" w:rsidR="00AF5D5F" w:rsidRPr="00FD691A" w:rsidRDefault="00AF5D5F" w:rsidP="00AF5D5F">
            <w:pPr>
              <w:pStyle w:val="BodyText"/>
              <w:rPr>
                <w:sz w:val="20"/>
                <w:lang w:val="en-GB"/>
              </w:rPr>
            </w:pPr>
            <w:r w:rsidRPr="00FD691A">
              <w:rPr>
                <w:sz w:val="20"/>
                <w:lang w:val="en-GB"/>
              </w:rPr>
              <w:t>Test described in item 66695, other than that described in 66696, if rendered by a receiving APP – each test to a maximum of 4 tests. (Item is subject to rule 6 and 18.) [2007]</w:t>
            </w:r>
          </w:p>
        </w:tc>
        <w:tc>
          <w:tcPr>
            <w:tcW w:w="502" w:type="pct"/>
          </w:tcPr>
          <w:p w14:paraId="41EE94BA" w14:textId="77777777" w:rsidR="00AF5D5F" w:rsidRPr="00FD691A" w:rsidRDefault="00AF5D5F" w:rsidP="00AF5D5F">
            <w:pPr>
              <w:pStyle w:val="BodyText"/>
              <w:rPr>
                <w:sz w:val="20"/>
                <w:lang w:val="en-GB"/>
              </w:rPr>
            </w:pPr>
            <w:r w:rsidRPr="00FD691A">
              <w:rPr>
                <w:sz w:val="20"/>
                <w:lang w:val="en-GB"/>
              </w:rPr>
              <w:t>$13.20</w:t>
            </w:r>
          </w:p>
        </w:tc>
        <w:tc>
          <w:tcPr>
            <w:tcW w:w="574" w:type="pct"/>
          </w:tcPr>
          <w:p w14:paraId="78CC6BCC" w14:textId="77777777" w:rsidR="00AF5D5F" w:rsidRPr="00FD691A" w:rsidRDefault="00AF5D5F" w:rsidP="00AF5D5F">
            <w:pPr>
              <w:pStyle w:val="BodyText"/>
              <w:rPr>
                <w:sz w:val="20"/>
                <w:lang w:val="en-GB"/>
              </w:rPr>
            </w:pPr>
            <w:r w:rsidRPr="00FD691A">
              <w:rPr>
                <w:sz w:val="20"/>
                <w:lang w:val="en-GB"/>
              </w:rPr>
              <w:t>43,783</w:t>
            </w:r>
          </w:p>
        </w:tc>
        <w:tc>
          <w:tcPr>
            <w:tcW w:w="649" w:type="pct"/>
          </w:tcPr>
          <w:p w14:paraId="55507535" w14:textId="77777777" w:rsidR="00AF5D5F" w:rsidRPr="00FD691A" w:rsidRDefault="00AF5D5F" w:rsidP="00AF5D5F">
            <w:pPr>
              <w:pStyle w:val="BodyText"/>
              <w:rPr>
                <w:sz w:val="20"/>
                <w:lang w:val="en-GB"/>
              </w:rPr>
            </w:pPr>
            <w:r w:rsidRPr="00FD691A">
              <w:rPr>
                <w:sz w:val="20"/>
                <w:lang w:val="en-GB"/>
              </w:rPr>
              <w:t>$491,811</w:t>
            </w:r>
          </w:p>
        </w:tc>
        <w:tc>
          <w:tcPr>
            <w:tcW w:w="658" w:type="pct"/>
          </w:tcPr>
          <w:p w14:paraId="0AAD5517" w14:textId="77777777" w:rsidR="00AF5D5F" w:rsidRPr="00FD691A" w:rsidRDefault="00AF5D5F" w:rsidP="00AF5D5F">
            <w:pPr>
              <w:pStyle w:val="BodyText"/>
              <w:rPr>
                <w:sz w:val="20"/>
                <w:lang w:val="en-GB"/>
              </w:rPr>
            </w:pPr>
            <w:r w:rsidRPr="00FD691A">
              <w:rPr>
                <w:sz w:val="20"/>
                <w:lang w:val="en-GB"/>
              </w:rPr>
              <w:t>12.0%</w:t>
            </w:r>
          </w:p>
        </w:tc>
      </w:tr>
      <w:tr w:rsidR="00AF5D5F" w:rsidRPr="00FD691A" w14:paraId="01AC6B0B" w14:textId="77777777" w:rsidTr="00AF5D5F">
        <w:tc>
          <w:tcPr>
            <w:tcW w:w="391" w:type="pct"/>
          </w:tcPr>
          <w:p w14:paraId="17FCA69A" w14:textId="77777777" w:rsidR="00AF5D5F" w:rsidRPr="00FD691A" w:rsidRDefault="00AF5D5F" w:rsidP="00AF5D5F">
            <w:pPr>
              <w:pStyle w:val="BodyText"/>
              <w:rPr>
                <w:sz w:val="20"/>
                <w:lang w:val="en-GB"/>
              </w:rPr>
            </w:pPr>
            <w:r w:rsidRPr="00FD691A">
              <w:rPr>
                <w:sz w:val="20"/>
                <w:lang w:val="en-GB"/>
              </w:rPr>
              <w:t>66698</w:t>
            </w:r>
          </w:p>
        </w:tc>
        <w:tc>
          <w:tcPr>
            <w:tcW w:w="2226" w:type="pct"/>
            <w:tcMar>
              <w:left w:w="57" w:type="dxa"/>
            </w:tcMar>
            <w:vAlign w:val="center"/>
          </w:tcPr>
          <w:p w14:paraId="52901066" w14:textId="77777777" w:rsidR="00AF5D5F" w:rsidRPr="00FD691A" w:rsidRDefault="00AF5D5F" w:rsidP="00AF5D5F">
            <w:pPr>
              <w:pStyle w:val="BodyText"/>
              <w:rPr>
                <w:sz w:val="20"/>
                <w:lang w:val="en-GB"/>
              </w:rPr>
            </w:pPr>
            <w:r w:rsidRPr="00FD691A">
              <w:rPr>
                <w:sz w:val="20"/>
                <w:lang w:val="en-GB"/>
              </w:rPr>
              <w:t>2 tests described in item 66695. (Item is subject to rule 6.) [1998]</w:t>
            </w:r>
          </w:p>
        </w:tc>
        <w:tc>
          <w:tcPr>
            <w:tcW w:w="502" w:type="pct"/>
          </w:tcPr>
          <w:p w14:paraId="7BD20A91" w14:textId="77777777" w:rsidR="00AF5D5F" w:rsidRPr="00FD691A" w:rsidRDefault="00AF5D5F" w:rsidP="00AF5D5F">
            <w:pPr>
              <w:pStyle w:val="BodyText"/>
              <w:rPr>
                <w:sz w:val="20"/>
                <w:lang w:val="en-GB"/>
              </w:rPr>
            </w:pPr>
            <w:r w:rsidRPr="00FD691A">
              <w:rPr>
                <w:sz w:val="20"/>
                <w:lang w:val="en-GB"/>
              </w:rPr>
              <w:t>$43.70</w:t>
            </w:r>
          </w:p>
        </w:tc>
        <w:tc>
          <w:tcPr>
            <w:tcW w:w="574" w:type="pct"/>
          </w:tcPr>
          <w:p w14:paraId="43EC63FF" w14:textId="77777777" w:rsidR="00AF5D5F" w:rsidRPr="00FD691A" w:rsidRDefault="00AF5D5F" w:rsidP="00AF5D5F">
            <w:pPr>
              <w:pStyle w:val="BodyText"/>
              <w:rPr>
                <w:sz w:val="20"/>
                <w:lang w:val="en-GB"/>
              </w:rPr>
            </w:pPr>
            <w:r w:rsidRPr="00FD691A">
              <w:rPr>
                <w:sz w:val="20"/>
                <w:lang w:val="en-GB"/>
              </w:rPr>
              <w:t>171,416</w:t>
            </w:r>
          </w:p>
        </w:tc>
        <w:tc>
          <w:tcPr>
            <w:tcW w:w="649" w:type="pct"/>
          </w:tcPr>
          <w:p w14:paraId="5EC50946" w14:textId="77777777" w:rsidR="00AF5D5F" w:rsidRPr="00FD691A" w:rsidRDefault="00AF5D5F" w:rsidP="00AF5D5F">
            <w:pPr>
              <w:pStyle w:val="BodyText"/>
              <w:rPr>
                <w:sz w:val="20"/>
                <w:lang w:val="en-GB"/>
              </w:rPr>
            </w:pPr>
            <w:r w:rsidRPr="00FD691A">
              <w:rPr>
                <w:sz w:val="20"/>
                <w:lang w:val="en-GB"/>
              </w:rPr>
              <w:t>$6,368,414</w:t>
            </w:r>
          </w:p>
        </w:tc>
        <w:tc>
          <w:tcPr>
            <w:tcW w:w="658" w:type="pct"/>
          </w:tcPr>
          <w:p w14:paraId="4801A1E3" w14:textId="77777777" w:rsidR="00AF5D5F" w:rsidRPr="00FD691A" w:rsidRDefault="00AF5D5F" w:rsidP="00AF5D5F">
            <w:pPr>
              <w:pStyle w:val="BodyText"/>
              <w:rPr>
                <w:sz w:val="20"/>
                <w:lang w:val="en-GB"/>
              </w:rPr>
            </w:pPr>
            <w:r w:rsidRPr="00FD691A">
              <w:rPr>
                <w:sz w:val="20"/>
                <w:lang w:val="en-GB"/>
              </w:rPr>
              <w:t>5.3%</w:t>
            </w:r>
          </w:p>
        </w:tc>
      </w:tr>
      <w:tr w:rsidR="00AF5D5F" w:rsidRPr="00FD691A" w14:paraId="77375B30" w14:textId="77777777" w:rsidTr="00AF5D5F">
        <w:tc>
          <w:tcPr>
            <w:tcW w:w="391" w:type="pct"/>
          </w:tcPr>
          <w:p w14:paraId="4E9335D9" w14:textId="77777777" w:rsidR="00AF5D5F" w:rsidRPr="00FD691A" w:rsidRDefault="00AF5D5F" w:rsidP="00AF5D5F">
            <w:pPr>
              <w:pStyle w:val="BodyText"/>
              <w:rPr>
                <w:sz w:val="20"/>
                <w:lang w:val="en-GB"/>
              </w:rPr>
            </w:pPr>
            <w:r w:rsidRPr="00FD691A">
              <w:rPr>
                <w:sz w:val="20"/>
                <w:lang w:val="en-GB"/>
              </w:rPr>
              <w:t>66701</w:t>
            </w:r>
          </w:p>
        </w:tc>
        <w:tc>
          <w:tcPr>
            <w:tcW w:w="2226" w:type="pct"/>
            <w:tcMar>
              <w:left w:w="57" w:type="dxa"/>
            </w:tcMar>
            <w:vAlign w:val="center"/>
          </w:tcPr>
          <w:p w14:paraId="0085B029" w14:textId="77777777" w:rsidR="00AF5D5F" w:rsidRPr="00FD691A" w:rsidRDefault="00AF5D5F" w:rsidP="00AF5D5F">
            <w:pPr>
              <w:pStyle w:val="BodyText"/>
              <w:rPr>
                <w:sz w:val="20"/>
                <w:lang w:val="en-GB"/>
              </w:rPr>
            </w:pPr>
            <w:r w:rsidRPr="00FD691A">
              <w:rPr>
                <w:sz w:val="20"/>
                <w:lang w:val="en-GB"/>
              </w:rPr>
              <w:t>3 tests described in item 66695. (Item is subject to rule 6.) [1998]</w:t>
            </w:r>
          </w:p>
        </w:tc>
        <w:tc>
          <w:tcPr>
            <w:tcW w:w="502" w:type="pct"/>
          </w:tcPr>
          <w:p w14:paraId="23C3D5B6" w14:textId="77777777" w:rsidR="00AF5D5F" w:rsidRPr="00FD691A" w:rsidRDefault="00AF5D5F" w:rsidP="00AF5D5F">
            <w:pPr>
              <w:pStyle w:val="BodyText"/>
              <w:rPr>
                <w:sz w:val="20"/>
                <w:lang w:val="en-GB"/>
              </w:rPr>
            </w:pPr>
            <w:r w:rsidRPr="00FD691A">
              <w:rPr>
                <w:sz w:val="20"/>
                <w:lang w:val="en-GB"/>
              </w:rPr>
              <w:t>$56.90</w:t>
            </w:r>
          </w:p>
        </w:tc>
        <w:tc>
          <w:tcPr>
            <w:tcW w:w="574" w:type="pct"/>
          </w:tcPr>
          <w:p w14:paraId="2AEA5F2B" w14:textId="77777777" w:rsidR="00AF5D5F" w:rsidRPr="00FD691A" w:rsidRDefault="00AF5D5F" w:rsidP="00AF5D5F">
            <w:pPr>
              <w:pStyle w:val="BodyText"/>
              <w:rPr>
                <w:sz w:val="20"/>
                <w:lang w:val="en-GB"/>
              </w:rPr>
            </w:pPr>
            <w:r w:rsidRPr="00FD691A">
              <w:rPr>
                <w:sz w:val="20"/>
                <w:lang w:val="en-GB"/>
              </w:rPr>
              <w:t>180,259</w:t>
            </w:r>
          </w:p>
        </w:tc>
        <w:tc>
          <w:tcPr>
            <w:tcW w:w="649" w:type="pct"/>
          </w:tcPr>
          <w:p w14:paraId="7C51AE80" w14:textId="77777777" w:rsidR="00AF5D5F" w:rsidRPr="00FD691A" w:rsidRDefault="00AF5D5F" w:rsidP="00AF5D5F">
            <w:pPr>
              <w:pStyle w:val="BodyText"/>
              <w:rPr>
                <w:sz w:val="20"/>
                <w:lang w:val="en-GB"/>
              </w:rPr>
            </w:pPr>
            <w:r w:rsidRPr="00FD691A">
              <w:rPr>
                <w:sz w:val="20"/>
                <w:lang w:val="en-GB"/>
              </w:rPr>
              <w:t>$8,755,478</w:t>
            </w:r>
          </w:p>
        </w:tc>
        <w:tc>
          <w:tcPr>
            <w:tcW w:w="658" w:type="pct"/>
          </w:tcPr>
          <w:p w14:paraId="64A05DB2" w14:textId="77777777" w:rsidR="00AF5D5F" w:rsidRPr="00FD691A" w:rsidRDefault="00AF5D5F" w:rsidP="00AF5D5F">
            <w:pPr>
              <w:pStyle w:val="BodyText"/>
              <w:rPr>
                <w:sz w:val="20"/>
                <w:lang w:val="en-GB"/>
              </w:rPr>
            </w:pPr>
            <w:r w:rsidRPr="00FD691A">
              <w:rPr>
                <w:sz w:val="20"/>
                <w:lang w:val="en-GB"/>
              </w:rPr>
              <w:t>5.9%</w:t>
            </w:r>
          </w:p>
        </w:tc>
      </w:tr>
      <w:tr w:rsidR="00AF5D5F" w:rsidRPr="00FD691A" w14:paraId="5922D1B2" w14:textId="77777777" w:rsidTr="00AF5D5F">
        <w:tc>
          <w:tcPr>
            <w:tcW w:w="391" w:type="pct"/>
          </w:tcPr>
          <w:p w14:paraId="21B2455D" w14:textId="77777777" w:rsidR="00AF5D5F" w:rsidRPr="00FD691A" w:rsidRDefault="00AF5D5F" w:rsidP="00AF5D5F">
            <w:pPr>
              <w:pStyle w:val="BodyText"/>
              <w:rPr>
                <w:sz w:val="20"/>
                <w:lang w:val="en-GB"/>
              </w:rPr>
            </w:pPr>
            <w:r w:rsidRPr="00FD691A">
              <w:rPr>
                <w:sz w:val="20"/>
                <w:lang w:val="en-GB"/>
              </w:rPr>
              <w:t>66704</w:t>
            </w:r>
          </w:p>
        </w:tc>
        <w:tc>
          <w:tcPr>
            <w:tcW w:w="2226" w:type="pct"/>
            <w:tcMar>
              <w:left w:w="57" w:type="dxa"/>
            </w:tcMar>
            <w:vAlign w:val="center"/>
          </w:tcPr>
          <w:p w14:paraId="4F1BBD40" w14:textId="77777777" w:rsidR="00AF5D5F" w:rsidRPr="00FD691A" w:rsidRDefault="00AF5D5F" w:rsidP="00AF5D5F">
            <w:pPr>
              <w:pStyle w:val="BodyText"/>
              <w:rPr>
                <w:sz w:val="20"/>
                <w:lang w:val="en-GB"/>
              </w:rPr>
            </w:pPr>
            <w:r w:rsidRPr="00FD691A">
              <w:rPr>
                <w:sz w:val="20"/>
                <w:lang w:val="en-GB"/>
              </w:rPr>
              <w:t>4 tests described in item 66695. (This fee applies where 1 laboratory, or more than 1 laboratory belonging to the same APA, performs the only 4 tests specified on the request form or performs 4 tests and refers the rest to the laboratory of a separate APA.) (Item is subject to rule 6.) [1998]</w:t>
            </w:r>
          </w:p>
        </w:tc>
        <w:tc>
          <w:tcPr>
            <w:tcW w:w="502" w:type="pct"/>
          </w:tcPr>
          <w:p w14:paraId="7638307D" w14:textId="77777777" w:rsidR="00AF5D5F" w:rsidRPr="00FD691A" w:rsidRDefault="00AF5D5F" w:rsidP="00AF5D5F">
            <w:pPr>
              <w:pStyle w:val="BodyText"/>
              <w:rPr>
                <w:sz w:val="20"/>
                <w:lang w:val="en-GB"/>
              </w:rPr>
            </w:pPr>
            <w:r w:rsidRPr="00FD691A">
              <w:rPr>
                <w:sz w:val="20"/>
                <w:lang w:val="en-GB"/>
              </w:rPr>
              <w:t>$70.15</w:t>
            </w:r>
          </w:p>
        </w:tc>
        <w:tc>
          <w:tcPr>
            <w:tcW w:w="574" w:type="pct"/>
          </w:tcPr>
          <w:p w14:paraId="64A92F5B" w14:textId="77777777" w:rsidR="00AF5D5F" w:rsidRPr="00FD691A" w:rsidRDefault="00AF5D5F" w:rsidP="00AF5D5F">
            <w:pPr>
              <w:pStyle w:val="BodyText"/>
              <w:rPr>
                <w:sz w:val="20"/>
                <w:lang w:val="en-GB"/>
              </w:rPr>
            </w:pPr>
            <w:r w:rsidRPr="00FD691A">
              <w:rPr>
                <w:sz w:val="20"/>
                <w:lang w:val="en-GB"/>
              </w:rPr>
              <w:t>129,211</w:t>
            </w:r>
          </w:p>
        </w:tc>
        <w:tc>
          <w:tcPr>
            <w:tcW w:w="649" w:type="pct"/>
          </w:tcPr>
          <w:p w14:paraId="498AB151" w14:textId="77777777" w:rsidR="00AF5D5F" w:rsidRPr="00FD691A" w:rsidRDefault="00AF5D5F" w:rsidP="00AF5D5F">
            <w:pPr>
              <w:pStyle w:val="BodyText"/>
              <w:rPr>
                <w:sz w:val="20"/>
                <w:lang w:val="en-GB"/>
              </w:rPr>
            </w:pPr>
            <w:r w:rsidRPr="00FD691A">
              <w:rPr>
                <w:sz w:val="20"/>
                <w:lang w:val="en-GB"/>
              </w:rPr>
              <w:t>$7,724,653</w:t>
            </w:r>
          </w:p>
        </w:tc>
        <w:tc>
          <w:tcPr>
            <w:tcW w:w="658" w:type="pct"/>
          </w:tcPr>
          <w:p w14:paraId="68C1428C" w14:textId="77777777" w:rsidR="00AF5D5F" w:rsidRPr="00FD691A" w:rsidRDefault="00AF5D5F" w:rsidP="00AF5D5F">
            <w:pPr>
              <w:pStyle w:val="BodyText"/>
              <w:rPr>
                <w:sz w:val="20"/>
                <w:lang w:val="en-GB"/>
              </w:rPr>
            </w:pPr>
            <w:r w:rsidRPr="00FD691A">
              <w:rPr>
                <w:sz w:val="20"/>
                <w:lang w:val="en-GB"/>
              </w:rPr>
              <w:t>6.9%</w:t>
            </w:r>
          </w:p>
        </w:tc>
      </w:tr>
      <w:tr w:rsidR="00AF5D5F" w:rsidRPr="00FD691A" w14:paraId="26876404" w14:textId="77777777" w:rsidTr="00AF5D5F">
        <w:tc>
          <w:tcPr>
            <w:tcW w:w="391" w:type="pct"/>
          </w:tcPr>
          <w:p w14:paraId="27D37587" w14:textId="77777777" w:rsidR="00AF5D5F" w:rsidRPr="00FD691A" w:rsidRDefault="00AF5D5F" w:rsidP="00AF5D5F">
            <w:pPr>
              <w:pStyle w:val="BodyText"/>
              <w:rPr>
                <w:sz w:val="20"/>
                <w:lang w:val="en-GB"/>
              </w:rPr>
            </w:pPr>
            <w:r w:rsidRPr="00FD691A">
              <w:rPr>
                <w:sz w:val="20"/>
                <w:lang w:val="en-GB"/>
              </w:rPr>
              <w:t>66707</w:t>
            </w:r>
          </w:p>
        </w:tc>
        <w:tc>
          <w:tcPr>
            <w:tcW w:w="2226" w:type="pct"/>
            <w:tcMar>
              <w:left w:w="57" w:type="dxa"/>
            </w:tcMar>
            <w:vAlign w:val="center"/>
          </w:tcPr>
          <w:p w14:paraId="76508A0A" w14:textId="77777777" w:rsidR="00AF5D5F" w:rsidRPr="00FD691A" w:rsidRDefault="00AF5D5F" w:rsidP="00AF5D5F">
            <w:pPr>
              <w:pStyle w:val="BodyText"/>
              <w:rPr>
                <w:sz w:val="20"/>
                <w:lang w:val="en-GB"/>
              </w:rPr>
            </w:pPr>
            <w:r w:rsidRPr="00FD691A">
              <w:rPr>
                <w:sz w:val="20"/>
                <w:lang w:val="en-GB"/>
              </w:rPr>
              <w:t>5 or more tests described in item 66695. (Item is subject to rule 6.) [1998]</w:t>
            </w:r>
          </w:p>
        </w:tc>
        <w:tc>
          <w:tcPr>
            <w:tcW w:w="502" w:type="pct"/>
          </w:tcPr>
          <w:p w14:paraId="0ACCA536" w14:textId="77777777" w:rsidR="00AF5D5F" w:rsidRPr="00FD691A" w:rsidRDefault="00AF5D5F" w:rsidP="00AF5D5F">
            <w:pPr>
              <w:pStyle w:val="BodyText"/>
              <w:rPr>
                <w:sz w:val="20"/>
                <w:lang w:val="en-GB"/>
              </w:rPr>
            </w:pPr>
            <w:r w:rsidRPr="00FD691A">
              <w:rPr>
                <w:sz w:val="20"/>
                <w:lang w:val="en-GB"/>
              </w:rPr>
              <w:t>$83.35</w:t>
            </w:r>
          </w:p>
        </w:tc>
        <w:tc>
          <w:tcPr>
            <w:tcW w:w="574" w:type="pct"/>
          </w:tcPr>
          <w:p w14:paraId="67EABA98" w14:textId="77777777" w:rsidR="00AF5D5F" w:rsidRPr="00FD691A" w:rsidRDefault="00AF5D5F" w:rsidP="00AF5D5F">
            <w:pPr>
              <w:pStyle w:val="BodyText"/>
              <w:rPr>
                <w:sz w:val="20"/>
                <w:lang w:val="en-GB"/>
              </w:rPr>
            </w:pPr>
            <w:r w:rsidRPr="00FD691A">
              <w:rPr>
                <w:sz w:val="20"/>
                <w:lang w:val="en-GB"/>
              </w:rPr>
              <w:t>157,655</w:t>
            </w:r>
          </w:p>
        </w:tc>
        <w:tc>
          <w:tcPr>
            <w:tcW w:w="649" w:type="pct"/>
          </w:tcPr>
          <w:p w14:paraId="330538FA" w14:textId="77777777" w:rsidR="00AF5D5F" w:rsidRPr="00FD691A" w:rsidRDefault="00AF5D5F" w:rsidP="00AF5D5F">
            <w:pPr>
              <w:pStyle w:val="BodyText"/>
              <w:rPr>
                <w:sz w:val="20"/>
                <w:lang w:val="en-GB"/>
              </w:rPr>
            </w:pPr>
            <w:r w:rsidRPr="00FD691A">
              <w:rPr>
                <w:sz w:val="20"/>
                <w:lang w:val="en-GB"/>
              </w:rPr>
              <w:t>$11,191,602</w:t>
            </w:r>
          </w:p>
        </w:tc>
        <w:tc>
          <w:tcPr>
            <w:tcW w:w="658" w:type="pct"/>
          </w:tcPr>
          <w:p w14:paraId="6A67ADE7" w14:textId="77777777" w:rsidR="00AF5D5F" w:rsidRPr="00FD691A" w:rsidRDefault="00AF5D5F" w:rsidP="00AF5D5F">
            <w:pPr>
              <w:pStyle w:val="BodyText"/>
              <w:rPr>
                <w:sz w:val="20"/>
                <w:lang w:val="en-GB"/>
              </w:rPr>
            </w:pPr>
            <w:r w:rsidRPr="00FD691A">
              <w:rPr>
                <w:sz w:val="20"/>
                <w:lang w:val="en-GB"/>
              </w:rPr>
              <w:t>9.8%</w:t>
            </w:r>
          </w:p>
        </w:tc>
      </w:tr>
    </w:tbl>
    <w:p w14:paraId="01433A09" w14:textId="698F839A" w:rsidR="00C75FBD" w:rsidRPr="007C1C32" w:rsidRDefault="00C75FBD" w:rsidP="00AF11CA">
      <w:pPr>
        <w:pStyle w:val="03Tableundertext"/>
        <w:spacing w:after="0"/>
      </w:pPr>
      <w:r w:rsidRPr="0092015F">
        <w:rPr>
          <w:b/>
        </w:rPr>
        <w:t>Source: Department of Human Services, published data, date of processing.</w:t>
      </w:r>
    </w:p>
    <w:p w14:paraId="3314B2EA" w14:textId="17E75B6D"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3C207D18" w14:textId="4247F321" w:rsidR="00AF5D5F" w:rsidRDefault="00AF5D5F" w:rsidP="00AF5D5F">
      <w:pPr>
        <w:pStyle w:val="BodyText"/>
      </w:pPr>
      <w:r>
        <w:t xml:space="preserve">The </w:t>
      </w:r>
      <w:r w:rsidR="006E47CC">
        <w:rPr>
          <w:lang w:val="en-US"/>
        </w:rPr>
        <w:t>Endocrinology Clinical Committee</w:t>
      </w:r>
      <w:r w:rsidR="001B36A2">
        <w:rPr>
          <w:lang w:val="en-US"/>
        </w:rPr>
        <w:t xml:space="preserve"> </w:t>
      </w:r>
      <w:r>
        <w:t>proposed the following:</w:t>
      </w:r>
    </w:p>
    <w:p w14:paraId="456BE380" w14:textId="77777777" w:rsidR="00AF5D5F" w:rsidRPr="00AF5D5F" w:rsidRDefault="00AF5D5F" w:rsidP="00965AE3">
      <w:pPr>
        <w:pStyle w:val="Bullet1"/>
      </w:pPr>
      <w:r w:rsidRPr="00AF5D5F">
        <w:t>Leave these items unchanged.</w:t>
      </w:r>
    </w:p>
    <w:p w14:paraId="570380E9" w14:textId="77777777" w:rsidR="00AF5D5F" w:rsidRPr="00DA4A23" w:rsidRDefault="00AF5D5F" w:rsidP="00DA4A23">
      <w:pPr>
        <w:rPr>
          <w:b/>
        </w:rPr>
      </w:pPr>
      <w:bookmarkStart w:id="88" w:name="_Toc485295744"/>
      <w:r w:rsidRPr="00DA4A23">
        <w:rPr>
          <w:b/>
        </w:rPr>
        <w:t>Recommendation 9</w:t>
      </w:r>
      <w:bookmarkEnd w:id="88"/>
    </w:p>
    <w:p w14:paraId="3C755B90" w14:textId="58542787" w:rsidR="00AF5D5F" w:rsidRDefault="00AF5D5F" w:rsidP="00AF5D5F">
      <w:pPr>
        <w:pStyle w:val="BodyText"/>
      </w:pPr>
      <w:r w:rsidRPr="00AF5D5F">
        <w:t xml:space="preserve">The </w:t>
      </w:r>
      <w:r w:rsidR="001B36A2" w:rsidRPr="00B84C4F">
        <w:rPr>
          <w:lang w:val="en-US"/>
        </w:rPr>
        <w:t xml:space="preserve">Pathology Clinical </w:t>
      </w:r>
      <w:r w:rsidR="00D01B58" w:rsidRPr="00D01B58">
        <w:t>Committee</w:t>
      </w:r>
      <w:r w:rsidRPr="00AF5D5F">
        <w:t xml:space="preserve"> decided to review these items at a later stage and has put them on the work plan. No recommendations are made at this time.</w:t>
      </w:r>
    </w:p>
    <w:p w14:paraId="7D4672E2" w14:textId="77777777" w:rsidR="007C00E1" w:rsidRDefault="00AF5D5F" w:rsidP="00D92B97">
      <w:pPr>
        <w:pStyle w:val="Heading2Report"/>
        <w:spacing w:before="240"/>
      </w:pPr>
      <w:bookmarkStart w:id="89" w:name="_Toc485295745"/>
      <w:bookmarkStart w:id="90" w:name="_Toc485296607"/>
      <w:r>
        <w:t>Thyroid antibodies to tissue antigens: Items 71165–71170</w:t>
      </w:r>
      <w:bookmarkEnd w:id="89"/>
      <w:bookmarkEnd w:id="90"/>
    </w:p>
    <w:p w14:paraId="12B24490" w14:textId="77777777" w:rsidR="003744BA" w:rsidRDefault="003744BA" w:rsidP="003744BA">
      <w:pPr>
        <w:pStyle w:val="Caption"/>
      </w:pPr>
      <w:bookmarkStart w:id="91" w:name="_Toc472940506"/>
      <w:r>
        <w:t>Table 1</w:t>
      </w:r>
      <w:r w:rsidR="00AD6C1A">
        <w:t>4</w:t>
      </w:r>
      <w:r>
        <w:t>: Item introduction table for items 71165–70</w:t>
      </w:r>
      <w:bookmarkEnd w:id="91"/>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Caption w:val="Item introduction table for items 71165–70"/>
        <w:tblDescription w:val="This is a table that contains Medicare Benefits Schedule data for items 71165–70, for the finanical year 2014–2015. The data includes total volume of services, benefits and services annual average growth."/>
      </w:tblPr>
      <w:tblGrid>
        <w:gridCol w:w="717"/>
        <w:gridCol w:w="3969"/>
        <w:gridCol w:w="921"/>
        <w:gridCol w:w="1041"/>
        <w:gridCol w:w="1177"/>
        <w:gridCol w:w="1191"/>
      </w:tblGrid>
      <w:tr w:rsidR="00AF5D5F" w:rsidRPr="00FD691A" w14:paraId="3B34D883" w14:textId="77777777" w:rsidTr="00C75FBD">
        <w:trPr>
          <w:tblHeader/>
        </w:trPr>
        <w:tc>
          <w:tcPr>
            <w:tcW w:w="72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bottom"/>
          </w:tcPr>
          <w:p w14:paraId="5BFCF08C" w14:textId="77777777" w:rsidR="00AF5D5F" w:rsidRPr="00FD691A" w:rsidRDefault="00AF5D5F" w:rsidP="00AF5D5F">
            <w:pPr>
              <w:pStyle w:val="BodyText"/>
              <w:rPr>
                <w:b/>
                <w:sz w:val="20"/>
                <w:lang w:val="en-GB"/>
              </w:rPr>
            </w:pPr>
            <w:r w:rsidRPr="00FD691A">
              <w:rPr>
                <w:b/>
                <w:sz w:val="20"/>
                <w:lang w:val="en-GB"/>
              </w:rPr>
              <w:t>Item</w:t>
            </w:r>
          </w:p>
        </w:tc>
        <w:tc>
          <w:tcPr>
            <w:tcW w:w="401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bottom"/>
          </w:tcPr>
          <w:p w14:paraId="11A51975" w14:textId="77777777" w:rsidR="00AF5D5F" w:rsidRPr="00FD691A" w:rsidRDefault="00AF5D5F" w:rsidP="00AF5D5F">
            <w:pPr>
              <w:pStyle w:val="BodyText"/>
              <w:rPr>
                <w:b/>
                <w:sz w:val="20"/>
                <w:lang w:val="en-GB"/>
              </w:rPr>
            </w:pPr>
            <w:r w:rsidRPr="00FD691A">
              <w:rPr>
                <w:b/>
                <w:sz w:val="20"/>
                <w:lang w:val="en-GB"/>
              </w:rPr>
              <w:t>Descriptor [date last amended]</w:t>
            </w:r>
          </w:p>
        </w:tc>
        <w:tc>
          <w:tcPr>
            <w:tcW w:w="9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bottom"/>
          </w:tcPr>
          <w:p w14:paraId="579AF821" w14:textId="26B9E68D" w:rsidR="00AF5D5F" w:rsidRPr="00FD691A" w:rsidRDefault="00AF5D5F" w:rsidP="00D62C57">
            <w:pPr>
              <w:pStyle w:val="BodyText"/>
              <w:rPr>
                <w:b/>
                <w:sz w:val="20"/>
                <w:lang w:val="en-GB"/>
              </w:rPr>
            </w:pPr>
            <w:r w:rsidRPr="00FD691A">
              <w:rPr>
                <w:b/>
                <w:sz w:val="20"/>
                <w:lang w:val="en-GB"/>
              </w:rPr>
              <w:t>Schedule</w:t>
            </w:r>
            <w:r w:rsidR="00D62C57">
              <w:rPr>
                <w:b/>
                <w:sz w:val="20"/>
                <w:lang w:val="en-GB"/>
              </w:rPr>
              <w:t xml:space="preserve"> </w:t>
            </w:r>
            <w:r w:rsidRPr="00FD691A">
              <w:rPr>
                <w:b/>
                <w:sz w:val="20"/>
                <w:lang w:val="en-GB"/>
              </w:rPr>
              <w:t>fee</w:t>
            </w:r>
          </w:p>
        </w:tc>
        <w:tc>
          <w:tcPr>
            <w:tcW w:w="10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bottom"/>
          </w:tcPr>
          <w:p w14:paraId="6F2DF343" w14:textId="77777777" w:rsidR="00AF5D5F" w:rsidRPr="00FD691A" w:rsidRDefault="00AF5D5F" w:rsidP="00AF5D5F">
            <w:pPr>
              <w:pStyle w:val="BodyText"/>
              <w:rPr>
                <w:b/>
                <w:sz w:val="20"/>
                <w:lang w:val="en-GB"/>
              </w:rPr>
            </w:pPr>
            <w:r w:rsidRPr="00FD691A">
              <w:rPr>
                <w:b/>
                <w:sz w:val="20"/>
                <w:lang w:val="en-GB"/>
              </w:rPr>
              <w:t>Services FY2014/15</w:t>
            </w:r>
          </w:p>
        </w:tc>
        <w:tc>
          <w:tcPr>
            <w:tcW w:w="117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bottom"/>
          </w:tcPr>
          <w:p w14:paraId="50DA330C" w14:textId="77777777" w:rsidR="00AF5D5F" w:rsidRPr="00FD691A" w:rsidRDefault="00AF5D5F" w:rsidP="00AF5D5F">
            <w:pPr>
              <w:pStyle w:val="BodyText"/>
              <w:rPr>
                <w:b/>
                <w:sz w:val="20"/>
                <w:lang w:val="en-GB"/>
              </w:rPr>
            </w:pPr>
            <w:r w:rsidRPr="00FD691A">
              <w:rPr>
                <w:b/>
                <w:sz w:val="20"/>
                <w:lang w:val="en-GB"/>
              </w:rPr>
              <w:t>Benefits FY2014/15</w:t>
            </w:r>
          </w:p>
        </w:tc>
        <w:tc>
          <w:tcPr>
            <w:tcW w:w="119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bottom"/>
          </w:tcPr>
          <w:p w14:paraId="5DE527CD" w14:textId="76268A3C" w:rsidR="00AF5D5F" w:rsidRPr="00FD691A" w:rsidRDefault="00AF5D5F" w:rsidP="00AF5D5F">
            <w:pPr>
              <w:pStyle w:val="BodyText"/>
              <w:rPr>
                <w:b/>
                <w:sz w:val="20"/>
                <w:lang w:val="en-GB"/>
              </w:rPr>
            </w:pPr>
            <w:r w:rsidRPr="00FD691A">
              <w:rPr>
                <w:b/>
                <w:sz w:val="20"/>
                <w:lang w:val="en-GB"/>
              </w:rPr>
              <w:t>Services 5</w:t>
            </w:r>
            <w:r w:rsidR="00D62C57">
              <w:rPr>
                <w:b/>
                <w:sz w:val="20"/>
                <w:lang w:val="en-GB"/>
              </w:rPr>
              <w:t>-</w:t>
            </w:r>
            <w:r w:rsidRPr="00FD691A">
              <w:rPr>
                <w:b/>
                <w:sz w:val="20"/>
                <w:lang w:val="en-GB"/>
              </w:rPr>
              <w:t>year annual avg. growth</w:t>
            </w:r>
          </w:p>
        </w:tc>
      </w:tr>
      <w:tr w:rsidR="00AF5D5F" w:rsidRPr="00FD691A" w14:paraId="6635E841" w14:textId="77777777" w:rsidTr="00C75FBD">
        <w:tc>
          <w:tcPr>
            <w:tcW w:w="720" w:type="dxa"/>
            <w:tcBorders>
              <w:top w:val="single" w:sz="4" w:space="0" w:color="808080"/>
              <w:left w:val="single" w:sz="4" w:space="0" w:color="808080"/>
              <w:bottom w:val="single" w:sz="4" w:space="0" w:color="808080"/>
              <w:right w:val="single" w:sz="4" w:space="0" w:color="808080"/>
            </w:tcBorders>
          </w:tcPr>
          <w:p w14:paraId="7562E8C9" w14:textId="77777777" w:rsidR="00AF5D5F" w:rsidRPr="00FD691A" w:rsidRDefault="00AF5D5F" w:rsidP="00AF5D5F">
            <w:pPr>
              <w:pStyle w:val="BodyText"/>
              <w:rPr>
                <w:sz w:val="20"/>
                <w:lang w:val="en-GB"/>
              </w:rPr>
            </w:pPr>
            <w:r w:rsidRPr="00FD691A">
              <w:rPr>
                <w:sz w:val="20"/>
                <w:lang w:val="en-GB"/>
              </w:rPr>
              <w:t>71165</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6E8966FF" w14:textId="77777777" w:rsidR="00AF5D5F" w:rsidRPr="00FD691A" w:rsidRDefault="00AF5D5F" w:rsidP="00AF5D5F">
            <w:pPr>
              <w:pStyle w:val="BodyText"/>
              <w:rPr>
                <w:sz w:val="20"/>
                <w:lang w:val="en-GB"/>
              </w:rPr>
            </w:pPr>
            <w:r w:rsidRPr="00FD691A">
              <w:rPr>
                <w:sz w:val="20"/>
                <w:lang w:val="en-GB"/>
              </w:rPr>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(Item is subject to rule 6.) [2007]</w:t>
            </w:r>
          </w:p>
        </w:tc>
        <w:tc>
          <w:tcPr>
            <w:tcW w:w="923" w:type="dxa"/>
            <w:tcBorders>
              <w:top w:val="single" w:sz="4" w:space="0" w:color="808080"/>
              <w:left w:val="single" w:sz="4" w:space="0" w:color="808080"/>
              <w:bottom w:val="single" w:sz="4" w:space="0" w:color="808080"/>
              <w:right w:val="single" w:sz="4" w:space="0" w:color="808080"/>
            </w:tcBorders>
          </w:tcPr>
          <w:p w14:paraId="284127C5" w14:textId="77777777" w:rsidR="00AF5D5F" w:rsidRPr="00FD691A" w:rsidRDefault="00AF5D5F" w:rsidP="00AF5D5F">
            <w:pPr>
              <w:pStyle w:val="BodyText"/>
              <w:rPr>
                <w:sz w:val="20"/>
                <w:lang w:val="en-GB"/>
              </w:rPr>
            </w:pPr>
            <w:r w:rsidRPr="00FD691A">
              <w:rPr>
                <w:sz w:val="20"/>
                <w:lang w:val="en-GB"/>
              </w:rPr>
              <w:t>$34.55</w:t>
            </w:r>
          </w:p>
        </w:tc>
        <w:tc>
          <w:tcPr>
            <w:tcW w:w="1043" w:type="dxa"/>
            <w:tcBorders>
              <w:top w:val="single" w:sz="4" w:space="0" w:color="808080"/>
              <w:left w:val="single" w:sz="4" w:space="0" w:color="808080"/>
              <w:bottom w:val="single" w:sz="4" w:space="0" w:color="808080"/>
              <w:right w:val="single" w:sz="4" w:space="0" w:color="808080"/>
            </w:tcBorders>
          </w:tcPr>
          <w:p w14:paraId="669F7007" w14:textId="77777777" w:rsidR="00AF5D5F" w:rsidRPr="00FD691A" w:rsidRDefault="00AF5D5F" w:rsidP="00AF5D5F">
            <w:pPr>
              <w:pStyle w:val="BodyText"/>
              <w:rPr>
                <w:sz w:val="20"/>
                <w:lang w:val="en-GB"/>
              </w:rPr>
            </w:pPr>
            <w:r w:rsidRPr="00FD691A">
              <w:rPr>
                <w:sz w:val="20"/>
                <w:lang w:val="en-GB"/>
              </w:rPr>
              <w:t>128,207</w:t>
            </w:r>
          </w:p>
        </w:tc>
        <w:tc>
          <w:tcPr>
            <w:tcW w:w="1179" w:type="dxa"/>
            <w:tcBorders>
              <w:top w:val="single" w:sz="4" w:space="0" w:color="808080"/>
              <w:left w:val="single" w:sz="4" w:space="0" w:color="808080"/>
              <w:bottom w:val="single" w:sz="4" w:space="0" w:color="808080"/>
              <w:right w:val="single" w:sz="4" w:space="0" w:color="808080"/>
            </w:tcBorders>
          </w:tcPr>
          <w:p w14:paraId="0D99B6FB" w14:textId="77777777" w:rsidR="00AF5D5F" w:rsidRPr="00FD691A" w:rsidRDefault="00AF5D5F" w:rsidP="00AF5D5F">
            <w:pPr>
              <w:pStyle w:val="BodyText"/>
              <w:rPr>
                <w:sz w:val="20"/>
                <w:lang w:val="en-GB"/>
              </w:rPr>
            </w:pPr>
            <w:r w:rsidRPr="00FD691A">
              <w:rPr>
                <w:sz w:val="20"/>
                <w:lang w:val="en-GB"/>
              </w:rPr>
              <w:t>$3,790,200</w:t>
            </w:r>
          </w:p>
        </w:tc>
        <w:tc>
          <w:tcPr>
            <w:tcW w:w="1199" w:type="dxa"/>
            <w:tcBorders>
              <w:top w:val="single" w:sz="4" w:space="0" w:color="808080"/>
              <w:left w:val="single" w:sz="4" w:space="0" w:color="808080"/>
              <w:bottom w:val="single" w:sz="4" w:space="0" w:color="808080"/>
              <w:right w:val="single" w:sz="4" w:space="0" w:color="808080"/>
            </w:tcBorders>
          </w:tcPr>
          <w:p w14:paraId="5D0D6704" w14:textId="77777777" w:rsidR="00AF5D5F" w:rsidRPr="00FD691A" w:rsidRDefault="00AF5D5F" w:rsidP="00AF5D5F">
            <w:pPr>
              <w:pStyle w:val="BodyText"/>
              <w:rPr>
                <w:sz w:val="20"/>
                <w:lang w:val="en-GB"/>
              </w:rPr>
            </w:pPr>
            <w:r w:rsidRPr="00FD691A">
              <w:rPr>
                <w:sz w:val="20"/>
                <w:lang w:val="en-GB"/>
              </w:rPr>
              <w:t>10.0%</w:t>
            </w:r>
          </w:p>
        </w:tc>
      </w:tr>
      <w:tr w:rsidR="00AF5D5F" w:rsidRPr="00FD691A" w14:paraId="06E5B58A" w14:textId="77777777" w:rsidTr="00C75FBD">
        <w:tc>
          <w:tcPr>
            <w:tcW w:w="720" w:type="dxa"/>
            <w:tcBorders>
              <w:top w:val="single" w:sz="4" w:space="0" w:color="808080"/>
              <w:right w:val="single" w:sz="4" w:space="0" w:color="808080"/>
            </w:tcBorders>
          </w:tcPr>
          <w:p w14:paraId="3D1C03B8" w14:textId="77777777" w:rsidR="00AF5D5F" w:rsidRPr="00FD691A" w:rsidRDefault="00AF5D5F" w:rsidP="00AF5D5F">
            <w:pPr>
              <w:pStyle w:val="BodyText"/>
              <w:rPr>
                <w:sz w:val="20"/>
                <w:lang w:val="en-GB"/>
              </w:rPr>
            </w:pPr>
            <w:r w:rsidRPr="00FD691A">
              <w:rPr>
                <w:sz w:val="20"/>
                <w:lang w:val="en-GB"/>
              </w:rPr>
              <w:t>71166</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76C77837" w14:textId="77777777" w:rsidR="00AF5D5F" w:rsidRPr="00FD691A" w:rsidRDefault="00AF5D5F" w:rsidP="00AF5D5F">
            <w:pPr>
              <w:pStyle w:val="BodyText"/>
              <w:rPr>
                <w:sz w:val="20"/>
                <w:lang w:val="en-GB"/>
              </w:rPr>
            </w:pPr>
            <w:r w:rsidRPr="00FD691A">
              <w:rPr>
                <w:sz w:val="20"/>
                <w:lang w:val="en-GB"/>
              </w:rPr>
              <w:t>Detection of 2 antibodies described in item 71165. (Item is subject to rule 6.) [2007]</w:t>
            </w:r>
          </w:p>
        </w:tc>
        <w:tc>
          <w:tcPr>
            <w:tcW w:w="923" w:type="dxa"/>
            <w:tcBorders>
              <w:top w:val="single" w:sz="4" w:space="0" w:color="808080"/>
              <w:left w:val="single" w:sz="4" w:space="0" w:color="808080"/>
              <w:bottom w:val="single" w:sz="4" w:space="0" w:color="808080"/>
              <w:right w:val="single" w:sz="4" w:space="0" w:color="808080"/>
            </w:tcBorders>
          </w:tcPr>
          <w:p w14:paraId="5D5BD608" w14:textId="77777777" w:rsidR="00AF5D5F" w:rsidRPr="00FD691A" w:rsidRDefault="00AF5D5F" w:rsidP="00AF5D5F">
            <w:pPr>
              <w:pStyle w:val="BodyText"/>
              <w:rPr>
                <w:sz w:val="20"/>
                <w:lang w:val="en-GB"/>
              </w:rPr>
            </w:pPr>
            <w:r w:rsidRPr="00FD691A">
              <w:rPr>
                <w:sz w:val="20"/>
                <w:lang w:val="en-GB"/>
              </w:rPr>
              <w:t>$47.45</w:t>
            </w:r>
          </w:p>
        </w:tc>
        <w:tc>
          <w:tcPr>
            <w:tcW w:w="1043" w:type="dxa"/>
            <w:tcBorders>
              <w:top w:val="single" w:sz="4" w:space="0" w:color="808080"/>
              <w:left w:val="single" w:sz="4" w:space="0" w:color="808080"/>
              <w:bottom w:val="single" w:sz="4" w:space="0" w:color="808080"/>
              <w:right w:val="single" w:sz="4" w:space="0" w:color="808080"/>
            </w:tcBorders>
          </w:tcPr>
          <w:p w14:paraId="272EDB15" w14:textId="77777777" w:rsidR="00AF5D5F" w:rsidRPr="00FD691A" w:rsidRDefault="00AF5D5F" w:rsidP="00AF5D5F">
            <w:pPr>
              <w:pStyle w:val="BodyText"/>
              <w:rPr>
                <w:sz w:val="20"/>
                <w:lang w:val="en-GB"/>
              </w:rPr>
            </w:pPr>
            <w:r w:rsidRPr="00FD691A">
              <w:rPr>
                <w:sz w:val="20"/>
                <w:lang w:val="en-GB"/>
              </w:rPr>
              <w:t>287,101</w:t>
            </w:r>
          </w:p>
        </w:tc>
        <w:tc>
          <w:tcPr>
            <w:tcW w:w="1179" w:type="dxa"/>
            <w:tcBorders>
              <w:top w:val="single" w:sz="4" w:space="0" w:color="808080"/>
              <w:left w:val="single" w:sz="4" w:space="0" w:color="808080"/>
              <w:bottom w:val="single" w:sz="4" w:space="0" w:color="808080"/>
              <w:right w:val="single" w:sz="4" w:space="0" w:color="808080"/>
            </w:tcBorders>
          </w:tcPr>
          <w:p w14:paraId="4B9776DD" w14:textId="77777777" w:rsidR="00AF5D5F" w:rsidRPr="00FD691A" w:rsidRDefault="00AF5D5F" w:rsidP="00AF5D5F">
            <w:pPr>
              <w:pStyle w:val="BodyText"/>
              <w:rPr>
                <w:sz w:val="20"/>
                <w:lang w:val="en-GB"/>
              </w:rPr>
            </w:pPr>
            <w:r w:rsidRPr="00FD691A">
              <w:rPr>
                <w:sz w:val="20"/>
                <w:lang w:val="en-GB"/>
              </w:rPr>
              <w:t>$11,658,177</w:t>
            </w:r>
          </w:p>
        </w:tc>
        <w:tc>
          <w:tcPr>
            <w:tcW w:w="1199" w:type="dxa"/>
            <w:tcBorders>
              <w:top w:val="single" w:sz="4" w:space="0" w:color="808080"/>
              <w:left w:val="single" w:sz="4" w:space="0" w:color="808080"/>
              <w:bottom w:val="single" w:sz="4" w:space="0" w:color="808080"/>
              <w:right w:val="single" w:sz="4" w:space="0" w:color="808080"/>
            </w:tcBorders>
          </w:tcPr>
          <w:p w14:paraId="0CB7EC02" w14:textId="77777777" w:rsidR="00AF5D5F" w:rsidRPr="00FD691A" w:rsidRDefault="00AF5D5F" w:rsidP="00AF5D5F">
            <w:pPr>
              <w:pStyle w:val="BodyText"/>
              <w:rPr>
                <w:sz w:val="20"/>
                <w:lang w:val="en-GB"/>
              </w:rPr>
            </w:pPr>
            <w:r w:rsidRPr="00FD691A">
              <w:rPr>
                <w:sz w:val="20"/>
                <w:lang w:val="en-GB"/>
              </w:rPr>
              <w:t>11.3%</w:t>
            </w:r>
          </w:p>
        </w:tc>
      </w:tr>
      <w:tr w:rsidR="00AF5D5F" w:rsidRPr="00FD691A" w14:paraId="28B5DBB8" w14:textId="77777777" w:rsidTr="00C75FBD">
        <w:tc>
          <w:tcPr>
            <w:tcW w:w="720" w:type="dxa"/>
            <w:tcBorders>
              <w:right w:val="single" w:sz="4" w:space="0" w:color="808080"/>
            </w:tcBorders>
          </w:tcPr>
          <w:p w14:paraId="35721413" w14:textId="77777777" w:rsidR="00AF5D5F" w:rsidRPr="00FD691A" w:rsidRDefault="00AF5D5F" w:rsidP="00AF5D5F">
            <w:pPr>
              <w:pStyle w:val="BodyText"/>
              <w:rPr>
                <w:sz w:val="20"/>
                <w:lang w:val="en-GB"/>
              </w:rPr>
            </w:pPr>
            <w:r w:rsidRPr="00FD691A">
              <w:rPr>
                <w:sz w:val="20"/>
                <w:lang w:val="en-GB"/>
              </w:rPr>
              <w:t>71167</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7478E56E" w14:textId="77777777" w:rsidR="00AF5D5F" w:rsidRPr="00FD691A" w:rsidRDefault="00AF5D5F" w:rsidP="00AF5D5F">
            <w:pPr>
              <w:pStyle w:val="BodyText"/>
              <w:rPr>
                <w:sz w:val="20"/>
                <w:lang w:val="en-GB"/>
              </w:rPr>
            </w:pPr>
            <w:r w:rsidRPr="00FD691A">
              <w:rPr>
                <w:sz w:val="20"/>
                <w:lang w:val="en-GB"/>
              </w:rPr>
              <w:t>Detection of 3 antibodies described in item 71165. (Item is subject to rule 6.) [2007]</w:t>
            </w:r>
          </w:p>
        </w:tc>
        <w:tc>
          <w:tcPr>
            <w:tcW w:w="923" w:type="dxa"/>
            <w:tcBorders>
              <w:top w:val="single" w:sz="4" w:space="0" w:color="808080"/>
              <w:left w:val="single" w:sz="4" w:space="0" w:color="808080"/>
              <w:bottom w:val="single" w:sz="4" w:space="0" w:color="808080"/>
              <w:right w:val="single" w:sz="4" w:space="0" w:color="808080"/>
            </w:tcBorders>
          </w:tcPr>
          <w:p w14:paraId="5D06A691" w14:textId="77777777" w:rsidR="00AF5D5F" w:rsidRPr="00FD691A" w:rsidRDefault="00AF5D5F" w:rsidP="00AF5D5F">
            <w:pPr>
              <w:pStyle w:val="BodyText"/>
              <w:rPr>
                <w:sz w:val="20"/>
                <w:lang w:val="en-GB"/>
              </w:rPr>
            </w:pPr>
            <w:r w:rsidRPr="00FD691A">
              <w:rPr>
                <w:sz w:val="20"/>
                <w:lang w:val="en-GB"/>
              </w:rPr>
              <w:t>$60.30</w:t>
            </w:r>
          </w:p>
        </w:tc>
        <w:tc>
          <w:tcPr>
            <w:tcW w:w="1043" w:type="dxa"/>
            <w:tcBorders>
              <w:top w:val="single" w:sz="4" w:space="0" w:color="808080"/>
              <w:left w:val="single" w:sz="4" w:space="0" w:color="808080"/>
              <w:bottom w:val="single" w:sz="4" w:space="0" w:color="808080"/>
              <w:right w:val="single" w:sz="4" w:space="0" w:color="808080"/>
            </w:tcBorders>
          </w:tcPr>
          <w:p w14:paraId="63310162" w14:textId="77777777" w:rsidR="00AF5D5F" w:rsidRPr="00FD691A" w:rsidRDefault="00AF5D5F" w:rsidP="00AF5D5F">
            <w:pPr>
              <w:pStyle w:val="BodyText"/>
              <w:rPr>
                <w:sz w:val="20"/>
                <w:lang w:val="en-GB"/>
              </w:rPr>
            </w:pPr>
            <w:r w:rsidRPr="00FD691A">
              <w:rPr>
                <w:sz w:val="20"/>
                <w:lang w:val="en-GB"/>
              </w:rPr>
              <w:t>40,198</w:t>
            </w:r>
          </w:p>
        </w:tc>
        <w:tc>
          <w:tcPr>
            <w:tcW w:w="1179" w:type="dxa"/>
            <w:tcBorders>
              <w:top w:val="single" w:sz="4" w:space="0" w:color="808080"/>
              <w:left w:val="single" w:sz="4" w:space="0" w:color="808080"/>
              <w:bottom w:val="single" w:sz="4" w:space="0" w:color="808080"/>
              <w:right w:val="single" w:sz="4" w:space="0" w:color="808080"/>
            </w:tcBorders>
          </w:tcPr>
          <w:p w14:paraId="6A0EFE57" w14:textId="77777777" w:rsidR="00AF5D5F" w:rsidRPr="00FD691A" w:rsidRDefault="00AF5D5F" w:rsidP="00AF5D5F">
            <w:pPr>
              <w:pStyle w:val="BodyText"/>
              <w:rPr>
                <w:sz w:val="20"/>
                <w:lang w:val="en-GB"/>
              </w:rPr>
            </w:pPr>
            <w:r w:rsidRPr="00FD691A">
              <w:rPr>
                <w:sz w:val="20"/>
                <w:lang w:val="en-GB"/>
              </w:rPr>
              <w:t>$2,072,476</w:t>
            </w:r>
          </w:p>
        </w:tc>
        <w:tc>
          <w:tcPr>
            <w:tcW w:w="1199" w:type="dxa"/>
            <w:tcBorders>
              <w:top w:val="single" w:sz="4" w:space="0" w:color="808080"/>
              <w:left w:val="single" w:sz="4" w:space="0" w:color="808080"/>
              <w:bottom w:val="single" w:sz="4" w:space="0" w:color="808080"/>
              <w:right w:val="single" w:sz="4" w:space="0" w:color="808080"/>
            </w:tcBorders>
          </w:tcPr>
          <w:p w14:paraId="5C404577" w14:textId="77777777" w:rsidR="00AF5D5F" w:rsidRPr="00FD691A" w:rsidRDefault="00AF5D5F" w:rsidP="00AF5D5F">
            <w:pPr>
              <w:pStyle w:val="BodyText"/>
              <w:rPr>
                <w:sz w:val="20"/>
                <w:lang w:val="en-GB"/>
              </w:rPr>
            </w:pPr>
            <w:r w:rsidRPr="00FD691A">
              <w:rPr>
                <w:sz w:val="20"/>
                <w:lang w:val="en-GB"/>
              </w:rPr>
              <w:t>16.2%</w:t>
            </w:r>
          </w:p>
        </w:tc>
      </w:tr>
      <w:tr w:rsidR="00AF5D5F" w:rsidRPr="00FD691A" w14:paraId="63B6BD82" w14:textId="77777777" w:rsidTr="00C75FBD">
        <w:tc>
          <w:tcPr>
            <w:tcW w:w="720" w:type="dxa"/>
            <w:tcBorders>
              <w:right w:val="single" w:sz="4" w:space="0" w:color="808080"/>
            </w:tcBorders>
          </w:tcPr>
          <w:p w14:paraId="63BAF47D" w14:textId="77777777" w:rsidR="00AF5D5F" w:rsidRPr="00FD691A" w:rsidRDefault="00AF5D5F" w:rsidP="00AF5D5F">
            <w:pPr>
              <w:pStyle w:val="BodyText"/>
              <w:rPr>
                <w:sz w:val="20"/>
                <w:lang w:val="en-GB"/>
              </w:rPr>
            </w:pPr>
            <w:r w:rsidRPr="00FD691A">
              <w:rPr>
                <w:sz w:val="20"/>
                <w:lang w:val="en-GB"/>
              </w:rPr>
              <w:t>71168</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164246AA" w14:textId="77777777" w:rsidR="00AF5D5F" w:rsidRPr="00FD691A" w:rsidRDefault="00AF5D5F" w:rsidP="00AF5D5F">
            <w:pPr>
              <w:pStyle w:val="BodyText"/>
              <w:rPr>
                <w:sz w:val="20"/>
                <w:lang w:val="en-GB"/>
              </w:rPr>
            </w:pPr>
            <w:r w:rsidRPr="00FD691A">
              <w:rPr>
                <w:sz w:val="20"/>
                <w:lang w:val="en-GB"/>
              </w:rPr>
              <w:t>Detection of 4 or more antibodies described in item 71165. (Item is subject to rule 6.) [2007]</w:t>
            </w:r>
          </w:p>
        </w:tc>
        <w:tc>
          <w:tcPr>
            <w:tcW w:w="923" w:type="dxa"/>
            <w:tcBorders>
              <w:top w:val="single" w:sz="4" w:space="0" w:color="808080"/>
              <w:left w:val="single" w:sz="4" w:space="0" w:color="808080"/>
              <w:bottom w:val="single" w:sz="4" w:space="0" w:color="808080"/>
              <w:right w:val="single" w:sz="4" w:space="0" w:color="808080"/>
            </w:tcBorders>
          </w:tcPr>
          <w:p w14:paraId="079DA6C7" w14:textId="77777777" w:rsidR="00AF5D5F" w:rsidRPr="00FD691A" w:rsidRDefault="00AF5D5F" w:rsidP="00AF5D5F">
            <w:pPr>
              <w:pStyle w:val="BodyText"/>
              <w:rPr>
                <w:sz w:val="20"/>
                <w:lang w:val="en-GB"/>
              </w:rPr>
            </w:pPr>
            <w:r w:rsidRPr="00FD691A">
              <w:rPr>
                <w:sz w:val="20"/>
                <w:lang w:val="en-GB"/>
              </w:rPr>
              <w:t>$73.15</w:t>
            </w:r>
          </w:p>
        </w:tc>
        <w:tc>
          <w:tcPr>
            <w:tcW w:w="1043" w:type="dxa"/>
            <w:tcBorders>
              <w:top w:val="single" w:sz="4" w:space="0" w:color="808080"/>
              <w:left w:val="single" w:sz="4" w:space="0" w:color="808080"/>
              <w:bottom w:val="single" w:sz="4" w:space="0" w:color="808080"/>
              <w:right w:val="single" w:sz="4" w:space="0" w:color="808080"/>
            </w:tcBorders>
          </w:tcPr>
          <w:p w14:paraId="4613CA8D" w14:textId="77777777" w:rsidR="00AF5D5F" w:rsidRPr="00FD691A" w:rsidRDefault="00AF5D5F" w:rsidP="00AF5D5F">
            <w:pPr>
              <w:pStyle w:val="BodyText"/>
              <w:rPr>
                <w:sz w:val="20"/>
                <w:lang w:val="en-GB"/>
              </w:rPr>
            </w:pPr>
            <w:r w:rsidRPr="00FD691A">
              <w:rPr>
                <w:sz w:val="20"/>
                <w:lang w:val="en-GB"/>
              </w:rPr>
              <w:t>6,596</w:t>
            </w:r>
          </w:p>
        </w:tc>
        <w:tc>
          <w:tcPr>
            <w:tcW w:w="1179" w:type="dxa"/>
            <w:tcBorders>
              <w:top w:val="single" w:sz="4" w:space="0" w:color="808080"/>
              <w:left w:val="single" w:sz="4" w:space="0" w:color="808080"/>
              <w:bottom w:val="single" w:sz="4" w:space="0" w:color="808080"/>
              <w:right w:val="single" w:sz="4" w:space="0" w:color="808080"/>
            </w:tcBorders>
          </w:tcPr>
          <w:p w14:paraId="004E6E26" w14:textId="77777777" w:rsidR="00AF5D5F" w:rsidRPr="00FD691A" w:rsidRDefault="00AF5D5F" w:rsidP="00AF5D5F">
            <w:pPr>
              <w:pStyle w:val="BodyText"/>
              <w:rPr>
                <w:sz w:val="20"/>
                <w:lang w:val="en-GB"/>
              </w:rPr>
            </w:pPr>
            <w:r w:rsidRPr="00FD691A">
              <w:rPr>
                <w:sz w:val="20"/>
                <w:lang w:val="en-GB"/>
              </w:rPr>
              <w:t>$408,989</w:t>
            </w:r>
          </w:p>
        </w:tc>
        <w:tc>
          <w:tcPr>
            <w:tcW w:w="1199" w:type="dxa"/>
            <w:tcBorders>
              <w:top w:val="single" w:sz="4" w:space="0" w:color="808080"/>
              <w:left w:val="single" w:sz="4" w:space="0" w:color="808080"/>
              <w:bottom w:val="single" w:sz="4" w:space="0" w:color="808080"/>
              <w:right w:val="single" w:sz="4" w:space="0" w:color="808080"/>
            </w:tcBorders>
          </w:tcPr>
          <w:p w14:paraId="5BE462FF" w14:textId="77777777" w:rsidR="00AF5D5F" w:rsidRPr="00FD691A" w:rsidRDefault="00AF5D5F" w:rsidP="00AF5D5F">
            <w:pPr>
              <w:pStyle w:val="BodyText"/>
              <w:rPr>
                <w:sz w:val="20"/>
                <w:lang w:val="en-GB"/>
              </w:rPr>
            </w:pPr>
            <w:r w:rsidRPr="00FD691A">
              <w:rPr>
                <w:sz w:val="20"/>
                <w:lang w:val="en-GB"/>
              </w:rPr>
              <w:t>18.5%</w:t>
            </w:r>
          </w:p>
        </w:tc>
      </w:tr>
      <w:tr w:rsidR="00AF5D5F" w:rsidRPr="00FD691A" w14:paraId="0092A71D" w14:textId="77777777" w:rsidTr="00C75FBD">
        <w:tc>
          <w:tcPr>
            <w:tcW w:w="720" w:type="dxa"/>
            <w:tcBorders>
              <w:right w:val="single" w:sz="4" w:space="0" w:color="808080"/>
            </w:tcBorders>
          </w:tcPr>
          <w:p w14:paraId="74910987" w14:textId="77777777" w:rsidR="00AF5D5F" w:rsidRPr="00FD691A" w:rsidRDefault="00AF5D5F" w:rsidP="00AF5D5F">
            <w:pPr>
              <w:pStyle w:val="BodyText"/>
              <w:rPr>
                <w:sz w:val="20"/>
                <w:lang w:val="en-GB"/>
              </w:rPr>
            </w:pPr>
            <w:r w:rsidRPr="00FD691A">
              <w:rPr>
                <w:sz w:val="20"/>
                <w:lang w:val="en-GB"/>
              </w:rPr>
              <w:t>71169</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7B27700F" w14:textId="77777777" w:rsidR="00AF5D5F" w:rsidRPr="00FD691A" w:rsidRDefault="00AF5D5F" w:rsidP="00AF5D5F">
            <w:pPr>
              <w:pStyle w:val="BodyText"/>
              <w:rPr>
                <w:sz w:val="20"/>
                <w:lang w:val="en-GB"/>
              </w:rPr>
            </w:pPr>
            <w:r w:rsidRPr="00FD691A">
              <w:rPr>
                <w:sz w:val="20"/>
                <w:lang w:val="en-GB"/>
              </w:rPr>
              <w:t>A test described in item 71165, if rendered by a receiving APP, where no tests in the item have been rendered by the referring APP 1 test. (Item is subject to rule 6 and 18.) [2007]</w:t>
            </w:r>
          </w:p>
        </w:tc>
        <w:tc>
          <w:tcPr>
            <w:tcW w:w="923" w:type="dxa"/>
            <w:tcBorders>
              <w:top w:val="single" w:sz="4" w:space="0" w:color="808080"/>
              <w:left w:val="single" w:sz="4" w:space="0" w:color="808080"/>
              <w:bottom w:val="single" w:sz="4" w:space="0" w:color="808080"/>
              <w:right w:val="single" w:sz="4" w:space="0" w:color="808080"/>
            </w:tcBorders>
          </w:tcPr>
          <w:p w14:paraId="3302DE92" w14:textId="77777777" w:rsidR="00AF5D5F" w:rsidRPr="00FD691A" w:rsidRDefault="00AF5D5F" w:rsidP="00AF5D5F">
            <w:pPr>
              <w:pStyle w:val="BodyText"/>
              <w:rPr>
                <w:sz w:val="20"/>
                <w:lang w:val="en-GB"/>
              </w:rPr>
            </w:pPr>
            <w:r w:rsidRPr="00FD691A">
              <w:rPr>
                <w:sz w:val="20"/>
                <w:lang w:val="en-GB"/>
              </w:rPr>
              <w:t>$34.55</w:t>
            </w:r>
          </w:p>
        </w:tc>
        <w:tc>
          <w:tcPr>
            <w:tcW w:w="1043" w:type="dxa"/>
            <w:tcBorders>
              <w:top w:val="single" w:sz="4" w:space="0" w:color="808080"/>
              <w:left w:val="single" w:sz="4" w:space="0" w:color="808080"/>
              <w:bottom w:val="single" w:sz="4" w:space="0" w:color="808080"/>
              <w:right w:val="single" w:sz="4" w:space="0" w:color="808080"/>
            </w:tcBorders>
          </w:tcPr>
          <w:p w14:paraId="102148E7" w14:textId="77777777" w:rsidR="00AF5D5F" w:rsidRPr="00FD691A" w:rsidRDefault="00AF5D5F" w:rsidP="00AF5D5F">
            <w:pPr>
              <w:pStyle w:val="BodyText"/>
              <w:rPr>
                <w:sz w:val="20"/>
                <w:lang w:val="en-GB"/>
              </w:rPr>
            </w:pPr>
            <w:r w:rsidRPr="00FD691A">
              <w:rPr>
                <w:sz w:val="20"/>
                <w:lang w:val="en-GB"/>
              </w:rPr>
              <w:t>18,588</w:t>
            </w:r>
          </w:p>
        </w:tc>
        <w:tc>
          <w:tcPr>
            <w:tcW w:w="1179" w:type="dxa"/>
            <w:tcBorders>
              <w:top w:val="single" w:sz="4" w:space="0" w:color="808080"/>
              <w:left w:val="single" w:sz="4" w:space="0" w:color="808080"/>
              <w:bottom w:val="single" w:sz="4" w:space="0" w:color="808080"/>
              <w:right w:val="single" w:sz="4" w:space="0" w:color="808080"/>
            </w:tcBorders>
          </w:tcPr>
          <w:p w14:paraId="67F692CB" w14:textId="77777777" w:rsidR="00AF5D5F" w:rsidRPr="00FD691A" w:rsidRDefault="00AF5D5F" w:rsidP="00AF5D5F">
            <w:pPr>
              <w:pStyle w:val="BodyText"/>
              <w:rPr>
                <w:sz w:val="20"/>
                <w:lang w:val="en-GB"/>
              </w:rPr>
            </w:pPr>
            <w:r w:rsidRPr="00FD691A">
              <w:rPr>
                <w:sz w:val="20"/>
                <w:lang w:val="en-GB"/>
              </w:rPr>
              <w:t>$544,709</w:t>
            </w:r>
          </w:p>
        </w:tc>
        <w:tc>
          <w:tcPr>
            <w:tcW w:w="1199" w:type="dxa"/>
            <w:tcBorders>
              <w:top w:val="single" w:sz="4" w:space="0" w:color="808080"/>
              <w:left w:val="single" w:sz="4" w:space="0" w:color="808080"/>
              <w:bottom w:val="single" w:sz="4" w:space="0" w:color="808080"/>
              <w:right w:val="single" w:sz="4" w:space="0" w:color="808080"/>
            </w:tcBorders>
          </w:tcPr>
          <w:p w14:paraId="796A5D85" w14:textId="77777777" w:rsidR="00AF5D5F" w:rsidRPr="00FD691A" w:rsidRDefault="00AF5D5F" w:rsidP="00AF5D5F">
            <w:pPr>
              <w:pStyle w:val="BodyText"/>
              <w:rPr>
                <w:sz w:val="20"/>
                <w:lang w:val="en-GB"/>
              </w:rPr>
            </w:pPr>
            <w:r w:rsidRPr="00FD691A">
              <w:rPr>
                <w:sz w:val="20"/>
                <w:lang w:val="en-GB"/>
              </w:rPr>
              <w:t>13.7%</w:t>
            </w:r>
          </w:p>
        </w:tc>
      </w:tr>
      <w:tr w:rsidR="00AF5D5F" w:rsidRPr="00FD691A" w14:paraId="40C9A366" w14:textId="77777777" w:rsidTr="00C75FBD">
        <w:tc>
          <w:tcPr>
            <w:tcW w:w="720" w:type="dxa"/>
            <w:tcBorders>
              <w:right w:val="single" w:sz="4" w:space="0" w:color="808080"/>
            </w:tcBorders>
          </w:tcPr>
          <w:p w14:paraId="1521B750" w14:textId="77777777" w:rsidR="00AF5D5F" w:rsidRPr="00FD691A" w:rsidRDefault="00AF5D5F" w:rsidP="00AF5D5F">
            <w:pPr>
              <w:pStyle w:val="BodyText"/>
              <w:rPr>
                <w:sz w:val="20"/>
                <w:lang w:val="en-GB"/>
              </w:rPr>
            </w:pPr>
            <w:r w:rsidRPr="00FD691A">
              <w:rPr>
                <w:sz w:val="20"/>
                <w:lang w:val="en-GB"/>
              </w:rPr>
              <w:t>71170</w:t>
            </w:r>
          </w:p>
        </w:tc>
        <w:tc>
          <w:tcPr>
            <w:tcW w:w="4018" w:type="dxa"/>
            <w:tcBorders>
              <w:top w:val="single" w:sz="4" w:space="0" w:color="808080"/>
              <w:left w:val="single" w:sz="4" w:space="0" w:color="808080"/>
              <w:bottom w:val="single" w:sz="4" w:space="0" w:color="808080"/>
              <w:right w:val="single" w:sz="4" w:space="0" w:color="808080"/>
            </w:tcBorders>
            <w:tcMar>
              <w:left w:w="57" w:type="dxa"/>
            </w:tcMar>
            <w:vAlign w:val="center"/>
          </w:tcPr>
          <w:p w14:paraId="49823F3F" w14:textId="77777777" w:rsidR="00AF5D5F" w:rsidRPr="00FD691A" w:rsidRDefault="00AF5D5F" w:rsidP="00AF5D5F">
            <w:pPr>
              <w:pStyle w:val="BodyText"/>
              <w:rPr>
                <w:sz w:val="20"/>
                <w:lang w:val="en-GB"/>
              </w:rPr>
            </w:pPr>
            <w:r w:rsidRPr="00FD691A">
              <w:rPr>
                <w:sz w:val="20"/>
                <w:lang w:val="en-GB"/>
              </w:rPr>
              <w:t>Tests described in item 71165, other than that described in 71169, if rendered by a receiving APP – each test to a maximum of 3 tests. (Item is subject to rule 6 and 18.) [2007]</w:t>
            </w:r>
          </w:p>
        </w:tc>
        <w:tc>
          <w:tcPr>
            <w:tcW w:w="923" w:type="dxa"/>
            <w:tcBorders>
              <w:top w:val="single" w:sz="4" w:space="0" w:color="808080"/>
              <w:left w:val="single" w:sz="4" w:space="0" w:color="808080"/>
              <w:bottom w:val="single" w:sz="4" w:space="0" w:color="808080"/>
              <w:right w:val="single" w:sz="4" w:space="0" w:color="808080"/>
            </w:tcBorders>
          </w:tcPr>
          <w:p w14:paraId="24C1284C" w14:textId="77777777" w:rsidR="00AF5D5F" w:rsidRPr="00FD691A" w:rsidRDefault="00AF5D5F" w:rsidP="00AF5D5F">
            <w:pPr>
              <w:pStyle w:val="BodyText"/>
              <w:rPr>
                <w:sz w:val="20"/>
                <w:lang w:val="en-GB"/>
              </w:rPr>
            </w:pPr>
            <w:r w:rsidRPr="00FD691A">
              <w:rPr>
                <w:sz w:val="20"/>
                <w:lang w:val="en-GB"/>
              </w:rPr>
              <w:t>$12.85</w:t>
            </w:r>
          </w:p>
        </w:tc>
        <w:tc>
          <w:tcPr>
            <w:tcW w:w="1043" w:type="dxa"/>
            <w:tcBorders>
              <w:top w:val="single" w:sz="4" w:space="0" w:color="808080"/>
              <w:left w:val="single" w:sz="4" w:space="0" w:color="808080"/>
              <w:bottom w:val="single" w:sz="4" w:space="0" w:color="808080"/>
              <w:right w:val="single" w:sz="4" w:space="0" w:color="808080"/>
            </w:tcBorders>
          </w:tcPr>
          <w:p w14:paraId="2133A3A8" w14:textId="77777777" w:rsidR="00AF5D5F" w:rsidRPr="00FD691A" w:rsidRDefault="00AF5D5F" w:rsidP="00AF5D5F">
            <w:pPr>
              <w:pStyle w:val="BodyText"/>
              <w:rPr>
                <w:sz w:val="20"/>
                <w:lang w:val="en-GB"/>
              </w:rPr>
            </w:pPr>
            <w:r w:rsidRPr="00FD691A">
              <w:rPr>
                <w:sz w:val="20"/>
                <w:lang w:val="en-GB"/>
              </w:rPr>
              <w:t>15,399</w:t>
            </w:r>
          </w:p>
        </w:tc>
        <w:tc>
          <w:tcPr>
            <w:tcW w:w="1179" w:type="dxa"/>
            <w:tcBorders>
              <w:top w:val="single" w:sz="4" w:space="0" w:color="808080"/>
              <w:left w:val="single" w:sz="4" w:space="0" w:color="808080"/>
              <w:bottom w:val="single" w:sz="4" w:space="0" w:color="808080"/>
              <w:right w:val="single" w:sz="4" w:space="0" w:color="808080"/>
            </w:tcBorders>
          </w:tcPr>
          <w:p w14:paraId="551A38C6" w14:textId="77777777" w:rsidR="00AF5D5F" w:rsidRPr="00FD691A" w:rsidRDefault="00AF5D5F" w:rsidP="00AF5D5F">
            <w:pPr>
              <w:pStyle w:val="BodyText"/>
              <w:rPr>
                <w:sz w:val="20"/>
                <w:lang w:val="en-GB"/>
              </w:rPr>
            </w:pPr>
            <w:r w:rsidRPr="00FD691A">
              <w:rPr>
                <w:sz w:val="20"/>
                <w:lang w:val="en-GB"/>
              </w:rPr>
              <w:t>$167,907</w:t>
            </w:r>
          </w:p>
        </w:tc>
        <w:tc>
          <w:tcPr>
            <w:tcW w:w="1199" w:type="dxa"/>
            <w:tcBorders>
              <w:top w:val="single" w:sz="4" w:space="0" w:color="808080"/>
              <w:left w:val="single" w:sz="4" w:space="0" w:color="808080"/>
              <w:bottom w:val="single" w:sz="4" w:space="0" w:color="808080"/>
              <w:right w:val="single" w:sz="4" w:space="0" w:color="808080"/>
            </w:tcBorders>
          </w:tcPr>
          <w:p w14:paraId="6A00EE7A" w14:textId="77777777" w:rsidR="00AF5D5F" w:rsidRPr="00FD691A" w:rsidRDefault="00AF5D5F" w:rsidP="00AF5D5F">
            <w:pPr>
              <w:pStyle w:val="BodyText"/>
              <w:rPr>
                <w:sz w:val="20"/>
                <w:lang w:val="en-GB"/>
              </w:rPr>
            </w:pPr>
            <w:r w:rsidRPr="00FD691A">
              <w:rPr>
                <w:sz w:val="20"/>
                <w:lang w:val="en-GB"/>
              </w:rPr>
              <w:t>3.4%</w:t>
            </w:r>
          </w:p>
        </w:tc>
      </w:tr>
    </w:tbl>
    <w:p w14:paraId="4F67B51F" w14:textId="7C2064F4" w:rsidR="00C75FBD" w:rsidRPr="007C1C32" w:rsidRDefault="00C75FBD" w:rsidP="00AF11CA">
      <w:pPr>
        <w:pStyle w:val="03Tableundertext"/>
        <w:spacing w:after="0"/>
      </w:pPr>
      <w:r w:rsidRPr="0092015F">
        <w:rPr>
          <w:b/>
        </w:rPr>
        <w:t>Source: Department of Human Services, published data, date of processing.</w:t>
      </w:r>
    </w:p>
    <w:p w14:paraId="128E5B2C" w14:textId="28A22851"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7A4C55A9" w14:textId="39DD7864" w:rsidR="00AF5D5F" w:rsidRDefault="00AF5D5F" w:rsidP="00AF5D5F">
      <w:pPr>
        <w:pStyle w:val="BodyText"/>
      </w:pPr>
      <w:r>
        <w:t xml:space="preserve">The </w:t>
      </w:r>
      <w:r w:rsidR="006E47CC">
        <w:rPr>
          <w:lang w:val="en-US"/>
        </w:rPr>
        <w:t>Endocrinology Clinical Committee</w:t>
      </w:r>
      <w:r w:rsidR="00E5655B">
        <w:rPr>
          <w:lang w:val="en-US"/>
        </w:rPr>
        <w:t xml:space="preserve"> </w:t>
      </w:r>
      <w:r>
        <w:t>proposed the following:</w:t>
      </w:r>
    </w:p>
    <w:p w14:paraId="5D7F3AD0" w14:textId="77777777" w:rsidR="00AF5D5F" w:rsidRDefault="00AF5D5F" w:rsidP="00965AE3">
      <w:pPr>
        <w:pStyle w:val="Bullet1"/>
      </w:pPr>
      <w:r>
        <w:t>Remove the thyroid antibodies (thyroglobulin, thyroid microsome or thyroid stimulating hormone receptor) from the suite of tests currently covered under items 71165–71168 and create three new distinct thyroid antibodies items, proposed below:</w:t>
      </w:r>
    </w:p>
    <w:p w14:paraId="750038AB" w14:textId="77777777" w:rsidR="00AF5D5F" w:rsidRDefault="00AF5D5F" w:rsidP="00965AE3">
      <w:pPr>
        <w:pStyle w:val="Bullet1"/>
      </w:pPr>
      <w:r>
        <w:t>Item A: Thyroglobulin and thyroglobulin antibody (TgAb): for monitoring of patients with thyroid cancer.</w:t>
      </w:r>
    </w:p>
    <w:p w14:paraId="248AE2AC" w14:textId="77777777" w:rsidR="00AF5D5F" w:rsidRDefault="00AF5D5F" w:rsidP="00B65C81">
      <w:pPr>
        <w:pStyle w:val="Bullet1"/>
      </w:pPr>
      <w:r>
        <w:t>Item B: Thyroperoxidase antibody (TPOAb): for diagnosis of patients suspected to have autoimmune thyroid disease; if positive this test should not be repeated.</w:t>
      </w:r>
    </w:p>
    <w:p w14:paraId="7F269F58" w14:textId="7F8967C5" w:rsidR="00AF5D5F" w:rsidRDefault="00AF5D5F" w:rsidP="00B65C81">
      <w:pPr>
        <w:pStyle w:val="Bullet1"/>
      </w:pPr>
      <w:r>
        <w:t>Item C: TSH receptor antibody (</w:t>
      </w:r>
      <w:r w:rsidR="00C501AF">
        <w:t xml:space="preserve">TRAb </w:t>
      </w:r>
      <w:r>
        <w:t xml:space="preserve">or TSI): for diagnosis and monitoring of patients with Graves’ disease. Up to </w:t>
      </w:r>
      <w:r w:rsidR="00C501AF">
        <w:t xml:space="preserve">four </w:t>
      </w:r>
      <w:r>
        <w:t>tests annually.</w:t>
      </w:r>
    </w:p>
    <w:p w14:paraId="07BC0263" w14:textId="77777777" w:rsidR="00AF5D5F" w:rsidRPr="00DA4A23" w:rsidRDefault="00AF5D5F" w:rsidP="00DA4A23">
      <w:pPr>
        <w:rPr>
          <w:b/>
        </w:rPr>
      </w:pPr>
      <w:bookmarkStart w:id="92" w:name="_Toc485295746"/>
      <w:r w:rsidRPr="00DA4A23">
        <w:rPr>
          <w:b/>
        </w:rPr>
        <w:t>Recommendation 10</w:t>
      </w:r>
      <w:bookmarkEnd w:id="92"/>
    </w:p>
    <w:p w14:paraId="52B4368D" w14:textId="67A0A6A4" w:rsidR="00AF5D5F" w:rsidRDefault="00AF5D5F" w:rsidP="00AF5D5F">
      <w:pPr>
        <w:pStyle w:val="BodyText"/>
      </w:pPr>
      <w:r>
        <w:t xml:space="preserve">While supportive of the proposals of the </w:t>
      </w:r>
      <w:r w:rsidR="004F7273">
        <w:rPr>
          <w:lang w:val="en-US"/>
        </w:rPr>
        <w:t>Endocrinology</w:t>
      </w:r>
      <w:r w:rsidR="006E47CC">
        <w:rPr>
          <w:lang w:val="en-US"/>
        </w:rPr>
        <w:t xml:space="preserve"> Clinical Committee</w:t>
      </w:r>
      <w:r w:rsidR="00C501AF">
        <w:t>,</w:t>
      </w:r>
      <w:r>
        <w:t xml:space="preserve"> the </w:t>
      </w:r>
      <w:r w:rsidR="00D17A1E" w:rsidRPr="00B84C4F">
        <w:rPr>
          <w:lang w:val="en-US"/>
        </w:rPr>
        <w:t xml:space="preserve">Pathology Clinical Committee </w:t>
      </w:r>
      <w:r>
        <w:t>is awaiting input from the Immunology Working Group before finalising its proposals for the testing for thyroid antibodies.</w:t>
      </w:r>
    </w:p>
    <w:p w14:paraId="4A27C867" w14:textId="27195B2F" w:rsidR="00C501AF" w:rsidRDefault="00AF5D5F" w:rsidP="00DA4A23">
      <w:pPr>
        <w:pStyle w:val="BodyText"/>
      </w:pPr>
      <w:r>
        <w:t xml:space="preserve">There are no recommendations on these items. The </w:t>
      </w:r>
      <w:r w:rsidR="001B36A2" w:rsidRPr="00B84C4F">
        <w:rPr>
          <w:lang w:val="en-US"/>
        </w:rPr>
        <w:t xml:space="preserve">Pathology Clinical </w:t>
      </w:r>
      <w:r w:rsidR="00D01B58" w:rsidRPr="00D01B58">
        <w:t>Committee</w:t>
      </w:r>
      <w:r>
        <w:t xml:space="preserve"> will further consider thyroid antibodies at a later date.</w:t>
      </w:r>
      <w:r w:rsidR="00C501AF">
        <w:br w:type="page"/>
      </w:r>
    </w:p>
    <w:p w14:paraId="7731217B" w14:textId="77777777" w:rsidR="00B01112" w:rsidRDefault="00AF5D5F" w:rsidP="00AF5D5F">
      <w:pPr>
        <w:pStyle w:val="Heading2Report"/>
      </w:pPr>
      <w:bookmarkStart w:id="93" w:name="_Toc485295747"/>
      <w:bookmarkStart w:id="94" w:name="_Toc485296608"/>
      <w:r>
        <w:t>Quantitation of products of collagen breakdown or formation: Items 66773 and 66776</w:t>
      </w:r>
      <w:bookmarkEnd w:id="93"/>
      <w:bookmarkEnd w:id="94"/>
    </w:p>
    <w:p w14:paraId="32DE6CC9" w14:textId="77777777" w:rsidR="003530A2" w:rsidRPr="003530A2" w:rsidRDefault="003530A2" w:rsidP="003744BA">
      <w:pPr>
        <w:pStyle w:val="Caption"/>
      </w:pPr>
      <w:bookmarkStart w:id="95" w:name="_Toc472940507"/>
      <w:r>
        <w:t>Table 1</w:t>
      </w:r>
      <w:r w:rsidR="00AD6C1A">
        <w:t>5</w:t>
      </w:r>
      <w:r>
        <w:t xml:space="preserve">: </w:t>
      </w:r>
      <w:r w:rsidRPr="003530A2">
        <w:t>Item introduction table for items 66773 and 66776</w:t>
      </w:r>
      <w:bookmarkEnd w:id="9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s 66773 and 66776"/>
        <w:tblDescription w:val="This is a table that contains Medicare Benefits Schedule data for items 66773 and 66776, for the finanical year 2014–2015. The data includes total volume of services, benefits and services annual average growth."/>
      </w:tblPr>
      <w:tblGrid>
        <w:gridCol w:w="716"/>
        <w:gridCol w:w="4110"/>
        <w:gridCol w:w="921"/>
        <w:gridCol w:w="1041"/>
        <w:gridCol w:w="1041"/>
        <w:gridCol w:w="1187"/>
      </w:tblGrid>
      <w:tr w:rsidR="00AF5D5F" w:rsidRPr="00FD691A" w14:paraId="054998B0" w14:textId="77777777" w:rsidTr="00C75FBD">
        <w:trPr>
          <w:tblHeader/>
        </w:trPr>
        <w:tc>
          <w:tcPr>
            <w:tcW w:w="718" w:type="dxa"/>
            <w:shd w:val="clear" w:color="auto" w:fill="D9D9D9" w:themeFill="background1" w:themeFillShade="D9"/>
            <w:vAlign w:val="bottom"/>
          </w:tcPr>
          <w:p w14:paraId="1A0033AA" w14:textId="77777777" w:rsidR="00AF5D5F" w:rsidRPr="00FD691A" w:rsidRDefault="00AF5D5F" w:rsidP="00AF5D5F">
            <w:pPr>
              <w:pStyle w:val="BodyText"/>
              <w:rPr>
                <w:b/>
                <w:sz w:val="20"/>
                <w:lang w:val="en-GB"/>
              </w:rPr>
            </w:pPr>
            <w:r w:rsidRPr="00FD691A">
              <w:rPr>
                <w:b/>
                <w:sz w:val="20"/>
                <w:lang w:val="en-GB"/>
              </w:rPr>
              <w:t>Item</w:t>
            </w:r>
          </w:p>
        </w:tc>
        <w:tc>
          <w:tcPr>
            <w:tcW w:w="4160" w:type="dxa"/>
            <w:shd w:val="clear" w:color="auto" w:fill="D9D9D9" w:themeFill="background1" w:themeFillShade="D9"/>
            <w:tcMar>
              <w:left w:w="57" w:type="dxa"/>
            </w:tcMar>
            <w:vAlign w:val="bottom"/>
          </w:tcPr>
          <w:p w14:paraId="14CAAFAA" w14:textId="77777777" w:rsidR="00AF5D5F" w:rsidRPr="00FD691A" w:rsidRDefault="00AF5D5F" w:rsidP="00AF5D5F">
            <w:pPr>
              <w:pStyle w:val="BodyText"/>
              <w:rPr>
                <w:b/>
                <w:sz w:val="20"/>
                <w:lang w:val="en-GB"/>
              </w:rPr>
            </w:pPr>
            <w:r w:rsidRPr="00FD691A">
              <w:rPr>
                <w:b/>
                <w:sz w:val="20"/>
                <w:lang w:val="en-GB"/>
              </w:rPr>
              <w:t>Descriptor [date last amended]</w:t>
            </w:r>
          </w:p>
        </w:tc>
        <w:tc>
          <w:tcPr>
            <w:tcW w:w="923" w:type="dxa"/>
            <w:shd w:val="clear" w:color="auto" w:fill="D9D9D9" w:themeFill="background1" w:themeFillShade="D9"/>
            <w:vAlign w:val="bottom"/>
          </w:tcPr>
          <w:p w14:paraId="2E0920A7" w14:textId="6B0CA3C7" w:rsidR="00AF5D5F" w:rsidRPr="00FD691A" w:rsidRDefault="00AF5D5F" w:rsidP="009E7D8A">
            <w:pPr>
              <w:pStyle w:val="BodyText"/>
              <w:rPr>
                <w:b/>
                <w:sz w:val="20"/>
                <w:lang w:val="en-GB"/>
              </w:rPr>
            </w:pPr>
            <w:r w:rsidRPr="00FD691A">
              <w:rPr>
                <w:b/>
                <w:sz w:val="20"/>
                <w:lang w:val="en-GB"/>
              </w:rPr>
              <w:t>Schedule</w:t>
            </w:r>
            <w:r w:rsidR="009E7D8A">
              <w:rPr>
                <w:b/>
                <w:sz w:val="20"/>
                <w:lang w:val="en-GB"/>
              </w:rPr>
              <w:t xml:space="preserve"> </w:t>
            </w:r>
            <w:r w:rsidRPr="00FD691A">
              <w:rPr>
                <w:b/>
                <w:sz w:val="20"/>
                <w:lang w:val="en-GB"/>
              </w:rPr>
              <w:t>fee</w:t>
            </w:r>
          </w:p>
        </w:tc>
        <w:tc>
          <w:tcPr>
            <w:tcW w:w="1043" w:type="dxa"/>
            <w:shd w:val="clear" w:color="auto" w:fill="D9D9D9" w:themeFill="background1" w:themeFillShade="D9"/>
            <w:vAlign w:val="bottom"/>
          </w:tcPr>
          <w:p w14:paraId="2F368468" w14:textId="77777777" w:rsidR="00AF5D5F" w:rsidRPr="00FD691A" w:rsidRDefault="00AF5D5F" w:rsidP="00AF5D5F">
            <w:pPr>
              <w:pStyle w:val="BodyText"/>
              <w:rPr>
                <w:b/>
                <w:sz w:val="20"/>
                <w:lang w:val="en-GB"/>
              </w:rPr>
            </w:pPr>
            <w:r w:rsidRPr="00FD691A">
              <w:rPr>
                <w:b/>
                <w:sz w:val="20"/>
                <w:lang w:val="en-GB"/>
              </w:rPr>
              <w:t>Services FY2014/15</w:t>
            </w:r>
          </w:p>
        </w:tc>
        <w:tc>
          <w:tcPr>
            <w:tcW w:w="1043" w:type="dxa"/>
            <w:shd w:val="clear" w:color="auto" w:fill="D9D9D9" w:themeFill="background1" w:themeFillShade="D9"/>
            <w:vAlign w:val="bottom"/>
          </w:tcPr>
          <w:p w14:paraId="5982462C" w14:textId="77777777" w:rsidR="00AF5D5F" w:rsidRPr="00FD691A" w:rsidRDefault="00AF5D5F" w:rsidP="00AF5D5F">
            <w:pPr>
              <w:pStyle w:val="BodyText"/>
              <w:rPr>
                <w:b/>
                <w:sz w:val="20"/>
                <w:lang w:val="en-GB"/>
              </w:rPr>
            </w:pPr>
            <w:r w:rsidRPr="00FD691A">
              <w:rPr>
                <w:b/>
                <w:sz w:val="20"/>
                <w:lang w:val="en-GB"/>
              </w:rPr>
              <w:t>Benefits FY2014/15</w:t>
            </w:r>
          </w:p>
        </w:tc>
        <w:tc>
          <w:tcPr>
            <w:tcW w:w="1195" w:type="dxa"/>
            <w:shd w:val="clear" w:color="auto" w:fill="D9D9D9" w:themeFill="background1" w:themeFillShade="D9"/>
            <w:vAlign w:val="bottom"/>
          </w:tcPr>
          <w:p w14:paraId="75CAEF41" w14:textId="25DAC9FD" w:rsidR="00AF5D5F" w:rsidRPr="00FD691A" w:rsidRDefault="00AF5D5F" w:rsidP="009E7D8A">
            <w:pPr>
              <w:pStyle w:val="BodyText"/>
              <w:rPr>
                <w:b/>
                <w:sz w:val="20"/>
                <w:lang w:val="en-GB"/>
              </w:rPr>
            </w:pPr>
            <w:r w:rsidRPr="00FD691A">
              <w:rPr>
                <w:b/>
                <w:sz w:val="20"/>
                <w:lang w:val="en-GB"/>
              </w:rPr>
              <w:t>Services 5</w:t>
            </w:r>
            <w:r w:rsidR="009E7D8A">
              <w:rPr>
                <w:b/>
                <w:sz w:val="20"/>
                <w:lang w:val="en-GB"/>
              </w:rPr>
              <w:t>-</w:t>
            </w:r>
            <w:r w:rsidRPr="00FD691A">
              <w:rPr>
                <w:b/>
                <w:sz w:val="20"/>
                <w:lang w:val="en-GB"/>
              </w:rPr>
              <w:t>year annual avg. growth</w:t>
            </w:r>
          </w:p>
        </w:tc>
      </w:tr>
      <w:tr w:rsidR="00AF5D5F" w:rsidRPr="00FD691A" w14:paraId="1165FD00" w14:textId="77777777" w:rsidTr="00C75FBD">
        <w:tc>
          <w:tcPr>
            <w:tcW w:w="718" w:type="dxa"/>
          </w:tcPr>
          <w:p w14:paraId="73734604" w14:textId="77777777" w:rsidR="00AF5D5F" w:rsidRPr="00FD691A" w:rsidRDefault="00AF5D5F" w:rsidP="00AF5D5F">
            <w:pPr>
              <w:pStyle w:val="BodyText"/>
              <w:rPr>
                <w:sz w:val="20"/>
                <w:lang w:val="en-GB"/>
              </w:rPr>
            </w:pPr>
            <w:r w:rsidRPr="00FD691A">
              <w:rPr>
                <w:sz w:val="20"/>
                <w:lang w:val="en-GB"/>
              </w:rPr>
              <w:t>66773</w:t>
            </w:r>
          </w:p>
        </w:tc>
        <w:tc>
          <w:tcPr>
            <w:tcW w:w="4160" w:type="dxa"/>
            <w:tcMar>
              <w:left w:w="57" w:type="dxa"/>
            </w:tcMar>
            <w:vAlign w:val="center"/>
          </w:tcPr>
          <w:p w14:paraId="2851FC7E" w14:textId="77777777" w:rsidR="00AF5D5F" w:rsidRPr="00FD691A" w:rsidRDefault="00AF5D5F" w:rsidP="00AF5D5F">
            <w:pPr>
              <w:pStyle w:val="BodyText"/>
              <w:rPr>
                <w:sz w:val="20"/>
                <w:lang w:val="en-GB"/>
              </w:rPr>
            </w:pPr>
            <w:r w:rsidRPr="00FD691A">
              <w:rPr>
                <w:sz w:val="20"/>
                <w:lang w:val="en-GB"/>
              </w:rPr>
              <w:t>Quantitation of products of collagen breakdown or formation for the monitoring of patients with proven low bone mineral density, and if performed, a service described in item 66752 – 1 or more tests. (Low bone densitometry</w:t>
            </w:r>
            <w:r w:rsidRPr="00FD691A">
              <w:rPr>
                <w:sz w:val="20"/>
                <w:vertAlign w:val="superscript"/>
                <w:lang w:val="en-GB"/>
              </w:rPr>
              <w:footnoteReference w:id="1"/>
            </w:r>
            <w:r w:rsidRPr="00FD691A">
              <w:rPr>
                <w:sz w:val="20"/>
                <w:lang w:val="en-GB"/>
              </w:rPr>
              <w:t xml:space="preserve"> is defined in the explanatory notes to Category 2 – Diagnostic Procedures and Investigations of the Medicare Benefits Schedule.) [1998]</w:t>
            </w:r>
          </w:p>
        </w:tc>
        <w:tc>
          <w:tcPr>
            <w:tcW w:w="923" w:type="dxa"/>
          </w:tcPr>
          <w:p w14:paraId="6C503D1F" w14:textId="77777777" w:rsidR="00AF5D5F" w:rsidRPr="00FD691A" w:rsidRDefault="00AF5D5F" w:rsidP="00AF5D5F">
            <w:pPr>
              <w:pStyle w:val="BodyText"/>
              <w:rPr>
                <w:sz w:val="20"/>
                <w:lang w:val="en-GB"/>
              </w:rPr>
            </w:pPr>
            <w:r w:rsidRPr="00FD691A">
              <w:rPr>
                <w:sz w:val="20"/>
                <w:lang w:val="en-GB"/>
              </w:rPr>
              <w:t>$24.65</w:t>
            </w:r>
          </w:p>
        </w:tc>
        <w:tc>
          <w:tcPr>
            <w:tcW w:w="1043" w:type="dxa"/>
          </w:tcPr>
          <w:p w14:paraId="5D45B5D0" w14:textId="77777777" w:rsidR="00AF5D5F" w:rsidRPr="00FD691A" w:rsidRDefault="00AF5D5F" w:rsidP="00AF5D5F">
            <w:pPr>
              <w:pStyle w:val="BodyText"/>
              <w:rPr>
                <w:sz w:val="20"/>
                <w:lang w:val="en-GB"/>
              </w:rPr>
            </w:pPr>
            <w:r w:rsidRPr="00FD691A">
              <w:rPr>
                <w:sz w:val="20"/>
                <w:lang w:val="en-GB"/>
              </w:rPr>
              <w:t>43,017</w:t>
            </w:r>
          </w:p>
        </w:tc>
        <w:tc>
          <w:tcPr>
            <w:tcW w:w="1043" w:type="dxa"/>
          </w:tcPr>
          <w:p w14:paraId="565CC799" w14:textId="77777777" w:rsidR="00AF5D5F" w:rsidRPr="00FD691A" w:rsidRDefault="00AF5D5F" w:rsidP="00AF5D5F">
            <w:pPr>
              <w:pStyle w:val="BodyText"/>
              <w:rPr>
                <w:sz w:val="20"/>
                <w:lang w:val="en-GB"/>
              </w:rPr>
            </w:pPr>
            <w:r w:rsidRPr="00FD691A">
              <w:rPr>
                <w:sz w:val="20"/>
                <w:lang w:val="en-GB"/>
              </w:rPr>
              <w:t>$906,370</w:t>
            </w:r>
          </w:p>
        </w:tc>
        <w:tc>
          <w:tcPr>
            <w:tcW w:w="1195" w:type="dxa"/>
          </w:tcPr>
          <w:p w14:paraId="40622D05" w14:textId="77777777" w:rsidR="00AF5D5F" w:rsidRPr="00FD691A" w:rsidRDefault="00AF5D5F" w:rsidP="00AF5D5F">
            <w:pPr>
              <w:pStyle w:val="BodyText"/>
              <w:rPr>
                <w:sz w:val="20"/>
                <w:lang w:val="en-GB"/>
              </w:rPr>
            </w:pPr>
            <w:r w:rsidRPr="00FD691A">
              <w:rPr>
                <w:sz w:val="20"/>
                <w:lang w:val="en-GB"/>
              </w:rPr>
              <w:t>15.5%</w:t>
            </w:r>
          </w:p>
        </w:tc>
      </w:tr>
      <w:tr w:rsidR="00AF5D5F" w:rsidRPr="00FD691A" w14:paraId="5DE88E77" w14:textId="77777777" w:rsidTr="00C75FBD">
        <w:tc>
          <w:tcPr>
            <w:tcW w:w="718" w:type="dxa"/>
          </w:tcPr>
          <w:p w14:paraId="10A796DC" w14:textId="77777777" w:rsidR="00AF5D5F" w:rsidRPr="00FD691A" w:rsidRDefault="00AF5D5F" w:rsidP="00AF5D5F">
            <w:pPr>
              <w:pStyle w:val="BodyText"/>
              <w:rPr>
                <w:sz w:val="20"/>
                <w:lang w:val="en-GB"/>
              </w:rPr>
            </w:pPr>
            <w:r w:rsidRPr="00FD691A">
              <w:rPr>
                <w:sz w:val="20"/>
                <w:lang w:val="en-GB"/>
              </w:rPr>
              <w:t>66776</w:t>
            </w:r>
          </w:p>
        </w:tc>
        <w:tc>
          <w:tcPr>
            <w:tcW w:w="4160" w:type="dxa"/>
            <w:tcMar>
              <w:left w:w="57" w:type="dxa"/>
            </w:tcMar>
            <w:vAlign w:val="center"/>
          </w:tcPr>
          <w:p w14:paraId="08532FB2" w14:textId="77777777" w:rsidR="00AF5D5F" w:rsidRPr="00FD691A" w:rsidRDefault="00AF5D5F" w:rsidP="00AF5D5F">
            <w:pPr>
              <w:pStyle w:val="BodyText"/>
              <w:rPr>
                <w:sz w:val="20"/>
                <w:lang w:val="en-GB"/>
              </w:rPr>
            </w:pPr>
            <w:r w:rsidRPr="00FD691A">
              <w:rPr>
                <w:sz w:val="20"/>
                <w:lang w:val="en-GB"/>
              </w:rPr>
              <w:t>Quantitation of products of collagen breakdown or formation for the monitoring of patients with metabolic bone disease or Paget's disease of bone, and if performed, a service described in item 66752 – 1 or more tests. [1998]</w:t>
            </w:r>
          </w:p>
        </w:tc>
        <w:tc>
          <w:tcPr>
            <w:tcW w:w="923" w:type="dxa"/>
          </w:tcPr>
          <w:p w14:paraId="7A5974DC" w14:textId="77777777" w:rsidR="00AF5D5F" w:rsidRPr="00FD691A" w:rsidRDefault="00AF5D5F" w:rsidP="00AF5D5F">
            <w:pPr>
              <w:pStyle w:val="BodyText"/>
              <w:rPr>
                <w:sz w:val="20"/>
                <w:lang w:val="en-GB"/>
              </w:rPr>
            </w:pPr>
            <w:r w:rsidRPr="00FD691A">
              <w:rPr>
                <w:sz w:val="20"/>
                <w:lang w:val="en-GB"/>
              </w:rPr>
              <w:t>$24.65</w:t>
            </w:r>
          </w:p>
        </w:tc>
        <w:tc>
          <w:tcPr>
            <w:tcW w:w="1043" w:type="dxa"/>
          </w:tcPr>
          <w:p w14:paraId="54E51AC6" w14:textId="77777777" w:rsidR="00AF5D5F" w:rsidRPr="00FD691A" w:rsidRDefault="00AF5D5F" w:rsidP="00AF5D5F">
            <w:pPr>
              <w:pStyle w:val="BodyText"/>
              <w:rPr>
                <w:sz w:val="20"/>
                <w:lang w:val="en-GB"/>
              </w:rPr>
            </w:pPr>
            <w:r w:rsidRPr="00FD691A">
              <w:rPr>
                <w:sz w:val="20"/>
                <w:lang w:val="en-GB"/>
              </w:rPr>
              <w:t>26,409</w:t>
            </w:r>
          </w:p>
        </w:tc>
        <w:tc>
          <w:tcPr>
            <w:tcW w:w="1043" w:type="dxa"/>
          </w:tcPr>
          <w:p w14:paraId="74410BB2" w14:textId="77777777" w:rsidR="00AF5D5F" w:rsidRPr="00FD691A" w:rsidRDefault="00AF5D5F" w:rsidP="00AF5D5F">
            <w:pPr>
              <w:pStyle w:val="BodyText"/>
              <w:rPr>
                <w:sz w:val="20"/>
                <w:lang w:val="en-GB"/>
              </w:rPr>
            </w:pPr>
            <w:r w:rsidRPr="00FD691A">
              <w:rPr>
                <w:sz w:val="20"/>
                <w:lang w:val="en-GB"/>
              </w:rPr>
              <w:t>$562,509</w:t>
            </w:r>
          </w:p>
        </w:tc>
        <w:tc>
          <w:tcPr>
            <w:tcW w:w="1195" w:type="dxa"/>
          </w:tcPr>
          <w:p w14:paraId="7E6AAFD6" w14:textId="77777777" w:rsidR="00AF5D5F" w:rsidRPr="00FD691A" w:rsidRDefault="00AF5D5F" w:rsidP="00AF5D5F">
            <w:pPr>
              <w:pStyle w:val="BodyText"/>
              <w:rPr>
                <w:sz w:val="20"/>
                <w:lang w:val="en-GB"/>
              </w:rPr>
            </w:pPr>
            <w:r w:rsidRPr="00FD691A">
              <w:rPr>
                <w:sz w:val="20"/>
                <w:lang w:val="en-GB"/>
              </w:rPr>
              <w:t>10.3%</w:t>
            </w:r>
          </w:p>
        </w:tc>
      </w:tr>
    </w:tbl>
    <w:p w14:paraId="01CDD0FE" w14:textId="3D46132A" w:rsidR="00C75FBD" w:rsidRPr="007C1C32" w:rsidRDefault="00C75FBD" w:rsidP="00AF11CA">
      <w:pPr>
        <w:pStyle w:val="03Tableundertext"/>
        <w:spacing w:after="0"/>
      </w:pPr>
      <w:r w:rsidRPr="0092015F">
        <w:rPr>
          <w:b/>
        </w:rPr>
        <w:t>Source: Department of Human Services, published data, date of processing.</w:t>
      </w:r>
    </w:p>
    <w:p w14:paraId="3DAE5076" w14:textId="58499E2D"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6351818D" w14:textId="14B0A3DA" w:rsidR="00AF5D5F" w:rsidRDefault="003530A2" w:rsidP="003530A2">
      <w:pPr>
        <w:pStyle w:val="BodyText"/>
      </w:pPr>
      <w:r>
        <w:t xml:space="preserve">The </w:t>
      </w:r>
      <w:r w:rsidR="006E47CC">
        <w:rPr>
          <w:lang w:val="en-US"/>
        </w:rPr>
        <w:t>Endocrinology Clinical Committee</w:t>
      </w:r>
      <w:r w:rsidR="00E5655B">
        <w:rPr>
          <w:lang w:val="en-US"/>
        </w:rPr>
        <w:t xml:space="preserve"> </w:t>
      </w:r>
      <w:r>
        <w:t>proposed the following:</w:t>
      </w:r>
    </w:p>
    <w:p w14:paraId="48E3F163" w14:textId="77777777" w:rsidR="003530A2" w:rsidRDefault="003530A2" w:rsidP="00965AE3">
      <w:pPr>
        <w:pStyle w:val="Bullet1"/>
      </w:pPr>
      <w:r>
        <w:t>Leave these items unchanged.</w:t>
      </w:r>
    </w:p>
    <w:p w14:paraId="6BB043C5" w14:textId="77777777" w:rsidR="003530A2" w:rsidRPr="00DA4A23" w:rsidRDefault="003530A2" w:rsidP="00DA4A23">
      <w:pPr>
        <w:rPr>
          <w:b/>
        </w:rPr>
      </w:pPr>
      <w:bookmarkStart w:id="96" w:name="_Toc485295748"/>
      <w:r w:rsidRPr="00DA4A23">
        <w:rPr>
          <w:b/>
        </w:rPr>
        <w:t>Recommendation 11</w:t>
      </w:r>
      <w:bookmarkEnd w:id="96"/>
    </w:p>
    <w:p w14:paraId="6424D07B" w14:textId="21F30EB2" w:rsidR="003530A2" w:rsidRDefault="001B36A2" w:rsidP="003530A2">
      <w:pPr>
        <w:pStyle w:val="BodyText"/>
      </w:pPr>
      <w:r>
        <w:t>T</w:t>
      </w:r>
      <w:r w:rsidR="003530A2" w:rsidRPr="003530A2">
        <w:t xml:space="preserve">he </w:t>
      </w:r>
      <w:r w:rsidR="00D17A1E" w:rsidRPr="00B84C4F">
        <w:rPr>
          <w:lang w:val="en-US"/>
        </w:rPr>
        <w:t xml:space="preserve">Pathology Clinical Committee </w:t>
      </w:r>
      <w:r w:rsidR="003530A2" w:rsidRPr="003530A2">
        <w:t>provides the foll</w:t>
      </w:r>
      <w:r w:rsidR="002B37F6">
        <w:t>owing advice and recommendation</w:t>
      </w:r>
      <w:r w:rsidR="003530A2" w:rsidRPr="003530A2">
        <w:t>.</w:t>
      </w:r>
    </w:p>
    <w:p w14:paraId="735ED885" w14:textId="3B8BA83F" w:rsidR="003530A2" w:rsidRPr="003530A2" w:rsidRDefault="003530A2" w:rsidP="00965AE3">
      <w:pPr>
        <w:pStyle w:val="Bullet1"/>
      </w:pPr>
      <w:r w:rsidRPr="003530A2">
        <w:t xml:space="preserve">The </w:t>
      </w:r>
      <w:r w:rsidR="001B36A2" w:rsidRPr="00B84C4F">
        <w:rPr>
          <w:lang w:val="en-US"/>
        </w:rPr>
        <w:t xml:space="preserve">Pathology Clinical </w:t>
      </w:r>
      <w:r w:rsidR="00D01B58" w:rsidRPr="00D01B58">
        <w:t>Committee</w:t>
      </w:r>
      <w:r w:rsidRPr="003530A2">
        <w:t xml:space="preserve"> supports the proposal to leave these items unchanged</w:t>
      </w:r>
      <w:r>
        <w:t>.</w:t>
      </w:r>
    </w:p>
    <w:p w14:paraId="5EFB97E7" w14:textId="77777777" w:rsidR="000E347D" w:rsidRDefault="000E347D" w:rsidP="00DA4A23">
      <w:pPr>
        <w:rPr>
          <w:b/>
        </w:rPr>
      </w:pPr>
      <w:bookmarkStart w:id="97" w:name="_Toc485295749"/>
    </w:p>
    <w:p w14:paraId="18A55E5B" w14:textId="77777777" w:rsidR="003530A2" w:rsidRPr="00DA4A23" w:rsidRDefault="003530A2" w:rsidP="00DA4A23">
      <w:pPr>
        <w:rPr>
          <w:b/>
        </w:rPr>
      </w:pPr>
      <w:r w:rsidRPr="00DA4A23">
        <w:rPr>
          <w:b/>
        </w:rPr>
        <w:t>Rationale 11</w:t>
      </w:r>
      <w:bookmarkEnd w:id="97"/>
    </w:p>
    <w:p w14:paraId="1B217C3D" w14:textId="62FF9A6D" w:rsidR="003530A2" w:rsidRPr="003530A2" w:rsidRDefault="003530A2" w:rsidP="003530A2">
      <w:pPr>
        <w:pStyle w:val="BodyText"/>
        <w:rPr>
          <w:lang w:val="en-GB" w:eastAsia="en-US"/>
        </w:rPr>
      </w:pPr>
      <w:r w:rsidRPr="003530A2">
        <w:rPr>
          <w:lang w:val="en-GB" w:eastAsia="en-US"/>
        </w:rPr>
        <w:t>The recommendation is based on the following observation. The MBS items provide clinically required tests, and the high growth rates in service volumes reflect the frequency of osteoporosis in the population and the recent introduction of medications used to treat bone-related disorders. These medications have a potent effect on bone turnover markers.</w:t>
      </w:r>
      <w:r w:rsidR="00240E05" w:rsidRPr="003530A2">
        <w:rPr>
          <w:lang w:val="en-GB" w:eastAsia="en-US"/>
        </w:rPr>
        <w:fldChar w:fldCharType="begin"/>
      </w:r>
      <w:r w:rsidR="00877C64">
        <w:rPr>
          <w:lang w:val="en-GB" w:eastAsia="en-US"/>
        </w:rPr>
        <w:instrText xml:space="preserve"> ADDIN EN.CITE &lt;EndNote&gt;&lt;Cite&gt;&lt;Author&gt;Vasikaran&lt;/Author&gt;&lt;Year&gt;2016&lt;/Year&gt;&lt;RecNum&gt;7&lt;/RecNum&gt;&lt;DisplayText&gt;&lt;style face="superscript"&gt;29&lt;/style&gt;&lt;/DisplayText&gt;&lt;record&gt;&lt;rec-number&gt;7&lt;/rec-number&gt;&lt;foreign-keys&gt;&lt;key app="EN" db-id="dfs5xeapdpddpyexds6ppreypt5sp9spp2a5" timestamp="1475802896"&gt;7&lt;/key&gt;&lt;/foreign-keys&gt;&lt;ref-type name="Journal Article"&gt;17&lt;/ref-type&gt;&lt;contributors&gt;&lt;authors&gt;&lt;author&gt;Vasikaran, Samuel D.&lt;/author&gt;&lt;author&gt;Paul Chubb, S. A.&lt;/author&gt;&lt;/authors&gt;&lt;/contributors&gt;&lt;titles&gt;&lt;title&gt;The use of biochemical markers of bone turnover in the clinical management of primary and secondary osteoporosis&lt;/title&gt;&lt;secondary-title&gt;Endocrine&lt;/secondary-title&gt;&lt;/titles&gt;&lt;periodical&gt;&lt;full-title&gt;Endocrine&lt;/full-title&gt;&lt;/periodical&gt;&lt;pages&gt;222-225&lt;/pages&gt;&lt;volume&gt;52&lt;/volume&gt;&lt;number&gt;2&lt;/number&gt;&lt;dates&gt;&lt;year&gt;2016&lt;/year&gt;&lt;/dates&gt;&lt;isbn&gt;1559-0100&lt;/isbn&gt;&lt;label&gt;Vasikaran2016&lt;/label&gt;&lt;work-type&gt;journal article&lt;/work-type&gt;&lt;urls&gt;&lt;related-urls&gt;&lt;url&gt;http://dx.doi.org/10.1007/s12020-016-0900-2&lt;/url&gt;&lt;/related-urls&gt;&lt;/urls&gt;&lt;electronic-resource-num&gt;10.1007/s12020-016-0900-2&lt;/electronic-resource-num&gt;&lt;/record&gt;&lt;/Cite&gt;&lt;/EndNote&gt;</w:instrText>
      </w:r>
      <w:r w:rsidR="00240E05" w:rsidRPr="003530A2">
        <w:rPr>
          <w:lang w:val="en-GB" w:eastAsia="en-US"/>
        </w:rPr>
        <w:fldChar w:fldCharType="separate"/>
      </w:r>
      <w:r w:rsidR="00877C64" w:rsidRPr="00877C64">
        <w:rPr>
          <w:noProof/>
          <w:vertAlign w:val="superscript"/>
          <w:lang w:val="en-GB" w:eastAsia="en-US"/>
        </w:rPr>
        <w:t>29</w:t>
      </w:r>
      <w:r w:rsidR="00240E05" w:rsidRPr="003530A2">
        <w:rPr>
          <w:lang w:val="en-US" w:eastAsia="en-US"/>
        </w:rPr>
        <w:fldChar w:fldCharType="end"/>
      </w:r>
      <w:r w:rsidRPr="003530A2">
        <w:rPr>
          <w:lang w:val="en-GB" w:eastAsia="en-US"/>
        </w:rPr>
        <w:t xml:space="preserve"> This recommendation is to encourage best practice within this area.</w:t>
      </w:r>
    </w:p>
    <w:p w14:paraId="6EA7E5F5" w14:textId="1DAEA76A" w:rsidR="003530A2" w:rsidRPr="003530A2" w:rsidRDefault="003530A2" w:rsidP="003530A2">
      <w:pPr>
        <w:pStyle w:val="BodyText"/>
        <w:rPr>
          <w:lang w:val="en-GB" w:eastAsia="en-US"/>
        </w:rPr>
      </w:pPr>
      <w:r w:rsidRPr="003530A2">
        <w:rPr>
          <w:lang w:val="en-GB" w:eastAsia="en-US"/>
        </w:rPr>
        <w:t>A restriction on the maximum number of tests per year was considered; however, there is no consensus within the published literature about the appropriate number of tests per year.</w:t>
      </w:r>
      <w:r w:rsidR="00240E05" w:rsidRPr="003530A2">
        <w:rPr>
          <w:lang w:val="en-GB" w:eastAsia="en-US"/>
        </w:rPr>
        <w:fldChar w:fldCharType="begin">
          <w:fldData xml:space="preserve">PEVuZE5vdGU+PENpdGU+PEF1dGhvcj5DYXZhbGllcjwvQXV0aG9yPjxZZWFyPjIwMTY8L1llYXI+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b2YgdGhlIFVTQTwvYWJici0xPjwvYWx0LXBlcmlvZGljYWw+PHBhZ2VzPjIxODEtOTU8L3BhZ2Vz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</w:fldData>
        </w:fldChar>
      </w:r>
      <w:r w:rsidR="00877C64">
        <w:rPr>
          <w:lang w:val="en-GB" w:eastAsia="en-US"/>
        </w:rPr>
        <w:instrText xml:space="preserve"> ADDIN EN.CITE </w:instrText>
      </w:r>
      <w:r w:rsidR="00877C64">
        <w:rPr>
          <w:lang w:val="en-GB" w:eastAsia="en-US"/>
        </w:rPr>
        <w:fldChar w:fldCharType="begin">
          <w:fldData xml:space="preserve">PEVuZE5vdGU+PENpdGU+PEF1dGhvcj5DYXZhbGllcjwvQXV0aG9yPjxZZWFyPjIwMTY8L1llYXI+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</w:fldData>
        </w:fldChar>
      </w:r>
      <w:r w:rsidR="00877C64">
        <w:rPr>
          <w:lang w:val="en-GB" w:eastAsia="en-US"/>
        </w:rPr>
        <w:instrText xml:space="preserve"> ADDIN EN.CITE.DATA </w:instrText>
      </w:r>
      <w:r w:rsidR="00877C64">
        <w:rPr>
          <w:lang w:val="en-GB" w:eastAsia="en-US"/>
        </w:rPr>
      </w:r>
      <w:r w:rsidR="00877C64">
        <w:rPr>
          <w:lang w:val="en-GB" w:eastAsia="en-US"/>
        </w:rPr>
        <w:fldChar w:fldCharType="end"/>
      </w:r>
      <w:r w:rsidR="00240E05" w:rsidRPr="003530A2">
        <w:rPr>
          <w:lang w:val="en-GB" w:eastAsia="en-US"/>
        </w:rPr>
      </w:r>
      <w:r w:rsidR="00240E05" w:rsidRPr="003530A2">
        <w:rPr>
          <w:lang w:val="en-GB" w:eastAsia="en-US"/>
        </w:rPr>
        <w:fldChar w:fldCharType="separate"/>
      </w:r>
      <w:r w:rsidR="00877C64" w:rsidRPr="00877C64">
        <w:rPr>
          <w:noProof/>
          <w:vertAlign w:val="superscript"/>
          <w:lang w:val="en-GB" w:eastAsia="en-US"/>
        </w:rPr>
        <w:t>30</w:t>
      </w:r>
      <w:r w:rsidR="00240E05" w:rsidRPr="003530A2">
        <w:rPr>
          <w:lang w:val="en-US" w:eastAsia="en-US"/>
        </w:rPr>
        <w:fldChar w:fldCharType="end"/>
      </w:r>
      <w:r w:rsidRPr="003530A2">
        <w:rPr>
          <w:lang w:val="en-GB" w:eastAsia="en-US"/>
        </w:rPr>
        <w:t xml:space="preserve"> In </w:t>
      </w:r>
      <w:r w:rsidR="001629F3">
        <w:rPr>
          <w:lang w:val="en-GB" w:eastAsia="en-US"/>
        </w:rPr>
        <w:t xml:space="preserve">the </w:t>
      </w:r>
      <w:r w:rsidRPr="003530A2">
        <w:rPr>
          <w:lang w:val="en-GB" w:eastAsia="en-US"/>
        </w:rPr>
        <w:t>2014</w:t>
      </w:r>
      <w:r w:rsidR="001A56B3">
        <w:rPr>
          <w:lang w:val="en-GB" w:eastAsia="en-US"/>
        </w:rPr>
        <w:t>–</w:t>
      </w:r>
      <w:r w:rsidRPr="003530A2">
        <w:rPr>
          <w:lang w:val="en-GB" w:eastAsia="en-US"/>
        </w:rPr>
        <w:t>15</w:t>
      </w:r>
      <w:r w:rsidR="001629F3">
        <w:rPr>
          <w:lang w:val="en-GB" w:eastAsia="en-US"/>
        </w:rPr>
        <w:t xml:space="preserve"> financial year</w:t>
      </w:r>
      <w:r w:rsidRPr="003530A2">
        <w:rPr>
          <w:lang w:val="en-GB" w:eastAsia="en-US"/>
        </w:rPr>
        <w:t>, only 18 per cent and 13 per cent of patients had two or more tests under items 66773 and 66776, respectively.</w:t>
      </w:r>
      <w:r w:rsidR="00240E05" w:rsidRPr="003530A2">
        <w:rPr>
          <w:lang w:val="en-GB" w:eastAsia="en-US"/>
        </w:rPr>
        <w:fldChar w:fldCharType="begin"/>
      </w:r>
      <w:r w:rsidR="00877C64">
        <w:rPr>
          <w:lang w:val="en-GB" w:eastAsia="en-US"/>
        </w:rPr>
        <w:instrText xml:space="preserve"> ADDIN EN.CITE &lt;EndNote&gt;&lt;Cite&gt;&lt;Author&gt;Department of Health&lt;/Author&gt;&lt;Year&gt;2016&lt;/Year&gt;&lt;RecNum&gt;16&lt;/RecNum&gt;&lt;DisplayText&gt;&lt;style face="superscript"&gt;8&lt;/style&gt;&lt;/DisplayText&gt;&lt;record&gt;&lt;rec-number&gt;16&lt;/rec-number&gt;&lt;foreign-keys&gt;&lt;key app="EN" db-id="dfs5xeapdpddpyexds6ppreypt5sp9spp2a5" timestamp="1477349023"&gt;16&lt;/key&gt;&lt;/foreign-keys&gt;&lt;ref-type name="Report"&gt;27&lt;/ref-type&gt;&lt;contributors&gt;&lt;authors&gt;&lt;author&gt;Department of Health,&lt;/author&gt;&lt;/authors&gt;&lt;/contributors&gt;&lt;titles&gt;&lt;title&gt;MBS Data&lt;/title&gt;&lt;/titles&gt;&lt;dates&gt;&lt;year&gt;2016&lt;/year&gt;&lt;/dates&gt;&lt;urls&gt;&lt;/urls&gt;&lt;access-date&gt;26.10.2016&lt;/access-date&gt;&lt;/record&gt;&lt;/Cite&gt;&lt;/EndNote&gt;</w:instrText>
      </w:r>
      <w:r w:rsidR="00240E05" w:rsidRPr="003530A2">
        <w:rPr>
          <w:lang w:val="en-GB" w:eastAsia="en-US"/>
        </w:rPr>
        <w:fldChar w:fldCharType="separate"/>
      </w:r>
      <w:r w:rsidR="00877C64" w:rsidRPr="00877C64">
        <w:rPr>
          <w:noProof/>
          <w:vertAlign w:val="superscript"/>
          <w:lang w:val="en-GB" w:eastAsia="en-US"/>
        </w:rPr>
        <w:t>8</w:t>
      </w:r>
      <w:r w:rsidR="00240E05" w:rsidRPr="003530A2">
        <w:rPr>
          <w:lang w:val="en-US" w:eastAsia="en-US"/>
        </w:rPr>
        <w:fldChar w:fldCharType="end"/>
      </w:r>
    </w:p>
    <w:p w14:paraId="3A2DD1E1" w14:textId="77777777" w:rsidR="00B01112" w:rsidRDefault="003530A2" w:rsidP="003530A2">
      <w:pPr>
        <w:pStyle w:val="Heading2Report"/>
      </w:pPr>
      <w:bookmarkStart w:id="98" w:name="_Toc485295750"/>
      <w:bookmarkStart w:id="99" w:name="_Toc485296609"/>
      <w:r>
        <w:t>Adrenaline and other tests: Items 66779 and 66780</w:t>
      </w:r>
      <w:bookmarkEnd w:id="98"/>
      <w:bookmarkEnd w:id="99"/>
    </w:p>
    <w:p w14:paraId="0AD9718B" w14:textId="77777777" w:rsidR="003530A2" w:rsidRPr="003530A2" w:rsidRDefault="003530A2" w:rsidP="003744BA">
      <w:pPr>
        <w:pStyle w:val="Caption"/>
      </w:pPr>
      <w:bookmarkStart w:id="100" w:name="_Toc472940508"/>
      <w:r>
        <w:t>Table 1</w:t>
      </w:r>
      <w:r w:rsidR="00AD6C1A">
        <w:t>6</w:t>
      </w:r>
      <w:r>
        <w:t xml:space="preserve">: </w:t>
      </w:r>
      <w:r w:rsidRPr="003530A2">
        <w:t>Item introduction table for items 66779 and 66780</w:t>
      </w:r>
      <w:bookmarkEnd w:id="100"/>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s 66779 and 66780"/>
        <w:tblDescription w:val="This is a table that contains Medicare Benefits Schedule data for items 66779 and 66780, for the finanical year 2014–2015. The data includes total volume of services, benefits and services annual average growth."/>
      </w:tblPr>
      <w:tblGrid>
        <w:gridCol w:w="708"/>
        <w:gridCol w:w="4036"/>
        <w:gridCol w:w="953"/>
        <w:gridCol w:w="1040"/>
        <w:gridCol w:w="1063"/>
        <w:gridCol w:w="1216"/>
      </w:tblGrid>
      <w:tr w:rsidR="003530A2" w:rsidRPr="00FD691A" w14:paraId="1382C8C7" w14:textId="77777777" w:rsidTr="00C75FBD">
        <w:trPr>
          <w:tblHeader/>
        </w:trPr>
        <w:tc>
          <w:tcPr>
            <w:tcW w:w="712" w:type="dxa"/>
            <w:shd w:val="clear" w:color="auto" w:fill="D9D9D9" w:themeFill="background1" w:themeFillShade="D9"/>
            <w:vAlign w:val="bottom"/>
          </w:tcPr>
          <w:p w14:paraId="52E59BF0" w14:textId="77777777" w:rsidR="003530A2" w:rsidRPr="00FD691A" w:rsidRDefault="003530A2" w:rsidP="003530A2">
            <w:pPr>
              <w:pStyle w:val="BodyText"/>
              <w:rPr>
                <w:b/>
                <w:sz w:val="20"/>
                <w:lang w:val="en-GB"/>
              </w:rPr>
            </w:pPr>
            <w:r w:rsidRPr="00FD691A">
              <w:rPr>
                <w:b/>
                <w:sz w:val="20"/>
                <w:lang w:val="en-GB"/>
              </w:rPr>
              <w:t>Item</w:t>
            </w:r>
          </w:p>
        </w:tc>
        <w:tc>
          <w:tcPr>
            <w:tcW w:w="4074" w:type="dxa"/>
            <w:shd w:val="clear" w:color="auto" w:fill="D9D9D9" w:themeFill="background1" w:themeFillShade="D9"/>
            <w:tcMar>
              <w:left w:w="57" w:type="dxa"/>
            </w:tcMar>
            <w:vAlign w:val="bottom"/>
          </w:tcPr>
          <w:p w14:paraId="4D9C3A1A" w14:textId="77777777" w:rsidR="003530A2" w:rsidRPr="00FD691A" w:rsidRDefault="003530A2" w:rsidP="003530A2">
            <w:pPr>
              <w:pStyle w:val="BodyText"/>
              <w:rPr>
                <w:b/>
                <w:sz w:val="20"/>
                <w:lang w:val="en-GB"/>
              </w:rPr>
            </w:pPr>
            <w:r w:rsidRPr="00FD691A">
              <w:rPr>
                <w:b/>
                <w:sz w:val="20"/>
                <w:lang w:val="en-GB"/>
              </w:rPr>
              <w:t>Descriptor [date last amended]</w:t>
            </w:r>
          </w:p>
        </w:tc>
        <w:tc>
          <w:tcPr>
            <w:tcW w:w="957" w:type="dxa"/>
            <w:shd w:val="clear" w:color="auto" w:fill="D9D9D9" w:themeFill="background1" w:themeFillShade="D9"/>
            <w:vAlign w:val="bottom"/>
          </w:tcPr>
          <w:p w14:paraId="78FFCF51" w14:textId="043C76E1" w:rsidR="003530A2" w:rsidRPr="00FD691A" w:rsidRDefault="003530A2" w:rsidP="003530A2">
            <w:pPr>
              <w:pStyle w:val="BodyText"/>
              <w:rPr>
                <w:b/>
                <w:sz w:val="20"/>
                <w:lang w:val="en-GB"/>
              </w:rPr>
            </w:pPr>
            <w:r w:rsidRPr="00FD691A">
              <w:rPr>
                <w:b/>
                <w:sz w:val="20"/>
                <w:lang w:val="en-GB"/>
              </w:rPr>
              <w:t>Schedul</w:t>
            </w:r>
            <w:r w:rsidR="001A56B3">
              <w:rPr>
                <w:b/>
                <w:sz w:val="20"/>
                <w:lang w:val="en-GB"/>
              </w:rPr>
              <w:t>e fee</w:t>
            </w:r>
          </w:p>
        </w:tc>
        <w:tc>
          <w:tcPr>
            <w:tcW w:w="1043" w:type="dxa"/>
            <w:shd w:val="clear" w:color="auto" w:fill="D9D9D9" w:themeFill="background1" w:themeFillShade="D9"/>
            <w:vAlign w:val="bottom"/>
          </w:tcPr>
          <w:p w14:paraId="08C15A61" w14:textId="77777777" w:rsidR="003530A2" w:rsidRPr="00FD691A" w:rsidRDefault="003530A2" w:rsidP="003530A2">
            <w:pPr>
              <w:pStyle w:val="BodyText"/>
              <w:rPr>
                <w:b/>
                <w:sz w:val="20"/>
                <w:lang w:val="en-GB"/>
              </w:rPr>
            </w:pPr>
            <w:r w:rsidRPr="00FD691A">
              <w:rPr>
                <w:b/>
                <w:sz w:val="20"/>
                <w:lang w:val="en-GB"/>
              </w:rPr>
              <w:t>Services FY2014/15</w:t>
            </w:r>
          </w:p>
        </w:tc>
        <w:tc>
          <w:tcPr>
            <w:tcW w:w="1066" w:type="dxa"/>
            <w:shd w:val="clear" w:color="auto" w:fill="D9D9D9" w:themeFill="background1" w:themeFillShade="D9"/>
            <w:vAlign w:val="bottom"/>
          </w:tcPr>
          <w:p w14:paraId="7CB4E9C4" w14:textId="77777777" w:rsidR="003530A2" w:rsidRPr="00FD691A" w:rsidRDefault="003530A2" w:rsidP="003530A2">
            <w:pPr>
              <w:pStyle w:val="BodyText"/>
              <w:rPr>
                <w:b/>
                <w:sz w:val="20"/>
                <w:lang w:val="en-GB"/>
              </w:rPr>
            </w:pPr>
            <w:r w:rsidRPr="00FD691A">
              <w:rPr>
                <w:b/>
                <w:sz w:val="20"/>
                <w:lang w:val="en-GB"/>
              </w:rPr>
              <w:t>Benefits FY2014/15</w:t>
            </w:r>
          </w:p>
        </w:tc>
        <w:tc>
          <w:tcPr>
            <w:tcW w:w="1230" w:type="dxa"/>
            <w:shd w:val="clear" w:color="auto" w:fill="D9D9D9" w:themeFill="background1" w:themeFillShade="D9"/>
            <w:vAlign w:val="bottom"/>
          </w:tcPr>
          <w:p w14:paraId="4378FCB0" w14:textId="1EA93FDA" w:rsidR="003530A2" w:rsidRPr="00FD691A" w:rsidRDefault="003530A2" w:rsidP="003530A2">
            <w:pPr>
              <w:pStyle w:val="BodyText"/>
              <w:rPr>
                <w:b/>
                <w:sz w:val="20"/>
                <w:lang w:val="en-GB"/>
              </w:rPr>
            </w:pPr>
            <w:r w:rsidRPr="00FD691A">
              <w:rPr>
                <w:b/>
                <w:sz w:val="20"/>
                <w:lang w:val="en-GB"/>
              </w:rPr>
              <w:t>Services 5</w:t>
            </w:r>
            <w:r w:rsidR="001A56B3">
              <w:rPr>
                <w:b/>
                <w:sz w:val="20"/>
                <w:lang w:val="en-GB"/>
              </w:rPr>
              <w:t>-</w:t>
            </w:r>
            <w:r w:rsidRPr="00FD691A">
              <w:rPr>
                <w:b/>
                <w:sz w:val="20"/>
                <w:lang w:val="en-GB"/>
              </w:rPr>
              <w:t>year annual avg. growth</w:t>
            </w:r>
          </w:p>
        </w:tc>
      </w:tr>
      <w:tr w:rsidR="003530A2" w:rsidRPr="00FD691A" w14:paraId="4BAB9465" w14:textId="77777777" w:rsidTr="00C75FBD">
        <w:tc>
          <w:tcPr>
            <w:tcW w:w="712" w:type="dxa"/>
          </w:tcPr>
          <w:p w14:paraId="1B5D2FCB" w14:textId="77777777" w:rsidR="003530A2" w:rsidRPr="00FD691A" w:rsidRDefault="003530A2" w:rsidP="003530A2">
            <w:pPr>
              <w:pStyle w:val="BodyText"/>
              <w:rPr>
                <w:sz w:val="20"/>
                <w:lang w:val="en-GB"/>
              </w:rPr>
            </w:pPr>
            <w:r w:rsidRPr="00FD691A">
              <w:rPr>
                <w:sz w:val="20"/>
                <w:lang w:val="en-GB"/>
              </w:rPr>
              <w:t>66779</w:t>
            </w:r>
          </w:p>
        </w:tc>
        <w:tc>
          <w:tcPr>
            <w:tcW w:w="4074" w:type="dxa"/>
            <w:tcMar>
              <w:left w:w="57" w:type="dxa"/>
            </w:tcMar>
          </w:tcPr>
          <w:p w14:paraId="60FF4CBF" w14:textId="77777777" w:rsidR="003530A2" w:rsidRPr="00FD691A" w:rsidRDefault="003530A2" w:rsidP="003530A2">
            <w:pPr>
              <w:pStyle w:val="BodyText"/>
              <w:rPr>
                <w:sz w:val="20"/>
                <w:lang w:val="en-GB"/>
              </w:rPr>
            </w:pPr>
            <w:r w:rsidRPr="00FD691A">
              <w:rPr>
                <w:sz w:val="20"/>
                <w:lang w:val="en-GB"/>
              </w:rPr>
              <w:t>Adrenaline, noradrenaline, dopamine, histamine, hydroxyindoleacetic acid (5HIAA), hydroxymethoxymandelic acid (HMMA), homovanillic acid (HVA), metanephrines, methoxyhydroxyphenylethylene glycol (MHPG), phenylacetic acid (PAA) or serotonin quantitation – 1 or more tests. [1998]</w:t>
            </w:r>
          </w:p>
        </w:tc>
        <w:tc>
          <w:tcPr>
            <w:tcW w:w="957" w:type="dxa"/>
          </w:tcPr>
          <w:p w14:paraId="3D301899" w14:textId="77777777" w:rsidR="003530A2" w:rsidRPr="00FD691A" w:rsidRDefault="003530A2" w:rsidP="003530A2">
            <w:pPr>
              <w:pStyle w:val="BodyText"/>
              <w:rPr>
                <w:sz w:val="20"/>
                <w:lang w:val="en-GB"/>
              </w:rPr>
            </w:pPr>
            <w:r w:rsidRPr="00FD691A">
              <w:rPr>
                <w:sz w:val="20"/>
                <w:lang w:val="en-GB"/>
              </w:rPr>
              <w:t>$39.95</w:t>
            </w:r>
          </w:p>
        </w:tc>
        <w:tc>
          <w:tcPr>
            <w:tcW w:w="1043" w:type="dxa"/>
          </w:tcPr>
          <w:p w14:paraId="792C7DEB" w14:textId="77777777" w:rsidR="003530A2" w:rsidRPr="00FD691A" w:rsidRDefault="003530A2" w:rsidP="003530A2">
            <w:pPr>
              <w:pStyle w:val="BodyText"/>
              <w:rPr>
                <w:sz w:val="20"/>
                <w:lang w:val="en-GB"/>
              </w:rPr>
            </w:pPr>
            <w:r w:rsidRPr="00FD691A">
              <w:rPr>
                <w:sz w:val="20"/>
                <w:lang w:val="en-GB"/>
              </w:rPr>
              <w:t>42,115</w:t>
            </w:r>
          </w:p>
        </w:tc>
        <w:tc>
          <w:tcPr>
            <w:tcW w:w="1066" w:type="dxa"/>
          </w:tcPr>
          <w:p w14:paraId="3AE7A67E" w14:textId="77777777" w:rsidR="003530A2" w:rsidRPr="00FD691A" w:rsidRDefault="003530A2" w:rsidP="003530A2">
            <w:pPr>
              <w:pStyle w:val="BodyText"/>
              <w:rPr>
                <w:sz w:val="20"/>
                <w:lang w:val="en-GB"/>
              </w:rPr>
            </w:pPr>
            <w:r w:rsidRPr="00FD691A">
              <w:rPr>
                <w:sz w:val="20"/>
                <w:lang w:val="en-GB"/>
              </w:rPr>
              <w:t>$1,448,373</w:t>
            </w:r>
          </w:p>
        </w:tc>
        <w:tc>
          <w:tcPr>
            <w:tcW w:w="1230" w:type="dxa"/>
          </w:tcPr>
          <w:p w14:paraId="63EB0F01" w14:textId="77777777" w:rsidR="003530A2" w:rsidRPr="00FD691A" w:rsidRDefault="003530A2" w:rsidP="003530A2">
            <w:pPr>
              <w:pStyle w:val="BodyText"/>
              <w:rPr>
                <w:sz w:val="20"/>
                <w:lang w:val="en-GB"/>
              </w:rPr>
            </w:pPr>
            <w:r w:rsidRPr="00FD691A">
              <w:rPr>
                <w:sz w:val="20"/>
                <w:lang w:val="en-GB"/>
              </w:rPr>
              <w:t>4.5%</w:t>
            </w:r>
          </w:p>
        </w:tc>
      </w:tr>
      <w:tr w:rsidR="003530A2" w:rsidRPr="00FD691A" w14:paraId="49ADE99B" w14:textId="77777777" w:rsidTr="00C75FBD">
        <w:tc>
          <w:tcPr>
            <w:tcW w:w="712" w:type="dxa"/>
          </w:tcPr>
          <w:p w14:paraId="1068CA46" w14:textId="77777777" w:rsidR="003530A2" w:rsidRPr="00FD691A" w:rsidRDefault="003530A2" w:rsidP="003530A2">
            <w:pPr>
              <w:pStyle w:val="BodyText"/>
              <w:rPr>
                <w:sz w:val="20"/>
                <w:lang w:val="en-GB"/>
              </w:rPr>
            </w:pPr>
            <w:r w:rsidRPr="00FD691A">
              <w:rPr>
                <w:sz w:val="20"/>
                <w:lang w:val="en-GB"/>
              </w:rPr>
              <w:t>66780</w:t>
            </w:r>
          </w:p>
        </w:tc>
        <w:tc>
          <w:tcPr>
            <w:tcW w:w="4074" w:type="dxa"/>
            <w:tcMar>
              <w:left w:w="57" w:type="dxa"/>
            </w:tcMar>
          </w:tcPr>
          <w:p w14:paraId="1F24A245" w14:textId="77777777" w:rsidR="003530A2" w:rsidRPr="00FD691A" w:rsidRDefault="003530A2" w:rsidP="003530A2">
            <w:pPr>
              <w:pStyle w:val="BodyText"/>
              <w:rPr>
                <w:sz w:val="20"/>
                <w:lang w:val="en-GB"/>
              </w:rPr>
            </w:pPr>
            <w:r w:rsidRPr="00FD691A">
              <w:rPr>
                <w:sz w:val="20"/>
                <w:lang w:val="en-GB"/>
              </w:rPr>
              <w:t>A test described in item 66779 if rendered by a receiving APP – 1 or more tests. (Item is subject to rule 18.) [2007]</w:t>
            </w:r>
          </w:p>
        </w:tc>
        <w:tc>
          <w:tcPr>
            <w:tcW w:w="957" w:type="dxa"/>
          </w:tcPr>
          <w:p w14:paraId="5B71E571" w14:textId="77777777" w:rsidR="003530A2" w:rsidRPr="00FD691A" w:rsidRDefault="003530A2" w:rsidP="003530A2">
            <w:pPr>
              <w:pStyle w:val="BodyText"/>
              <w:rPr>
                <w:sz w:val="20"/>
                <w:lang w:val="en-GB"/>
              </w:rPr>
            </w:pPr>
            <w:r w:rsidRPr="00FD691A">
              <w:rPr>
                <w:sz w:val="20"/>
                <w:lang w:val="en-GB"/>
              </w:rPr>
              <w:t>$39.95</w:t>
            </w:r>
          </w:p>
        </w:tc>
        <w:tc>
          <w:tcPr>
            <w:tcW w:w="1043" w:type="dxa"/>
          </w:tcPr>
          <w:p w14:paraId="3B7BF89E" w14:textId="77777777" w:rsidR="003530A2" w:rsidRPr="00FD691A" w:rsidRDefault="003530A2" w:rsidP="003530A2">
            <w:pPr>
              <w:pStyle w:val="BodyText"/>
              <w:rPr>
                <w:sz w:val="20"/>
                <w:lang w:val="en-GB"/>
              </w:rPr>
            </w:pPr>
            <w:r w:rsidRPr="00FD691A">
              <w:rPr>
                <w:sz w:val="20"/>
                <w:lang w:val="en-GB"/>
              </w:rPr>
              <w:t>22,010</w:t>
            </w:r>
          </w:p>
        </w:tc>
        <w:tc>
          <w:tcPr>
            <w:tcW w:w="1066" w:type="dxa"/>
          </w:tcPr>
          <w:p w14:paraId="1DFD93B3" w14:textId="77777777" w:rsidR="003530A2" w:rsidRPr="00FD691A" w:rsidRDefault="003530A2" w:rsidP="003530A2">
            <w:pPr>
              <w:pStyle w:val="BodyText"/>
              <w:rPr>
                <w:sz w:val="20"/>
                <w:lang w:val="en-GB"/>
              </w:rPr>
            </w:pPr>
            <w:r w:rsidRPr="00FD691A">
              <w:rPr>
                <w:sz w:val="20"/>
                <w:lang w:val="en-GB"/>
              </w:rPr>
              <w:t>$745,570</w:t>
            </w:r>
          </w:p>
        </w:tc>
        <w:tc>
          <w:tcPr>
            <w:tcW w:w="1230" w:type="dxa"/>
          </w:tcPr>
          <w:p w14:paraId="24180CC0" w14:textId="77777777" w:rsidR="003530A2" w:rsidRPr="00FD691A" w:rsidRDefault="003530A2" w:rsidP="003530A2">
            <w:pPr>
              <w:pStyle w:val="BodyText"/>
              <w:rPr>
                <w:sz w:val="20"/>
                <w:lang w:val="en-GB"/>
              </w:rPr>
            </w:pPr>
            <w:r w:rsidRPr="00FD691A">
              <w:rPr>
                <w:sz w:val="20"/>
                <w:lang w:val="en-GB"/>
              </w:rPr>
              <w:t>8.2%</w:t>
            </w:r>
          </w:p>
        </w:tc>
      </w:tr>
    </w:tbl>
    <w:p w14:paraId="445A04D4" w14:textId="366F621C" w:rsidR="00C75FBD" w:rsidRPr="007C1C32" w:rsidRDefault="00C75FBD" w:rsidP="00AF11CA">
      <w:pPr>
        <w:pStyle w:val="03Tableundertext"/>
        <w:spacing w:after="0"/>
      </w:pPr>
      <w:r w:rsidRPr="0092015F">
        <w:rPr>
          <w:b/>
        </w:rPr>
        <w:t>Source: Department of Human Services, published data, date of processing.</w:t>
      </w:r>
    </w:p>
    <w:p w14:paraId="2FE7C091" w14:textId="44C65866"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68D34BAC" w14:textId="054FB00B" w:rsidR="003530A2" w:rsidRDefault="003530A2" w:rsidP="003530A2">
      <w:pPr>
        <w:pStyle w:val="BodyText"/>
      </w:pPr>
      <w:r>
        <w:t xml:space="preserve">The </w:t>
      </w:r>
      <w:r w:rsidR="006E47CC">
        <w:rPr>
          <w:lang w:val="en-US"/>
        </w:rPr>
        <w:t>Endocrinology Clinical Committee</w:t>
      </w:r>
      <w:r w:rsidR="00E5655B">
        <w:rPr>
          <w:lang w:val="en-US"/>
        </w:rPr>
        <w:t xml:space="preserve"> </w:t>
      </w:r>
      <w:r>
        <w:t>proposed the following:</w:t>
      </w:r>
    </w:p>
    <w:p w14:paraId="0D0AECE4" w14:textId="77777777" w:rsidR="00B01112" w:rsidRPr="003530A2" w:rsidRDefault="003530A2" w:rsidP="00965AE3">
      <w:pPr>
        <w:pStyle w:val="Bullet1"/>
      </w:pPr>
      <w:r w:rsidRPr="003530A2">
        <w:t>Leave these items unchanged.</w:t>
      </w:r>
    </w:p>
    <w:p w14:paraId="772E8D6A" w14:textId="77777777" w:rsidR="00A74C6B" w:rsidRPr="00DA4A23" w:rsidRDefault="00A74C6B" w:rsidP="00DA4A23">
      <w:pPr>
        <w:rPr>
          <w:b/>
        </w:rPr>
      </w:pPr>
      <w:bookmarkStart w:id="101" w:name="_Toc456613817"/>
      <w:bookmarkStart w:id="102" w:name="_Toc485295751"/>
      <w:bookmarkEnd w:id="61"/>
      <w:bookmarkEnd w:id="62"/>
      <w:r w:rsidRPr="00DA4A23">
        <w:rPr>
          <w:b/>
        </w:rPr>
        <w:t>Recommendation</w:t>
      </w:r>
      <w:bookmarkEnd w:id="101"/>
      <w:r w:rsidR="001A56B3" w:rsidRPr="00DA4A23">
        <w:rPr>
          <w:b/>
        </w:rPr>
        <w:t xml:space="preserve"> </w:t>
      </w:r>
      <w:r w:rsidR="003530A2" w:rsidRPr="00DA4A23">
        <w:rPr>
          <w:b/>
        </w:rPr>
        <w:t>12</w:t>
      </w:r>
      <w:bookmarkEnd w:id="102"/>
    </w:p>
    <w:p w14:paraId="4FF40A40" w14:textId="77777777" w:rsidR="003530A2" w:rsidRPr="0074694D" w:rsidRDefault="003530A2" w:rsidP="003530A2">
      <w:pPr>
        <w:pStyle w:val="BodyText"/>
      </w:pPr>
      <w:r w:rsidRPr="003530A2">
        <w:t xml:space="preserve">Quantitation of adrenal hormones will require review by the </w:t>
      </w:r>
      <w:r w:rsidR="003B3033">
        <w:t>Committee</w:t>
      </w:r>
      <w:r w:rsidRPr="003530A2">
        <w:t xml:space="preserve"> and has been put on the work plan. No recommendations are made at this time.</w:t>
      </w:r>
    </w:p>
    <w:p w14:paraId="31AD0BFE" w14:textId="77777777" w:rsidR="003530A2" w:rsidRDefault="003530A2" w:rsidP="003530A2">
      <w:pPr>
        <w:pStyle w:val="Heading2Report"/>
      </w:pPr>
      <w:bookmarkStart w:id="103" w:name="_Toc485295752"/>
      <w:bookmarkStart w:id="104" w:name="_Toc485296610"/>
      <w:r>
        <w:t>1, 25-dihydroxyvitamin D quantification: Items 66835–7</w:t>
      </w:r>
      <w:bookmarkEnd w:id="103"/>
      <w:bookmarkEnd w:id="104"/>
    </w:p>
    <w:p w14:paraId="56B1CAB1" w14:textId="77777777" w:rsidR="003530A2" w:rsidRPr="003530A2" w:rsidRDefault="003530A2" w:rsidP="003744BA">
      <w:pPr>
        <w:pStyle w:val="Caption"/>
      </w:pPr>
      <w:bookmarkStart w:id="105" w:name="_Toc472940509"/>
      <w:r>
        <w:t>Table 1</w:t>
      </w:r>
      <w:r w:rsidR="00AD6C1A">
        <w:t>7</w:t>
      </w:r>
      <w:r>
        <w:t>: Item introduction table for items 66835–7</w:t>
      </w:r>
      <w:bookmarkEnd w:id="10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28" w:type="dxa"/>
        </w:tblCellMar>
        <w:tblLook w:val="04A0" w:firstRow="1" w:lastRow="0" w:firstColumn="1" w:lastColumn="0" w:noHBand="0" w:noVBand="1"/>
        <w:tblCaption w:val="Item introduction table for items 66835–7"/>
        <w:tblDescription w:val="This is a table that contains Medicare Benefits Schedule data for items 66835–7, for the finanical year 2014–2015. The data includes total volume of services, benefits and services annual average growth."/>
      </w:tblPr>
      <w:tblGrid>
        <w:gridCol w:w="719"/>
        <w:gridCol w:w="4050"/>
        <w:gridCol w:w="925"/>
        <w:gridCol w:w="1072"/>
        <w:gridCol w:w="1072"/>
        <w:gridCol w:w="1178"/>
      </w:tblGrid>
      <w:tr w:rsidR="003530A2" w:rsidRPr="00FD691A" w14:paraId="43C5A8A7" w14:textId="77777777" w:rsidTr="00C75FBD">
        <w:trPr>
          <w:tblHeader/>
        </w:trPr>
        <w:tc>
          <w:tcPr>
            <w:tcW w:w="722" w:type="dxa"/>
            <w:shd w:val="clear" w:color="auto" w:fill="D9D9D9" w:themeFill="background1" w:themeFillShade="D9"/>
            <w:vAlign w:val="bottom"/>
          </w:tcPr>
          <w:p w14:paraId="7DB9C3B6" w14:textId="77777777" w:rsidR="003530A2" w:rsidRPr="00FD691A" w:rsidRDefault="003530A2" w:rsidP="003530A2">
            <w:pPr>
              <w:pStyle w:val="BodyText"/>
              <w:rPr>
                <w:b/>
                <w:sz w:val="20"/>
                <w:lang w:val="en-GB"/>
              </w:rPr>
            </w:pPr>
            <w:r w:rsidRPr="00FD691A">
              <w:rPr>
                <w:b/>
                <w:sz w:val="20"/>
                <w:lang w:val="en-GB"/>
              </w:rPr>
              <w:t>Item</w:t>
            </w:r>
          </w:p>
        </w:tc>
        <w:tc>
          <w:tcPr>
            <w:tcW w:w="4122" w:type="dxa"/>
            <w:shd w:val="clear" w:color="auto" w:fill="D9D9D9" w:themeFill="background1" w:themeFillShade="D9"/>
            <w:tcMar>
              <w:left w:w="57" w:type="dxa"/>
            </w:tcMar>
            <w:vAlign w:val="bottom"/>
          </w:tcPr>
          <w:p w14:paraId="5A960E08" w14:textId="77777777" w:rsidR="003530A2" w:rsidRPr="00FD691A" w:rsidRDefault="003530A2" w:rsidP="003530A2">
            <w:pPr>
              <w:pStyle w:val="BodyText"/>
              <w:rPr>
                <w:b/>
                <w:sz w:val="20"/>
                <w:lang w:val="en-GB"/>
              </w:rPr>
            </w:pPr>
            <w:r w:rsidRPr="00FD691A">
              <w:rPr>
                <w:b/>
                <w:sz w:val="20"/>
                <w:lang w:val="en-GB"/>
              </w:rPr>
              <w:t>Descriptor</w:t>
            </w:r>
          </w:p>
        </w:tc>
        <w:tc>
          <w:tcPr>
            <w:tcW w:w="927" w:type="dxa"/>
            <w:shd w:val="clear" w:color="auto" w:fill="D9D9D9" w:themeFill="background1" w:themeFillShade="D9"/>
            <w:vAlign w:val="bottom"/>
          </w:tcPr>
          <w:p w14:paraId="636B9A6E" w14:textId="46028065" w:rsidR="003530A2" w:rsidRPr="00FD691A" w:rsidRDefault="003530A2" w:rsidP="00C8275D">
            <w:pPr>
              <w:pStyle w:val="BodyText"/>
              <w:rPr>
                <w:b/>
                <w:sz w:val="20"/>
                <w:lang w:val="en-GB"/>
              </w:rPr>
            </w:pPr>
            <w:r w:rsidRPr="00FD691A">
              <w:rPr>
                <w:b/>
                <w:sz w:val="20"/>
                <w:lang w:val="en-GB"/>
              </w:rPr>
              <w:t>Schedul</w:t>
            </w:r>
            <w:r w:rsidR="00E5655B">
              <w:rPr>
                <w:b/>
                <w:sz w:val="20"/>
                <w:lang w:val="en-GB"/>
              </w:rPr>
              <w:t>e</w:t>
            </w:r>
            <w:r w:rsidR="00C8275D">
              <w:rPr>
                <w:b/>
                <w:sz w:val="20"/>
                <w:lang w:val="en-GB"/>
              </w:rPr>
              <w:t xml:space="preserve"> fe</w:t>
            </w:r>
            <w:r w:rsidRPr="00FD691A">
              <w:rPr>
                <w:b/>
                <w:sz w:val="20"/>
                <w:lang w:val="en-GB"/>
              </w:rPr>
              <w:t>e</w:t>
            </w:r>
          </w:p>
        </w:tc>
        <w:tc>
          <w:tcPr>
            <w:tcW w:w="1075" w:type="dxa"/>
            <w:shd w:val="clear" w:color="auto" w:fill="D9D9D9" w:themeFill="background1" w:themeFillShade="D9"/>
            <w:vAlign w:val="bottom"/>
          </w:tcPr>
          <w:p w14:paraId="32105EBB" w14:textId="77777777" w:rsidR="003530A2" w:rsidRPr="00FD691A" w:rsidRDefault="003530A2" w:rsidP="003530A2">
            <w:pPr>
              <w:pStyle w:val="BodyText"/>
              <w:rPr>
                <w:b/>
                <w:sz w:val="20"/>
                <w:lang w:val="en-GB"/>
              </w:rPr>
            </w:pPr>
            <w:r w:rsidRPr="00FD691A">
              <w:rPr>
                <w:b/>
                <w:sz w:val="20"/>
                <w:lang w:val="en-GB"/>
              </w:rPr>
              <w:t>Services FY2014/15</w:t>
            </w:r>
          </w:p>
        </w:tc>
        <w:tc>
          <w:tcPr>
            <w:tcW w:w="1075" w:type="dxa"/>
            <w:shd w:val="clear" w:color="auto" w:fill="D9D9D9" w:themeFill="background1" w:themeFillShade="D9"/>
            <w:vAlign w:val="bottom"/>
          </w:tcPr>
          <w:p w14:paraId="390EED92" w14:textId="77777777" w:rsidR="003530A2" w:rsidRPr="00FD691A" w:rsidRDefault="003530A2" w:rsidP="003530A2">
            <w:pPr>
              <w:pStyle w:val="BodyText"/>
              <w:rPr>
                <w:b/>
                <w:sz w:val="20"/>
                <w:lang w:val="en-GB"/>
              </w:rPr>
            </w:pPr>
            <w:r w:rsidRPr="00FD691A">
              <w:rPr>
                <w:b/>
                <w:sz w:val="20"/>
                <w:lang w:val="en-GB"/>
              </w:rPr>
              <w:t>Benefits FY2014/15</w:t>
            </w:r>
          </w:p>
        </w:tc>
        <w:tc>
          <w:tcPr>
            <w:tcW w:w="1190" w:type="dxa"/>
            <w:shd w:val="clear" w:color="auto" w:fill="D9D9D9" w:themeFill="background1" w:themeFillShade="D9"/>
            <w:vAlign w:val="bottom"/>
          </w:tcPr>
          <w:p w14:paraId="0CBCD861" w14:textId="2A0AA038" w:rsidR="003530A2" w:rsidRPr="00FD691A" w:rsidRDefault="003530A2" w:rsidP="00C8275D">
            <w:pPr>
              <w:pStyle w:val="BodyText"/>
              <w:rPr>
                <w:b/>
                <w:sz w:val="20"/>
                <w:lang w:val="en-GB"/>
              </w:rPr>
            </w:pPr>
            <w:r w:rsidRPr="00FD691A">
              <w:rPr>
                <w:b/>
                <w:sz w:val="20"/>
                <w:lang w:val="en-GB"/>
              </w:rPr>
              <w:t xml:space="preserve">Services </w:t>
            </w:r>
            <w:r w:rsidR="00C8275D" w:rsidRPr="00FD691A">
              <w:rPr>
                <w:b/>
                <w:sz w:val="20"/>
                <w:lang w:val="en-GB"/>
              </w:rPr>
              <w:t>5</w:t>
            </w:r>
            <w:r w:rsidR="00C8275D">
              <w:rPr>
                <w:b/>
                <w:sz w:val="20"/>
                <w:lang w:val="en-GB"/>
              </w:rPr>
              <w:t>-</w:t>
            </w:r>
            <w:r w:rsidRPr="00FD691A">
              <w:rPr>
                <w:b/>
                <w:sz w:val="20"/>
                <w:lang w:val="en-GB"/>
              </w:rPr>
              <w:t>year annual avg. growth</w:t>
            </w:r>
          </w:p>
        </w:tc>
      </w:tr>
      <w:tr w:rsidR="003530A2" w:rsidRPr="00FD691A" w14:paraId="619398AB" w14:textId="77777777" w:rsidTr="00C75FBD">
        <w:tc>
          <w:tcPr>
            <w:tcW w:w="722" w:type="dxa"/>
          </w:tcPr>
          <w:p w14:paraId="10E3D6FA" w14:textId="77777777" w:rsidR="003530A2" w:rsidRPr="00FD691A" w:rsidRDefault="003530A2" w:rsidP="003530A2">
            <w:pPr>
              <w:pStyle w:val="BodyText"/>
              <w:rPr>
                <w:sz w:val="20"/>
                <w:lang w:val="en-GB"/>
              </w:rPr>
            </w:pPr>
            <w:r w:rsidRPr="00FD691A">
              <w:rPr>
                <w:sz w:val="20"/>
                <w:lang w:val="en-GB"/>
              </w:rPr>
              <w:t>66835</w:t>
            </w:r>
          </w:p>
        </w:tc>
        <w:tc>
          <w:tcPr>
            <w:tcW w:w="4122" w:type="dxa"/>
            <w:tcMar>
              <w:left w:w="57" w:type="dxa"/>
            </w:tcMar>
          </w:tcPr>
          <w:p w14:paraId="0FBAF32A" w14:textId="77777777" w:rsidR="003530A2" w:rsidRPr="00FD691A" w:rsidRDefault="003530A2" w:rsidP="003530A2">
            <w:pPr>
              <w:pStyle w:val="BodyText"/>
              <w:rPr>
                <w:sz w:val="20"/>
                <w:lang w:val="en-GB"/>
              </w:rPr>
            </w:pPr>
            <w:r w:rsidRPr="00FD691A">
              <w:rPr>
                <w:sz w:val="20"/>
                <w:lang w:val="en-GB"/>
              </w:rPr>
              <w:t>1, 25-dihydroxyvitamin D – quantification in serum, if the request for the test is made by, or on advice of, the specialist or consultant physician managing the treatment of the patient. [2014]</w:t>
            </w:r>
          </w:p>
        </w:tc>
        <w:tc>
          <w:tcPr>
            <w:tcW w:w="927" w:type="dxa"/>
          </w:tcPr>
          <w:p w14:paraId="120F4A88" w14:textId="77777777" w:rsidR="003530A2" w:rsidRPr="00FD691A" w:rsidRDefault="003530A2" w:rsidP="003530A2">
            <w:pPr>
              <w:pStyle w:val="BodyText"/>
              <w:rPr>
                <w:sz w:val="20"/>
                <w:lang w:val="en-GB"/>
              </w:rPr>
            </w:pPr>
            <w:r w:rsidRPr="00FD691A">
              <w:rPr>
                <w:sz w:val="20"/>
                <w:lang w:val="en-GB"/>
              </w:rPr>
              <w:t>$ 39.05</w:t>
            </w:r>
          </w:p>
        </w:tc>
        <w:tc>
          <w:tcPr>
            <w:tcW w:w="1075" w:type="dxa"/>
          </w:tcPr>
          <w:p w14:paraId="6FAB06B0" w14:textId="74B14C6C" w:rsidR="003530A2" w:rsidRPr="00FD691A" w:rsidRDefault="003530A2" w:rsidP="00C8275D">
            <w:pPr>
              <w:pStyle w:val="BodyText"/>
              <w:rPr>
                <w:sz w:val="20"/>
                <w:lang w:val="en-GB"/>
              </w:rPr>
            </w:pPr>
            <w:r w:rsidRPr="00FD691A">
              <w:rPr>
                <w:sz w:val="20"/>
                <w:lang w:val="en-GB"/>
              </w:rPr>
              <w:t>7068</w:t>
            </w:r>
          </w:p>
        </w:tc>
        <w:tc>
          <w:tcPr>
            <w:tcW w:w="1075" w:type="dxa"/>
          </w:tcPr>
          <w:p w14:paraId="0F2C927D" w14:textId="77777777" w:rsidR="003530A2" w:rsidRPr="00FD691A" w:rsidRDefault="003530A2" w:rsidP="003530A2">
            <w:pPr>
              <w:pStyle w:val="BodyText"/>
              <w:rPr>
                <w:sz w:val="20"/>
                <w:lang w:val="en-GB"/>
              </w:rPr>
            </w:pPr>
            <w:r w:rsidRPr="00FD691A">
              <w:rPr>
                <w:sz w:val="20"/>
                <w:lang w:val="en-GB"/>
              </w:rPr>
              <w:t>$234,845</w:t>
            </w:r>
          </w:p>
        </w:tc>
        <w:tc>
          <w:tcPr>
            <w:tcW w:w="1190" w:type="dxa"/>
          </w:tcPr>
          <w:p w14:paraId="3BFC8553" w14:textId="77777777" w:rsidR="003530A2" w:rsidRPr="00FD691A" w:rsidRDefault="003530A2" w:rsidP="003530A2">
            <w:pPr>
              <w:pStyle w:val="BodyText"/>
              <w:rPr>
                <w:sz w:val="20"/>
                <w:lang w:val="en-GB"/>
              </w:rPr>
            </w:pPr>
            <w:r w:rsidRPr="00FD691A">
              <w:rPr>
                <w:sz w:val="20"/>
                <w:lang w:val="en-GB"/>
              </w:rPr>
              <w:t>N/A</w:t>
            </w:r>
          </w:p>
        </w:tc>
      </w:tr>
      <w:tr w:rsidR="003530A2" w:rsidRPr="00FD691A" w14:paraId="0B3C045E" w14:textId="77777777" w:rsidTr="00C75FBD">
        <w:tc>
          <w:tcPr>
            <w:tcW w:w="722" w:type="dxa"/>
          </w:tcPr>
          <w:p w14:paraId="7654B7F4" w14:textId="77777777" w:rsidR="003530A2" w:rsidRPr="00FD691A" w:rsidRDefault="003530A2" w:rsidP="003530A2">
            <w:pPr>
              <w:pStyle w:val="BodyText"/>
              <w:rPr>
                <w:sz w:val="20"/>
                <w:lang w:val="en-GB"/>
              </w:rPr>
            </w:pPr>
            <w:r w:rsidRPr="00FD691A">
              <w:rPr>
                <w:sz w:val="20"/>
                <w:lang w:val="en-GB"/>
              </w:rPr>
              <w:t>66836</w:t>
            </w:r>
          </w:p>
        </w:tc>
        <w:tc>
          <w:tcPr>
            <w:tcW w:w="4122" w:type="dxa"/>
            <w:tcMar>
              <w:left w:w="57" w:type="dxa"/>
            </w:tcMar>
          </w:tcPr>
          <w:p w14:paraId="2B21F1B2" w14:textId="3272BA2F" w:rsidR="003530A2" w:rsidRPr="00FD691A" w:rsidRDefault="003530A2" w:rsidP="00C8275D">
            <w:pPr>
              <w:pStyle w:val="BodyText"/>
              <w:rPr>
                <w:sz w:val="20"/>
                <w:lang w:val="en-GB"/>
              </w:rPr>
            </w:pPr>
            <w:r w:rsidRPr="00FD691A">
              <w:rPr>
                <w:sz w:val="20"/>
                <w:lang w:val="en-GB"/>
              </w:rPr>
              <w:t xml:space="preserve">1, 25-dihydroxyvitamin </w:t>
            </w:r>
            <w:r w:rsidR="00C8275D">
              <w:rPr>
                <w:sz w:val="20"/>
                <w:lang w:val="en-GB"/>
              </w:rPr>
              <w:t>D</w:t>
            </w:r>
            <w:r w:rsidR="00C8275D" w:rsidRPr="00FD691A">
              <w:rPr>
                <w:sz w:val="20"/>
                <w:lang w:val="en-GB"/>
              </w:rPr>
              <w:t xml:space="preserve"> </w:t>
            </w:r>
            <w:r w:rsidRPr="00FD691A">
              <w:rPr>
                <w:sz w:val="20"/>
                <w:lang w:val="en-GB"/>
              </w:rPr>
              <w:t>– quantification in serum, if: (a) the patient has hypercalcaemia; and (b) the request for the test is made by a general practitioner managing the treatment of the patient. [2014]</w:t>
            </w:r>
          </w:p>
        </w:tc>
        <w:tc>
          <w:tcPr>
            <w:tcW w:w="927" w:type="dxa"/>
          </w:tcPr>
          <w:p w14:paraId="5041FC6D" w14:textId="77777777" w:rsidR="003530A2" w:rsidRPr="00FD691A" w:rsidRDefault="003530A2" w:rsidP="003530A2">
            <w:pPr>
              <w:pStyle w:val="BodyText"/>
              <w:rPr>
                <w:sz w:val="20"/>
                <w:lang w:val="en-GB"/>
              </w:rPr>
            </w:pPr>
            <w:r w:rsidRPr="00FD691A">
              <w:rPr>
                <w:sz w:val="20"/>
                <w:lang w:val="en-GB"/>
              </w:rPr>
              <w:t>$ 39.05</w:t>
            </w:r>
          </w:p>
        </w:tc>
        <w:tc>
          <w:tcPr>
            <w:tcW w:w="1075" w:type="dxa"/>
          </w:tcPr>
          <w:p w14:paraId="0E7DB55F" w14:textId="77777777" w:rsidR="003530A2" w:rsidRPr="00FD691A" w:rsidRDefault="003530A2" w:rsidP="003530A2">
            <w:pPr>
              <w:pStyle w:val="BodyText"/>
              <w:rPr>
                <w:sz w:val="20"/>
                <w:lang w:val="en-GB"/>
              </w:rPr>
            </w:pPr>
            <w:r w:rsidRPr="00FD691A">
              <w:rPr>
                <w:sz w:val="20"/>
                <w:lang w:val="en-GB"/>
              </w:rPr>
              <w:t>67</w:t>
            </w:r>
          </w:p>
        </w:tc>
        <w:tc>
          <w:tcPr>
            <w:tcW w:w="1075" w:type="dxa"/>
          </w:tcPr>
          <w:p w14:paraId="07A3B3D7" w14:textId="77777777" w:rsidR="003530A2" w:rsidRPr="00FD691A" w:rsidRDefault="003530A2" w:rsidP="003530A2">
            <w:pPr>
              <w:pStyle w:val="BodyText"/>
              <w:rPr>
                <w:sz w:val="20"/>
                <w:lang w:val="en-GB"/>
              </w:rPr>
            </w:pPr>
            <w:r w:rsidRPr="00FD691A">
              <w:rPr>
                <w:sz w:val="20"/>
                <w:lang w:val="en-GB"/>
              </w:rPr>
              <w:t>$2,155</w:t>
            </w:r>
          </w:p>
        </w:tc>
        <w:tc>
          <w:tcPr>
            <w:tcW w:w="1190" w:type="dxa"/>
          </w:tcPr>
          <w:p w14:paraId="2E36E6AB" w14:textId="77777777" w:rsidR="003530A2" w:rsidRPr="00FD691A" w:rsidRDefault="003530A2" w:rsidP="003530A2">
            <w:pPr>
              <w:pStyle w:val="BodyText"/>
              <w:rPr>
                <w:sz w:val="20"/>
                <w:lang w:val="en-GB"/>
              </w:rPr>
            </w:pPr>
            <w:r w:rsidRPr="00FD691A">
              <w:rPr>
                <w:sz w:val="20"/>
                <w:lang w:val="en-GB"/>
              </w:rPr>
              <w:t>N/A</w:t>
            </w:r>
          </w:p>
        </w:tc>
      </w:tr>
      <w:tr w:rsidR="003530A2" w:rsidRPr="00FD691A" w14:paraId="08A7BC2C" w14:textId="77777777" w:rsidTr="00C75FBD">
        <w:tc>
          <w:tcPr>
            <w:tcW w:w="722" w:type="dxa"/>
          </w:tcPr>
          <w:p w14:paraId="18804040" w14:textId="77777777" w:rsidR="003530A2" w:rsidRPr="00FD691A" w:rsidRDefault="003530A2" w:rsidP="003530A2">
            <w:pPr>
              <w:pStyle w:val="BodyText"/>
              <w:rPr>
                <w:sz w:val="20"/>
                <w:lang w:val="en-GB"/>
              </w:rPr>
            </w:pPr>
            <w:r w:rsidRPr="00FD691A">
              <w:rPr>
                <w:sz w:val="20"/>
                <w:lang w:val="en-GB"/>
              </w:rPr>
              <w:t>66837</w:t>
            </w:r>
          </w:p>
        </w:tc>
        <w:tc>
          <w:tcPr>
            <w:tcW w:w="4122" w:type="dxa"/>
            <w:tcMar>
              <w:left w:w="57" w:type="dxa"/>
            </w:tcMar>
          </w:tcPr>
          <w:p w14:paraId="0B2D9046" w14:textId="37F1EFB8" w:rsidR="003530A2" w:rsidRPr="00FD691A" w:rsidRDefault="003530A2" w:rsidP="003530A2">
            <w:pPr>
              <w:pStyle w:val="BodyText"/>
              <w:rPr>
                <w:sz w:val="20"/>
                <w:lang w:val="en-GB"/>
              </w:rPr>
            </w:pPr>
            <w:r w:rsidRPr="00FD691A">
              <w:rPr>
                <w:sz w:val="20"/>
                <w:lang w:val="en-GB"/>
              </w:rPr>
              <w:t xml:space="preserve">A test described in item 66835 or 66836 if rendered by a receiving APP. (Item is subject to </w:t>
            </w:r>
            <w:r w:rsidR="00472D28">
              <w:rPr>
                <w:sz w:val="20"/>
                <w:lang w:val="en-GB"/>
              </w:rPr>
              <w:t>r</w:t>
            </w:r>
            <w:r w:rsidRPr="00FD691A">
              <w:rPr>
                <w:sz w:val="20"/>
                <w:lang w:val="en-GB"/>
              </w:rPr>
              <w:t>ule 18.) [2014]</w:t>
            </w:r>
          </w:p>
        </w:tc>
        <w:tc>
          <w:tcPr>
            <w:tcW w:w="927" w:type="dxa"/>
          </w:tcPr>
          <w:p w14:paraId="6E0489AB" w14:textId="77777777" w:rsidR="003530A2" w:rsidRPr="00FD691A" w:rsidRDefault="003530A2" w:rsidP="003530A2">
            <w:pPr>
              <w:pStyle w:val="BodyText"/>
              <w:rPr>
                <w:sz w:val="20"/>
                <w:lang w:val="en-GB"/>
              </w:rPr>
            </w:pPr>
            <w:r w:rsidRPr="00FD691A">
              <w:rPr>
                <w:sz w:val="20"/>
                <w:lang w:val="en-GB"/>
              </w:rPr>
              <w:t>$39.05</w:t>
            </w:r>
          </w:p>
        </w:tc>
        <w:tc>
          <w:tcPr>
            <w:tcW w:w="1075" w:type="dxa"/>
          </w:tcPr>
          <w:p w14:paraId="3F2266D3" w14:textId="77777777" w:rsidR="003530A2" w:rsidRPr="00FD691A" w:rsidRDefault="003530A2" w:rsidP="003530A2">
            <w:pPr>
              <w:pStyle w:val="BodyText"/>
              <w:rPr>
                <w:sz w:val="20"/>
                <w:lang w:val="en-GB"/>
              </w:rPr>
            </w:pPr>
            <w:r w:rsidRPr="00FD691A">
              <w:rPr>
                <w:sz w:val="20"/>
                <w:lang w:val="en-GB"/>
              </w:rPr>
              <w:t>997</w:t>
            </w:r>
          </w:p>
        </w:tc>
        <w:tc>
          <w:tcPr>
            <w:tcW w:w="1075" w:type="dxa"/>
          </w:tcPr>
          <w:p w14:paraId="25CF7051" w14:textId="77777777" w:rsidR="003530A2" w:rsidRPr="00FD691A" w:rsidRDefault="003530A2" w:rsidP="003530A2">
            <w:pPr>
              <w:pStyle w:val="BodyText"/>
              <w:rPr>
                <w:sz w:val="20"/>
                <w:lang w:val="en-GB"/>
              </w:rPr>
            </w:pPr>
            <w:r w:rsidRPr="00FD691A">
              <w:rPr>
                <w:sz w:val="20"/>
                <w:lang w:val="en-GB"/>
              </w:rPr>
              <w:t>$33,025</w:t>
            </w:r>
          </w:p>
        </w:tc>
        <w:tc>
          <w:tcPr>
            <w:tcW w:w="1190" w:type="dxa"/>
          </w:tcPr>
          <w:p w14:paraId="221487BA" w14:textId="77777777" w:rsidR="003530A2" w:rsidRPr="00FD691A" w:rsidRDefault="003530A2" w:rsidP="003530A2">
            <w:pPr>
              <w:pStyle w:val="BodyText"/>
              <w:rPr>
                <w:sz w:val="20"/>
                <w:lang w:val="en-GB"/>
              </w:rPr>
            </w:pPr>
            <w:r w:rsidRPr="00FD691A">
              <w:rPr>
                <w:sz w:val="20"/>
                <w:lang w:val="en-GB"/>
              </w:rPr>
              <w:t>N/A</w:t>
            </w:r>
          </w:p>
        </w:tc>
      </w:tr>
    </w:tbl>
    <w:p w14:paraId="6A139C6B" w14:textId="68DA2A39" w:rsidR="00C75FBD" w:rsidRPr="007C1C32" w:rsidRDefault="00C75FBD" w:rsidP="00AF11CA">
      <w:pPr>
        <w:pStyle w:val="03Tableundertext"/>
        <w:spacing w:after="0"/>
      </w:pPr>
      <w:r w:rsidRPr="0092015F">
        <w:rPr>
          <w:b/>
        </w:rPr>
        <w:t>Source: Department of Human Services, published data, date of processing.</w:t>
      </w:r>
    </w:p>
    <w:p w14:paraId="25EA900B" w14:textId="632D942B"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32A4C858" w14:textId="5CC71085" w:rsidR="003530A2" w:rsidRDefault="003530A2" w:rsidP="003530A2">
      <w:pPr>
        <w:pStyle w:val="BodyText"/>
      </w:pPr>
      <w:r>
        <w:t xml:space="preserve">The </w:t>
      </w:r>
      <w:r w:rsidR="006E47CC">
        <w:rPr>
          <w:lang w:val="en-US"/>
        </w:rPr>
        <w:t>Endocrinology Clinical Committee</w:t>
      </w:r>
      <w:r w:rsidR="00E5655B">
        <w:rPr>
          <w:lang w:val="en-US"/>
        </w:rPr>
        <w:t xml:space="preserve"> </w:t>
      </w:r>
      <w:r>
        <w:t>proposed the following:</w:t>
      </w:r>
    </w:p>
    <w:p w14:paraId="76A6A358" w14:textId="77777777" w:rsidR="003530A2" w:rsidRDefault="003530A2" w:rsidP="00965AE3">
      <w:pPr>
        <w:pStyle w:val="Bullet1"/>
      </w:pPr>
      <w:r w:rsidRPr="003530A2">
        <w:t>Leave these items unchanged.</w:t>
      </w:r>
    </w:p>
    <w:p w14:paraId="71D55CD4" w14:textId="77777777" w:rsidR="003530A2" w:rsidRPr="00DA4A23" w:rsidRDefault="003530A2" w:rsidP="00DA4A23">
      <w:pPr>
        <w:rPr>
          <w:b/>
        </w:rPr>
      </w:pPr>
      <w:bookmarkStart w:id="106" w:name="_Toc485295753"/>
      <w:r w:rsidRPr="00DA4A23">
        <w:rPr>
          <w:b/>
        </w:rPr>
        <w:t>Recommendation 13</w:t>
      </w:r>
      <w:bookmarkEnd w:id="106"/>
    </w:p>
    <w:p w14:paraId="21572695" w14:textId="68FB2A1A" w:rsidR="003530A2" w:rsidRDefault="001B36A2" w:rsidP="003530A2">
      <w:pPr>
        <w:pStyle w:val="BodyText"/>
      </w:pPr>
      <w:r>
        <w:t>T</w:t>
      </w:r>
      <w:r w:rsidR="003530A2" w:rsidRPr="003530A2">
        <w:t xml:space="preserve">he </w:t>
      </w:r>
      <w:r w:rsidR="00D17A1E" w:rsidRPr="00B84C4F">
        <w:rPr>
          <w:lang w:val="en-US"/>
        </w:rPr>
        <w:t xml:space="preserve">Pathology Clinical Committee </w:t>
      </w:r>
      <w:r w:rsidR="003530A2" w:rsidRPr="003530A2">
        <w:t>provides the foll</w:t>
      </w:r>
      <w:r w:rsidR="002B37F6">
        <w:t>owing advice and recommendation</w:t>
      </w:r>
      <w:r w:rsidR="003530A2">
        <w:t>.</w:t>
      </w:r>
    </w:p>
    <w:p w14:paraId="276FD575" w14:textId="07CD405B" w:rsidR="003530A2" w:rsidRDefault="003530A2" w:rsidP="00965AE3">
      <w:pPr>
        <w:pStyle w:val="Bullet1"/>
      </w:pPr>
      <w:r w:rsidRPr="003530A2">
        <w:t xml:space="preserve">The </w:t>
      </w:r>
      <w:r w:rsidR="001B36A2" w:rsidRPr="00B84C4F">
        <w:rPr>
          <w:lang w:val="en-US"/>
        </w:rPr>
        <w:t xml:space="preserve">Pathology Clinical </w:t>
      </w:r>
      <w:r w:rsidR="00D01B58" w:rsidRPr="00D01B58">
        <w:t>Committee</w:t>
      </w:r>
      <w:r w:rsidRPr="003530A2">
        <w:t xml:space="preserve"> supports the </w:t>
      </w:r>
      <w:r w:rsidR="006E47CC">
        <w:rPr>
          <w:lang w:val="en-US"/>
        </w:rPr>
        <w:t>Endocrinology Clinical Committee</w:t>
      </w:r>
      <w:r w:rsidR="00E5655B">
        <w:rPr>
          <w:lang w:val="en-US"/>
        </w:rPr>
        <w:t xml:space="preserve"> </w:t>
      </w:r>
      <w:r w:rsidRPr="003530A2">
        <w:t>proposal to leave these items unchanged.</w:t>
      </w:r>
    </w:p>
    <w:p w14:paraId="085CAD3E" w14:textId="77777777" w:rsidR="003530A2" w:rsidRPr="00DA4A23" w:rsidRDefault="003530A2" w:rsidP="00DA4A23">
      <w:pPr>
        <w:rPr>
          <w:b/>
        </w:rPr>
      </w:pPr>
      <w:bookmarkStart w:id="107" w:name="_Toc485295754"/>
      <w:r w:rsidRPr="00DA4A23">
        <w:rPr>
          <w:b/>
        </w:rPr>
        <w:t>Rationale 13</w:t>
      </w:r>
      <w:bookmarkEnd w:id="107"/>
    </w:p>
    <w:p w14:paraId="666EDECA" w14:textId="77777777" w:rsidR="003530A2" w:rsidRDefault="003530A2" w:rsidP="003530A2">
      <w:pPr>
        <w:pStyle w:val="BodyText"/>
      </w:pPr>
      <w:r w:rsidRPr="003530A2">
        <w:t>These items were recently reviewed and changed within the MBS Schedule; they do not require further revision at this stage.</w:t>
      </w:r>
    </w:p>
    <w:p w14:paraId="4665DF39" w14:textId="77777777" w:rsidR="003530A2" w:rsidRDefault="003530A2" w:rsidP="003530A2">
      <w:pPr>
        <w:pStyle w:val="Heading2Report"/>
      </w:pPr>
      <w:bookmarkStart w:id="108" w:name="_Toc485295755"/>
      <w:bookmarkStart w:id="109" w:name="_Toc485296611"/>
      <w:r>
        <w:t>Hormone and other tests: Item</w:t>
      </w:r>
      <w:r w:rsidR="005542A2">
        <w:t xml:space="preserve"> 66686</w:t>
      </w:r>
      <w:bookmarkEnd w:id="108"/>
      <w:bookmarkEnd w:id="109"/>
    </w:p>
    <w:p w14:paraId="4D316081" w14:textId="77777777" w:rsidR="005542A2" w:rsidRPr="005542A2" w:rsidRDefault="005542A2" w:rsidP="003744BA">
      <w:pPr>
        <w:pStyle w:val="Caption"/>
      </w:pPr>
      <w:bookmarkStart w:id="110" w:name="_Toc472940510"/>
      <w:r>
        <w:t>Table 1</w:t>
      </w:r>
      <w:r w:rsidR="00AD6C1A">
        <w:t>8</w:t>
      </w:r>
      <w:r>
        <w:t>: Item introduction table for item 66686</w:t>
      </w:r>
      <w:bookmarkEnd w:id="110"/>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 66686"/>
        <w:tblDescription w:val="This is a table that contains Medicare Benefits Schedule data for item 66686, for the finanical year 2014–2015. The data includes total volume of services, benefits and services annual average growth."/>
      </w:tblPr>
      <w:tblGrid>
        <w:gridCol w:w="2842"/>
        <w:gridCol w:w="6174"/>
      </w:tblGrid>
      <w:tr w:rsidR="005542A2" w:rsidRPr="00FD691A" w14:paraId="23682E5A" w14:textId="77777777" w:rsidTr="00175BCE">
        <w:trPr>
          <w:tblHeader/>
        </w:trPr>
        <w:tc>
          <w:tcPr>
            <w:tcW w:w="1576" w:type="pct"/>
            <w:shd w:val="clear" w:color="auto" w:fill="D9D9D9" w:themeFill="background1" w:themeFillShade="D9"/>
          </w:tcPr>
          <w:p w14:paraId="7A5003AF" w14:textId="77777777" w:rsidR="005542A2" w:rsidRPr="00FD691A" w:rsidRDefault="005542A2" w:rsidP="005542A2">
            <w:pPr>
              <w:pStyle w:val="BodyText"/>
              <w:rPr>
                <w:b/>
                <w:sz w:val="20"/>
                <w:lang w:val="en-GB"/>
              </w:rPr>
            </w:pPr>
            <w:r w:rsidRPr="00FD691A">
              <w:rPr>
                <w:b/>
                <w:sz w:val="20"/>
                <w:lang w:val="en-GB"/>
              </w:rPr>
              <w:t>Item number</w:t>
            </w:r>
          </w:p>
        </w:tc>
        <w:tc>
          <w:tcPr>
            <w:tcW w:w="3424" w:type="pct"/>
          </w:tcPr>
          <w:p w14:paraId="6AAA5412" w14:textId="77777777" w:rsidR="005542A2" w:rsidRPr="00FD691A" w:rsidRDefault="005542A2" w:rsidP="005542A2">
            <w:pPr>
              <w:pStyle w:val="BodyText"/>
              <w:rPr>
                <w:sz w:val="20"/>
                <w:lang w:val="en-GB"/>
              </w:rPr>
            </w:pPr>
            <w:r w:rsidRPr="00FD691A">
              <w:rPr>
                <w:sz w:val="20"/>
                <w:lang w:val="en-GB"/>
              </w:rPr>
              <w:t>66686</w:t>
            </w:r>
          </w:p>
        </w:tc>
      </w:tr>
      <w:tr w:rsidR="005542A2" w:rsidRPr="00FD691A" w14:paraId="0731A6AE" w14:textId="77777777" w:rsidTr="00175BCE">
        <w:trPr>
          <w:tblHeader/>
        </w:trPr>
        <w:tc>
          <w:tcPr>
            <w:tcW w:w="1576" w:type="pct"/>
            <w:shd w:val="clear" w:color="auto" w:fill="D9D9D9" w:themeFill="background1" w:themeFillShade="D9"/>
          </w:tcPr>
          <w:p w14:paraId="6EC6F72D" w14:textId="77777777" w:rsidR="005542A2" w:rsidRPr="00FD691A" w:rsidRDefault="005542A2" w:rsidP="005542A2">
            <w:pPr>
              <w:pStyle w:val="BodyText"/>
              <w:rPr>
                <w:b/>
                <w:sz w:val="20"/>
                <w:lang w:val="en-GB"/>
              </w:rPr>
            </w:pPr>
            <w:r w:rsidRPr="00FD691A">
              <w:rPr>
                <w:b/>
                <w:sz w:val="20"/>
                <w:lang w:val="en-GB"/>
              </w:rPr>
              <w:t>Descriptor [date last amended]</w:t>
            </w:r>
          </w:p>
        </w:tc>
        <w:tc>
          <w:tcPr>
            <w:tcW w:w="3424" w:type="pct"/>
          </w:tcPr>
          <w:p w14:paraId="62057A4C" w14:textId="77777777" w:rsidR="005542A2" w:rsidRPr="00FD691A" w:rsidRDefault="005542A2" w:rsidP="005542A2">
            <w:pPr>
              <w:pStyle w:val="BodyText"/>
              <w:rPr>
                <w:sz w:val="20"/>
                <w:lang w:val="en-GB"/>
              </w:rPr>
            </w:pPr>
            <w:r w:rsidRPr="00FD691A">
              <w:rPr>
                <w:sz w:val="20"/>
                <w:lang w:val="en-GB"/>
              </w:rPr>
              <w:t>Performance of 1 or more of the following procedures: (a) growth hormone suppression by glucose loading; (b) growth hormone stimulation by exercise; (c) dexamethasone suppression test; (d) sweat collection by iontophoresis for chloride analysis; (e) pharmacological stimulation of growth hormone. [1998]</w:t>
            </w:r>
          </w:p>
        </w:tc>
      </w:tr>
      <w:tr w:rsidR="00175BCE" w:rsidRPr="00FD691A" w14:paraId="4A953B77" w14:textId="77777777" w:rsidTr="00175BCE">
        <w:trPr>
          <w:tblHeader/>
        </w:trPr>
        <w:tc>
          <w:tcPr>
            <w:tcW w:w="1576" w:type="pct"/>
            <w:shd w:val="clear" w:color="auto" w:fill="D9D9D9" w:themeFill="background1" w:themeFillShade="D9"/>
          </w:tcPr>
          <w:p w14:paraId="16D4185C" w14:textId="77777777" w:rsidR="00175BCE" w:rsidRPr="00FD691A" w:rsidRDefault="00175BCE" w:rsidP="005542A2">
            <w:pPr>
              <w:pStyle w:val="BodyText"/>
              <w:rPr>
                <w:b/>
                <w:sz w:val="20"/>
                <w:lang w:val="en-GB"/>
              </w:rPr>
            </w:pPr>
            <w:r w:rsidRPr="00FD691A">
              <w:rPr>
                <w:b/>
                <w:sz w:val="20"/>
                <w:lang w:val="en-GB"/>
              </w:rPr>
              <w:t>Schedule fee</w:t>
            </w:r>
          </w:p>
        </w:tc>
        <w:tc>
          <w:tcPr>
            <w:tcW w:w="3424" w:type="pct"/>
          </w:tcPr>
          <w:p w14:paraId="61B74F45" w14:textId="77777777" w:rsidR="00175BCE" w:rsidRPr="00FD691A" w:rsidRDefault="00175BCE" w:rsidP="005542A2">
            <w:pPr>
              <w:pStyle w:val="BodyText"/>
              <w:rPr>
                <w:sz w:val="20"/>
                <w:lang w:val="en-GB"/>
              </w:rPr>
            </w:pPr>
            <w:r w:rsidRPr="00FD691A">
              <w:rPr>
                <w:sz w:val="20"/>
                <w:lang w:val="en-GB"/>
              </w:rPr>
              <w:t>$50.65</w:t>
            </w:r>
          </w:p>
        </w:tc>
      </w:tr>
      <w:tr w:rsidR="00175BCE" w:rsidRPr="00FD691A" w14:paraId="444BEF34" w14:textId="77777777" w:rsidTr="00175BCE">
        <w:trPr>
          <w:tblHeader/>
        </w:trPr>
        <w:tc>
          <w:tcPr>
            <w:tcW w:w="1576" w:type="pct"/>
            <w:shd w:val="clear" w:color="auto" w:fill="D9D9D9" w:themeFill="background1" w:themeFillShade="D9"/>
          </w:tcPr>
          <w:p w14:paraId="07EBDE17" w14:textId="203ED2BE" w:rsidR="00175BCE" w:rsidRPr="00FD691A" w:rsidRDefault="00175BCE" w:rsidP="005542A2">
            <w:pPr>
              <w:pStyle w:val="BodyText"/>
              <w:rPr>
                <w:b/>
                <w:sz w:val="20"/>
                <w:lang w:val="en-GB"/>
              </w:rPr>
            </w:pPr>
            <w:r w:rsidRPr="00FD691A">
              <w:rPr>
                <w:b/>
                <w:sz w:val="20"/>
                <w:lang w:val="en-GB"/>
              </w:rPr>
              <w:t>Volume of services FY2014/15</w:t>
            </w:r>
          </w:p>
        </w:tc>
        <w:tc>
          <w:tcPr>
            <w:tcW w:w="3424" w:type="pct"/>
          </w:tcPr>
          <w:p w14:paraId="7EB3C037" w14:textId="57E40B92" w:rsidR="00175BCE" w:rsidRPr="00FD691A" w:rsidRDefault="00175BCE" w:rsidP="005542A2">
            <w:pPr>
              <w:pStyle w:val="BodyText"/>
              <w:rPr>
                <w:sz w:val="20"/>
                <w:lang w:val="en-GB"/>
              </w:rPr>
            </w:pPr>
            <w:r w:rsidRPr="00FD691A">
              <w:rPr>
                <w:sz w:val="20"/>
                <w:lang w:val="en-GB"/>
              </w:rPr>
              <w:t>4</w:t>
            </w:r>
            <w:r>
              <w:rPr>
                <w:sz w:val="20"/>
                <w:lang w:val="en-GB"/>
              </w:rPr>
              <w:t>,</w:t>
            </w:r>
            <w:r w:rsidRPr="00FD691A">
              <w:rPr>
                <w:sz w:val="20"/>
                <w:lang w:val="en-GB"/>
              </w:rPr>
              <w:t>555</w:t>
            </w:r>
          </w:p>
        </w:tc>
      </w:tr>
      <w:tr w:rsidR="00175BCE" w:rsidRPr="00FD691A" w14:paraId="376A75F6" w14:textId="77777777" w:rsidTr="00175BCE">
        <w:trPr>
          <w:tblHeader/>
        </w:trPr>
        <w:tc>
          <w:tcPr>
            <w:tcW w:w="1576" w:type="pct"/>
            <w:shd w:val="clear" w:color="auto" w:fill="D9D9D9" w:themeFill="background1" w:themeFillShade="D9"/>
          </w:tcPr>
          <w:p w14:paraId="33FC5656" w14:textId="273CA208" w:rsidR="00175BCE" w:rsidRPr="00FD691A" w:rsidRDefault="00175BCE" w:rsidP="005542A2">
            <w:pPr>
              <w:pStyle w:val="BodyText"/>
              <w:rPr>
                <w:b/>
                <w:sz w:val="20"/>
                <w:lang w:val="en-GB"/>
              </w:rPr>
            </w:pPr>
            <w:r w:rsidRPr="00FD691A">
              <w:rPr>
                <w:b/>
                <w:sz w:val="20"/>
                <w:lang w:val="en-GB"/>
              </w:rPr>
              <w:t>Total benefits paid FY2014/15</w:t>
            </w:r>
          </w:p>
        </w:tc>
        <w:tc>
          <w:tcPr>
            <w:tcW w:w="3424" w:type="pct"/>
          </w:tcPr>
          <w:p w14:paraId="7288FF20" w14:textId="1D405CA3" w:rsidR="00175BCE" w:rsidRPr="00FD691A" w:rsidRDefault="00175BCE" w:rsidP="005542A2">
            <w:pPr>
              <w:pStyle w:val="BodyText"/>
              <w:rPr>
                <w:sz w:val="20"/>
                <w:lang w:val="en-GB"/>
              </w:rPr>
            </w:pPr>
            <w:r w:rsidRPr="00FD691A">
              <w:rPr>
                <w:sz w:val="20"/>
                <w:lang w:val="en-GB"/>
              </w:rPr>
              <w:t>$196,662</w:t>
            </w:r>
          </w:p>
        </w:tc>
      </w:tr>
      <w:tr w:rsidR="00175BCE" w:rsidRPr="00FD691A" w14:paraId="59F94B9D" w14:textId="77777777" w:rsidTr="00175BCE">
        <w:trPr>
          <w:tblHeader/>
        </w:trPr>
        <w:tc>
          <w:tcPr>
            <w:tcW w:w="1576" w:type="pct"/>
            <w:shd w:val="clear" w:color="auto" w:fill="D9D9D9" w:themeFill="background1" w:themeFillShade="D9"/>
          </w:tcPr>
          <w:p w14:paraId="02EFDDB8" w14:textId="088CF0CE" w:rsidR="00175BCE" w:rsidRPr="00FD691A" w:rsidRDefault="00175BCE" w:rsidP="005542A2">
            <w:pPr>
              <w:pStyle w:val="BodyText"/>
              <w:rPr>
                <w:b/>
                <w:sz w:val="20"/>
                <w:lang w:val="en-GB"/>
              </w:rPr>
            </w:pPr>
            <w:r w:rsidRPr="00FD691A">
              <w:rPr>
                <w:b/>
                <w:sz w:val="20"/>
                <w:lang w:val="en-GB"/>
              </w:rPr>
              <w:t>Services 5</w:t>
            </w:r>
            <w:r>
              <w:rPr>
                <w:b/>
                <w:sz w:val="20"/>
                <w:lang w:val="en-GB"/>
              </w:rPr>
              <w:t>-</w:t>
            </w:r>
            <w:r w:rsidRPr="00FD691A">
              <w:rPr>
                <w:b/>
                <w:sz w:val="20"/>
                <w:lang w:val="en-GB"/>
              </w:rPr>
              <w:t>year (FY2009/10–FY2014/15) annual average growth (CAGR)</w:t>
            </w:r>
          </w:p>
        </w:tc>
        <w:tc>
          <w:tcPr>
            <w:tcW w:w="3424" w:type="pct"/>
          </w:tcPr>
          <w:p w14:paraId="4719879A" w14:textId="7793DFF6" w:rsidR="00175BCE" w:rsidRPr="00FD691A" w:rsidRDefault="00175BCE" w:rsidP="005542A2">
            <w:pPr>
              <w:pStyle w:val="BodyText"/>
              <w:rPr>
                <w:sz w:val="20"/>
                <w:lang w:val="en-GB"/>
              </w:rPr>
            </w:pPr>
            <w:r w:rsidRPr="00FD691A">
              <w:rPr>
                <w:sz w:val="20"/>
                <w:lang w:val="en-GB"/>
              </w:rPr>
              <w:t>7.5%</w:t>
            </w:r>
          </w:p>
        </w:tc>
      </w:tr>
    </w:tbl>
    <w:p w14:paraId="1492B7B5" w14:textId="655F65C1" w:rsidR="00C75FBD" w:rsidRPr="007C1C32" w:rsidRDefault="00C75FBD" w:rsidP="00AF11CA">
      <w:pPr>
        <w:pStyle w:val="03Tableundertext"/>
        <w:spacing w:after="0"/>
      </w:pPr>
      <w:r w:rsidRPr="0092015F">
        <w:rPr>
          <w:b/>
        </w:rPr>
        <w:t>Source: Department of Human Services, published data, date of processing.</w:t>
      </w:r>
    </w:p>
    <w:p w14:paraId="2296E054" w14:textId="76AEA89C"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1128B156" w14:textId="2D5E8E81" w:rsidR="005542A2" w:rsidRDefault="005542A2" w:rsidP="005542A2">
      <w:pPr>
        <w:pStyle w:val="BodyText"/>
      </w:pPr>
      <w:r>
        <w:t xml:space="preserve">The </w:t>
      </w:r>
      <w:r w:rsidR="006E47CC">
        <w:rPr>
          <w:lang w:val="en-US"/>
        </w:rPr>
        <w:t>Endocrinology Clinical Committee</w:t>
      </w:r>
      <w:r w:rsidR="00E5655B">
        <w:rPr>
          <w:lang w:val="en-US"/>
        </w:rPr>
        <w:t xml:space="preserve"> </w:t>
      </w:r>
      <w:r>
        <w:t xml:space="preserve">proposed the </w:t>
      </w:r>
      <w:r w:rsidR="002B42C5">
        <w:t>followin</w:t>
      </w:r>
      <w:r>
        <w:t>g:</w:t>
      </w:r>
    </w:p>
    <w:p w14:paraId="6127FA45" w14:textId="77777777" w:rsidR="005542A2" w:rsidRPr="005542A2" w:rsidRDefault="005542A2" w:rsidP="00965AE3">
      <w:pPr>
        <w:pStyle w:val="Bullet1"/>
      </w:pPr>
      <w:r w:rsidRPr="005542A2">
        <w:t>Leave this item unchanged.</w:t>
      </w:r>
    </w:p>
    <w:p w14:paraId="55B91496" w14:textId="77777777" w:rsidR="005542A2" w:rsidRPr="00DA4A23" w:rsidRDefault="005542A2" w:rsidP="00DA4A23">
      <w:pPr>
        <w:rPr>
          <w:b/>
        </w:rPr>
      </w:pPr>
      <w:bookmarkStart w:id="111" w:name="_Toc485295756"/>
      <w:r w:rsidRPr="00DA4A23">
        <w:rPr>
          <w:b/>
        </w:rPr>
        <w:t>Recommendation 14</w:t>
      </w:r>
      <w:bookmarkEnd w:id="111"/>
    </w:p>
    <w:p w14:paraId="3857B16F" w14:textId="6BDCC554" w:rsidR="005542A2" w:rsidRDefault="001B36A2" w:rsidP="005542A2">
      <w:pPr>
        <w:pStyle w:val="BodyText"/>
      </w:pPr>
      <w:r>
        <w:t>T</w:t>
      </w:r>
      <w:r w:rsidR="005542A2" w:rsidRPr="005542A2">
        <w:t>he</w:t>
      </w:r>
      <w:r w:rsidR="00E05EB9">
        <w:t xml:space="preserve"> </w:t>
      </w:r>
      <w:r w:rsidR="00D17A1E" w:rsidRPr="00B84C4F">
        <w:rPr>
          <w:lang w:val="en-US"/>
        </w:rPr>
        <w:t xml:space="preserve">Pathology Clinical Committee </w:t>
      </w:r>
      <w:r w:rsidR="005542A2" w:rsidRPr="005542A2">
        <w:t>provides the foll</w:t>
      </w:r>
      <w:r w:rsidR="002B37F6">
        <w:t>owing advice and recommendation</w:t>
      </w:r>
      <w:r w:rsidR="005542A2" w:rsidRPr="005542A2">
        <w:t>.</w:t>
      </w:r>
    </w:p>
    <w:p w14:paraId="173EBB3B" w14:textId="3EE6CE77" w:rsidR="005542A2" w:rsidRPr="005542A2" w:rsidRDefault="005542A2" w:rsidP="00965AE3">
      <w:pPr>
        <w:pStyle w:val="Bullet1"/>
      </w:pPr>
      <w:r w:rsidRPr="005542A2">
        <w:t xml:space="preserve">The </w:t>
      </w:r>
      <w:r w:rsidR="001B36A2" w:rsidRPr="00B84C4F">
        <w:rPr>
          <w:lang w:val="en-US"/>
        </w:rPr>
        <w:t xml:space="preserve">Pathology Clinical </w:t>
      </w:r>
      <w:r w:rsidR="00D01B58" w:rsidRPr="00D01B58">
        <w:t>Committee</w:t>
      </w:r>
      <w:r w:rsidRPr="005542A2">
        <w:t xml:space="preserve"> supports the proposal to leave </w:t>
      </w:r>
      <w:r w:rsidR="002B42C5">
        <w:t xml:space="preserve">this </w:t>
      </w:r>
      <w:r w:rsidRPr="005542A2">
        <w:t>item unchanged.</w:t>
      </w:r>
    </w:p>
    <w:p w14:paraId="5CA179FC" w14:textId="77777777" w:rsidR="005542A2" w:rsidRPr="00DA4A23" w:rsidRDefault="005542A2" w:rsidP="00DA4A23">
      <w:pPr>
        <w:rPr>
          <w:b/>
        </w:rPr>
      </w:pPr>
      <w:bookmarkStart w:id="112" w:name="_Toc485295757"/>
      <w:r w:rsidRPr="00DA4A23">
        <w:rPr>
          <w:b/>
        </w:rPr>
        <w:t>Rationale 14</w:t>
      </w:r>
      <w:bookmarkEnd w:id="112"/>
    </w:p>
    <w:p w14:paraId="37BBB3B5" w14:textId="1E10CE31" w:rsidR="00C75FBD" w:rsidRDefault="005542A2" w:rsidP="00965AE3">
      <w:pPr>
        <w:pStyle w:val="Bullet1"/>
      </w:pPr>
      <w:r w:rsidRPr="005542A2">
        <w:t>This item contains an unrelated bundle of tests</w:t>
      </w:r>
      <w:r w:rsidR="00985B35">
        <w:t>;</w:t>
      </w:r>
      <w:r w:rsidR="00985B35" w:rsidRPr="005542A2">
        <w:t xml:space="preserve"> </w:t>
      </w:r>
      <w:r w:rsidRPr="005542A2">
        <w:t>these tests are required and should remain unchanged on the MBS.</w:t>
      </w:r>
    </w:p>
    <w:p w14:paraId="05C2EF4B" w14:textId="77777777" w:rsidR="00C75FBD" w:rsidRDefault="00C75FBD">
      <w:pPr>
        <w:spacing w:before="0" w:after="0" w:line="240" w:lineRule="auto"/>
      </w:pPr>
      <w:r>
        <w:br w:type="page"/>
      </w:r>
    </w:p>
    <w:p w14:paraId="1271427F" w14:textId="77777777" w:rsidR="003530A2" w:rsidRDefault="003530A2" w:rsidP="006E47CC">
      <w:pPr>
        <w:pStyle w:val="Bullet1"/>
        <w:numPr>
          <w:ilvl w:val="0"/>
          <w:numId w:val="0"/>
        </w:numPr>
        <w:ind w:left="714"/>
      </w:pPr>
    </w:p>
    <w:p w14:paraId="36E9F55B" w14:textId="77777777" w:rsidR="005542A2" w:rsidRDefault="005542A2" w:rsidP="005542A2">
      <w:pPr>
        <w:pStyle w:val="Heading2Report"/>
      </w:pPr>
      <w:bookmarkStart w:id="113" w:name="_Toc485295758"/>
      <w:bookmarkStart w:id="114" w:name="_Toc485296612"/>
      <w:r>
        <w:t xml:space="preserve">Quantification in saliva of </w:t>
      </w:r>
      <w:r w:rsidR="00031F39">
        <w:t>cortisol: Items 66711–2 and 66714–5</w:t>
      </w:r>
      <w:bookmarkEnd w:id="113"/>
      <w:bookmarkEnd w:id="114"/>
    </w:p>
    <w:p w14:paraId="48766C4A" w14:textId="3AC9A736" w:rsidR="00031F39" w:rsidRPr="00031F39" w:rsidRDefault="00031F39" w:rsidP="003744BA">
      <w:pPr>
        <w:pStyle w:val="Caption"/>
      </w:pPr>
      <w:bookmarkStart w:id="115" w:name="_Toc472940511"/>
      <w:r>
        <w:t>Table 1</w:t>
      </w:r>
      <w:r w:rsidR="00AD6C1A">
        <w:t>9</w:t>
      </w:r>
      <w:r>
        <w:t>: Item introduction table for items 6671</w:t>
      </w:r>
      <w:r w:rsidR="00985B35">
        <w:t>1</w:t>
      </w:r>
      <w:r>
        <w:t>–2 and 66714–5</w:t>
      </w:r>
      <w:bookmarkEnd w:id="115"/>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s 66711–2 and 66714–5"/>
        <w:tblDescription w:val="This is a table that contains Medicare Benefits Schedule data for items 66711–2 and 66714–5, for the finanical year 2014–2015. The data includes total volume of services, benefits and services annual average growth."/>
      </w:tblPr>
      <w:tblGrid>
        <w:gridCol w:w="714"/>
        <w:gridCol w:w="4058"/>
        <w:gridCol w:w="921"/>
        <w:gridCol w:w="1041"/>
        <w:gridCol w:w="1041"/>
        <w:gridCol w:w="1241"/>
      </w:tblGrid>
      <w:tr w:rsidR="00031F39" w:rsidRPr="00FD691A" w14:paraId="2F5E35D0" w14:textId="77777777" w:rsidTr="00C75FBD">
        <w:trPr>
          <w:tblHeader/>
        </w:trPr>
        <w:tc>
          <w:tcPr>
            <w:tcW w:w="716" w:type="dxa"/>
            <w:shd w:val="clear" w:color="auto" w:fill="D9D9D9" w:themeFill="background1" w:themeFillShade="D9"/>
            <w:vAlign w:val="bottom"/>
          </w:tcPr>
          <w:p w14:paraId="0225309F" w14:textId="77777777" w:rsidR="00031F39" w:rsidRPr="00FD691A" w:rsidRDefault="00031F39" w:rsidP="00031F39">
            <w:pPr>
              <w:pStyle w:val="BodyText"/>
              <w:rPr>
                <w:b/>
                <w:sz w:val="20"/>
                <w:lang w:val="en-GB"/>
              </w:rPr>
            </w:pPr>
            <w:r w:rsidRPr="00FD691A">
              <w:rPr>
                <w:b/>
                <w:sz w:val="20"/>
                <w:lang w:val="en-GB"/>
              </w:rPr>
              <w:t>Item</w:t>
            </w:r>
          </w:p>
        </w:tc>
        <w:tc>
          <w:tcPr>
            <w:tcW w:w="4107" w:type="dxa"/>
            <w:shd w:val="clear" w:color="auto" w:fill="D9D9D9" w:themeFill="background1" w:themeFillShade="D9"/>
            <w:vAlign w:val="bottom"/>
          </w:tcPr>
          <w:p w14:paraId="67C70027" w14:textId="77777777" w:rsidR="00031F39" w:rsidRPr="00FD691A" w:rsidRDefault="00031F39" w:rsidP="00031F39">
            <w:pPr>
              <w:pStyle w:val="BodyText"/>
              <w:rPr>
                <w:b/>
                <w:sz w:val="20"/>
                <w:lang w:val="en-GB"/>
              </w:rPr>
            </w:pPr>
            <w:r w:rsidRPr="00FD691A">
              <w:rPr>
                <w:b/>
                <w:sz w:val="20"/>
                <w:lang w:val="en-GB"/>
              </w:rPr>
              <w:t>Descriptor</w:t>
            </w:r>
          </w:p>
        </w:tc>
        <w:tc>
          <w:tcPr>
            <w:tcW w:w="923" w:type="dxa"/>
            <w:shd w:val="clear" w:color="auto" w:fill="D9D9D9" w:themeFill="background1" w:themeFillShade="D9"/>
            <w:vAlign w:val="bottom"/>
          </w:tcPr>
          <w:p w14:paraId="1FD304C3" w14:textId="0CBECAD4" w:rsidR="00031F39" w:rsidRPr="00FD691A" w:rsidRDefault="00031F39" w:rsidP="00031F39">
            <w:pPr>
              <w:pStyle w:val="BodyText"/>
              <w:rPr>
                <w:b/>
                <w:sz w:val="20"/>
                <w:lang w:val="en-GB"/>
              </w:rPr>
            </w:pPr>
            <w:r w:rsidRPr="00FD691A">
              <w:rPr>
                <w:b/>
                <w:sz w:val="20"/>
                <w:lang w:val="en-GB"/>
              </w:rPr>
              <w:t>Schedul</w:t>
            </w:r>
            <w:r w:rsidR="00852A26">
              <w:rPr>
                <w:b/>
                <w:sz w:val="20"/>
                <w:lang w:val="en-GB"/>
              </w:rPr>
              <w:t>e f</w:t>
            </w:r>
            <w:r w:rsidRPr="00FD691A">
              <w:rPr>
                <w:b/>
                <w:sz w:val="20"/>
                <w:lang w:val="en-GB"/>
              </w:rPr>
              <w:t>ee</w:t>
            </w:r>
          </w:p>
        </w:tc>
        <w:tc>
          <w:tcPr>
            <w:tcW w:w="1043" w:type="dxa"/>
            <w:shd w:val="clear" w:color="auto" w:fill="D9D9D9" w:themeFill="background1" w:themeFillShade="D9"/>
            <w:vAlign w:val="bottom"/>
          </w:tcPr>
          <w:p w14:paraId="7D6A7837" w14:textId="77777777" w:rsidR="00031F39" w:rsidRPr="00FD691A" w:rsidRDefault="00031F39" w:rsidP="00031F39">
            <w:pPr>
              <w:pStyle w:val="BodyText"/>
              <w:rPr>
                <w:b/>
                <w:sz w:val="20"/>
                <w:lang w:val="en-GB"/>
              </w:rPr>
            </w:pPr>
            <w:r w:rsidRPr="00FD691A">
              <w:rPr>
                <w:b/>
                <w:sz w:val="20"/>
                <w:lang w:val="en-GB"/>
              </w:rPr>
              <w:t>Services FY2014/15</w:t>
            </w:r>
          </w:p>
        </w:tc>
        <w:tc>
          <w:tcPr>
            <w:tcW w:w="1043" w:type="dxa"/>
            <w:shd w:val="clear" w:color="auto" w:fill="D9D9D9" w:themeFill="background1" w:themeFillShade="D9"/>
            <w:vAlign w:val="bottom"/>
          </w:tcPr>
          <w:p w14:paraId="7892CBD7" w14:textId="77777777" w:rsidR="00031F39" w:rsidRPr="00FD691A" w:rsidRDefault="00031F39" w:rsidP="00031F39">
            <w:pPr>
              <w:pStyle w:val="BodyText"/>
              <w:rPr>
                <w:b/>
                <w:sz w:val="20"/>
                <w:lang w:val="en-GB"/>
              </w:rPr>
            </w:pPr>
            <w:r w:rsidRPr="00FD691A">
              <w:rPr>
                <w:b/>
                <w:sz w:val="20"/>
                <w:lang w:val="en-GB"/>
              </w:rPr>
              <w:t>Benefits FY2014/15</w:t>
            </w:r>
          </w:p>
        </w:tc>
        <w:tc>
          <w:tcPr>
            <w:tcW w:w="1250" w:type="dxa"/>
            <w:shd w:val="clear" w:color="auto" w:fill="D9D9D9" w:themeFill="background1" w:themeFillShade="D9"/>
            <w:vAlign w:val="bottom"/>
          </w:tcPr>
          <w:p w14:paraId="32A2ECAB" w14:textId="0E77D759" w:rsidR="00031F39" w:rsidRPr="00FD691A" w:rsidRDefault="00031F39" w:rsidP="00852A26">
            <w:pPr>
              <w:pStyle w:val="BodyText"/>
              <w:rPr>
                <w:b/>
                <w:sz w:val="20"/>
                <w:lang w:val="en-GB"/>
              </w:rPr>
            </w:pPr>
            <w:r w:rsidRPr="00FD691A">
              <w:rPr>
                <w:b/>
                <w:sz w:val="20"/>
                <w:lang w:val="en-GB"/>
              </w:rPr>
              <w:t xml:space="preserve">Services </w:t>
            </w:r>
            <w:r w:rsidR="00852A26" w:rsidRPr="00FD691A">
              <w:rPr>
                <w:b/>
                <w:sz w:val="20"/>
                <w:lang w:val="en-GB"/>
              </w:rPr>
              <w:t>5</w:t>
            </w:r>
            <w:r w:rsidR="00852A26">
              <w:rPr>
                <w:b/>
                <w:sz w:val="20"/>
                <w:lang w:val="en-GB"/>
              </w:rPr>
              <w:t>-</w:t>
            </w:r>
            <w:r w:rsidRPr="00FD691A">
              <w:rPr>
                <w:b/>
                <w:sz w:val="20"/>
                <w:lang w:val="en-GB"/>
              </w:rPr>
              <w:t>year annual avg. growth</w:t>
            </w:r>
          </w:p>
        </w:tc>
      </w:tr>
      <w:tr w:rsidR="00031F39" w:rsidRPr="00FD691A" w14:paraId="1A322AD1" w14:textId="77777777" w:rsidTr="00C75FBD">
        <w:tc>
          <w:tcPr>
            <w:tcW w:w="716" w:type="dxa"/>
          </w:tcPr>
          <w:p w14:paraId="4C43304C" w14:textId="77777777" w:rsidR="00031F39" w:rsidRPr="00FD691A" w:rsidRDefault="00031F39" w:rsidP="00031F39">
            <w:pPr>
              <w:pStyle w:val="BodyText"/>
              <w:rPr>
                <w:sz w:val="20"/>
                <w:lang w:val="en-GB"/>
              </w:rPr>
            </w:pPr>
            <w:r w:rsidRPr="00FD691A">
              <w:rPr>
                <w:sz w:val="20"/>
                <w:lang w:val="en-GB"/>
              </w:rPr>
              <w:t>66711</w:t>
            </w:r>
          </w:p>
        </w:tc>
        <w:tc>
          <w:tcPr>
            <w:tcW w:w="4107" w:type="dxa"/>
          </w:tcPr>
          <w:p w14:paraId="48A0B53E" w14:textId="77777777" w:rsidR="00031F39" w:rsidRPr="00FD691A" w:rsidRDefault="00031F39" w:rsidP="00031F39">
            <w:pPr>
              <w:pStyle w:val="BodyText"/>
              <w:rPr>
                <w:sz w:val="20"/>
                <w:lang w:val="en-GB"/>
              </w:rPr>
            </w:pPr>
            <w:r w:rsidRPr="00FD691A">
              <w:rPr>
                <w:sz w:val="20"/>
                <w:lang w:val="en-GB"/>
              </w:rPr>
              <w:t>Quantitation in saliva of cortisol in: (a) the investigation of Cushing's syndrome; or (b) the management of children with congenital adrenal hyperplasia. (Item is subject to rule 6.) [2005]</w:t>
            </w:r>
          </w:p>
        </w:tc>
        <w:tc>
          <w:tcPr>
            <w:tcW w:w="923" w:type="dxa"/>
          </w:tcPr>
          <w:p w14:paraId="5855D900" w14:textId="77777777" w:rsidR="00031F39" w:rsidRPr="00FD691A" w:rsidRDefault="00031F39" w:rsidP="00031F39">
            <w:pPr>
              <w:pStyle w:val="BodyText"/>
              <w:rPr>
                <w:sz w:val="20"/>
                <w:lang w:val="en-GB"/>
              </w:rPr>
            </w:pPr>
            <w:r w:rsidRPr="00FD691A">
              <w:rPr>
                <w:sz w:val="20"/>
                <w:lang w:val="en-GB"/>
              </w:rPr>
              <w:t>$30.15</w:t>
            </w:r>
          </w:p>
        </w:tc>
        <w:tc>
          <w:tcPr>
            <w:tcW w:w="1043" w:type="dxa"/>
          </w:tcPr>
          <w:p w14:paraId="7072A7CB" w14:textId="65208C6B" w:rsidR="00031F39" w:rsidRPr="00FD691A" w:rsidRDefault="00031F39" w:rsidP="000F6378">
            <w:pPr>
              <w:pStyle w:val="BodyText"/>
              <w:rPr>
                <w:sz w:val="20"/>
                <w:lang w:val="en-GB"/>
              </w:rPr>
            </w:pPr>
            <w:r w:rsidRPr="00FD691A">
              <w:rPr>
                <w:sz w:val="20"/>
                <w:lang w:val="en-GB"/>
              </w:rPr>
              <w:t>2286</w:t>
            </w:r>
          </w:p>
        </w:tc>
        <w:tc>
          <w:tcPr>
            <w:tcW w:w="1043" w:type="dxa"/>
          </w:tcPr>
          <w:p w14:paraId="799C0BEE" w14:textId="77777777" w:rsidR="00031F39" w:rsidRPr="00FD691A" w:rsidRDefault="00031F39" w:rsidP="00031F39">
            <w:pPr>
              <w:pStyle w:val="BodyText"/>
              <w:rPr>
                <w:sz w:val="20"/>
                <w:lang w:val="en-GB"/>
              </w:rPr>
            </w:pPr>
            <w:r w:rsidRPr="00FD691A">
              <w:rPr>
                <w:sz w:val="20"/>
                <w:lang w:val="en-GB"/>
              </w:rPr>
              <w:t>$59,115</w:t>
            </w:r>
          </w:p>
        </w:tc>
        <w:tc>
          <w:tcPr>
            <w:tcW w:w="1250" w:type="dxa"/>
          </w:tcPr>
          <w:p w14:paraId="7282ACF5" w14:textId="77777777" w:rsidR="00031F39" w:rsidRPr="00FD691A" w:rsidRDefault="00031F39" w:rsidP="00031F39">
            <w:pPr>
              <w:pStyle w:val="BodyText"/>
              <w:rPr>
                <w:sz w:val="20"/>
                <w:lang w:val="en-GB"/>
              </w:rPr>
            </w:pPr>
            <w:r w:rsidRPr="00FD691A">
              <w:rPr>
                <w:sz w:val="20"/>
                <w:lang w:val="en-GB"/>
              </w:rPr>
              <w:t>58.9%</w:t>
            </w:r>
          </w:p>
        </w:tc>
      </w:tr>
      <w:tr w:rsidR="00031F39" w:rsidRPr="00FD691A" w14:paraId="3CE124B9" w14:textId="77777777" w:rsidTr="00C75FBD">
        <w:tc>
          <w:tcPr>
            <w:tcW w:w="716" w:type="dxa"/>
          </w:tcPr>
          <w:p w14:paraId="11A1587D" w14:textId="77777777" w:rsidR="00031F39" w:rsidRPr="00FD691A" w:rsidRDefault="00031F39" w:rsidP="00031F39">
            <w:pPr>
              <w:pStyle w:val="BodyText"/>
              <w:rPr>
                <w:sz w:val="20"/>
                <w:lang w:val="en-GB"/>
              </w:rPr>
            </w:pPr>
            <w:r w:rsidRPr="00FD691A">
              <w:rPr>
                <w:sz w:val="20"/>
                <w:lang w:val="en-GB"/>
              </w:rPr>
              <w:t>66712</w:t>
            </w:r>
          </w:p>
        </w:tc>
        <w:tc>
          <w:tcPr>
            <w:tcW w:w="4107" w:type="dxa"/>
          </w:tcPr>
          <w:p w14:paraId="75CC6E9A" w14:textId="77777777" w:rsidR="00031F39" w:rsidRPr="00FD691A" w:rsidRDefault="00031F39" w:rsidP="00031F39">
            <w:pPr>
              <w:pStyle w:val="BodyText"/>
              <w:rPr>
                <w:sz w:val="20"/>
                <w:lang w:val="en-GB"/>
              </w:rPr>
            </w:pPr>
            <w:r w:rsidRPr="00FD691A">
              <w:rPr>
                <w:sz w:val="20"/>
                <w:lang w:val="en-GB"/>
              </w:rPr>
              <w:t>Two tests described in item 66711. (Item is subject to rule 6.) [2005]</w:t>
            </w:r>
          </w:p>
        </w:tc>
        <w:tc>
          <w:tcPr>
            <w:tcW w:w="923" w:type="dxa"/>
          </w:tcPr>
          <w:p w14:paraId="3EBBF6D1" w14:textId="77777777" w:rsidR="00031F39" w:rsidRPr="00FD691A" w:rsidRDefault="00031F39" w:rsidP="00031F39">
            <w:pPr>
              <w:pStyle w:val="BodyText"/>
              <w:rPr>
                <w:sz w:val="20"/>
                <w:lang w:val="en-GB"/>
              </w:rPr>
            </w:pPr>
            <w:r w:rsidRPr="00FD691A">
              <w:rPr>
                <w:sz w:val="20"/>
                <w:lang w:val="en-GB"/>
              </w:rPr>
              <w:t>$43.05</w:t>
            </w:r>
          </w:p>
        </w:tc>
        <w:tc>
          <w:tcPr>
            <w:tcW w:w="1043" w:type="dxa"/>
          </w:tcPr>
          <w:p w14:paraId="4BF886EB" w14:textId="77777777" w:rsidR="00031F39" w:rsidRPr="00FD691A" w:rsidRDefault="00031F39" w:rsidP="00031F39">
            <w:pPr>
              <w:pStyle w:val="BodyText"/>
              <w:rPr>
                <w:sz w:val="20"/>
                <w:lang w:val="en-GB"/>
              </w:rPr>
            </w:pPr>
            <w:r w:rsidRPr="00FD691A">
              <w:rPr>
                <w:sz w:val="20"/>
                <w:lang w:val="en-GB"/>
              </w:rPr>
              <w:t>201</w:t>
            </w:r>
          </w:p>
        </w:tc>
        <w:tc>
          <w:tcPr>
            <w:tcW w:w="1043" w:type="dxa"/>
          </w:tcPr>
          <w:p w14:paraId="185CBACB" w14:textId="77777777" w:rsidR="00031F39" w:rsidRPr="00FD691A" w:rsidRDefault="00031F39" w:rsidP="00031F39">
            <w:pPr>
              <w:pStyle w:val="BodyText"/>
              <w:rPr>
                <w:sz w:val="20"/>
                <w:lang w:val="en-GB"/>
              </w:rPr>
            </w:pPr>
            <w:r w:rsidRPr="00FD691A">
              <w:rPr>
                <w:sz w:val="20"/>
                <w:lang w:val="en-GB"/>
              </w:rPr>
              <w:t>$7,330</w:t>
            </w:r>
          </w:p>
        </w:tc>
        <w:tc>
          <w:tcPr>
            <w:tcW w:w="1250" w:type="dxa"/>
          </w:tcPr>
          <w:p w14:paraId="3876B3EC" w14:textId="77777777" w:rsidR="00031F39" w:rsidRPr="00FD691A" w:rsidRDefault="00031F39" w:rsidP="00031F39">
            <w:pPr>
              <w:pStyle w:val="BodyText"/>
              <w:rPr>
                <w:sz w:val="20"/>
                <w:lang w:val="en-GB"/>
              </w:rPr>
            </w:pPr>
            <w:r w:rsidRPr="00FD691A">
              <w:rPr>
                <w:sz w:val="20"/>
                <w:lang w:val="en-GB"/>
              </w:rPr>
              <w:t>13.9%</w:t>
            </w:r>
          </w:p>
        </w:tc>
      </w:tr>
      <w:tr w:rsidR="00031F39" w:rsidRPr="00FD691A" w14:paraId="0719A1FF" w14:textId="77777777" w:rsidTr="00C75FBD">
        <w:tc>
          <w:tcPr>
            <w:tcW w:w="716" w:type="dxa"/>
          </w:tcPr>
          <w:p w14:paraId="244AABB2" w14:textId="77777777" w:rsidR="00031F39" w:rsidRPr="00FD691A" w:rsidRDefault="00031F39" w:rsidP="00031F39">
            <w:pPr>
              <w:pStyle w:val="BodyText"/>
              <w:rPr>
                <w:sz w:val="20"/>
                <w:lang w:val="en-GB"/>
              </w:rPr>
            </w:pPr>
            <w:r w:rsidRPr="00FD691A">
              <w:rPr>
                <w:sz w:val="20"/>
                <w:lang w:val="en-GB"/>
              </w:rPr>
              <w:t>66714</w:t>
            </w:r>
          </w:p>
        </w:tc>
        <w:tc>
          <w:tcPr>
            <w:tcW w:w="4107" w:type="dxa"/>
          </w:tcPr>
          <w:p w14:paraId="5FA98103" w14:textId="77777777" w:rsidR="00031F39" w:rsidRPr="00FD691A" w:rsidRDefault="00031F39" w:rsidP="00031F39">
            <w:pPr>
              <w:pStyle w:val="BodyText"/>
              <w:rPr>
                <w:sz w:val="20"/>
                <w:lang w:val="en-GB"/>
              </w:rPr>
            </w:pPr>
            <w:r w:rsidRPr="00FD691A">
              <w:rPr>
                <w:sz w:val="20"/>
                <w:lang w:val="en-GB"/>
              </w:rPr>
              <w:t>A test described in item 66711, if rendered by a receiving APP, where no tests in the item have been rendered by the referring APP. (Item is subject to rule 6 and 18.) [2007]</w:t>
            </w:r>
          </w:p>
        </w:tc>
        <w:tc>
          <w:tcPr>
            <w:tcW w:w="923" w:type="dxa"/>
          </w:tcPr>
          <w:p w14:paraId="04C73685" w14:textId="77777777" w:rsidR="00031F39" w:rsidRPr="00FD691A" w:rsidRDefault="00031F39" w:rsidP="00031F39">
            <w:pPr>
              <w:pStyle w:val="BodyText"/>
              <w:rPr>
                <w:sz w:val="20"/>
                <w:lang w:val="en-GB"/>
              </w:rPr>
            </w:pPr>
            <w:r w:rsidRPr="00FD691A">
              <w:rPr>
                <w:sz w:val="20"/>
                <w:lang w:val="en-GB"/>
              </w:rPr>
              <w:t>$30.15</w:t>
            </w:r>
          </w:p>
        </w:tc>
        <w:tc>
          <w:tcPr>
            <w:tcW w:w="1043" w:type="dxa"/>
          </w:tcPr>
          <w:p w14:paraId="69834B67" w14:textId="77777777" w:rsidR="00031F39" w:rsidRPr="00FD691A" w:rsidRDefault="00031F39" w:rsidP="00031F39">
            <w:pPr>
              <w:pStyle w:val="BodyText"/>
              <w:rPr>
                <w:sz w:val="20"/>
                <w:lang w:val="en-GB"/>
              </w:rPr>
            </w:pPr>
            <w:r w:rsidRPr="00FD691A">
              <w:rPr>
                <w:sz w:val="20"/>
                <w:lang w:val="en-GB"/>
              </w:rPr>
              <w:t>194</w:t>
            </w:r>
          </w:p>
        </w:tc>
        <w:tc>
          <w:tcPr>
            <w:tcW w:w="1043" w:type="dxa"/>
          </w:tcPr>
          <w:p w14:paraId="6CF0AC5F" w14:textId="77777777" w:rsidR="00031F39" w:rsidRPr="00FD691A" w:rsidRDefault="00031F39" w:rsidP="00031F39">
            <w:pPr>
              <w:pStyle w:val="BodyText"/>
              <w:rPr>
                <w:sz w:val="20"/>
                <w:lang w:val="en-GB"/>
              </w:rPr>
            </w:pPr>
            <w:r w:rsidRPr="00FD691A">
              <w:rPr>
                <w:sz w:val="20"/>
                <w:lang w:val="en-GB"/>
              </w:rPr>
              <w:t>$4,967</w:t>
            </w:r>
          </w:p>
        </w:tc>
        <w:tc>
          <w:tcPr>
            <w:tcW w:w="1250" w:type="dxa"/>
          </w:tcPr>
          <w:p w14:paraId="68119F50" w14:textId="77777777" w:rsidR="00031F39" w:rsidRPr="00FD691A" w:rsidRDefault="00031F39" w:rsidP="00031F39">
            <w:pPr>
              <w:pStyle w:val="BodyText"/>
              <w:rPr>
                <w:sz w:val="20"/>
                <w:lang w:val="en-GB"/>
              </w:rPr>
            </w:pPr>
            <w:r w:rsidRPr="00FD691A">
              <w:rPr>
                <w:sz w:val="20"/>
                <w:lang w:val="en-GB"/>
              </w:rPr>
              <w:t>62.7%</w:t>
            </w:r>
          </w:p>
        </w:tc>
      </w:tr>
      <w:tr w:rsidR="00031F39" w:rsidRPr="00FD691A" w14:paraId="7945E191" w14:textId="77777777" w:rsidTr="00C75FBD">
        <w:tc>
          <w:tcPr>
            <w:tcW w:w="716" w:type="dxa"/>
          </w:tcPr>
          <w:p w14:paraId="7D68769F" w14:textId="77777777" w:rsidR="00031F39" w:rsidRPr="00FD691A" w:rsidRDefault="00031F39" w:rsidP="00031F39">
            <w:pPr>
              <w:pStyle w:val="BodyText"/>
              <w:rPr>
                <w:sz w:val="20"/>
                <w:lang w:val="en-GB"/>
              </w:rPr>
            </w:pPr>
            <w:r w:rsidRPr="00FD691A">
              <w:rPr>
                <w:sz w:val="20"/>
                <w:lang w:val="en-GB"/>
              </w:rPr>
              <w:t>66715</w:t>
            </w:r>
          </w:p>
        </w:tc>
        <w:tc>
          <w:tcPr>
            <w:tcW w:w="4107" w:type="dxa"/>
          </w:tcPr>
          <w:p w14:paraId="2B9B9A70" w14:textId="77777777" w:rsidR="00031F39" w:rsidRPr="00FD691A" w:rsidRDefault="00031F39" w:rsidP="00031F39">
            <w:pPr>
              <w:pStyle w:val="BodyText"/>
              <w:rPr>
                <w:sz w:val="20"/>
                <w:lang w:val="en-GB"/>
              </w:rPr>
            </w:pPr>
            <w:r w:rsidRPr="00FD691A">
              <w:rPr>
                <w:sz w:val="20"/>
                <w:lang w:val="en-GB"/>
              </w:rPr>
              <w:t>Tests described in item 66711, other than that described in 66714, if rendered by a receiving APP, each test to a maximum of 1 test. (Item is subject to rule 6 and 18.) [2007]</w:t>
            </w:r>
          </w:p>
        </w:tc>
        <w:tc>
          <w:tcPr>
            <w:tcW w:w="923" w:type="dxa"/>
          </w:tcPr>
          <w:p w14:paraId="0B808B17" w14:textId="77777777" w:rsidR="00031F39" w:rsidRPr="00FD691A" w:rsidRDefault="00031F39" w:rsidP="00031F39">
            <w:pPr>
              <w:pStyle w:val="BodyText"/>
              <w:rPr>
                <w:sz w:val="20"/>
                <w:lang w:val="en-GB"/>
              </w:rPr>
            </w:pPr>
            <w:r w:rsidRPr="00FD691A">
              <w:rPr>
                <w:sz w:val="20"/>
                <w:lang w:val="en-GB"/>
              </w:rPr>
              <w:t>$12.85</w:t>
            </w:r>
          </w:p>
        </w:tc>
        <w:tc>
          <w:tcPr>
            <w:tcW w:w="1043" w:type="dxa"/>
          </w:tcPr>
          <w:p w14:paraId="5D64A102" w14:textId="77777777" w:rsidR="00031F39" w:rsidRPr="00FD691A" w:rsidRDefault="00031F39" w:rsidP="00031F39">
            <w:pPr>
              <w:pStyle w:val="BodyText"/>
              <w:rPr>
                <w:sz w:val="20"/>
                <w:lang w:val="en-GB"/>
              </w:rPr>
            </w:pPr>
            <w:r w:rsidRPr="00FD691A">
              <w:rPr>
                <w:sz w:val="20"/>
                <w:lang w:val="en-GB"/>
              </w:rPr>
              <w:t>151</w:t>
            </w:r>
          </w:p>
        </w:tc>
        <w:tc>
          <w:tcPr>
            <w:tcW w:w="1043" w:type="dxa"/>
          </w:tcPr>
          <w:p w14:paraId="7881B7A5" w14:textId="77777777" w:rsidR="00031F39" w:rsidRPr="00FD691A" w:rsidRDefault="00031F39" w:rsidP="00031F39">
            <w:pPr>
              <w:pStyle w:val="BodyText"/>
              <w:rPr>
                <w:sz w:val="20"/>
                <w:lang w:val="en-GB"/>
              </w:rPr>
            </w:pPr>
            <w:r w:rsidRPr="00FD691A">
              <w:rPr>
                <w:sz w:val="20"/>
                <w:lang w:val="en-GB"/>
              </w:rPr>
              <w:t>$1,720</w:t>
            </w:r>
          </w:p>
        </w:tc>
        <w:tc>
          <w:tcPr>
            <w:tcW w:w="1250" w:type="dxa"/>
          </w:tcPr>
          <w:p w14:paraId="236F20B1" w14:textId="77777777" w:rsidR="00031F39" w:rsidRPr="00FD691A" w:rsidRDefault="00031F39" w:rsidP="00031F39">
            <w:pPr>
              <w:pStyle w:val="BodyText"/>
              <w:rPr>
                <w:sz w:val="20"/>
                <w:lang w:val="en-GB"/>
              </w:rPr>
            </w:pPr>
            <w:r w:rsidRPr="00FD691A">
              <w:rPr>
                <w:sz w:val="20"/>
                <w:lang w:val="en-GB"/>
              </w:rPr>
              <w:t>2.0%</w:t>
            </w:r>
          </w:p>
        </w:tc>
      </w:tr>
    </w:tbl>
    <w:p w14:paraId="2262BA48" w14:textId="1D3EAFE8" w:rsidR="00C75FBD" w:rsidRPr="007C1C32" w:rsidRDefault="00C75FBD" w:rsidP="00AF11CA">
      <w:pPr>
        <w:pStyle w:val="03Tableundertext"/>
        <w:spacing w:after="0"/>
      </w:pPr>
      <w:r w:rsidRPr="0092015F">
        <w:rPr>
          <w:b/>
        </w:rPr>
        <w:t>Source: Department of Human Services, published data, date of processing.</w:t>
      </w:r>
    </w:p>
    <w:p w14:paraId="08EB6B85" w14:textId="78079BF1" w:rsidR="007C00E1" w:rsidRPr="00DA4A23" w:rsidRDefault="00240E05" w:rsidP="00DA4A23">
      <w:pPr>
        <w:rPr>
          <w:b/>
        </w:rPr>
      </w:pPr>
      <w:r w:rsidRPr="00DA4A23">
        <w:rPr>
          <w:b/>
        </w:rPr>
        <w:t xml:space="preserve">Advice from </w:t>
      </w:r>
      <w:r w:rsidR="004F7273" w:rsidRPr="00DA4A23">
        <w:rPr>
          <w:b/>
        </w:rPr>
        <w:t>Endocrinology</w:t>
      </w:r>
      <w:r w:rsidR="006E47CC" w:rsidRPr="00DA4A23">
        <w:rPr>
          <w:b/>
        </w:rPr>
        <w:t xml:space="preserve"> Clinical Committee</w:t>
      </w:r>
    </w:p>
    <w:p w14:paraId="4A8879E6" w14:textId="39C648E7" w:rsidR="00031F39" w:rsidRDefault="00031F39" w:rsidP="00031F39">
      <w:pPr>
        <w:pStyle w:val="BodyText"/>
      </w:pPr>
      <w:r>
        <w:t xml:space="preserve">The </w:t>
      </w:r>
      <w:r w:rsidR="006E47CC">
        <w:rPr>
          <w:lang w:val="en-US"/>
        </w:rPr>
        <w:t>Endocrinology Clinical Committee</w:t>
      </w:r>
      <w:r w:rsidR="00E5655B">
        <w:rPr>
          <w:lang w:val="en-US"/>
        </w:rPr>
        <w:t xml:space="preserve"> </w:t>
      </w:r>
      <w:r>
        <w:t>proposed the following:</w:t>
      </w:r>
    </w:p>
    <w:p w14:paraId="70B94950" w14:textId="77777777" w:rsidR="00031F39" w:rsidRDefault="00031F39" w:rsidP="00965AE3">
      <w:pPr>
        <w:pStyle w:val="Bullet1"/>
      </w:pPr>
      <w:r>
        <w:t>Leave these items unchanged.</w:t>
      </w:r>
    </w:p>
    <w:p w14:paraId="0F3E7D53" w14:textId="77777777" w:rsidR="00031F39" w:rsidRPr="00DA4A23" w:rsidRDefault="00031F39" w:rsidP="00DA4A23">
      <w:pPr>
        <w:rPr>
          <w:b/>
        </w:rPr>
      </w:pPr>
      <w:bookmarkStart w:id="116" w:name="_Toc485295759"/>
      <w:r w:rsidRPr="00DA4A23">
        <w:rPr>
          <w:b/>
        </w:rPr>
        <w:t>Recommendation 15</w:t>
      </w:r>
      <w:bookmarkEnd w:id="116"/>
    </w:p>
    <w:p w14:paraId="6B5A84FC" w14:textId="46CBF709" w:rsidR="00031F39" w:rsidRDefault="001B36A2" w:rsidP="00031F39">
      <w:pPr>
        <w:pStyle w:val="BodyText"/>
      </w:pPr>
      <w:r>
        <w:t>T</w:t>
      </w:r>
      <w:r w:rsidR="00031F39" w:rsidRPr="00031F39">
        <w:t xml:space="preserve">he </w:t>
      </w:r>
      <w:r w:rsidR="00D17A1E" w:rsidRPr="00B84C4F">
        <w:rPr>
          <w:lang w:val="en-US"/>
        </w:rPr>
        <w:t xml:space="preserve">Pathology Clinical Committee </w:t>
      </w:r>
      <w:r w:rsidR="00031F39" w:rsidRPr="00031F39">
        <w:t>provides the foll</w:t>
      </w:r>
      <w:r w:rsidR="002B37F6">
        <w:t>owing advice and recommendation</w:t>
      </w:r>
      <w:r w:rsidR="00031F39" w:rsidRPr="00031F39">
        <w:t>.</w:t>
      </w:r>
    </w:p>
    <w:p w14:paraId="0AAC9B5B" w14:textId="22239414" w:rsidR="00031F39" w:rsidRDefault="00031F39" w:rsidP="00965AE3">
      <w:pPr>
        <w:pStyle w:val="Bullet1"/>
      </w:pPr>
      <w:r>
        <w:t>The C</w:t>
      </w:r>
      <w:r w:rsidR="001B36A2">
        <w:t>hemical Working Group</w:t>
      </w:r>
      <w:r w:rsidR="002B37F6">
        <w:t xml:space="preserve"> </w:t>
      </w:r>
      <w:r w:rsidR="001B36A2">
        <w:t>su</w:t>
      </w:r>
      <w:r>
        <w:t>pports the proposal to leave these items unchanged.</w:t>
      </w:r>
    </w:p>
    <w:p w14:paraId="1AD0A370" w14:textId="77777777" w:rsidR="00031F39" w:rsidRPr="00DA4A23" w:rsidRDefault="00031F39" w:rsidP="00DA4A23">
      <w:pPr>
        <w:rPr>
          <w:b/>
        </w:rPr>
      </w:pPr>
      <w:bookmarkStart w:id="117" w:name="_Toc485295760"/>
      <w:r w:rsidRPr="00DA4A23">
        <w:rPr>
          <w:b/>
        </w:rPr>
        <w:t>Rationale 15</w:t>
      </w:r>
      <w:bookmarkEnd w:id="117"/>
    </w:p>
    <w:p w14:paraId="511ACE10" w14:textId="77777777" w:rsidR="00031F39" w:rsidRDefault="00031F39" w:rsidP="00031F39">
      <w:pPr>
        <w:pStyle w:val="BodyText"/>
      </w:pPr>
      <w:r w:rsidRPr="00031F39">
        <w:t>These tests are clinically relevant and should remain unchanged from their current form in the MBS Schedule.</w:t>
      </w:r>
    </w:p>
    <w:p w14:paraId="0C601581" w14:textId="77777777" w:rsidR="00031F39" w:rsidRDefault="00031F39" w:rsidP="00031F39">
      <w:pPr>
        <w:pStyle w:val="Heading2Report"/>
      </w:pPr>
      <w:bookmarkStart w:id="118" w:name="_Toc485295761"/>
      <w:bookmarkStart w:id="119" w:name="_Toc485296613"/>
      <w:r>
        <w:t>Electrophoresis of serum: Item 66539</w:t>
      </w:r>
      <w:bookmarkEnd w:id="118"/>
      <w:bookmarkEnd w:id="119"/>
    </w:p>
    <w:p w14:paraId="5D25B999" w14:textId="77777777" w:rsidR="00031F39" w:rsidRPr="00031F39" w:rsidRDefault="00031F39" w:rsidP="003744BA">
      <w:pPr>
        <w:pStyle w:val="Caption"/>
      </w:pPr>
      <w:bookmarkStart w:id="120" w:name="_Toc472940512"/>
      <w:r>
        <w:t xml:space="preserve">Table </w:t>
      </w:r>
      <w:r w:rsidR="00AD6C1A">
        <w:t>20:</w:t>
      </w:r>
      <w:r>
        <w:t xml:space="preserve"> Item introduction table for item 66539</w:t>
      </w:r>
      <w:bookmarkEnd w:id="120"/>
    </w:p>
    <w:tbl>
      <w:tblPr>
        <w:tblStyle w:val="TableGrid"/>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28" w:type="dxa"/>
          <w:bottom w:w="28" w:type="dxa"/>
          <w:right w:w="28" w:type="dxa"/>
        </w:tblCellMar>
        <w:tblLook w:val="04A0" w:firstRow="1" w:lastRow="0" w:firstColumn="1" w:lastColumn="0" w:noHBand="0" w:noVBand="1"/>
        <w:tblCaption w:val="Item introduction table for item 66539"/>
        <w:tblDescription w:val="This is a table that contains Medicare Benefits Schedule data for item 66539, for the finanical year 2014–2015. The data includes total volume of services, benefits and services annual average growth."/>
      </w:tblPr>
      <w:tblGrid>
        <w:gridCol w:w="1998"/>
        <w:gridCol w:w="7018"/>
      </w:tblGrid>
      <w:tr w:rsidR="00031F39" w:rsidRPr="00FD691A" w14:paraId="069A7E4E" w14:textId="77777777" w:rsidTr="00175BCE">
        <w:trPr>
          <w:tblHeader/>
        </w:trPr>
        <w:tc>
          <w:tcPr>
            <w:tcW w:w="1108" w:type="pct"/>
            <w:shd w:val="clear" w:color="auto" w:fill="D9D9D9" w:themeFill="background1" w:themeFillShade="D9"/>
          </w:tcPr>
          <w:p w14:paraId="0B4E0438" w14:textId="77777777" w:rsidR="00031F39" w:rsidRPr="00FD691A" w:rsidRDefault="00031F39" w:rsidP="00031F39">
            <w:pPr>
              <w:pStyle w:val="BodyText"/>
              <w:rPr>
                <w:b/>
                <w:sz w:val="20"/>
                <w:lang w:val="en-GB"/>
              </w:rPr>
            </w:pPr>
            <w:r w:rsidRPr="00FD691A">
              <w:rPr>
                <w:b/>
                <w:sz w:val="20"/>
                <w:lang w:val="en-GB"/>
              </w:rPr>
              <w:t>Item number</w:t>
            </w:r>
          </w:p>
        </w:tc>
        <w:tc>
          <w:tcPr>
            <w:tcW w:w="3892" w:type="pct"/>
          </w:tcPr>
          <w:p w14:paraId="4B047F75" w14:textId="77777777" w:rsidR="00031F39" w:rsidRPr="00FD691A" w:rsidRDefault="00031F39" w:rsidP="00031F39">
            <w:pPr>
              <w:pStyle w:val="BodyText"/>
              <w:rPr>
                <w:sz w:val="20"/>
                <w:lang w:val="en-GB"/>
              </w:rPr>
            </w:pPr>
            <w:r w:rsidRPr="00FD691A">
              <w:rPr>
                <w:sz w:val="20"/>
                <w:lang w:val="en-GB"/>
              </w:rPr>
              <w:t>66539</w:t>
            </w:r>
          </w:p>
        </w:tc>
      </w:tr>
      <w:tr w:rsidR="00031F39" w:rsidRPr="00FD691A" w14:paraId="00E12357" w14:textId="77777777" w:rsidTr="00175BCE">
        <w:trPr>
          <w:tblHeader/>
        </w:trPr>
        <w:tc>
          <w:tcPr>
            <w:tcW w:w="1108" w:type="pct"/>
            <w:shd w:val="clear" w:color="auto" w:fill="D9D9D9" w:themeFill="background1" w:themeFillShade="D9"/>
          </w:tcPr>
          <w:p w14:paraId="6FEC1ECB" w14:textId="77777777" w:rsidR="00031F39" w:rsidRPr="00FD691A" w:rsidRDefault="00031F39" w:rsidP="00031F39">
            <w:pPr>
              <w:pStyle w:val="BodyText"/>
              <w:rPr>
                <w:b/>
                <w:sz w:val="20"/>
                <w:lang w:val="en-GB"/>
              </w:rPr>
            </w:pPr>
            <w:r w:rsidRPr="00FD691A">
              <w:rPr>
                <w:b/>
                <w:sz w:val="20"/>
                <w:lang w:val="en-GB"/>
              </w:rPr>
              <w:t xml:space="preserve">Descriptor [date last amended] </w:t>
            </w:r>
          </w:p>
        </w:tc>
        <w:tc>
          <w:tcPr>
            <w:tcW w:w="3892" w:type="pct"/>
          </w:tcPr>
          <w:p w14:paraId="5066553F" w14:textId="77777777" w:rsidR="00031F39" w:rsidRPr="00FD691A" w:rsidRDefault="00031F39" w:rsidP="00031F39">
            <w:pPr>
              <w:pStyle w:val="BodyText"/>
              <w:rPr>
                <w:sz w:val="20"/>
                <w:lang w:val="en-GB"/>
              </w:rPr>
            </w:pPr>
            <w:r w:rsidRPr="00FD691A">
              <w:rPr>
                <w:sz w:val="20"/>
                <w:lang w:val="en-GB"/>
              </w:rPr>
              <w:t>Electrophoresis of serum for demonstration of lipoprotein subclasses, if the cholesterol is &gt; 6.5 mmol/l and triglyceride &gt;4.0 mmol/l or in the diagnosis of types iii and iv hyperlipidaemia. (Item is subject to rule 25.) [1998]</w:t>
            </w:r>
          </w:p>
        </w:tc>
      </w:tr>
      <w:tr w:rsidR="00175BCE" w:rsidRPr="00FD691A" w14:paraId="37B20BF3" w14:textId="77777777" w:rsidTr="00175BCE">
        <w:trPr>
          <w:tblHeader/>
        </w:trPr>
        <w:tc>
          <w:tcPr>
            <w:tcW w:w="1108" w:type="pct"/>
            <w:shd w:val="clear" w:color="auto" w:fill="D9D9D9" w:themeFill="background1" w:themeFillShade="D9"/>
          </w:tcPr>
          <w:p w14:paraId="58155EBA" w14:textId="77777777" w:rsidR="00175BCE" w:rsidRPr="00FD691A" w:rsidRDefault="00175BCE" w:rsidP="00031F39">
            <w:pPr>
              <w:pStyle w:val="BodyText"/>
              <w:rPr>
                <w:b/>
                <w:sz w:val="20"/>
                <w:lang w:val="en-GB"/>
              </w:rPr>
            </w:pPr>
            <w:r w:rsidRPr="00FD691A">
              <w:rPr>
                <w:b/>
                <w:sz w:val="20"/>
                <w:lang w:val="en-GB"/>
              </w:rPr>
              <w:t>Schedule fee</w:t>
            </w:r>
          </w:p>
        </w:tc>
        <w:tc>
          <w:tcPr>
            <w:tcW w:w="3892" w:type="pct"/>
          </w:tcPr>
          <w:p w14:paraId="46DFE029" w14:textId="77777777" w:rsidR="00175BCE" w:rsidRPr="00FD691A" w:rsidRDefault="00175BCE" w:rsidP="00031F39">
            <w:pPr>
              <w:pStyle w:val="BodyText"/>
              <w:rPr>
                <w:sz w:val="20"/>
                <w:lang w:val="en-GB"/>
              </w:rPr>
            </w:pPr>
            <w:r w:rsidRPr="00FD691A">
              <w:rPr>
                <w:sz w:val="20"/>
                <w:lang w:val="en-GB"/>
              </w:rPr>
              <w:t>$30.60</w:t>
            </w:r>
          </w:p>
        </w:tc>
      </w:tr>
      <w:tr w:rsidR="00175BCE" w:rsidRPr="00FD691A" w14:paraId="5B6C1E80" w14:textId="77777777" w:rsidTr="00175BCE">
        <w:trPr>
          <w:tblHeader/>
        </w:trPr>
        <w:tc>
          <w:tcPr>
            <w:tcW w:w="1108" w:type="pct"/>
            <w:shd w:val="clear" w:color="auto" w:fill="D9D9D9" w:themeFill="background1" w:themeFillShade="D9"/>
          </w:tcPr>
          <w:p w14:paraId="153692A6" w14:textId="154EA6CF" w:rsidR="00175BCE" w:rsidRPr="00FD691A" w:rsidRDefault="00175BCE" w:rsidP="00031F39">
            <w:pPr>
              <w:pStyle w:val="BodyText"/>
              <w:rPr>
                <w:b/>
                <w:sz w:val="20"/>
                <w:lang w:val="en-GB"/>
              </w:rPr>
            </w:pPr>
            <w:r w:rsidRPr="00FD691A">
              <w:rPr>
                <w:b/>
                <w:sz w:val="20"/>
                <w:lang w:val="en-GB"/>
              </w:rPr>
              <w:t>Volume of services FY2014/15</w:t>
            </w:r>
          </w:p>
        </w:tc>
        <w:tc>
          <w:tcPr>
            <w:tcW w:w="3892" w:type="pct"/>
          </w:tcPr>
          <w:p w14:paraId="69A4B4A2" w14:textId="617510B6" w:rsidR="00175BCE" w:rsidRPr="00FD691A" w:rsidRDefault="00175BCE" w:rsidP="00031F39">
            <w:pPr>
              <w:pStyle w:val="BodyText"/>
              <w:rPr>
                <w:sz w:val="20"/>
                <w:lang w:val="en-GB"/>
              </w:rPr>
            </w:pPr>
            <w:r w:rsidRPr="00FD691A">
              <w:rPr>
                <w:sz w:val="20"/>
                <w:lang w:val="en-GB"/>
              </w:rPr>
              <w:t>559</w:t>
            </w:r>
          </w:p>
        </w:tc>
      </w:tr>
      <w:tr w:rsidR="00175BCE" w:rsidRPr="00FD691A" w14:paraId="68FC953B" w14:textId="77777777" w:rsidTr="00175BCE">
        <w:trPr>
          <w:tblHeader/>
        </w:trPr>
        <w:tc>
          <w:tcPr>
            <w:tcW w:w="1108" w:type="pct"/>
            <w:shd w:val="clear" w:color="auto" w:fill="D9D9D9" w:themeFill="background1" w:themeFillShade="D9"/>
          </w:tcPr>
          <w:p w14:paraId="6DB50D5B" w14:textId="271BC30F" w:rsidR="00175BCE" w:rsidRPr="00FD691A" w:rsidRDefault="00175BCE" w:rsidP="00031F39">
            <w:pPr>
              <w:pStyle w:val="BodyText"/>
              <w:rPr>
                <w:b/>
                <w:sz w:val="20"/>
                <w:lang w:val="en-GB"/>
              </w:rPr>
            </w:pPr>
            <w:r w:rsidRPr="00FD691A">
              <w:rPr>
                <w:b/>
                <w:sz w:val="20"/>
                <w:lang w:val="en-GB"/>
              </w:rPr>
              <w:t>Total benefits paid FY2014/15</w:t>
            </w:r>
          </w:p>
        </w:tc>
        <w:tc>
          <w:tcPr>
            <w:tcW w:w="3892" w:type="pct"/>
          </w:tcPr>
          <w:p w14:paraId="55CE3CA4" w14:textId="1810CAFC" w:rsidR="00175BCE" w:rsidRPr="00FD691A" w:rsidRDefault="00175BCE" w:rsidP="00031F39">
            <w:pPr>
              <w:pStyle w:val="BodyText"/>
              <w:rPr>
                <w:sz w:val="20"/>
                <w:lang w:val="en-GB"/>
              </w:rPr>
            </w:pPr>
            <w:r>
              <w:rPr>
                <w:sz w:val="20"/>
                <w:lang w:val="en-GB"/>
              </w:rPr>
              <w:t>$</w:t>
            </w:r>
            <w:r w:rsidRPr="00FD691A">
              <w:rPr>
                <w:sz w:val="20"/>
                <w:lang w:val="en-GB"/>
              </w:rPr>
              <w:t>15,251</w:t>
            </w:r>
          </w:p>
        </w:tc>
      </w:tr>
      <w:tr w:rsidR="00175BCE" w:rsidRPr="00FD691A" w14:paraId="6987E2B1" w14:textId="77777777" w:rsidTr="00175BCE">
        <w:trPr>
          <w:tblHeader/>
        </w:trPr>
        <w:tc>
          <w:tcPr>
            <w:tcW w:w="1108" w:type="pct"/>
            <w:shd w:val="clear" w:color="auto" w:fill="D9D9D9" w:themeFill="background1" w:themeFillShade="D9"/>
          </w:tcPr>
          <w:p w14:paraId="5B84082B" w14:textId="5CFC3637" w:rsidR="00175BCE" w:rsidRPr="00FD691A" w:rsidRDefault="00175BCE" w:rsidP="00031F39">
            <w:pPr>
              <w:pStyle w:val="BodyText"/>
              <w:rPr>
                <w:b/>
                <w:sz w:val="20"/>
                <w:lang w:val="en-GB"/>
              </w:rPr>
            </w:pPr>
            <w:r w:rsidRPr="00FD691A">
              <w:rPr>
                <w:b/>
                <w:sz w:val="20"/>
                <w:lang w:val="en-GB"/>
              </w:rPr>
              <w:t>Services 5</w:t>
            </w:r>
            <w:r>
              <w:rPr>
                <w:b/>
                <w:sz w:val="20"/>
                <w:lang w:val="en-GB"/>
              </w:rPr>
              <w:t>-</w:t>
            </w:r>
            <w:r w:rsidRPr="00FD691A">
              <w:rPr>
                <w:b/>
                <w:sz w:val="20"/>
                <w:lang w:val="en-GB"/>
              </w:rPr>
              <w:t>year (FY2009/10–FY2014/15) annual average growth (CAGR)</w:t>
            </w:r>
          </w:p>
        </w:tc>
        <w:tc>
          <w:tcPr>
            <w:tcW w:w="3892" w:type="pct"/>
          </w:tcPr>
          <w:p w14:paraId="733A4178" w14:textId="42B796B6" w:rsidR="00175BCE" w:rsidRPr="00FD691A" w:rsidRDefault="00175BCE" w:rsidP="00031F39">
            <w:pPr>
              <w:pStyle w:val="BodyText"/>
              <w:rPr>
                <w:sz w:val="20"/>
                <w:lang w:val="en-GB"/>
              </w:rPr>
            </w:pPr>
            <w:r w:rsidRPr="00FD691A">
              <w:rPr>
                <w:sz w:val="20"/>
                <w:lang w:val="en-GB"/>
              </w:rPr>
              <w:t>3.8%</w:t>
            </w:r>
          </w:p>
        </w:tc>
      </w:tr>
    </w:tbl>
    <w:p w14:paraId="1B3D46B4" w14:textId="08ABF07E" w:rsidR="003F3668" w:rsidRDefault="00C75FBD" w:rsidP="00AF11CA">
      <w:pPr>
        <w:pStyle w:val="03Tableundertext"/>
        <w:rPr>
          <w:rFonts w:eastAsiaTheme="minorHAnsi" w:cs="Arial"/>
          <w:b/>
          <w:szCs w:val="20"/>
        </w:rPr>
      </w:pPr>
      <w:r w:rsidRPr="0092015F">
        <w:rPr>
          <w:b/>
        </w:rPr>
        <w:t>Source: Department of Human Services, published data, date of processing.</w:t>
      </w:r>
      <w:r w:rsidR="003F3668">
        <w:rPr>
          <w:b/>
        </w:rPr>
        <w:br w:type="page"/>
      </w:r>
    </w:p>
    <w:p w14:paraId="18CE37A4" w14:textId="71303745" w:rsidR="007C00E1" w:rsidRPr="00DA4A23" w:rsidRDefault="00240E05" w:rsidP="00DA4A23">
      <w:pPr>
        <w:rPr>
          <w:b/>
        </w:rPr>
      </w:pPr>
      <w:r w:rsidRPr="00DA4A23">
        <w:rPr>
          <w:b/>
        </w:rPr>
        <w:t xml:space="preserve">Advice from </w:t>
      </w:r>
      <w:r w:rsidR="004200CD" w:rsidRPr="00DA4A23">
        <w:rPr>
          <w:b/>
        </w:rPr>
        <w:t>Endocrinology Clinical Committee</w:t>
      </w:r>
    </w:p>
    <w:p w14:paraId="3A3956A9" w14:textId="1884B766" w:rsidR="00031F39" w:rsidRDefault="00031F39" w:rsidP="00031F39">
      <w:pPr>
        <w:pStyle w:val="BodyText"/>
      </w:pPr>
      <w:r>
        <w:t xml:space="preserve">The </w:t>
      </w:r>
      <w:r w:rsidR="006E47CC">
        <w:rPr>
          <w:lang w:val="en-US"/>
        </w:rPr>
        <w:t>Endocrinology Clinical Committee</w:t>
      </w:r>
      <w:r w:rsidR="00E5655B">
        <w:rPr>
          <w:lang w:val="en-US"/>
        </w:rPr>
        <w:t xml:space="preserve"> </w:t>
      </w:r>
      <w:r>
        <w:t>proposed the following:</w:t>
      </w:r>
    </w:p>
    <w:p w14:paraId="44BE6131" w14:textId="77777777" w:rsidR="00031F39" w:rsidRPr="00031F39" w:rsidRDefault="00031F39" w:rsidP="00965AE3">
      <w:pPr>
        <w:pStyle w:val="Bullet1"/>
      </w:pPr>
      <w:r w:rsidRPr="00031F39">
        <w:t>Delete this item from the MBS.</w:t>
      </w:r>
    </w:p>
    <w:p w14:paraId="56A37FCC" w14:textId="77777777" w:rsidR="00031F39" w:rsidRPr="00DA4A23" w:rsidRDefault="00031F39" w:rsidP="00DA4A23">
      <w:pPr>
        <w:rPr>
          <w:b/>
        </w:rPr>
      </w:pPr>
      <w:bookmarkStart w:id="121" w:name="_Toc485295762"/>
      <w:r w:rsidRPr="00DA4A23">
        <w:rPr>
          <w:b/>
        </w:rPr>
        <w:t>Recommendation 16</w:t>
      </w:r>
      <w:bookmarkEnd w:id="121"/>
    </w:p>
    <w:p w14:paraId="596A9DA2" w14:textId="0B7A045C" w:rsidR="00031F39" w:rsidRDefault="001B36A2" w:rsidP="00031F39">
      <w:pPr>
        <w:pStyle w:val="BodyText"/>
      </w:pPr>
      <w:r>
        <w:t>T</w:t>
      </w:r>
      <w:r w:rsidR="00031F39" w:rsidRPr="00031F39">
        <w:t xml:space="preserve">he </w:t>
      </w:r>
      <w:r w:rsidR="00D17A1E" w:rsidRPr="00B84C4F">
        <w:rPr>
          <w:lang w:val="en-US"/>
        </w:rPr>
        <w:t xml:space="preserve">Pathology Clinical Committee </w:t>
      </w:r>
      <w:r w:rsidR="00031F39" w:rsidRPr="00031F39">
        <w:t>provides the following advice and recommendations.</w:t>
      </w:r>
    </w:p>
    <w:p w14:paraId="6A2E3899" w14:textId="72EF0D05" w:rsidR="00031F39" w:rsidRDefault="00031F39" w:rsidP="00965AE3">
      <w:pPr>
        <w:pStyle w:val="Bullet1"/>
      </w:pPr>
      <w:r>
        <w:t>The</w:t>
      </w:r>
      <w:r w:rsidR="001B36A2">
        <w:t xml:space="preserve"> </w:t>
      </w:r>
      <w:r w:rsidR="001B36A2" w:rsidRPr="00B84C4F">
        <w:rPr>
          <w:lang w:val="en-US"/>
        </w:rPr>
        <w:t>Pathology Clinical</w:t>
      </w:r>
      <w:r>
        <w:t xml:space="preserve"> </w:t>
      </w:r>
      <w:r w:rsidR="00D01B58" w:rsidRPr="00D01B58">
        <w:t>Committee</w:t>
      </w:r>
      <w:r>
        <w:t xml:space="preserve"> supports the proposal to remove the item 66539.</w:t>
      </w:r>
    </w:p>
    <w:p w14:paraId="0A3E433E" w14:textId="52E40B0A" w:rsidR="00031F39" w:rsidRDefault="00031F39" w:rsidP="00965AE3">
      <w:pPr>
        <w:pStyle w:val="Bullet1"/>
      </w:pPr>
      <w:r>
        <w:t>The</w:t>
      </w:r>
      <w:r w:rsidR="001B36A2">
        <w:t xml:space="preserve"> </w:t>
      </w:r>
      <w:r w:rsidR="001B36A2" w:rsidRPr="00B84C4F">
        <w:rPr>
          <w:lang w:val="en-US"/>
        </w:rPr>
        <w:t>Pathology Clinical</w:t>
      </w:r>
      <w:r>
        <w:t xml:space="preserve"> </w:t>
      </w:r>
      <w:r w:rsidR="00D01B58" w:rsidRPr="00D01B58">
        <w:t>Committee</w:t>
      </w:r>
      <w:r>
        <w:t xml:space="preserve"> recommends a new item for the investigation of familial hypercholesterolaemia be introduced into the table. This test should be a genetic test, including mutations of the LDL</w:t>
      </w:r>
      <w:r w:rsidR="003F3668">
        <w:t>-</w:t>
      </w:r>
      <w:r>
        <w:t>receptor gene, PCSK9 gene or mutations of the apolipoprotein B gene, and should be reviewed by the genetics committee, including appropriate indications for testing.</w:t>
      </w:r>
    </w:p>
    <w:p w14:paraId="11A64617" w14:textId="77777777" w:rsidR="00031F39" w:rsidRDefault="00031F39" w:rsidP="00B65C81">
      <w:pPr>
        <w:pStyle w:val="Bullet1"/>
      </w:pPr>
      <w:r>
        <w:t xml:space="preserve">The </w:t>
      </w:r>
      <w:r w:rsidR="00D01B58" w:rsidRPr="00D01B58">
        <w:t>Committee</w:t>
      </w:r>
      <w:r>
        <w:t xml:space="preserve"> recommends a new item for the investigation of markedly high mixed hyperlipidaemia, investigating apoE genotype, be introduced into the table subsequent to genetics committee suggestions.</w:t>
      </w:r>
    </w:p>
    <w:p w14:paraId="32DBAC69" w14:textId="77777777" w:rsidR="00031F39" w:rsidRPr="00DA4A23" w:rsidRDefault="00031F39" w:rsidP="00DA4A23">
      <w:pPr>
        <w:rPr>
          <w:b/>
        </w:rPr>
      </w:pPr>
      <w:bookmarkStart w:id="122" w:name="_Toc485295763"/>
      <w:r w:rsidRPr="00DA4A23">
        <w:rPr>
          <w:b/>
        </w:rPr>
        <w:t>Rationale 16</w:t>
      </w:r>
      <w:bookmarkEnd w:id="122"/>
    </w:p>
    <w:p w14:paraId="08839194" w14:textId="77777777" w:rsidR="005A4B09" w:rsidRDefault="00031F39" w:rsidP="005A4B09">
      <w:pPr>
        <w:pStyle w:val="BodyText"/>
      </w:pPr>
      <w:r>
        <w:t xml:space="preserve">The </w:t>
      </w:r>
      <w:r w:rsidR="00D01B58" w:rsidRPr="00D01B58">
        <w:t>Committee</w:t>
      </w:r>
      <w:r>
        <w:t xml:space="preserve"> noted that electrophoresis of lipoprotein E is now superseded by genotyping. The </w:t>
      </w:r>
      <w:r w:rsidR="00D01B58" w:rsidRPr="00D01B58">
        <w:t>Committee</w:t>
      </w:r>
      <w:r>
        <w:t xml:space="preserve"> also considered that there will be a small group of patients with hyperlipidaemia who </w:t>
      </w:r>
      <w:r w:rsidR="005B168B">
        <w:t xml:space="preserve">will not </w:t>
      </w:r>
      <w:r>
        <w:t xml:space="preserve">be diagnosed with genotyping. In addition </w:t>
      </w:r>
      <w:r w:rsidR="005B168B">
        <w:t xml:space="preserve">apolipoprotein </w:t>
      </w:r>
      <w:r>
        <w:t xml:space="preserve">E (apo E4) predicts an increased risk of Alzheimer’s disease. The evidence for a clinical benefit is not as strong as for the genetic testing for </w:t>
      </w:r>
      <w:r w:rsidR="005B168B">
        <w:t>familial hypercholesterolaemia</w:t>
      </w:r>
      <w:r>
        <w:t xml:space="preserve"> (see below) and is beyond the scope of the </w:t>
      </w:r>
      <w:r w:rsidR="00D01B58" w:rsidRPr="00D01B58">
        <w:t>Committee</w:t>
      </w:r>
      <w:r>
        <w:t>’s review of the MBS Schedule for chemical-pathology items.</w:t>
      </w:r>
      <w:r w:rsidR="005A4B09" w:rsidRPr="005A4B09">
        <w:t xml:space="preserve"> </w:t>
      </w:r>
    </w:p>
    <w:p w14:paraId="15430F91" w14:textId="77777777" w:rsidR="005A4B09" w:rsidRDefault="005A4B09" w:rsidP="005A4B09">
      <w:pPr>
        <w:pStyle w:val="BodyText"/>
      </w:pPr>
      <w:r>
        <w:t xml:space="preserve">There is no item in the MBS Schedule for genotyping for patients with familial hypercholesterolaemia, the most common autosomal dominant lipid disorder (frequency 1:200 to 1:400). There is strong evidence to support the addition of new items for investigation of lipid disorders by genetic testing in Australia; this is beyond the scope of the </w:t>
      </w:r>
      <w:r w:rsidRPr="00D01B58">
        <w:t>Committee</w:t>
      </w:r>
      <w:r>
        <w:t>’s review of the MBS Schedule for chemical pathology items.</w:t>
      </w:r>
    </w:p>
    <w:p w14:paraId="03B98AE8" w14:textId="77777777" w:rsidR="005A4B09" w:rsidRDefault="005A4B09">
      <w:pPr>
        <w:spacing w:before="0" w:after="0" w:line="240" w:lineRule="auto"/>
        <w:rPr>
          <w:rFonts w:eastAsiaTheme="minorHAnsi" w:cs="Arial"/>
          <w:szCs w:val="20"/>
        </w:rPr>
      </w:pPr>
      <w:r>
        <w:br w:type="page"/>
      </w:r>
    </w:p>
    <w:p w14:paraId="2B5D1E7E" w14:textId="793BBC73" w:rsidR="006F1A8C" w:rsidRPr="009200D8" w:rsidRDefault="006F1A8C" w:rsidP="005A4B09">
      <w:pPr>
        <w:pStyle w:val="Heading1"/>
      </w:pPr>
      <w:bookmarkStart w:id="123" w:name="_Toc485295764"/>
      <w:bookmarkStart w:id="124" w:name="_Toc485296614"/>
      <w:r w:rsidRPr="009200D8">
        <w:t>References</w:t>
      </w:r>
      <w:bookmarkEnd w:id="123"/>
      <w:bookmarkEnd w:id="124"/>
    </w:p>
    <w:p w14:paraId="2E6782BE" w14:textId="77777777" w:rsidR="006F1A8C" w:rsidRDefault="006F1A8C" w:rsidP="006F1A8C">
      <w:r w:rsidRPr="009D0EED">
        <w:t>This contains references to sources and materials referenced in this report.</w:t>
      </w:r>
    </w:p>
    <w:p w14:paraId="05628642" w14:textId="25E49548" w:rsidR="00877C64" w:rsidRPr="00877C64" w:rsidRDefault="006F1A8C" w:rsidP="00877C64">
      <w:pPr>
        <w:pStyle w:val="EndNoteBibliography"/>
        <w:spacing w:after="0"/>
        <w:ind w:left="720" w:hanging="720"/>
      </w:pPr>
      <w:r>
        <w:rPr>
          <w:sz w:val="20"/>
          <w:szCs w:val="20"/>
        </w:rPr>
        <w:fldChar w:fldCharType="begin"/>
      </w:r>
      <w:r>
        <w:rPr>
          <w:sz w:val="20"/>
          <w:szCs w:val="20"/>
        </w:rPr>
        <w:instrText xml:space="preserve"> ADDIN EN.REFLIST </w:instrText>
      </w:r>
      <w:r>
        <w:rPr>
          <w:sz w:val="20"/>
          <w:szCs w:val="20"/>
        </w:rPr>
        <w:fldChar w:fldCharType="separate"/>
      </w:r>
      <w:r w:rsidR="00877C64" w:rsidRPr="00877C64">
        <w:t>1.</w:t>
      </w:r>
      <w:r w:rsidR="00877C64" w:rsidRPr="00877C64">
        <w:tab/>
        <w:t xml:space="preserve">Australia CW. Tests, treatments, and procedures for healthcare providers and consumers to question. 2017. </w:t>
      </w:r>
      <w:hyperlink r:id="rId11" w:history="1">
        <w:r w:rsidR="00877C64" w:rsidRPr="00877C64">
          <w:rPr>
            <w:rStyle w:val="Hyperlink"/>
          </w:rPr>
          <w:t>http://www.choosingwisely.org.au/recommendations?displayby=MedicalTest</w:t>
        </w:r>
      </w:hyperlink>
      <w:r w:rsidR="00877C64" w:rsidRPr="00877C64">
        <w:t xml:space="preserve"> (accessed.</w:t>
      </w:r>
    </w:p>
    <w:p w14:paraId="3E80597E" w14:textId="66AD1E71" w:rsidR="00877C64" w:rsidRPr="00877C64" w:rsidRDefault="00877C64" w:rsidP="00877C64">
      <w:pPr>
        <w:pStyle w:val="EndNoteBibliography"/>
        <w:spacing w:after="0"/>
        <w:ind w:left="720" w:hanging="720"/>
      </w:pPr>
      <w:r w:rsidRPr="00877C64">
        <w:t>2.</w:t>
      </w:r>
      <w:r w:rsidRPr="00877C64">
        <w:tab/>
        <w:t xml:space="preserve">Canada CW. The Lists. 2017. </w:t>
      </w:r>
      <w:hyperlink r:id="rId12" w:history="1">
        <w:r w:rsidRPr="00877C64">
          <w:rPr>
            <w:rStyle w:val="Hyperlink"/>
          </w:rPr>
          <w:t>http://www.choosingwiselycanada.org/wp-content/uploads/2014/01/Choosing-Wisely-Canada-collection-of-lists.pdf</w:t>
        </w:r>
      </w:hyperlink>
      <w:r w:rsidRPr="00877C64">
        <w:t xml:space="preserve"> (accessed 14th June).</w:t>
      </w:r>
    </w:p>
    <w:p w14:paraId="63A96E15" w14:textId="27A5F6C5" w:rsidR="00877C64" w:rsidRPr="00877C64" w:rsidRDefault="00877C64" w:rsidP="00877C64">
      <w:pPr>
        <w:pStyle w:val="EndNoteBibliography"/>
        <w:spacing w:after="0"/>
        <w:ind w:left="720" w:hanging="720"/>
      </w:pPr>
      <w:r w:rsidRPr="00877C64">
        <w:t>3.</w:t>
      </w:r>
      <w:r w:rsidRPr="00877C64">
        <w:tab/>
        <w:t xml:space="preserve">USA CW. The Choosing Wisely Lists. 2017. </w:t>
      </w:r>
      <w:hyperlink r:id="rId13" w:history="1">
        <w:r w:rsidRPr="00877C64">
          <w:rPr>
            <w:rStyle w:val="Hyperlink"/>
          </w:rPr>
          <w:t>http://www.choosingwisely.org/doctor-patient-lists/</w:t>
        </w:r>
      </w:hyperlink>
      <w:r w:rsidRPr="00877C64">
        <w:t xml:space="preserve"> (accessed 14th June).</w:t>
      </w:r>
    </w:p>
    <w:p w14:paraId="2473E850" w14:textId="4B263A46" w:rsidR="00877C64" w:rsidRPr="00877C64" w:rsidRDefault="00877C64" w:rsidP="00877C64">
      <w:pPr>
        <w:pStyle w:val="EndNoteBibliography"/>
        <w:spacing w:after="0"/>
        <w:ind w:left="720" w:hanging="720"/>
      </w:pPr>
      <w:r w:rsidRPr="00877C64">
        <w:t>4.</w:t>
      </w:r>
      <w:r w:rsidRPr="00877C64">
        <w:tab/>
        <w:t xml:space="preserve">Excellence NIfHaC. Do not do recommendations. 2017. </w:t>
      </w:r>
      <w:hyperlink r:id="rId14" w:history="1">
        <w:r w:rsidRPr="00877C64">
          <w:rPr>
            <w:rStyle w:val="Hyperlink"/>
          </w:rPr>
          <w:t>https://www.nice.org.uk/savingsandproductivity/collection</w:t>
        </w:r>
      </w:hyperlink>
      <w:r w:rsidRPr="00877C64">
        <w:t xml:space="preserve"> (accessed 14th June).</w:t>
      </w:r>
    </w:p>
    <w:p w14:paraId="235A16B6" w14:textId="4BB735F8" w:rsidR="00877C64" w:rsidRPr="00877C64" w:rsidRDefault="00877C64" w:rsidP="00877C64">
      <w:pPr>
        <w:pStyle w:val="EndNoteBibliography"/>
        <w:spacing w:after="0"/>
        <w:ind w:left="720" w:hanging="720"/>
      </w:pPr>
      <w:r w:rsidRPr="00877C64">
        <w:t>5.</w:t>
      </w:r>
      <w:r w:rsidRPr="00877C64">
        <w:tab/>
        <w:t xml:space="preserve">Elshaug AG, Watt AM, Mundy L, et al. Over 150 potentially low-value health care practices: an Australian study. Med J Aust 2012;197:556-60. </w:t>
      </w:r>
      <w:hyperlink r:id="rId15" w:history="1">
        <w:r w:rsidRPr="00877C64">
          <w:rPr>
            <w:rStyle w:val="Hyperlink"/>
          </w:rPr>
          <w:t>https://www.ncbi.nlm.nih.gov/pubmed/23163685</w:t>
        </w:r>
      </w:hyperlink>
      <w:r w:rsidRPr="00877C64">
        <w:t>.</w:t>
      </w:r>
    </w:p>
    <w:p w14:paraId="1AE516DA" w14:textId="4D5B518F" w:rsidR="00877C64" w:rsidRPr="00877C64" w:rsidRDefault="00877C64" w:rsidP="00877C64">
      <w:pPr>
        <w:pStyle w:val="EndNoteBibliography"/>
        <w:spacing w:after="0"/>
        <w:ind w:left="720" w:hanging="720"/>
      </w:pPr>
      <w:r w:rsidRPr="00877C64">
        <w:t>6.</w:t>
      </w:r>
      <w:r w:rsidRPr="00877C64">
        <w:tab/>
        <w:t xml:space="preserve">Care ACoSaQiH. The Australian Atlas of Healthcare Variation. 2017. </w:t>
      </w:r>
      <w:hyperlink r:id="rId16" w:history="1">
        <w:r w:rsidRPr="00877C64">
          <w:rPr>
            <w:rStyle w:val="Hyperlink"/>
          </w:rPr>
          <w:t>https://www.safetyandquality.gov.au/atlas/</w:t>
        </w:r>
      </w:hyperlink>
      <w:r w:rsidRPr="00877C64">
        <w:t xml:space="preserve"> (accessed 14th June).</w:t>
      </w:r>
    </w:p>
    <w:p w14:paraId="6155B146" w14:textId="77777777" w:rsidR="00877C64" w:rsidRPr="00877C64" w:rsidRDefault="00877C64" w:rsidP="00877C64">
      <w:pPr>
        <w:pStyle w:val="EndNoteBibliography"/>
        <w:spacing w:after="0"/>
        <w:ind w:left="720" w:hanging="720"/>
      </w:pPr>
      <w:r w:rsidRPr="00877C64">
        <w:t>7.</w:t>
      </w:r>
      <w:r w:rsidRPr="00877C64">
        <w:tab/>
        <w:t>Department of Health. MBS data – Q210381-02. 2016. (accessed 26.10.2016).</w:t>
      </w:r>
    </w:p>
    <w:p w14:paraId="3AEDFEFE" w14:textId="77777777" w:rsidR="00877C64" w:rsidRPr="00877C64" w:rsidRDefault="00877C64" w:rsidP="00877C64">
      <w:pPr>
        <w:pStyle w:val="EndNoteBibliography"/>
        <w:spacing w:after="0"/>
        <w:ind w:left="720" w:hanging="720"/>
      </w:pPr>
      <w:r w:rsidRPr="00877C64">
        <w:t>8.</w:t>
      </w:r>
      <w:r w:rsidRPr="00877C64">
        <w:tab/>
        <w:t>Department of Health. MBS Data. 2016. Report No. (accessed 26.10.2016).</w:t>
      </w:r>
    </w:p>
    <w:p w14:paraId="07F36B99" w14:textId="77777777" w:rsidR="00877C64" w:rsidRPr="00877C64" w:rsidRDefault="00877C64" w:rsidP="00877C64">
      <w:pPr>
        <w:pStyle w:val="EndNoteBibliography"/>
        <w:spacing w:after="0"/>
        <w:ind w:left="720" w:hanging="720"/>
      </w:pPr>
      <w:r w:rsidRPr="00877C64">
        <w:t>9.</w:t>
      </w:r>
      <w:r w:rsidRPr="00877C64">
        <w:tab/>
        <w:t>Medicare Australia Statistics. Standard MBS data. 2016. (accessed 26.10.2016).</w:t>
      </w:r>
    </w:p>
    <w:p w14:paraId="41125212" w14:textId="2E54BE77" w:rsidR="00877C64" w:rsidRPr="00877C64" w:rsidRDefault="00877C64" w:rsidP="00877C64">
      <w:pPr>
        <w:pStyle w:val="EndNoteBibliography"/>
        <w:spacing w:after="0"/>
        <w:ind w:left="720" w:hanging="720"/>
      </w:pPr>
      <w:r w:rsidRPr="00877C64">
        <w:t>10.</w:t>
      </w:r>
      <w:r w:rsidRPr="00877C64">
        <w:tab/>
        <w:t xml:space="preserve">Australian Bureau of Statistics. Australian Demographic Statistics. 2015. </w:t>
      </w:r>
      <w:hyperlink r:id="rId17" w:history="1">
        <w:r w:rsidRPr="00877C64">
          <w:rPr>
            <w:rStyle w:val="Hyperlink"/>
          </w:rPr>
          <w:t>http://www.abs.gov.au/ausstats/abs@.nsf/Previousproducts/3101.0Main%20Features1Jun%202015?opendocument&amp;tabname=Summary&amp;prodno=3101.0&amp;issue=Jun%202015&amp;num=&amp;view=</w:t>
        </w:r>
      </w:hyperlink>
      <w:r w:rsidRPr="00877C64">
        <w:t>. (accessed 25 October).</w:t>
      </w:r>
    </w:p>
    <w:p w14:paraId="0A251C89" w14:textId="77777777" w:rsidR="00877C64" w:rsidRPr="00877C64" w:rsidRDefault="00877C64" w:rsidP="00877C64">
      <w:pPr>
        <w:pStyle w:val="EndNoteBibliography"/>
        <w:spacing w:after="0"/>
        <w:ind w:left="720" w:hanging="720"/>
      </w:pPr>
      <w:r w:rsidRPr="00877C64">
        <w:t>11.</w:t>
      </w:r>
      <w:r w:rsidRPr="00877C64">
        <w:tab/>
        <w:t>Department of Health. MBS data –Q203551. 2016. (accessed 26.10.2016).</w:t>
      </w:r>
    </w:p>
    <w:p w14:paraId="5F442056" w14:textId="77777777" w:rsidR="00877C64" w:rsidRPr="00877C64" w:rsidRDefault="00877C64" w:rsidP="00877C64">
      <w:pPr>
        <w:pStyle w:val="EndNoteBibliography"/>
        <w:spacing w:after="0"/>
        <w:ind w:left="720" w:hanging="720"/>
      </w:pPr>
      <w:r w:rsidRPr="00877C64">
        <w:t>12.</w:t>
      </w:r>
      <w:r w:rsidRPr="00877C64">
        <w:tab/>
        <w:t>Department of Health. MBS Data – Q20354-02. 2016. (accessed 26.10.2016).</w:t>
      </w:r>
    </w:p>
    <w:p w14:paraId="56D3CE54" w14:textId="77777777" w:rsidR="00877C64" w:rsidRPr="00877C64" w:rsidRDefault="00877C64" w:rsidP="00877C64">
      <w:pPr>
        <w:pStyle w:val="EndNoteBibliography"/>
        <w:spacing w:after="0"/>
        <w:ind w:left="720" w:hanging="720"/>
      </w:pPr>
      <w:r w:rsidRPr="00877C64">
        <w:t>13.</w:t>
      </w:r>
      <w:r w:rsidRPr="00877C64">
        <w:tab/>
        <w:t>Craig ME, Twigg SM, Donaghue KC, et al. National evidence-based clinical care guidelines for type 1 diabetes in children, adolescents and adults. Canberra: National Health and Medical Research Council, 2011. (accessed.</w:t>
      </w:r>
    </w:p>
    <w:p w14:paraId="78691692" w14:textId="77777777" w:rsidR="00877C64" w:rsidRPr="00877C64" w:rsidRDefault="00877C64" w:rsidP="00877C64">
      <w:pPr>
        <w:pStyle w:val="EndNoteBibliography"/>
        <w:spacing w:after="0"/>
        <w:ind w:left="720" w:hanging="720"/>
      </w:pPr>
      <w:r w:rsidRPr="00877C64">
        <w:t>14.</w:t>
      </w:r>
      <w:r w:rsidRPr="00877C64">
        <w:tab/>
        <w:t>Department of Health. PBS data.  2016.</w:t>
      </w:r>
    </w:p>
    <w:p w14:paraId="2D472684" w14:textId="77777777" w:rsidR="00877C64" w:rsidRPr="00877C64" w:rsidRDefault="00877C64" w:rsidP="00877C64">
      <w:pPr>
        <w:pStyle w:val="EndNoteBibliography"/>
        <w:spacing w:after="0"/>
        <w:ind w:left="720" w:hanging="720"/>
      </w:pPr>
      <w:r w:rsidRPr="00877C64">
        <w:t>15.</w:t>
      </w:r>
      <w:r w:rsidRPr="00877C64">
        <w:tab/>
        <w:t>Department of Health. MBS data - Q20382-01.  2016.</w:t>
      </w:r>
    </w:p>
    <w:p w14:paraId="7F031FBE" w14:textId="61D7BFD5" w:rsidR="00877C64" w:rsidRPr="00877C64" w:rsidRDefault="00877C64" w:rsidP="00877C64">
      <w:pPr>
        <w:pStyle w:val="EndNoteBibliography"/>
        <w:spacing w:after="0"/>
        <w:ind w:left="720" w:hanging="720"/>
      </w:pPr>
      <w:r w:rsidRPr="00877C64">
        <w:t>16.</w:t>
      </w:r>
      <w:r w:rsidRPr="00877C64">
        <w:tab/>
        <w:t xml:space="preserve">Gereben B, Zavacki AM, Ribich S, et al. Cellular and Molecular Basis of Deiodinase-Regulated Thyroid Hormone Signaling. Endocrine Reviews 2008;29:898-938. </w:t>
      </w:r>
      <w:hyperlink r:id="rId18" w:history="1">
        <w:r w:rsidRPr="00877C64">
          <w:rPr>
            <w:rStyle w:val="Hyperlink"/>
          </w:rPr>
          <w:t>http://www.ncbi.nlm.nih.gov/pmc/articles/PMC2647704/</w:t>
        </w:r>
      </w:hyperlink>
      <w:r w:rsidRPr="00877C64">
        <w:t>.</w:t>
      </w:r>
    </w:p>
    <w:p w14:paraId="475946ED" w14:textId="6A97EDC8" w:rsidR="00877C64" w:rsidRPr="00877C64" w:rsidRDefault="00877C64" w:rsidP="00877C64">
      <w:pPr>
        <w:pStyle w:val="EndNoteBibliography"/>
        <w:spacing w:after="0"/>
        <w:ind w:left="720" w:hanging="720"/>
      </w:pPr>
      <w:r w:rsidRPr="00877C64">
        <w:t>17.</w:t>
      </w:r>
      <w:r w:rsidRPr="00877C64">
        <w:tab/>
        <w:t xml:space="preserve">Colagiuri S. Time to move to a glycated haemoglobin-based algorithm for diabetes screening and diagnosis? Med J Aust 2015;203:7-9. </w:t>
      </w:r>
      <w:hyperlink r:id="rId19" w:history="1">
        <w:r w:rsidRPr="00877C64">
          <w:rPr>
            <w:rStyle w:val="Hyperlink"/>
          </w:rPr>
          <w:t>http://www.ncbi.nlm.nih.gov/pubmed/26126553</w:t>
        </w:r>
      </w:hyperlink>
      <w:r w:rsidRPr="00877C64">
        <w:t>.</w:t>
      </w:r>
    </w:p>
    <w:p w14:paraId="4C60FE0C" w14:textId="58FD4B6B" w:rsidR="00877C64" w:rsidRPr="00877C64" w:rsidRDefault="00877C64" w:rsidP="00877C64">
      <w:pPr>
        <w:pStyle w:val="EndNoteBibliography"/>
        <w:spacing w:after="0"/>
        <w:ind w:left="720" w:hanging="720"/>
      </w:pPr>
      <w:r w:rsidRPr="00877C64">
        <w:t>18.</w:t>
      </w:r>
      <w:r w:rsidRPr="00877C64">
        <w:tab/>
        <w:t xml:space="preserve">d'Emden MC, Shaw JE, Colman PG, et al. The role of HbA1c in the diagnosis of diabetes mellitus in Australia. Med J Aust 2012;197:220-1. </w:t>
      </w:r>
      <w:hyperlink r:id="rId20" w:history="1">
        <w:r w:rsidRPr="00877C64">
          <w:rPr>
            <w:rStyle w:val="Hyperlink"/>
          </w:rPr>
          <w:t>http://www.ncbi.nlm.nih.gov/pubmed/22900870</w:t>
        </w:r>
      </w:hyperlink>
      <w:r w:rsidRPr="00877C64">
        <w:t>.</w:t>
      </w:r>
    </w:p>
    <w:p w14:paraId="3D6B338B" w14:textId="7406D2F8" w:rsidR="00877C64" w:rsidRPr="00877C64" w:rsidRDefault="00877C64" w:rsidP="00877C64">
      <w:pPr>
        <w:pStyle w:val="EndNoteBibliography"/>
        <w:spacing w:after="0"/>
        <w:ind w:left="720" w:hanging="720"/>
      </w:pPr>
      <w:r w:rsidRPr="00877C64">
        <w:t>19.</w:t>
      </w:r>
      <w:r w:rsidRPr="00877C64">
        <w:tab/>
        <w:t xml:space="preserve">d'Emden MC, Shaw JE, Jones GR, et al. Guidance concerning the use of glycated haemoglobin (HbA1c) for the diagnosis of diabetes mellitus. Med J Aust 2015;203:89-90. </w:t>
      </w:r>
      <w:hyperlink r:id="rId21" w:history="1">
        <w:r w:rsidRPr="00877C64">
          <w:rPr>
            <w:rStyle w:val="Hyperlink"/>
          </w:rPr>
          <w:t>http://www.ncbi.nlm.nih.gov/pubmed/26175248</w:t>
        </w:r>
      </w:hyperlink>
      <w:r w:rsidRPr="00877C64">
        <w:t>.</w:t>
      </w:r>
    </w:p>
    <w:p w14:paraId="1F76887B" w14:textId="77777777" w:rsidR="00877C64" w:rsidRPr="00877C64" w:rsidRDefault="00877C64" w:rsidP="00877C64">
      <w:pPr>
        <w:pStyle w:val="EndNoteBibliography"/>
        <w:spacing w:after="0"/>
        <w:ind w:left="720" w:hanging="720"/>
      </w:pPr>
      <w:r w:rsidRPr="00877C64">
        <w:t>20.</w:t>
      </w:r>
      <w:r w:rsidRPr="00877C64">
        <w:tab/>
        <w:t>Nankervis A, McIntyre HD, Moses R, et al. ADIP Consensus Guidelines for the Testing and Diagnosis of Hyperglycaema in Pregnancy in Australia and New Zealand. Australasian Diabetes in Pregnancy Society 2014:1–8.</w:t>
      </w:r>
    </w:p>
    <w:p w14:paraId="5DE74069" w14:textId="573D3143" w:rsidR="00877C64" w:rsidRPr="00877C64" w:rsidRDefault="00877C64" w:rsidP="00877C64">
      <w:pPr>
        <w:pStyle w:val="EndNoteBibliography"/>
        <w:spacing w:after="0"/>
        <w:ind w:left="720" w:hanging="720"/>
      </w:pPr>
      <w:r w:rsidRPr="00877C64">
        <w:t>21.</w:t>
      </w:r>
      <w:r w:rsidRPr="00877C64">
        <w:tab/>
        <w:t xml:space="preserve">Nankervis A, Conn J. Gestational diabetes mellitus Negotiating the confusion. Australian Family Physician 2013;42:528-31. </w:t>
      </w:r>
      <w:hyperlink r:id="rId22" w:history="1">
        <w:r w:rsidRPr="00877C64">
          <w:rPr>
            <w:rStyle w:val="Hyperlink"/>
          </w:rPr>
          <w:t>http://www.racgp.org.au/afp/2013/august/gestational-diabetes-mellitus/</w:t>
        </w:r>
      </w:hyperlink>
      <w:r w:rsidRPr="00877C64">
        <w:t>.</w:t>
      </w:r>
    </w:p>
    <w:p w14:paraId="69B47CFF" w14:textId="77777777" w:rsidR="00877C64" w:rsidRPr="00877C64" w:rsidRDefault="00877C64" w:rsidP="00877C64">
      <w:pPr>
        <w:pStyle w:val="EndNoteBibliography"/>
        <w:spacing w:after="0"/>
        <w:ind w:left="720" w:hanging="720"/>
      </w:pPr>
      <w:r w:rsidRPr="00877C64">
        <w:t>22.</w:t>
      </w:r>
      <w:r w:rsidRPr="00877C64">
        <w:tab/>
        <w:t>Royal Australian College of General Practitioners. General practice management of type 2 diabetes.  2014.</w:t>
      </w:r>
    </w:p>
    <w:p w14:paraId="6F1D7262" w14:textId="69D6A7EF" w:rsidR="00877C64" w:rsidRPr="00877C64" w:rsidRDefault="00877C64" w:rsidP="00877C64">
      <w:pPr>
        <w:pStyle w:val="EndNoteBibliography"/>
        <w:spacing w:after="0"/>
        <w:ind w:left="720" w:hanging="720"/>
      </w:pPr>
      <w:r w:rsidRPr="00877C64">
        <w:t>23.</w:t>
      </w:r>
      <w:r w:rsidRPr="00877C64">
        <w:tab/>
        <w:t xml:space="preserve">World Health Organization. Use of glycated haemoglobin (HbA1c) in the diagnosis of diabetes mellitus. 2011. Report No. </w:t>
      </w:r>
      <w:hyperlink r:id="rId23" w:history="1">
        <w:r w:rsidRPr="00877C64">
          <w:rPr>
            <w:rStyle w:val="Hyperlink"/>
          </w:rPr>
          <w:t>http://www.who.int/diabetes/publications/report-hba1c_2011.pdf</w:t>
        </w:r>
      </w:hyperlink>
      <w:r w:rsidRPr="00877C64">
        <w:t xml:space="preserve"> (accessed 26.10.2016).</w:t>
      </w:r>
    </w:p>
    <w:p w14:paraId="58F416F4" w14:textId="1F663C87" w:rsidR="00877C64" w:rsidRPr="00877C64" w:rsidRDefault="00877C64" w:rsidP="00877C64">
      <w:pPr>
        <w:pStyle w:val="EndNoteBibliography"/>
        <w:spacing w:after="0"/>
        <w:ind w:left="720" w:hanging="720"/>
      </w:pPr>
      <w:r w:rsidRPr="00877C64">
        <w:t>24.</w:t>
      </w:r>
      <w:r w:rsidRPr="00877C64">
        <w:tab/>
        <w:t xml:space="preserve">American Diabetes Association. 12. Management of Diabetes in Pregnancy. Diabetes Care 2016;39:S94-S8. </w:t>
      </w:r>
      <w:hyperlink r:id="rId24" w:history="1">
        <w:r w:rsidRPr="00877C64">
          <w:rPr>
            <w:rStyle w:val="Hyperlink"/>
          </w:rPr>
          <w:t>http://care.diabetesjournals.org/content/diacare/39/Supplement_1/S94.full.pdf</w:t>
        </w:r>
      </w:hyperlink>
      <w:r w:rsidRPr="00877C64">
        <w:t>.</w:t>
      </w:r>
    </w:p>
    <w:p w14:paraId="7A44E6C2" w14:textId="49EB173E" w:rsidR="00877C64" w:rsidRPr="00877C64" w:rsidRDefault="00877C64" w:rsidP="00877C64">
      <w:pPr>
        <w:pStyle w:val="EndNoteBibliography"/>
        <w:spacing w:after="0"/>
        <w:ind w:left="720" w:hanging="720"/>
      </w:pPr>
      <w:r w:rsidRPr="00877C64">
        <w:t>25.</w:t>
      </w:r>
      <w:r w:rsidRPr="00877C64">
        <w:tab/>
        <w:t xml:space="preserve">Gunton JE, Cheung NW, Davis TM, et al. A new blood glucose management algorithm for type 2 diabetes: a position statement of the Australian Diabetes Society. Med J Aust 2014;201:650-3. </w:t>
      </w:r>
      <w:hyperlink r:id="rId25" w:history="1">
        <w:r w:rsidRPr="00877C64">
          <w:rPr>
            <w:rStyle w:val="Hyperlink"/>
          </w:rPr>
          <w:t>http://www.ncbi.nlm.nih.gov/pubmed/25495309</w:t>
        </w:r>
      </w:hyperlink>
      <w:r w:rsidRPr="00877C64">
        <w:t>.</w:t>
      </w:r>
    </w:p>
    <w:p w14:paraId="312FD74E" w14:textId="437A4D36" w:rsidR="00877C64" w:rsidRPr="00877C64" w:rsidRDefault="00877C64" w:rsidP="00877C64">
      <w:pPr>
        <w:pStyle w:val="EndNoteBibliography"/>
        <w:spacing w:after="0"/>
        <w:ind w:left="720" w:hanging="720"/>
      </w:pPr>
      <w:r w:rsidRPr="00877C64">
        <w:t>26.</w:t>
      </w:r>
      <w:r w:rsidRPr="00877C64">
        <w:tab/>
        <w:t xml:space="preserve">9. Microvascular Complications and Foot Care. Diabetes Care 2015;38:S58-S66. </w:t>
      </w:r>
      <w:hyperlink r:id="rId26" w:history="1">
        <w:r w:rsidRPr="00877C64">
          <w:rPr>
            <w:rStyle w:val="Hyperlink"/>
          </w:rPr>
          <w:t>http://care.diabetesjournals.org/content/diacare/38/Supplement_1/S58.full.pdf</w:t>
        </w:r>
      </w:hyperlink>
      <w:r w:rsidRPr="00877C64">
        <w:t>.</w:t>
      </w:r>
    </w:p>
    <w:p w14:paraId="0E9AD480" w14:textId="45AE61F8" w:rsidR="00877C64" w:rsidRPr="00877C64" w:rsidRDefault="00877C64" w:rsidP="00877C64">
      <w:pPr>
        <w:pStyle w:val="EndNoteBibliography"/>
        <w:spacing w:after="0"/>
        <w:ind w:left="720" w:hanging="720"/>
      </w:pPr>
      <w:r w:rsidRPr="00877C64">
        <w:t>27.</w:t>
      </w:r>
      <w:r w:rsidRPr="00877C64">
        <w:tab/>
        <w:t xml:space="preserve">Cameron AJ, Magliano DJ, Zimmet PZ, et al. The Metabolic Syndrome in Australia: Prevalence using four definitions. Diabetes Research and Clinical Practice 2007;77:471-8. </w:t>
      </w:r>
      <w:hyperlink r:id="rId27" w:history="1">
        <w:r w:rsidRPr="00877C64">
          <w:rPr>
            <w:rStyle w:val="Hyperlink"/>
          </w:rPr>
          <w:t>http://www.sciencedirect.com/science/article/pii/S0168822707001076</w:t>
        </w:r>
      </w:hyperlink>
      <w:r w:rsidRPr="00877C64">
        <w:t>.</w:t>
      </w:r>
    </w:p>
    <w:p w14:paraId="0BF9FA9C" w14:textId="77777777" w:rsidR="00877C64" w:rsidRPr="00877C64" w:rsidRDefault="00877C64" w:rsidP="00877C64">
      <w:pPr>
        <w:pStyle w:val="EndNoteBibliography"/>
        <w:spacing w:after="0"/>
        <w:ind w:left="720" w:hanging="720"/>
      </w:pPr>
      <w:r w:rsidRPr="00877C64">
        <w:t>28.</w:t>
      </w:r>
      <w:r w:rsidRPr="00877C64">
        <w:tab/>
        <w:t>Kidney Disease Improving Global Outcomes. KDIGO 2012 Clinical Practice Guideline for the Evaluation and Management of Chronic Kidney Disease. Kidney International Supplements 2013;3.</w:t>
      </w:r>
    </w:p>
    <w:p w14:paraId="64A6DDD9" w14:textId="7D4F8F95" w:rsidR="00877C64" w:rsidRPr="00877C64" w:rsidRDefault="00877C64" w:rsidP="00877C64">
      <w:pPr>
        <w:pStyle w:val="EndNoteBibliography"/>
        <w:spacing w:after="0"/>
        <w:ind w:left="720" w:hanging="720"/>
      </w:pPr>
      <w:r w:rsidRPr="00877C64">
        <w:t>29.</w:t>
      </w:r>
      <w:r w:rsidRPr="00877C64">
        <w:tab/>
        <w:t xml:space="preserve">Vasikaran SD, Paul Chubb SA. The use of biochemical markers of bone turnover in the clinical management of primary and secondary osteoporosis. Endocrine 2016;52:222-5. </w:t>
      </w:r>
      <w:hyperlink r:id="rId28" w:history="1">
        <w:r w:rsidRPr="00877C64">
          <w:rPr>
            <w:rStyle w:val="Hyperlink"/>
          </w:rPr>
          <w:t>http://dx.doi.org/10.1007/s12020-016-0900-2</w:t>
        </w:r>
      </w:hyperlink>
      <w:r w:rsidRPr="00877C64">
        <w:t>.</w:t>
      </w:r>
    </w:p>
    <w:p w14:paraId="3225A595" w14:textId="66841B21" w:rsidR="00877C64" w:rsidRPr="00877C64" w:rsidRDefault="00877C64" w:rsidP="00877C64">
      <w:pPr>
        <w:pStyle w:val="EndNoteBibliography"/>
        <w:ind w:left="720" w:hanging="720"/>
      </w:pPr>
      <w:r w:rsidRPr="00877C64">
        <w:t>30.</w:t>
      </w:r>
      <w:r w:rsidRPr="00877C64">
        <w:tab/>
        <w:t xml:space="preserve">Cavalier E, Bergmann P, Bruyere O, et al. The role of biochemical of bone turnover markers in osteoporosis and metabolic bone disease: a consensus paper of the Belgian Bone Club. Osteoporos Int 2016;27:2181-95. </w:t>
      </w:r>
      <w:hyperlink r:id="rId29" w:history="1">
        <w:r w:rsidRPr="00877C64">
          <w:rPr>
            <w:rStyle w:val="Hyperlink"/>
          </w:rPr>
          <w:t>https://www.ncbi.nlm.nih.gov/pubmed/27026330</w:t>
        </w:r>
      </w:hyperlink>
      <w:r w:rsidRPr="00877C64">
        <w:t>.</w:t>
      </w:r>
    </w:p>
    <w:p w14:paraId="27DFD475" w14:textId="5320F361" w:rsidR="006F1A8C" w:rsidRPr="0060697D" w:rsidRDefault="006F1A8C" w:rsidP="006F1A8C">
      <w:pPr>
        <w:spacing w:before="120"/>
        <w:rPr>
          <w:sz w:val="20"/>
          <w:szCs w:val="20"/>
        </w:rPr>
      </w:pPr>
      <w:r>
        <w:rPr>
          <w:sz w:val="20"/>
          <w:szCs w:val="20"/>
        </w:rPr>
        <w:fldChar w:fldCharType="end"/>
      </w:r>
    </w:p>
    <w:p w14:paraId="47A39A94" w14:textId="77777777" w:rsidR="00BC7152" w:rsidRDefault="00BC7152" w:rsidP="00AF11CA">
      <w:pPr>
        <w:pStyle w:val="BodyText"/>
        <w:sectPr w:rsidR="00BC7152" w:rsidSect="00062404">
          <w:footerReference w:type="default" r:id="rId30"/>
          <w:endnotePr>
            <w:numFmt w:val="decimal"/>
          </w:endnotePr>
          <w:pgSz w:w="11906" w:h="16838" w:code="9"/>
          <w:pgMar w:top="1021" w:right="1440" w:bottom="851" w:left="1440" w:header="567" w:footer="170" w:gutter="0"/>
          <w:paperSrc w:first="7" w:other="7"/>
          <w:pgNumType w:start="1"/>
          <w:cols w:space="720"/>
          <w:docGrid w:linePitch="326"/>
        </w:sectPr>
      </w:pPr>
    </w:p>
    <w:p w14:paraId="6A6E018B" w14:textId="77777777" w:rsidR="00EF59A1" w:rsidRPr="0060697D" w:rsidRDefault="00DE588D" w:rsidP="0060697D">
      <w:pPr>
        <w:pStyle w:val="Heading1"/>
      </w:pPr>
      <w:bookmarkStart w:id="125" w:name="_Toc485295765"/>
      <w:bookmarkStart w:id="126" w:name="_Toc485296615"/>
      <w:r w:rsidRPr="0060697D">
        <w:t>Glossary</w:t>
      </w:r>
      <w:bookmarkEnd w:id="125"/>
      <w:bookmarkEnd w:id="126"/>
    </w:p>
    <w:tbl>
      <w:tblPr>
        <w:tblStyle w:val="TableGrid3"/>
        <w:tblW w:w="0" w:type="auto"/>
        <w:tblBorders>
          <w:top w:val="single" w:sz="4" w:space="0" w:color="B56012"/>
          <w:left w:val="none" w:sz="0" w:space="0" w:color="auto"/>
          <w:bottom w:val="single" w:sz="4" w:space="0" w:color="B56012"/>
          <w:right w:val="none" w:sz="0" w:space="0" w:color="auto"/>
          <w:insideH w:val="single" w:sz="4" w:space="0" w:color="B56012"/>
          <w:insideV w:val="none" w:sz="0" w:space="0" w:color="auto"/>
        </w:tblBorders>
        <w:tblLook w:val="04A0" w:firstRow="1" w:lastRow="0" w:firstColumn="1" w:lastColumn="0" w:noHBand="0" w:noVBand="1"/>
        <w:tblCaption w:val="Glossary"/>
        <w:tblDescription w:val="This table is a glossary of terms used in this document."/>
      </w:tblPr>
      <w:tblGrid>
        <w:gridCol w:w="2754"/>
        <w:gridCol w:w="6272"/>
      </w:tblGrid>
      <w:tr w:rsidR="00FB4F61" w:rsidRPr="00FB4F61" w14:paraId="31AE691F" w14:textId="77777777" w:rsidTr="00040F54">
        <w:trPr>
          <w:tblHeader/>
        </w:trPr>
        <w:tc>
          <w:tcPr>
            <w:tcW w:w="2754" w:type="dxa"/>
          </w:tcPr>
          <w:p w14:paraId="193E3346" w14:textId="77777777" w:rsidR="00FB4F61" w:rsidRPr="00FB4F61" w:rsidRDefault="00FB4F61" w:rsidP="0060697D">
            <w:pPr>
              <w:spacing w:before="120" w:after="0"/>
              <w:rPr>
                <w:b/>
                <w:sz w:val="20"/>
                <w:szCs w:val="20"/>
              </w:rPr>
            </w:pPr>
            <w:r w:rsidRPr="00FB4F61">
              <w:rPr>
                <w:b/>
                <w:sz w:val="20"/>
                <w:szCs w:val="20"/>
              </w:rPr>
              <w:t>Term</w:t>
            </w:r>
          </w:p>
        </w:tc>
        <w:tc>
          <w:tcPr>
            <w:tcW w:w="6272" w:type="dxa"/>
          </w:tcPr>
          <w:p w14:paraId="0241CEFD" w14:textId="77777777" w:rsidR="00FB4F61" w:rsidRPr="00FB4F61" w:rsidRDefault="00FB4F61" w:rsidP="0060697D">
            <w:pPr>
              <w:spacing w:before="120" w:after="0"/>
              <w:rPr>
                <w:rFonts w:cs="Arial"/>
                <w:b/>
                <w:color w:val="000000" w:themeColor="text1"/>
                <w:sz w:val="20"/>
                <w:szCs w:val="20"/>
              </w:rPr>
            </w:pPr>
            <w:r w:rsidRPr="00FB4F61">
              <w:rPr>
                <w:rFonts w:cs="Arial"/>
                <w:b/>
                <w:color w:val="000000" w:themeColor="text1"/>
                <w:sz w:val="20"/>
                <w:szCs w:val="20"/>
              </w:rPr>
              <w:t>Description</w:t>
            </w:r>
          </w:p>
        </w:tc>
      </w:tr>
      <w:tr w:rsidR="00081DD2" w:rsidRPr="00984BFF" w14:paraId="09081E65" w14:textId="77777777" w:rsidTr="00040F54">
        <w:tc>
          <w:tcPr>
            <w:tcW w:w="2754" w:type="dxa"/>
          </w:tcPr>
          <w:p w14:paraId="6BC36B15" w14:textId="1782B341" w:rsidR="00081DD2" w:rsidRPr="00E72750" w:rsidRDefault="00081DD2" w:rsidP="00D2577E">
            <w:pPr>
              <w:spacing w:before="120" w:after="0"/>
              <w:rPr>
                <w:rFonts w:cs="Arial"/>
                <w:lang w:val="en-GB"/>
              </w:rPr>
            </w:pPr>
            <w:r>
              <w:rPr>
                <w:rFonts w:cs="Arial"/>
                <w:lang w:val="en-GB"/>
              </w:rPr>
              <w:t>APA</w:t>
            </w:r>
          </w:p>
        </w:tc>
        <w:tc>
          <w:tcPr>
            <w:tcW w:w="6272" w:type="dxa"/>
          </w:tcPr>
          <w:p w14:paraId="42EFEA9B" w14:textId="5EDFC853" w:rsidR="00081DD2" w:rsidRPr="00E72750" w:rsidRDefault="00081DD2" w:rsidP="00081DD2">
            <w:pPr>
              <w:spacing w:before="120" w:after="0"/>
              <w:rPr>
                <w:rFonts w:cs="Arial"/>
                <w:color w:val="000000" w:themeColor="text1"/>
                <w:lang w:val="en-GB"/>
              </w:rPr>
            </w:pPr>
            <w:r>
              <w:rPr>
                <w:rFonts w:cs="Arial"/>
                <w:color w:val="000000" w:themeColor="text1"/>
                <w:lang w:val="en-GB"/>
              </w:rPr>
              <w:t>Approved pathology authority.</w:t>
            </w:r>
          </w:p>
        </w:tc>
      </w:tr>
      <w:tr w:rsidR="00081DD2" w:rsidRPr="00984BFF" w14:paraId="3763F862" w14:textId="77777777" w:rsidTr="00040F54">
        <w:tc>
          <w:tcPr>
            <w:tcW w:w="2754" w:type="dxa"/>
          </w:tcPr>
          <w:p w14:paraId="4C44A2F3" w14:textId="113C8DF7" w:rsidR="00081DD2" w:rsidRDefault="00081DD2" w:rsidP="00D2577E">
            <w:pPr>
              <w:spacing w:before="120" w:after="0"/>
              <w:rPr>
                <w:rFonts w:cs="Arial"/>
                <w:lang w:val="en-GB"/>
              </w:rPr>
            </w:pPr>
            <w:r>
              <w:rPr>
                <w:rFonts w:cs="Arial"/>
                <w:lang w:val="en-GB"/>
              </w:rPr>
              <w:t>APP</w:t>
            </w:r>
          </w:p>
        </w:tc>
        <w:tc>
          <w:tcPr>
            <w:tcW w:w="6272" w:type="dxa"/>
          </w:tcPr>
          <w:p w14:paraId="002C1D12" w14:textId="0F2FA660" w:rsidR="00081DD2" w:rsidRDefault="00081DD2" w:rsidP="00081DD2">
            <w:pPr>
              <w:spacing w:before="120" w:after="0"/>
              <w:rPr>
                <w:rFonts w:cs="Arial"/>
                <w:color w:val="000000" w:themeColor="text1"/>
                <w:lang w:val="en-GB"/>
              </w:rPr>
            </w:pPr>
            <w:r>
              <w:rPr>
                <w:rFonts w:cs="Arial"/>
                <w:color w:val="000000" w:themeColor="text1"/>
                <w:lang w:val="en-GB"/>
              </w:rPr>
              <w:t>Approved pathology provider.</w:t>
            </w:r>
          </w:p>
        </w:tc>
      </w:tr>
      <w:tr w:rsidR="00D2577E" w:rsidRPr="00984BFF" w14:paraId="16EF610E" w14:textId="77777777" w:rsidTr="00040F54">
        <w:tc>
          <w:tcPr>
            <w:tcW w:w="2754" w:type="dxa"/>
          </w:tcPr>
          <w:p w14:paraId="0B03A05C" w14:textId="77777777" w:rsidR="00D2577E" w:rsidRPr="0072705E" w:rsidRDefault="00D2577E" w:rsidP="00D2577E">
            <w:pPr>
              <w:spacing w:before="120" w:after="0"/>
              <w:rPr>
                <w:rFonts w:cs="Arial"/>
                <w:b/>
                <w:sz w:val="20"/>
                <w:szCs w:val="20"/>
              </w:rPr>
            </w:pPr>
            <w:r w:rsidRPr="00E72750">
              <w:rPr>
                <w:rFonts w:cs="Arial"/>
                <w:lang w:val="en-GB"/>
              </w:rPr>
              <w:t>CAGR</w:t>
            </w:r>
          </w:p>
        </w:tc>
        <w:tc>
          <w:tcPr>
            <w:tcW w:w="6272" w:type="dxa"/>
          </w:tcPr>
          <w:p w14:paraId="252BA897"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lang w:val="en-GB"/>
              </w:rPr>
              <w:t>Compound annual growth rate, or the average annual growth rate over a specified time period.</w:t>
            </w:r>
          </w:p>
        </w:tc>
      </w:tr>
      <w:tr w:rsidR="00D2577E" w:rsidRPr="00984BFF" w14:paraId="2ED32E09" w14:textId="77777777" w:rsidTr="00040F54">
        <w:tc>
          <w:tcPr>
            <w:tcW w:w="2754" w:type="dxa"/>
          </w:tcPr>
          <w:p w14:paraId="786B1266" w14:textId="77777777" w:rsidR="00D2577E" w:rsidRPr="0072705E" w:rsidRDefault="00D2577E" w:rsidP="00D2577E">
            <w:pPr>
              <w:spacing w:before="120" w:after="0"/>
              <w:rPr>
                <w:rFonts w:cs="Arial"/>
                <w:b/>
                <w:sz w:val="20"/>
                <w:szCs w:val="20"/>
              </w:rPr>
            </w:pPr>
            <w:r>
              <w:rPr>
                <w:rFonts w:cs="Arial"/>
                <w:lang w:val="en-GB"/>
              </w:rPr>
              <w:t>Change</w:t>
            </w:r>
          </w:p>
        </w:tc>
        <w:tc>
          <w:tcPr>
            <w:tcW w:w="6272" w:type="dxa"/>
          </w:tcPr>
          <w:p w14:paraId="3EADDBB9" w14:textId="4D2F8E8E" w:rsidR="00D2577E" w:rsidRPr="0072705E" w:rsidRDefault="00D2577E" w:rsidP="00522C7A">
            <w:pPr>
              <w:spacing w:before="120" w:after="0"/>
              <w:rPr>
                <w:rFonts w:cs="Arial"/>
                <w:color w:val="000000" w:themeColor="text1"/>
                <w:sz w:val="20"/>
                <w:szCs w:val="20"/>
              </w:rPr>
            </w:pPr>
            <w:r w:rsidRPr="00EB04B8">
              <w:rPr>
                <w:rFonts w:cs="Arial"/>
                <w:color w:val="000000" w:themeColor="text1"/>
                <w:lang w:val="en-GB"/>
              </w:rPr>
              <w:t xml:space="preserve">Describes when the item and/or its services will be affected by the recommendations. This could result from a range of recommendations, such as: (i) specific recommendations that affect the services provided by changing item descriptors or explanatory notes, (ii) the consolidation of item numbers, and (iii) splitting item numbers (e.g. splitting the current services provided across two or more items).   </w:t>
            </w:r>
          </w:p>
        </w:tc>
      </w:tr>
      <w:tr w:rsidR="00D2577E" w:rsidRPr="00984BFF" w14:paraId="627C665A" w14:textId="77777777" w:rsidTr="00040F54">
        <w:tc>
          <w:tcPr>
            <w:tcW w:w="2754" w:type="dxa"/>
          </w:tcPr>
          <w:p w14:paraId="7699E356" w14:textId="77777777" w:rsidR="00D2577E" w:rsidRPr="0072705E" w:rsidRDefault="00D2577E" w:rsidP="00D2577E">
            <w:pPr>
              <w:spacing w:before="120" w:after="0"/>
              <w:rPr>
                <w:rFonts w:cs="Arial"/>
                <w:b/>
                <w:sz w:val="20"/>
                <w:szCs w:val="20"/>
              </w:rPr>
            </w:pPr>
            <w:r>
              <w:rPr>
                <w:rFonts w:cs="Arial"/>
                <w:lang w:val="en-GB"/>
              </w:rPr>
              <w:t>Delete</w:t>
            </w:r>
          </w:p>
        </w:tc>
        <w:tc>
          <w:tcPr>
            <w:tcW w:w="6272" w:type="dxa"/>
          </w:tcPr>
          <w:p w14:paraId="08B352CE" w14:textId="77777777" w:rsidR="00D2577E" w:rsidRPr="0072705E" w:rsidRDefault="00D2577E" w:rsidP="00D2577E">
            <w:pPr>
              <w:spacing w:before="120" w:after="0"/>
              <w:rPr>
                <w:rFonts w:cs="Arial"/>
                <w:color w:val="000000" w:themeColor="text1"/>
                <w:sz w:val="20"/>
                <w:szCs w:val="20"/>
              </w:rPr>
            </w:pPr>
            <w:r w:rsidRPr="00EB04B8">
              <w:rPr>
                <w:rFonts w:cs="Arial"/>
                <w:color w:val="000000" w:themeColor="text1"/>
                <w:lang w:val="en-GB"/>
              </w:rPr>
              <w:t>Describes when an item is recommended for removal from the MBS and its services will no longer be provided under the MBS.</w:t>
            </w:r>
          </w:p>
        </w:tc>
      </w:tr>
      <w:tr w:rsidR="00D2577E" w:rsidRPr="00984BFF" w14:paraId="7768809F" w14:textId="77777777" w:rsidTr="00040F54">
        <w:tc>
          <w:tcPr>
            <w:tcW w:w="2754" w:type="dxa"/>
          </w:tcPr>
          <w:p w14:paraId="3B309775" w14:textId="77777777" w:rsidR="00D2577E" w:rsidRPr="0072705E" w:rsidRDefault="00D2577E" w:rsidP="00D2577E">
            <w:pPr>
              <w:spacing w:before="120" w:after="0"/>
              <w:rPr>
                <w:rFonts w:cs="Arial"/>
                <w:b/>
                <w:sz w:val="20"/>
                <w:szCs w:val="20"/>
              </w:rPr>
            </w:pPr>
            <w:r w:rsidRPr="00E72750">
              <w:rPr>
                <w:rFonts w:cs="Arial"/>
                <w:lang w:val="en-GB"/>
              </w:rPr>
              <w:t>FY</w:t>
            </w:r>
          </w:p>
        </w:tc>
        <w:tc>
          <w:tcPr>
            <w:tcW w:w="6272" w:type="dxa"/>
          </w:tcPr>
          <w:p w14:paraId="522F309B"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lang w:val="en-GB"/>
              </w:rPr>
              <w:t>Financial year</w:t>
            </w:r>
          </w:p>
        </w:tc>
      </w:tr>
      <w:tr w:rsidR="00D2577E" w:rsidRPr="00984BFF" w14:paraId="6AC7A6C1" w14:textId="77777777" w:rsidTr="00040F54">
        <w:tc>
          <w:tcPr>
            <w:tcW w:w="2754" w:type="dxa"/>
          </w:tcPr>
          <w:p w14:paraId="7F1B5D8D" w14:textId="77777777" w:rsidR="00D2577E" w:rsidRPr="0072705E" w:rsidRDefault="00D2577E" w:rsidP="00D2577E">
            <w:pPr>
              <w:spacing w:before="120" w:after="0"/>
              <w:rPr>
                <w:rFonts w:cs="Arial"/>
                <w:b/>
                <w:sz w:val="20"/>
                <w:szCs w:val="20"/>
              </w:rPr>
            </w:pPr>
            <w:r w:rsidRPr="00E72750">
              <w:rPr>
                <w:rFonts w:cs="Arial"/>
                <w:lang w:val="en-GB"/>
              </w:rPr>
              <w:t>GP</w:t>
            </w:r>
          </w:p>
        </w:tc>
        <w:tc>
          <w:tcPr>
            <w:tcW w:w="6272" w:type="dxa"/>
          </w:tcPr>
          <w:p w14:paraId="57E0EBEC"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lang w:val="en-GB"/>
              </w:rPr>
              <w:t xml:space="preserve">General </w:t>
            </w:r>
            <w:r>
              <w:rPr>
                <w:rFonts w:cs="Arial"/>
                <w:color w:val="000000" w:themeColor="text1"/>
                <w:lang w:val="en-GB"/>
              </w:rPr>
              <w:t>p</w:t>
            </w:r>
            <w:r w:rsidRPr="00E72750">
              <w:rPr>
                <w:rFonts w:cs="Arial"/>
                <w:color w:val="000000" w:themeColor="text1"/>
                <w:lang w:val="en-GB"/>
              </w:rPr>
              <w:t>ractitioner</w:t>
            </w:r>
          </w:p>
        </w:tc>
      </w:tr>
      <w:tr w:rsidR="00D2577E" w:rsidRPr="00984BFF" w14:paraId="21487003" w14:textId="77777777" w:rsidTr="00040F54">
        <w:tc>
          <w:tcPr>
            <w:tcW w:w="2754" w:type="dxa"/>
          </w:tcPr>
          <w:p w14:paraId="08553B25" w14:textId="0EFA0EF4" w:rsidR="00D2577E" w:rsidRPr="0072705E" w:rsidRDefault="007C1C32" w:rsidP="00D2577E">
            <w:pPr>
              <w:spacing w:before="120" w:after="0"/>
              <w:rPr>
                <w:rFonts w:cs="Arial"/>
                <w:b/>
                <w:sz w:val="20"/>
                <w:szCs w:val="20"/>
              </w:rPr>
            </w:pPr>
            <w:r>
              <w:t>HbA1c</w:t>
            </w:r>
          </w:p>
        </w:tc>
        <w:tc>
          <w:tcPr>
            <w:tcW w:w="6272" w:type="dxa"/>
          </w:tcPr>
          <w:p w14:paraId="48CAA5D3" w14:textId="77777777" w:rsidR="00D2577E" w:rsidRPr="0072705E" w:rsidRDefault="00D2577E" w:rsidP="00D2577E">
            <w:pPr>
              <w:spacing w:before="120" w:after="0"/>
              <w:rPr>
                <w:rFonts w:cs="Arial"/>
                <w:sz w:val="20"/>
                <w:szCs w:val="20"/>
              </w:rPr>
            </w:pPr>
            <w:r w:rsidRPr="00E72750">
              <w:rPr>
                <w:rFonts w:cs="Arial"/>
                <w:color w:val="000000"/>
                <w:szCs w:val="18"/>
                <w:lang w:val="en-GB"/>
              </w:rPr>
              <w:t>Glycated haemoglobin</w:t>
            </w:r>
          </w:p>
        </w:tc>
      </w:tr>
      <w:tr w:rsidR="00D2577E" w:rsidRPr="00984BFF" w14:paraId="08CAFCB5" w14:textId="77777777" w:rsidTr="00040F54">
        <w:tc>
          <w:tcPr>
            <w:tcW w:w="2754" w:type="dxa"/>
          </w:tcPr>
          <w:p w14:paraId="72FDED31" w14:textId="77777777" w:rsidR="00D2577E" w:rsidRPr="0072705E" w:rsidRDefault="00D2577E" w:rsidP="00D2577E">
            <w:pPr>
              <w:spacing w:before="120" w:after="0"/>
              <w:rPr>
                <w:rFonts w:cs="Arial"/>
                <w:b/>
                <w:sz w:val="20"/>
                <w:szCs w:val="20"/>
              </w:rPr>
            </w:pPr>
            <w:r w:rsidRPr="00E72750">
              <w:rPr>
                <w:rFonts w:cs="Arial"/>
                <w:lang w:val="en-GB"/>
              </w:rPr>
              <w:t>High-value care</w:t>
            </w:r>
          </w:p>
        </w:tc>
        <w:tc>
          <w:tcPr>
            <w:tcW w:w="6272" w:type="dxa"/>
          </w:tcPr>
          <w:p w14:paraId="1281634B" w14:textId="77777777" w:rsidR="00D2577E" w:rsidRPr="0072705E" w:rsidRDefault="00D2577E" w:rsidP="00D2577E">
            <w:pPr>
              <w:spacing w:before="120" w:after="0"/>
              <w:rPr>
                <w:rFonts w:cs="Arial"/>
                <w:sz w:val="20"/>
                <w:szCs w:val="20"/>
              </w:rPr>
            </w:pPr>
            <w:r w:rsidRPr="00E72750">
              <w:rPr>
                <w:rFonts w:cs="Arial"/>
                <w:color w:val="000000" w:themeColor="text1"/>
                <w:lang w:val="en-GB"/>
              </w:rPr>
              <w:t>Services of proven efficacy reflecting current best medical practice, or for which the potential benefit to consumers exceeds the risk and costs.</w:t>
            </w:r>
          </w:p>
        </w:tc>
      </w:tr>
      <w:tr w:rsidR="00D2577E" w:rsidRPr="00984BFF" w14:paraId="4C1F0310" w14:textId="77777777" w:rsidTr="00040F54">
        <w:tc>
          <w:tcPr>
            <w:tcW w:w="2754" w:type="dxa"/>
          </w:tcPr>
          <w:p w14:paraId="6E4D51AA" w14:textId="2FCC3FD0" w:rsidR="00D2577E" w:rsidRPr="0072705E" w:rsidRDefault="00D2577E" w:rsidP="00D2577E">
            <w:pPr>
              <w:spacing w:before="120" w:after="0"/>
              <w:rPr>
                <w:rFonts w:cs="Arial"/>
                <w:b/>
                <w:sz w:val="20"/>
                <w:szCs w:val="20"/>
              </w:rPr>
            </w:pPr>
            <w:r w:rsidRPr="00E72750">
              <w:rPr>
                <w:rFonts w:cs="Arial"/>
                <w:lang w:val="en-GB"/>
              </w:rPr>
              <w:t>Inappropriate use/misuse</w:t>
            </w:r>
          </w:p>
        </w:tc>
        <w:tc>
          <w:tcPr>
            <w:tcW w:w="6272" w:type="dxa"/>
          </w:tcPr>
          <w:p w14:paraId="2742E384" w14:textId="49B8E661" w:rsidR="00D2577E" w:rsidRPr="0072705E" w:rsidRDefault="00522C7A" w:rsidP="00D2577E">
            <w:pPr>
              <w:spacing w:before="120" w:after="0"/>
              <w:rPr>
                <w:rFonts w:cs="Arial"/>
                <w:b/>
                <w:sz w:val="20"/>
                <w:szCs w:val="20"/>
              </w:rPr>
            </w:pPr>
            <w:r>
              <w:rPr>
                <w:rFonts w:cs="Arial"/>
                <w:lang w:val="en-GB"/>
              </w:rPr>
              <w:t>U</w:t>
            </w:r>
            <w:r w:rsidR="00D2577E" w:rsidRPr="00E72750">
              <w:rPr>
                <w:rFonts w:cs="Arial"/>
                <w:lang w:val="en-GB"/>
              </w:rPr>
              <w:t>se of MBS services for purposes other than those intended. This includes a range of behaviours, from failing to adhere to particular item descriptors or rules through to deliberate fraud.</w:t>
            </w:r>
          </w:p>
        </w:tc>
      </w:tr>
      <w:tr w:rsidR="00D2577E" w:rsidRPr="00984BFF" w14:paraId="550574C3" w14:textId="77777777" w:rsidTr="00040F54">
        <w:tc>
          <w:tcPr>
            <w:tcW w:w="2754" w:type="dxa"/>
          </w:tcPr>
          <w:p w14:paraId="5CC55AEC" w14:textId="77777777" w:rsidR="00D2577E" w:rsidRPr="0072705E" w:rsidRDefault="00D2577E" w:rsidP="00D2577E">
            <w:pPr>
              <w:spacing w:before="120" w:after="0"/>
              <w:rPr>
                <w:rFonts w:cs="Arial"/>
                <w:b/>
                <w:sz w:val="20"/>
                <w:szCs w:val="20"/>
              </w:rPr>
            </w:pPr>
            <w:r w:rsidRPr="00E72750">
              <w:rPr>
                <w:rFonts w:cs="Arial"/>
                <w:lang w:val="en-GB"/>
              </w:rPr>
              <w:t>Low-value care</w:t>
            </w:r>
          </w:p>
        </w:tc>
        <w:tc>
          <w:tcPr>
            <w:tcW w:w="6272" w:type="dxa"/>
          </w:tcPr>
          <w:p w14:paraId="1A3DEEF9" w14:textId="4432C823" w:rsidR="00D2577E" w:rsidRPr="0072705E" w:rsidRDefault="00522C7A" w:rsidP="00D2577E">
            <w:pPr>
              <w:spacing w:before="120" w:after="0"/>
              <w:rPr>
                <w:rFonts w:cs="Arial"/>
                <w:sz w:val="20"/>
                <w:szCs w:val="20"/>
              </w:rPr>
            </w:pPr>
            <w:r>
              <w:rPr>
                <w:rFonts w:cs="Arial"/>
                <w:color w:val="000000" w:themeColor="text1"/>
                <w:shd w:val="clear" w:color="auto" w:fill="FFFFFF"/>
                <w:lang w:val="en-GB"/>
              </w:rPr>
              <w:t>U</w:t>
            </w:r>
            <w:r w:rsidR="00D2577E" w:rsidRPr="00E72750">
              <w:rPr>
                <w:rFonts w:cs="Arial"/>
                <w:color w:val="000000" w:themeColor="text1"/>
                <w:shd w:val="clear" w:color="auto" w:fill="FFFFFF"/>
                <w:lang w:val="en-GB"/>
              </w:rPr>
              <w:t>se of an intervention that evidence suggests confers little benefit or no benefit to patients; or whe</w:t>
            </w:r>
            <w:r>
              <w:rPr>
                <w:rFonts w:cs="Arial"/>
                <w:color w:val="000000" w:themeColor="text1"/>
                <w:shd w:val="clear" w:color="auto" w:fill="FFFFFF"/>
                <w:lang w:val="en-GB"/>
              </w:rPr>
              <w:t>n</w:t>
            </w:r>
            <w:r w:rsidR="00D2577E" w:rsidRPr="00E72750">
              <w:rPr>
                <w:rFonts w:cs="Arial"/>
                <w:color w:val="000000" w:themeColor="text1"/>
                <w:shd w:val="clear" w:color="auto" w:fill="FFFFFF"/>
                <w:lang w:val="en-GB"/>
              </w:rPr>
              <w:t xml:space="preserve"> the risk of harm from the intervention exceeds the likely benefit; or, more broadly, whe</w:t>
            </w:r>
            <w:r>
              <w:rPr>
                <w:rFonts w:cs="Arial"/>
                <w:color w:val="000000" w:themeColor="text1"/>
                <w:shd w:val="clear" w:color="auto" w:fill="FFFFFF"/>
                <w:lang w:val="en-GB"/>
              </w:rPr>
              <w:t>n</w:t>
            </w:r>
            <w:r w:rsidR="00D2577E" w:rsidRPr="00E72750">
              <w:rPr>
                <w:rFonts w:cs="Arial"/>
                <w:color w:val="000000" w:themeColor="text1"/>
                <w:shd w:val="clear" w:color="auto" w:fill="FFFFFF"/>
                <w:lang w:val="en-GB"/>
              </w:rPr>
              <w:t xml:space="preserve"> the added costs of the intervention do not provide proportional added benefits.</w:t>
            </w:r>
          </w:p>
        </w:tc>
      </w:tr>
      <w:tr w:rsidR="00D2577E" w:rsidRPr="00984BFF" w14:paraId="16F6B748" w14:textId="77777777" w:rsidTr="00040F54">
        <w:tc>
          <w:tcPr>
            <w:tcW w:w="2754" w:type="dxa"/>
          </w:tcPr>
          <w:p w14:paraId="4D5D406B" w14:textId="77777777" w:rsidR="00D2577E" w:rsidRPr="0072705E" w:rsidRDefault="00D2577E" w:rsidP="00D2577E">
            <w:pPr>
              <w:spacing w:before="120" w:after="0"/>
              <w:rPr>
                <w:rFonts w:eastAsiaTheme="minorHAnsi" w:cs="Arial"/>
                <w:b/>
                <w:sz w:val="20"/>
                <w:szCs w:val="20"/>
                <w:lang w:eastAsia="en-US"/>
              </w:rPr>
            </w:pPr>
            <w:r w:rsidRPr="00E72750">
              <w:rPr>
                <w:rFonts w:cs="Arial"/>
                <w:lang w:val="en-GB"/>
              </w:rPr>
              <w:t>MBS</w:t>
            </w:r>
          </w:p>
        </w:tc>
        <w:tc>
          <w:tcPr>
            <w:tcW w:w="6272" w:type="dxa"/>
          </w:tcPr>
          <w:p w14:paraId="0D7D3213"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lang w:val="en-GB"/>
              </w:rPr>
              <w:t xml:space="preserve">Medicare Benefits Schedule </w:t>
            </w:r>
          </w:p>
        </w:tc>
      </w:tr>
      <w:tr w:rsidR="00D2577E" w:rsidRPr="00984BFF" w14:paraId="0D0155EE" w14:textId="77777777" w:rsidTr="00040F54">
        <w:tc>
          <w:tcPr>
            <w:tcW w:w="2754" w:type="dxa"/>
          </w:tcPr>
          <w:p w14:paraId="11E1F75D" w14:textId="77777777" w:rsidR="00D2577E" w:rsidRPr="0072705E" w:rsidRDefault="00D2577E" w:rsidP="00D2577E">
            <w:pPr>
              <w:spacing w:before="120" w:after="0"/>
              <w:rPr>
                <w:rFonts w:eastAsiaTheme="minorHAnsi" w:cs="Arial"/>
                <w:b/>
                <w:sz w:val="20"/>
                <w:szCs w:val="20"/>
                <w:lang w:eastAsia="en-US"/>
              </w:rPr>
            </w:pPr>
            <w:r w:rsidRPr="00E72750">
              <w:rPr>
                <w:rFonts w:cs="Arial"/>
                <w:lang w:val="en-GB"/>
              </w:rPr>
              <w:t>MBS item</w:t>
            </w:r>
          </w:p>
        </w:tc>
        <w:tc>
          <w:tcPr>
            <w:tcW w:w="6272" w:type="dxa"/>
          </w:tcPr>
          <w:p w14:paraId="24DB52B9" w14:textId="77777777" w:rsidR="00D2577E" w:rsidRPr="0072705E" w:rsidRDefault="00D2577E" w:rsidP="00D2577E">
            <w:pPr>
              <w:spacing w:before="120" w:after="0"/>
              <w:rPr>
                <w:rFonts w:cs="Arial"/>
                <w:sz w:val="20"/>
                <w:szCs w:val="20"/>
              </w:rPr>
            </w:pPr>
            <w:r w:rsidRPr="00E72750">
              <w:rPr>
                <w:rFonts w:cs="Arial"/>
                <w:color w:val="000000" w:themeColor="text1"/>
                <w:szCs w:val="23"/>
                <w:lang w:val="en-GB"/>
              </w:rPr>
              <w:t>An administrative object listed in the MBS and used for the purposes of claiming and paying Medicare benefits, consisting of an item number, service descriptor and supporting information, schedule fee and Medicare benefits.</w:t>
            </w:r>
          </w:p>
        </w:tc>
      </w:tr>
      <w:tr w:rsidR="00D2577E" w:rsidRPr="00984BFF" w14:paraId="2F77A993" w14:textId="77777777" w:rsidTr="00040F54">
        <w:tc>
          <w:tcPr>
            <w:tcW w:w="2754" w:type="dxa"/>
          </w:tcPr>
          <w:p w14:paraId="074A5352" w14:textId="77777777" w:rsidR="00D2577E" w:rsidRPr="0072705E" w:rsidRDefault="00D2577E" w:rsidP="00D2577E">
            <w:pPr>
              <w:spacing w:before="120" w:after="0"/>
              <w:rPr>
                <w:b/>
                <w:sz w:val="20"/>
                <w:szCs w:val="20"/>
              </w:rPr>
            </w:pPr>
            <w:r w:rsidRPr="00E72750">
              <w:rPr>
                <w:rFonts w:cs="Arial"/>
                <w:lang w:val="en-GB"/>
              </w:rPr>
              <w:t>MBS service</w:t>
            </w:r>
          </w:p>
        </w:tc>
        <w:tc>
          <w:tcPr>
            <w:tcW w:w="6272" w:type="dxa"/>
          </w:tcPr>
          <w:p w14:paraId="496B2BAF"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szCs w:val="23"/>
                <w:lang w:val="en-GB"/>
              </w:rPr>
              <w:t>The actual medical consultation, procedure or test to which the relevant MBS item refers.</w:t>
            </w:r>
          </w:p>
        </w:tc>
      </w:tr>
      <w:tr w:rsidR="00D2577E" w:rsidRPr="00984BFF" w14:paraId="47178FBE" w14:textId="77777777" w:rsidTr="00040F54">
        <w:tc>
          <w:tcPr>
            <w:tcW w:w="2754" w:type="dxa"/>
          </w:tcPr>
          <w:p w14:paraId="1CB12D71" w14:textId="77777777" w:rsidR="00D2577E" w:rsidRPr="0072705E" w:rsidRDefault="00D2577E" w:rsidP="00D2577E">
            <w:pPr>
              <w:spacing w:before="120" w:after="0"/>
              <w:rPr>
                <w:b/>
                <w:sz w:val="20"/>
                <w:szCs w:val="20"/>
              </w:rPr>
            </w:pPr>
            <w:r w:rsidRPr="00E72750">
              <w:rPr>
                <w:rFonts w:cs="Arial"/>
                <w:lang w:val="en-GB"/>
              </w:rPr>
              <w:t>MSAC</w:t>
            </w:r>
          </w:p>
        </w:tc>
        <w:tc>
          <w:tcPr>
            <w:tcW w:w="6272" w:type="dxa"/>
          </w:tcPr>
          <w:p w14:paraId="54291500" w14:textId="77777777" w:rsidR="00D2577E" w:rsidRPr="0072705E" w:rsidRDefault="00D2577E" w:rsidP="00D2577E">
            <w:pPr>
              <w:spacing w:before="120" w:after="0"/>
              <w:rPr>
                <w:rFonts w:cs="Arial"/>
                <w:color w:val="000000" w:themeColor="text1"/>
                <w:sz w:val="20"/>
                <w:szCs w:val="20"/>
              </w:rPr>
            </w:pPr>
            <w:r w:rsidRPr="00E72750">
              <w:rPr>
                <w:rFonts w:cs="Arial"/>
                <w:lang w:val="en-GB"/>
              </w:rPr>
              <w:t>Medical Services Advisory Committee</w:t>
            </w:r>
          </w:p>
        </w:tc>
      </w:tr>
      <w:tr w:rsidR="00D2577E" w:rsidRPr="00984BFF" w14:paraId="7CFB025E" w14:textId="77777777" w:rsidTr="00040F54">
        <w:tc>
          <w:tcPr>
            <w:tcW w:w="2754" w:type="dxa"/>
          </w:tcPr>
          <w:p w14:paraId="6DF257B1" w14:textId="77777777" w:rsidR="00D2577E" w:rsidRPr="0072705E" w:rsidRDefault="00D2577E" w:rsidP="00D2577E">
            <w:pPr>
              <w:spacing w:before="120" w:after="0"/>
              <w:rPr>
                <w:b/>
                <w:sz w:val="20"/>
                <w:szCs w:val="20"/>
              </w:rPr>
            </w:pPr>
            <w:r w:rsidRPr="00E72750">
              <w:rPr>
                <w:rFonts w:cs="Arial"/>
                <w:lang w:val="en-GB"/>
              </w:rPr>
              <w:t xml:space="preserve">Multiple services rules </w:t>
            </w:r>
          </w:p>
        </w:tc>
        <w:tc>
          <w:tcPr>
            <w:tcW w:w="6272" w:type="dxa"/>
          </w:tcPr>
          <w:p w14:paraId="051B222E" w14:textId="77777777" w:rsidR="00D2577E" w:rsidRPr="0072705E" w:rsidRDefault="00D2577E" w:rsidP="00D2577E">
            <w:pPr>
              <w:spacing w:before="120" w:after="0"/>
              <w:rPr>
                <w:rFonts w:cs="Arial"/>
                <w:color w:val="000000" w:themeColor="text1"/>
                <w:sz w:val="20"/>
                <w:szCs w:val="20"/>
              </w:rPr>
            </w:pPr>
            <w:r w:rsidRPr="00E72750">
              <w:rPr>
                <w:rFonts w:cs="Arial"/>
                <w:color w:val="000000" w:themeColor="text1"/>
                <w:lang w:val="en-GB"/>
              </w:rPr>
              <w:t xml:space="preserve">A set of rules governing the amount of Medicare benefit payable for multiple services provided to a patient at the same attendance (same day). </w:t>
            </w:r>
          </w:p>
        </w:tc>
      </w:tr>
      <w:tr w:rsidR="00D2577E" w:rsidRPr="00984BFF" w14:paraId="7A42E213" w14:textId="77777777" w:rsidTr="00040F54">
        <w:tc>
          <w:tcPr>
            <w:tcW w:w="2754" w:type="dxa"/>
          </w:tcPr>
          <w:p w14:paraId="4496D12D" w14:textId="77777777" w:rsidR="00D2577E" w:rsidRPr="0072705E" w:rsidRDefault="00D2577E" w:rsidP="00D2577E">
            <w:pPr>
              <w:spacing w:before="120" w:after="0"/>
              <w:rPr>
                <w:b/>
                <w:sz w:val="20"/>
                <w:szCs w:val="20"/>
              </w:rPr>
            </w:pPr>
            <w:r w:rsidRPr="00B9100C">
              <w:rPr>
                <w:rFonts w:cs="Arial"/>
                <w:lang w:val="en-GB"/>
              </w:rPr>
              <w:t>New service</w:t>
            </w:r>
          </w:p>
        </w:tc>
        <w:tc>
          <w:tcPr>
            <w:tcW w:w="6272" w:type="dxa"/>
          </w:tcPr>
          <w:p w14:paraId="68E37D18" w14:textId="5F2B2C4A" w:rsidR="00D2577E" w:rsidRPr="0072705E" w:rsidRDefault="00D2577E" w:rsidP="0040008D">
            <w:pPr>
              <w:spacing w:before="120" w:after="0"/>
              <w:rPr>
                <w:rFonts w:cs="Arial"/>
                <w:color w:val="000000" w:themeColor="text1"/>
                <w:sz w:val="20"/>
                <w:szCs w:val="20"/>
              </w:rPr>
            </w:pPr>
            <w:r w:rsidRPr="00B9100C">
              <w:rPr>
                <w:rFonts w:cs="Arial"/>
                <w:color w:val="000000" w:themeColor="text1"/>
                <w:lang w:val="en-GB"/>
              </w:rPr>
              <w:t xml:space="preserve">Describes when </w:t>
            </w:r>
            <w:r>
              <w:rPr>
                <w:rFonts w:cs="Arial"/>
                <w:color w:val="000000" w:themeColor="text1"/>
                <w:lang w:val="en-GB"/>
              </w:rPr>
              <w:t xml:space="preserve">a </w:t>
            </w:r>
            <w:r w:rsidRPr="00B9100C">
              <w:rPr>
                <w:rFonts w:cs="Arial"/>
                <w:color w:val="000000" w:themeColor="text1"/>
                <w:lang w:val="en-GB"/>
              </w:rPr>
              <w:t>new service</w:t>
            </w:r>
            <w:r>
              <w:rPr>
                <w:rFonts w:cs="Arial"/>
                <w:color w:val="000000" w:themeColor="text1"/>
                <w:lang w:val="en-GB"/>
              </w:rPr>
              <w:t xml:space="preserve"> has</w:t>
            </w:r>
            <w:r w:rsidRPr="00B9100C">
              <w:rPr>
                <w:rFonts w:cs="Arial"/>
                <w:color w:val="000000" w:themeColor="text1"/>
                <w:lang w:val="en-GB"/>
              </w:rPr>
              <w:t xml:space="preserve"> been recommended, with </w:t>
            </w:r>
            <w:r>
              <w:rPr>
                <w:rFonts w:cs="Arial"/>
                <w:color w:val="000000" w:themeColor="text1"/>
                <w:lang w:val="en-GB"/>
              </w:rPr>
              <w:t>a new item number</w:t>
            </w:r>
            <w:r w:rsidRPr="00B9100C">
              <w:rPr>
                <w:rFonts w:cs="Arial"/>
                <w:color w:val="000000" w:themeColor="text1"/>
                <w:lang w:val="en-GB"/>
              </w:rPr>
              <w:t xml:space="preserve">. In most circumstances these will need to go through MSAC. It is worth noting that implementation of the recommendation may result in more or fewer item numbers than specifically stated.  </w:t>
            </w:r>
          </w:p>
        </w:tc>
      </w:tr>
      <w:tr w:rsidR="00D2577E" w:rsidRPr="00984BFF" w14:paraId="3ED25EFB" w14:textId="77777777" w:rsidTr="00040F54">
        <w:tc>
          <w:tcPr>
            <w:tcW w:w="2754" w:type="dxa"/>
          </w:tcPr>
          <w:p w14:paraId="72E7E35E" w14:textId="77777777" w:rsidR="00D2577E" w:rsidRPr="0072705E" w:rsidRDefault="00D2577E" w:rsidP="00D2577E">
            <w:pPr>
              <w:spacing w:before="120" w:after="0"/>
              <w:rPr>
                <w:b/>
                <w:sz w:val="20"/>
                <w:szCs w:val="20"/>
              </w:rPr>
            </w:pPr>
            <w:r>
              <w:rPr>
                <w:rFonts w:cs="Arial"/>
                <w:lang w:val="en-GB"/>
              </w:rPr>
              <w:t>No change or unchanged</w:t>
            </w:r>
          </w:p>
        </w:tc>
        <w:tc>
          <w:tcPr>
            <w:tcW w:w="6272" w:type="dxa"/>
          </w:tcPr>
          <w:p w14:paraId="450A7FB7" w14:textId="113B427E" w:rsidR="00D2577E" w:rsidRPr="0072705E" w:rsidRDefault="00D2577E" w:rsidP="0040008D">
            <w:pPr>
              <w:spacing w:before="120" w:after="0"/>
              <w:rPr>
                <w:rFonts w:cs="Arial"/>
                <w:color w:val="000000" w:themeColor="text1"/>
                <w:sz w:val="20"/>
                <w:szCs w:val="20"/>
              </w:rPr>
            </w:pPr>
            <w:r w:rsidRPr="00EB04B8">
              <w:rPr>
                <w:rFonts w:cs="Arial"/>
                <w:color w:val="000000" w:themeColor="text1"/>
                <w:lang w:val="en-GB"/>
              </w:rPr>
              <w:t>Describes when the services provided under these items will not be changed or affected by the recommendations. This does not rule out small changes in item descriptors (e.g. references to other items, which may have changed as a result of the MBS Review or prior reviews).</w:t>
            </w:r>
          </w:p>
        </w:tc>
      </w:tr>
      <w:tr w:rsidR="00D2577E" w:rsidRPr="00984BFF" w14:paraId="52041E38" w14:textId="77777777" w:rsidTr="00040F54">
        <w:tc>
          <w:tcPr>
            <w:tcW w:w="2754" w:type="dxa"/>
          </w:tcPr>
          <w:p w14:paraId="2792924F" w14:textId="7E5EE1A9" w:rsidR="00D2577E" w:rsidRDefault="00D2577E" w:rsidP="0040008D">
            <w:pPr>
              <w:spacing w:before="120" w:after="0"/>
              <w:rPr>
                <w:rFonts w:cs="Arial"/>
                <w:lang w:val="en-GB"/>
              </w:rPr>
            </w:pPr>
            <w:r w:rsidRPr="00E72750">
              <w:rPr>
                <w:rFonts w:cs="Arial"/>
                <w:lang w:val="en-GB"/>
              </w:rPr>
              <w:t>Obsolete services</w:t>
            </w:r>
            <w:r>
              <w:rPr>
                <w:rFonts w:cs="Arial"/>
                <w:lang w:val="en-GB"/>
              </w:rPr>
              <w:t xml:space="preserve">/items </w:t>
            </w:r>
          </w:p>
        </w:tc>
        <w:tc>
          <w:tcPr>
            <w:tcW w:w="6272" w:type="dxa"/>
          </w:tcPr>
          <w:p w14:paraId="3D03B358" w14:textId="77777777" w:rsidR="00D2577E" w:rsidRPr="00EB04B8" w:rsidRDefault="00D2577E" w:rsidP="00D2577E">
            <w:pPr>
              <w:spacing w:before="120" w:after="0"/>
              <w:rPr>
                <w:rFonts w:cs="Arial"/>
                <w:color w:val="000000" w:themeColor="text1"/>
                <w:lang w:val="en-GB"/>
              </w:rPr>
            </w:pPr>
            <w:r w:rsidRPr="00E72750">
              <w:rPr>
                <w:rFonts w:cs="Arial"/>
                <w:color w:val="000000" w:themeColor="text1"/>
                <w:lang w:val="en-GB"/>
              </w:rPr>
              <w:t>Services that should no longer be performed</w:t>
            </w:r>
            <w:r w:rsidR="0040008D">
              <w:rPr>
                <w:rFonts w:cs="Arial"/>
                <w:color w:val="000000" w:themeColor="text1"/>
                <w:lang w:val="en-GB"/>
              </w:rPr>
              <w:t>,</w:t>
            </w:r>
            <w:r w:rsidRPr="00E72750">
              <w:rPr>
                <w:rFonts w:cs="Arial"/>
                <w:color w:val="000000" w:themeColor="text1"/>
                <w:lang w:val="en-GB"/>
              </w:rPr>
              <w:t xml:space="preserve"> as they do not represent current clinical best practice and have been superseded by superior tests or procedures.</w:t>
            </w:r>
          </w:p>
        </w:tc>
      </w:tr>
      <w:tr w:rsidR="00D2577E" w:rsidRPr="00984BFF" w14:paraId="7A5C5BF0" w14:textId="77777777" w:rsidTr="00040F54">
        <w:tc>
          <w:tcPr>
            <w:tcW w:w="2754" w:type="dxa"/>
          </w:tcPr>
          <w:p w14:paraId="03082FBA" w14:textId="77777777" w:rsidR="00D2577E" w:rsidRPr="00E72750" w:rsidRDefault="00D2577E" w:rsidP="00D2577E">
            <w:pPr>
              <w:spacing w:before="120" w:after="0"/>
              <w:rPr>
                <w:rFonts w:cs="Arial"/>
                <w:lang w:val="en-GB"/>
              </w:rPr>
            </w:pPr>
            <w:r w:rsidRPr="00E72750">
              <w:rPr>
                <w:rFonts w:cs="Arial"/>
                <w:lang w:val="en-GB"/>
              </w:rPr>
              <w:t>OGCT</w:t>
            </w:r>
          </w:p>
        </w:tc>
        <w:tc>
          <w:tcPr>
            <w:tcW w:w="6272" w:type="dxa"/>
          </w:tcPr>
          <w:p w14:paraId="6C1B9CD4" w14:textId="77777777" w:rsidR="00D2577E" w:rsidRPr="00E72750" w:rsidRDefault="00D2577E" w:rsidP="00D2577E">
            <w:pPr>
              <w:spacing w:before="120" w:after="0"/>
              <w:rPr>
                <w:rFonts w:cs="Arial"/>
                <w:color w:val="000000" w:themeColor="text1"/>
                <w:lang w:val="en-GB"/>
              </w:rPr>
            </w:pPr>
            <w:r w:rsidRPr="00E72750">
              <w:rPr>
                <w:rFonts w:cs="Arial"/>
                <w:color w:val="000000" w:themeColor="text1"/>
                <w:lang w:val="en-GB"/>
              </w:rPr>
              <w:t>Oral glucose challenge test</w:t>
            </w:r>
          </w:p>
        </w:tc>
      </w:tr>
      <w:tr w:rsidR="00D2577E" w:rsidRPr="00984BFF" w14:paraId="79621469" w14:textId="77777777" w:rsidTr="00040F54">
        <w:tc>
          <w:tcPr>
            <w:tcW w:w="2754" w:type="dxa"/>
          </w:tcPr>
          <w:p w14:paraId="443FFEBF" w14:textId="77777777" w:rsidR="00D2577E" w:rsidRPr="00E72750" w:rsidRDefault="00D2577E" w:rsidP="00D2577E">
            <w:pPr>
              <w:spacing w:before="120" w:after="0"/>
              <w:rPr>
                <w:rFonts w:cs="Arial"/>
                <w:lang w:val="en-GB"/>
              </w:rPr>
            </w:pPr>
            <w:r w:rsidRPr="00E72750">
              <w:rPr>
                <w:rFonts w:cs="Arial"/>
                <w:lang w:val="en-GB"/>
              </w:rPr>
              <w:t>OGTT</w:t>
            </w:r>
          </w:p>
        </w:tc>
        <w:tc>
          <w:tcPr>
            <w:tcW w:w="6272" w:type="dxa"/>
          </w:tcPr>
          <w:p w14:paraId="661CC944" w14:textId="77777777" w:rsidR="00D2577E" w:rsidRPr="00E72750" w:rsidRDefault="00D2577E" w:rsidP="00D2577E">
            <w:pPr>
              <w:spacing w:before="120" w:after="0"/>
              <w:rPr>
                <w:rFonts w:cs="Arial"/>
                <w:color w:val="000000" w:themeColor="text1"/>
                <w:lang w:val="en-GB"/>
              </w:rPr>
            </w:pPr>
            <w:r w:rsidRPr="00E72750">
              <w:rPr>
                <w:rFonts w:cs="Arial"/>
                <w:color w:val="000000" w:themeColor="text1"/>
                <w:lang w:val="en-GB"/>
              </w:rPr>
              <w:t>Oral glucose tolerance test</w:t>
            </w:r>
          </w:p>
        </w:tc>
      </w:tr>
      <w:tr w:rsidR="00D2577E" w:rsidRPr="00984BFF" w14:paraId="7B305E5D" w14:textId="77777777" w:rsidTr="00040F54">
        <w:tc>
          <w:tcPr>
            <w:tcW w:w="2754" w:type="dxa"/>
          </w:tcPr>
          <w:p w14:paraId="42B5F0C3" w14:textId="77777777" w:rsidR="00D2577E" w:rsidRPr="00E72750" w:rsidRDefault="00D2577E" w:rsidP="00D2577E">
            <w:pPr>
              <w:spacing w:before="120" w:after="0"/>
              <w:rPr>
                <w:rFonts w:cs="Arial"/>
                <w:lang w:val="en-GB"/>
              </w:rPr>
            </w:pPr>
            <w:r w:rsidRPr="00E72750">
              <w:rPr>
                <w:rFonts w:cs="Arial"/>
                <w:lang w:val="en-GB"/>
              </w:rPr>
              <w:t>Pathology episode coning</w:t>
            </w:r>
          </w:p>
        </w:tc>
        <w:tc>
          <w:tcPr>
            <w:tcW w:w="6272" w:type="dxa"/>
          </w:tcPr>
          <w:p w14:paraId="58E242FA" w14:textId="77777777" w:rsidR="00D2577E" w:rsidRPr="00E72750" w:rsidRDefault="00D2577E" w:rsidP="00D2577E">
            <w:pPr>
              <w:spacing w:before="120" w:after="0"/>
              <w:rPr>
                <w:rFonts w:cs="Arial"/>
                <w:color w:val="000000" w:themeColor="text1"/>
                <w:lang w:val="en-GB"/>
              </w:rPr>
            </w:pPr>
            <w:r w:rsidRPr="00E72750">
              <w:rPr>
                <w:rFonts w:cs="Arial"/>
                <w:lang w:val="en-GB"/>
              </w:rPr>
              <w:t xml:space="preserve">An arrangement governing the amount of Medicare benefit payable for multiple pathology services performed in a single patient episode. When more than three pathology services are requested by a </w:t>
            </w:r>
            <w:r>
              <w:rPr>
                <w:rFonts w:cs="Arial"/>
                <w:lang w:val="en-GB"/>
              </w:rPr>
              <w:t>GP</w:t>
            </w:r>
            <w:r w:rsidRPr="00E72750">
              <w:rPr>
                <w:rFonts w:cs="Arial"/>
                <w:lang w:val="en-GB"/>
              </w:rPr>
              <w:t xml:space="preserve"> in a patient episode, the benefits payable are equivalent to the sum of the benefits for the three items with the highest schedule fees.</w:t>
            </w:r>
          </w:p>
        </w:tc>
      </w:tr>
      <w:tr w:rsidR="00D2577E" w:rsidRPr="00984BFF" w14:paraId="5126FE19" w14:textId="77777777" w:rsidTr="00040F54">
        <w:tc>
          <w:tcPr>
            <w:tcW w:w="2754" w:type="dxa"/>
          </w:tcPr>
          <w:p w14:paraId="09A1050F" w14:textId="77777777" w:rsidR="00D2577E" w:rsidRPr="00E72750" w:rsidRDefault="00D2577E" w:rsidP="00D2577E">
            <w:pPr>
              <w:spacing w:before="120" w:after="0"/>
              <w:rPr>
                <w:rFonts w:cs="Arial"/>
                <w:lang w:val="en-GB"/>
              </w:rPr>
            </w:pPr>
            <w:r w:rsidRPr="00E72750">
              <w:rPr>
                <w:rFonts w:cs="Arial"/>
                <w:lang w:val="en-GB"/>
              </w:rPr>
              <w:t>PBS</w:t>
            </w:r>
          </w:p>
        </w:tc>
        <w:tc>
          <w:tcPr>
            <w:tcW w:w="6272" w:type="dxa"/>
          </w:tcPr>
          <w:p w14:paraId="014BB9E4" w14:textId="77777777" w:rsidR="00D2577E" w:rsidRPr="00E72750" w:rsidRDefault="00D2577E" w:rsidP="00D2577E">
            <w:pPr>
              <w:spacing w:before="120" w:after="0"/>
              <w:rPr>
                <w:rFonts w:cs="Arial"/>
                <w:lang w:val="en-GB"/>
              </w:rPr>
            </w:pPr>
            <w:r w:rsidRPr="00E72750">
              <w:rPr>
                <w:rFonts w:cs="Arial"/>
                <w:lang w:val="en-GB"/>
              </w:rPr>
              <w:t>Pharmaceutical Benefits Scheme</w:t>
            </w:r>
          </w:p>
        </w:tc>
      </w:tr>
      <w:tr w:rsidR="00D2577E" w:rsidRPr="00984BFF" w14:paraId="4A966A64" w14:textId="77777777" w:rsidTr="00040F54">
        <w:tc>
          <w:tcPr>
            <w:tcW w:w="2754" w:type="dxa"/>
          </w:tcPr>
          <w:p w14:paraId="0F06A760" w14:textId="77777777" w:rsidR="00D2577E" w:rsidRPr="00E72750" w:rsidRDefault="00D2577E" w:rsidP="00D2577E">
            <w:pPr>
              <w:spacing w:before="120" w:after="0"/>
              <w:rPr>
                <w:rFonts w:cs="Arial"/>
                <w:lang w:val="en-GB"/>
              </w:rPr>
            </w:pPr>
            <w:r w:rsidRPr="00E72750">
              <w:rPr>
                <w:rFonts w:cs="Arial"/>
                <w:lang w:val="en-GB"/>
              </w:rPr>
              <w:t>RACGP</w:t>
            </w:r>
          </w:p>
        </w:tc>
        <w:tc>
          <w:tcPr>
            <w:tcW w:w="6272" w:type="dxa"/>
          </w:tcPr>
          <w:p w14:paraId="0D4FD476" w14:textId="77777777" w:rsidR="00D2577E" w:rsidRPr="00E72750" w:rsidRDefault="00D2577E" w:rsidP="00D2577E">
            <w:pPr>
              <w:spacing w:before="120" w:after="0"/>
              <w:rPr>
                <w:rFonts w:cs="Arial"/>
                <w:color w:val="000000" w:themeColor="text1"/>
                <w:lang w:val="en-GB"/>
              </w:rPr>
            </w:pPr>
            <w:r w:rsidRPr="00E72750">
              <w:rPr>
                <w:rFonts w:cs="Arial"/>
                <w:color w:val="000000" w:themeColor="text1"/>
                <w:lang w:val="en-GB"/>
              </w:rPr>
              <w:t>Royal Australian College of General Practitioners</w:t>
            </w:r>
          </w:p>
        </w:tc>
      </w:tr>
      <w:tr w:rsidR="00D2577E" w:rsidRPr="00984BFF" w14:paraId="77B2E644" w14:textId="77777777" w:rsidTr="00040F54">
        <w:tc>
          <w:tcPr>
            <w:tcW w:w="2754" w:type="dxa"/>
          </w:tcPr>
          <w:p w14:paraId="077C48A9" w14:textId="77777777" w:rsidR="00D2577E" w:rsidRPr="00E72750" w:rsidRDefault="00D2577E" w:rsidP="00D2577E">
            <w:pPr>
              <w:spacing w:before="120" w:after="0"/>
              <w:rPr>
                <w:rFonts w:cs="Arial"/>
                <w:lang w:val="en-GB"/>
              </w:rPr>
            </w:pPr>
            <w:r w:rsidRPr="00E72750">
              <w:rPr>
                <w:rFonts w:cs="Arial"/>
                <w:lang w:val="en-GB"/>
              </w:rPr>
              <w:t>TFT</w:t>
            </w:r>
          </w:p>
        </w:tc>
        <w:tc>
          <w:tcPr>
            <w:tcW w:w="6272" w:type="dxa"/>
          </w:tcPr>
          <w:p w14:paraId="45FC3610" w14:textId="77777777" w:rsidR="00D2577E" w:rsidRPr="00E72750" w:rsidRDefault="00D2577E" w:rsidP="00D2577E">
            <w:pPr>
              <w:spacing w:before="120" w:after="0"/>
              <w:rPr>
                <w:rFonts w:cs="Arial"/>
                <w:color w:val="000000" w:themeColor="text1"/>
                <w:lang w:val="en-GB"/>
              </w:rPr>
            </w:pPr>
            <w:r w:rsidRPr="00E72750">
              <w:rPr>
                <w:rFonts w:cs="Arial"/>
                <w:color w:val="000000" w:themeColor="text1"/>
                <w:lang w:val="en-GB"/>
              </w:rPr>
              <w:t>Thyroid function tests</w:t>
            </w:r>
          </w:p>
        </w:tc>
      </w:tr>
      <w:tr w:rsidR="00D2577E" w:rsidRPr="00984BFF" w14:paraId="69C5EF0C" w14:textId="77777777" w:rsidTr="00040F54">
        <w:tc>
          <w:tcPr>
            <w:tcW w:w="2754" w:type="dxa"/>
          </w:tcPr>
          <w:p w14:paraId="2538B278" w14:textId="77777777" w:rsidR="00D2577E" w:rsidRPr="00E72750" w:rsidRDefault="00D2577E" w:rsidP="00D2577E">
            <w:pPr>
              <w:spacing w:before="120" w:after="0"/>
              <w:rPr>
                <w:rFonts w:cs="Arial"/>
                <w:lang w:val="en-GB"/>
              </w:rPr>
            </w:pPr>
            <w:r w:rsidRPr="00E72750">
              <w:rPr>
                <w:rFonts w:cs="Arial"/>
                <w:lang w:val="en-GB"/>
              </w:rPr>
              <w:t xml:space="preserve">The Taskforce </w:t>
            </w:r>
          </w:p>
        </w:tc>
        <w:tc>
          <w:tcPr>
            <w:tcW w:w="6272" w:type="dxa"/>
          </w:tcPr>
          <w:p w14:paraId="0B237180" w14:textId="77777777" w:rsidR="00D2577E" w:rsidRPr="00E72750" w:rsidRDefault="00D2577E" w:rsidP="00D2577E">
            <w:pPr>
              <w:spacing w:before="120" w:after="0"/>
              <w:rPr>
                <w:rFonts w:cs="Arial"/>
                <w:color w:val="000000" w:themeColor="text1"/>
                <w:lang w:val="en-GB"/>
              </w:rPr>
            </w:pPr>
            <w:r w:rsidRPr="00E72750">
              <w:rPr>
                <w:rFonts w:cs="Arial"/>
                <w:color w:val="000000" w:themeColor="text1"/>
                <w:lang w:val="en-GB"/>
              </w:rPr>
              <w:t xml:space="preserve">MBS Review Taskforce </w:t>
            </w:r>
          </w:p>
        </w:tc>
      </w:tr>
      <w:tr w:rsidR="00D2577E" w:rsidRPr="00984BFF" w14:paraId="3D1886B0" w14:textId="77777777" w:rsidTr="00040F54">
        <w:tc>
          <w:tcPr>
            <w:tcW w:w="2754" w:type="dxa"/>
          </w:tcPr>
          <w:p w14:paraId="69709E5C" w14:textId="77777777" w:rsidR="00D2577E" w:rsidRPr="00E72750" w:rsidRDefault="00D2577E" w:rsidP="00D2577E">
            <w:pPr>
              <w:spacing w:before="120" w:after="0"/>
              <w:rPr>
                <w:rFonts w:cs="Arial"/>
                <w:lang w:val="en-GB"/>
              </w:rPr>
            </w:pPr>
            <w:r w:rsidRPr="00E72750">
              <w:rPr>
                <w:rFonts w:cs="Arial"/>
                <w:lang w:val="en-GB"/>
              </w:rPr>
              <w:t>TSH</w:t>
            </w:r>
          </w:p>
        </w:tc>
        <w:tc>
          <w:tcPr>
            <w:tcW w:w="6272" w:type="dxa"/>
          </w:tcPr>
          <w:p w14:paraId="20782B0E" w14:textId="5E80ACE7" w:rsidR="00E5655B" w:rsidRPr="00E72750" w:rsidRDefault="00D2577E" w:rsidP="00D2577E">
            <w:pPr>
              <w:spacing w:before="120" w:after="0"/>
              <w:rPr>
                <w:rFonts w:cs="Arial"/>
                <w:color w:val="000000" w:themeColor="text1"/>
                <w:lang w:val="en-GB"/>
              </w:rPr>
            </w:pPr>
            <w:r w:rsidRPr="00E72750">
              <w:rPr>
                <w:rFonts w:cs="Arial"/>
                <w:color w:val="000000" w:themeColor="text1"/>
                <w:lang w:val="en-GB"/>
              </w:rPr>
              <w:t>Thyroid stimulating hormone</w:t>
            </w:r>
          </w:p>
        </w:tc>
      </w:tr>
    </w:tbl>
    <w:p w14:paraId="20EC7BF4" w14:textId="11A1D2D9" w:rsidR="00E5655B" w:rsidRDefault="00E5655B" w:rsidP="00E5655B">
      <w:pPr>
        <w:pStyle w:val="AppendixStyle1"/>
        <w:numPr>
          <w:ilvl w:val="0"/>
          <w:numId w:val="0"/>
        </w:numPr>
        <w:ind w:left="2268"/>
      </w:pPr>
    </w:p>
    <w:p w14:paraId="1B5E7456" w14:textId="5C7BC35A" w:rsidR="00E5655B" w:rsidRPr="00E5655B" w:rsidRDefault="00E5655B" w:rsidP="00343B07">
      <w:pPr>
        <w:spacing w:before="0" w:after="0" w:line="240" w:lineRule="auto"/>
      </w:pPr>
      <w:r>
        <w:br w:type="page"/>
      </w:r>
    </w:p>
    <w:p w14:paraId="70F3D62A" w14:textId="77777777" w:rsidR="00EC3C52" w:rsidRDefault="00BC7152" w:rsidP="00EC3C52">
      <w:pPr>
        <w:pStyle w:val="AppendixStyle1"/>
        <w:ind w:left="2268" w:hanging="2268"/>
      </w:pPr>
      <w:bookmarkStart w:id="127" w:name="_Toc485295766"/>
      <w:bookmarkStart w:id="128" w:name="_Toc485296616"/>
      <w:r>
        <w:t>Endocrine-related pathology test items– Recommendations list</w:t>
      </w:r>
      <w:bookmarkEnd w:id="127"/>
      <w:bookmarkEnd w:id="128"/>
    </w:p>
    <w:p w14:paraId="556C0D5B" w14:textId="77777777" w:rsidR="00C4554C" w:rsidRPr="00C4554C" w:rsidRDefault="00C848B4" w:rsidP="00EE3CDA">
      <w:pPr>
        <w:pStyle w:val="Caption"/>
        <w:rPr>
          <w:lang w:val="en-US"/>
        </w:rPr>
      </w:pPr>
      <w:bookmarkStart w:id="129" w:name="_Toc472940513"/>
      <w:r>
        <w:rPr>
          <w:lang w:val="en-US"/>
        </w:rPr>
        <w:t>Table A1:</w:t>
      </w:r>
      <w:r>
        <w:rPr>
          <w:lang w:val="en-US"/>
        </w:rPr>
        <w:tab/>
      </w:r>
      <w:r w:rsidR="00BC7152">
        <w:rPr>
          <w:lang w:val="en-US"/>
        </w:rPr>
        <w:t xml:space="preserve">Endocrine pathology </w:t>
      </w:r>
      <w:r w:rsidR="00C4554C">
        <w:rPr>
          <w:lang w:val="en-US"/>
        </w:rPr>
        <w:t xml:space="preserve">MBS items </w:t>
      </w:r>
      <w:r w:rsidR="00277BC0">
        <w:rPr>
          <w:lang w:val="en-US"/>
        </w:rPr>
        <w:t>considered by the committee</w:t>
      </w:r>
      <w:bookmarkEnd w:id="129"/>
    </w:p>
    <w:tbl>
      <w:tblPr>
        <w:tblW w:w="8744" w:type="dxa"/>
        <w:jc w:val="center"/>
        <w:tblBorders>
          <w:top w:val="single" w:sz="4" w:space="0" w:color="B56012"/>
          <w:bottom w:val="single" w:sz="4" w:space="0" w:color="B56012"/>
          <w:insideH w:val="single" w:sz="4" w:space="0" w:color="B56012"/>
        </w:tblBorders>
        <w:tblLayout w:type="fixed"/>
        <w:tblCellMar>
          <w:left w:w="60" w:type="dxa"/>
          <w:right w:w="60" w:type="dxa"/>
        </w:tblCellMar>
        <w:tblLook w:val="0000" w:firstRow="0" w:lastRow="0" w:firstColumn="0" w:lastColumn="0" w:noHBand="0" w:noVBand="0"/>
        <w:tblCaption w:val="Endocrine pathology MBS items considered by the committee"/>
        <w:tblDescription w:val="This table lists the endocrine pathology MBS items considered by the Pathology Clinical Committee, and includes item numbers, current descriptors, recommendations and references to the relevant pages in this document"/>
      </w:tblPr>
      <w:tblGrid>
        <w:gridCol w:w="851"/>
        <w:gridCol w:w="4916"/>
        <w:gridCol w:w="1747"/>
        <w:gridCol w:w="1230"/>
      </w:tblGrid>
      <w:tr w:rsidR="00BC7152" w:rsidRPr="007F7B48" w14:paraId="68F0AD9F" w14:textId="77777777" w:rsidTr="00343B07">
        <w:trPr>
          <w:trHeight w:val="563"/>
          <w:tblHeader/>
          <w:jc w:val="center"/>
        </w:trPr>
        <w:tc>
          <w:tcPr>
            <w:tcW w:w="851" w:type="dxa"/>
            <w:shd w:val="clear" w:color="auto" w:fill="auto"/>
            <w:vAlign w:val="bottom"/>
          </w:tcPr>
          <w:p w14:paraId="2D493EE4" w14:textId="77777777" w:rsidR="00BC7152" w:rsidRPr="0040008D" w:rsidRDefault="00240E05" w:rsidP="0040008D">
            <w:pPr>
              <w:rPr>
                <w:b/>
              </w:rPr>
            </w:pPr>
            <w:r w:rsidRPr="006F1A8C">
              <w:rPr>
                <w:b/>
              </w:rPr>
              <w:t>Item</w:t>
            </w:r>
          </w:p>
        </w:tc>
        <w:tc>
          <w:tcPr>
            <w:tcW w:w="4916" w:type="dxa"/>
            <w:shd w:val="clear" w:color="auto" w:fill="auto"/>
            <w:vAlign w:val="bottom"/>
          </w:tcPr>
          <w:p w14:paraId="6DFE7AB4" w14:textId="77777777" w:rsidR="00BC7152" w:rsidRPr="0040008D" w:rsidRDefault="00240E05" w:rsidP="0040008D">
            <w:pPr>
              <w:rPr>
                <w:b/>
              </w:rPr>
            </w:pPr>
            <w:r w:rsidRPr="006F1A8C">
              <w:rPr>
                <w:b/>
              </w:rPr>
              <w:t xml:space="preserve">Current descriptor </w:t>
            </w:r>
          </w:p>
        </w:tc>
        <w:tc>
          <w:tcPr>
            <w:tcW w:w="1747" w:type="dxa"/>
            <w:vAlign w:val="bottom"/>
          </w:tcPr>
          <w:p w14:paraId="56B64F57" w14:textId="5C7A9628" w:rsidR="00BC7152" w:rsidRPr="0040008D" w:rsidRDefault="00240E05" w:rsidP="0040008D">
            <w:pPr>
              <w:rPr>
                <w:b/>
              </w:rPr>
            </w:pPr>
            <w:r w:rsidRPr="006F1A8C">
              <w:rPr>
                <w:b/>
              </w:rPr>
              <w:t>Recommendation</w:t>
            </w:r>
          </w:p>
        </w:tc>
        <w:tc>
          <w:tcPr>
            <w:tcW w:w="1230" w:type="dxa"/>
            <w:vAlign w:val="bottom"/>
          </w:tcPr>
          <w:p w14:paraId="2B0E9180" w14:textId="77777777" w:rsidR="00BC7152" w:rsidRPr="0040008D" w:rsidRDefault="00240E05" w:rsidP="0040008D">
            <w:pPr>
              <w:rPr>
                <w:b/>
              </w:rPr>
            </w:pPr>
            <w:r w:rsidRPr="006F1A8C">
              <w:rPr>
                <w:b/>
              </w:rPr>
              <w:t xml:space="preserve">Page reference </w:t>
            </w:r>
          </w:p>
        </w:tc>
      </w:tr>
      <w:tr w:rsidR="00BC7152" w:rsidRPr="00361E69" w14:paraId="5CE9A2F7" w14:textId="77777777" w:rsidTr="00343B07">
        <w:trPr>
          <w:trHeight w:val="563"/>
          <w:jc w:val="center"/>
        </w:trPr>
        <w:tc>
          <w:tcPr>
            <w:tcW w:w="851" w:type="dxa"/>
            <w:shd w:val="clear" w:color="auto" w:fill="auto"/>
          </w:tcPr>
          <w:p w14:paraId="74418998" w14:textId="77777777" w:rsidR="00BC7152" w:rsidRPr="00995D3F" w:rsidRDefault="00BC7152" w:rsidP="00BC7152">
            <w:pPr>
              <w:spacing w:before="40" w:after="40"/>
              <w:rPr>
                <w:b/>
                <w:sz w:val="18"/>
                <w:szCs w:val="18"/>
              </w:rPr>
            </w:pPr>
            <w:r w:rsidRPr="005D52C2">
              <w:t>66539</w:t>
            </w:r>
          </w:p>
        </w:tc>
        <w:tc>
          <w:tcPr>
            <w:tcW w:w="4916" w:type="dxa"/>
            <w:shd w:val="clear" w:color="auto" w:fill="auto"/>
          </w:tcPr>
          <w:p w14:paraId="11488E73" w14:textId="519883D1" w:rsidR="00BC7152" w:rsidRPr="003F4FE2" w:rsidRDefault="00BC7152" w:rsidP="0040008D">
            <w:pPr>
              <w:spacing w:before="40" w:after="40"/>
              <w:rPr>
                <w:sz w:val="18"/>
                <w:szCs w:val="18"/>
              </w:rPr>
            </w:pPr>
            <w:r w:rsidRPr="005D52C2">
              <w:t>Electrophoresis of serum for demonstration of lipoprotein subclasses, if the cholesterol is &gt;</w:t>
            </w:r>
            <w:r w:rsidR="0040008D">
              <w:t> </w:t>
            </w:r>
            <w:r w:rsidRPr="005D52C2">
              <w:t>6.</w:t>
            </w:r>
            <w:r w:rsidR="0040008D" w:rsidRPr="005D52C2">
              <w:t>5</w:t>
            </w:r>
            <w:r w:rsidR="0040008D">
              <w:t> </w:t>
            </w:r>
            <w:r w:rsidRPr="005D52C2">
              <w:t>mmol/</w:t>
            </w:r>
            <w:r w:rsidR="0040008D">
              <w:t>L</w:t>
            </w:r>
            <w:r w:rsidR="0040008D" w:rsidRPr="005D52C2">
              <w:t xml:space="preserve"> </w:t>
            </w:r>
            <w:r w:rsidRPr="005D52C2">
              <w:t>and triglyceride &gt;4.0 mmol/</w:t>
            </w:r>
            <w:r w:rsidR="0040008D">
              <w:t>L</w:t>
            </w:r>
            <w:r w:rsidR="0040008D" w:rsidRPr="005D52C2">
              <w:t xml:space="preserve"> </w:t>
            </w:r>
            <w:r w:rsidRPr="005D52C2">
              <w:t>or in the diagnosis of types iii and iv hyperlipidaemia – (Item is subject to rule 25).</w:t>
            </w:r>
          </w:p>
        </w:tc>
        <w:tc>
          <w:tcPr>
            <w:tcW w:w="1747" w:type="dxa"/>
          </w:tcPr>
          <w:p w14:paraId="278D7991" w14:textId="77777777" w:rsidR="00BC7152" w:rsidRPr="003F4FE2" w:rsidRDefault="00BC7152" w:rsidP="00BC7152">
            <w:pPr>
              <w:spacing w:before="40" w:after="40"/>
              <w:rPr>
                <w:sz w:val="18"/>
                <w:szCs w:val="18"/>
              </w:rPr>
            </w:pPr>
            <w:r w:rsidRPr="005D52C2">
              <w:t xml:space="preserve">Delete </w:t>
            </w:r>
          </w:p>
        </w:tc>
        <w:tc>
          <w:tcPr>
            <w:tcW w:w="1230" w:type="dxa"/>
          </w:tcPr>
          <w:p w14:paraId="797D7475" w14:textId="1E249DAD" w:rsidR="00BC7152" w:rsidRPr="003F4FE2" w:rsidRDefault="008C03EE" w:rsidP="00BC7152">
            <w:pPr>
              <w:spacing w:before="40" w:after="40"/>
              <w:rPr>
                <w:sz w:val="18"/>
                <w:szCs w:val="18"/>
              </w:rPr>
            </w:pPr>
            <w:r>
              <w:t>51</w:t>
            </w:r>
          </w:p>
        </w:tc>
      </w:tr>
      <w:tr w:rsidR="00BC7152" w:rsidRPr="00361E69" w14:paraId="173EA21B" w14:textId="77777777" w:rsidTr="00343B07">
        <w:trPr>
          <w:trHeight w:val="563"/>
          <w:jc w:val="center"/>
        </w:trPr>
        <w:tc>
          <w:tcPr>
            <w:tcW w:w="851" w:type="dxa"/>
            <w:shd w:val="clear" w:color="auto" w:fill="auto"/>
          </w:tcPr>
          <w:p w14:paraId="0A1DBE51" w14:textId="77777777" w:rsidR="00BC7152" w:rsidRPr="00995D3F" w:rsidRDefault="00BC7152" w:rsidP="00BC7152">
            <w:pPr>
              <w:spacing w:before="40" w:after="40"/>
              <w:rPr>
                <w:b/>
                <w:sz w:val="18"/>
                <w:szCs w:val="18"/>
              </w:rPr>
            </w:pPr>
            <w:r w:rsidRPr="005D52C2">
              <w:t>66542</w:t>
            </w:r>
          </w:p>
        </w:tc>
        <w:tc>
          <w:tcPr>
            <w:tcW w:w="4916" w:type="dxa"/>
            <w:shd w:val="clear" w:color="auto" w:fill="auto"/>
          </w:tcPr>
          <w:p w14:paraId="321AE213" w14:textId="77777777" w:rsidR="00BC7152" w:rsidRPr="003F4FE2" w:rsidRDefault="00BC7152" w:rsidP="00BC7152">
            <w:pPr>
              <w:spacing w:before="40" w:after="40"/>
              <w:rPr>
                <w:sz w:val="18"/>
                <w:szCs w:val="18"/>
              </w:rPr>
            </w:pPr>
            <w:r w:rsidRPr="005D52C2">
              <w:t>Oral glucose tolerance test for the diagnosis of diabetes mellitus that includes: (a) administration of glucose; (b) at least 2 measurements of blood glucose; and if performed (c) any test described in item 66695.</w:t>
            </w:r>
          </w:p>
        </w:tc>
        <w:tc>
          <w:tcPr>
            <w:tcW w:w="1747" w:type="dxa"/>
          </w:tcPr>
          <w:p w14:paraId="4C5FB2AA" w14:textId="77777777" w:rsidR="00BC7152" w:rsidRPr="003F4FE2" w:rsidRDefault="00BC7152" w:rsidP="00BC7152">
            <w:pPr>
              <w:autoSpaceDE w:val="0"/>
              <w:autoSpaceDN w:val="0"/>
              <w:adjustRightInd w:val="0"/>
              <w:spacing w:before="40" w:after="40"/>
              <w:rPr>
                <w:b/>
                <w:bCs/>
                <w:color w:val="000000"/>
                <w:sz w:val="18"/>
                <w:szCs w:val="18"/>
              </w:rPr>
            </w:pPr>
            <w:r w:rsidRPr="005D52C2">
              <w:t xml:space="preserve">Change </w:t>
            </w:r>
          </w:p>
        </w:tc>
        <w:tc>
          <w:tcPr>
            <w:tcW w:w="1230" w:type="dxa"/>
          </w:tcPr>
          <w:p w14:paraId="0E5613B4" w14:textId="333DD8B5" w:rsidR="00BC7152" w:rsidRPr="003F4FE2" w:rsidRDefault="008C03EE" w:rsidP="00BC7152">
            <w:pPr>
              <w:autoSpaceDE w:val="0"/>
              <w:autoSpaceDN w:val="0"/>
              <w:adjustRightInd w:val="0"/>
              <w:spacing w:before="40" w:after="40"/>
              <w:rPr>
                <w:b/>
                <w:bCs/>
                <w:color w:val="000000"/>
                <w:sz w:val="18"/>
                <w:szCs w:val="18"/>
              </w:rPr>
            </w:pPr>
            <w:r>
              <w:t>3</w:t>
            </w:r>
            <w:r w:rsidR="00BC7152" w:rsidRPr="005D52C2">
              <w:t>0</w:t>
            </w:r>
          </w:p>
        </w:tc>
      </w:tr>
      <w:tr w:rsidR="00BC7152" w:rsidRPr="00361E69" w14:paraId="71AB89C0" w14:textId="77777777" w:rsidTr="00343B07">
        <w:trPr>
          <w:trHeight w:val="563"/>
          <w:jc w:val="center"/>
        </w:trPr>
        <w:tc>
          <w:tcPr>
            <w:tcW w:w="851" w:type="dxa"/>
            <w:shd w:val="clear" w:color="auto" w:fill="auto"/>
          </w:tcPr>
          <w:p w14:paraId="58DDA4BF" w14:textId="77777777" w:rsidR="00BC7152" w:rsidRPr="00995D3F" w:rsidRDefault="00BC7152" w:rsidP="00BC7152">
            <w:pPr>
              <w:spacing w:before="40" w:after="40"/>
              <w:rPr>
                <w:b/>
                <w:sz w:val="18"/>
                <w:szCs w:val="18"/>
              </w:rPr>
            </w:pPr>
            <w:r w:rsidRPr="005D52C2">
              <w:t>66545</w:t>
            </w:r>
          </w:p>
        </w:tc>
        <w:tc>
          <w:tcPr>
            <w:tcW w:w="4916" w:type="dxa"/>
            <w:shd w:val="clear" w:color="auto" w:fill="auto"/>
          </w:tcPr>
          <w:p w14:paraId="4A062367" w14:textId="77777777" w:rsidR="00BC7152" w:rsidRPr="003F4FE2" w:rsidRDefault="00BC7152" w:rsidP="00BC7152">
            <w:pPr>
              <w:autoSpaceDE w:val="0"/>
              <w:autoSpaceDN w:val="0"/>
              <w:adjustRightInd w:val="0"/>
              <w:spacing w:before="40" w:after="40"/>
              <w:rPr>
                <w:b/>
                <w:bCs/>
                <w:color w:val="000000"/>
                <w:sz w:val="18"/>
                <w:szCs w:val="18"/>
              </w:rPr>
            </w:pPr>
            <w:r w:rsidRPr="005D52C2">
              <w:t>Oral glucose challenge test in pregnancy for the detection of gestational diabetes that includes: (a) administration of glucose; and (b) 1 or 2 measurements of blood glucose; and (c) (if performed) any test in item 66695.</w:t>
            </w:r>
          </w:p>
        </w:tc>
        <w:tc>
          <w:tcPr>
            <w:tcW w:w="1747" w:type="dxa"/>
          </w:tcPr>
          <w:p w14:paraId="68891576" w14:textId="77777777" w:rsidR="00BC7152" w:rsidRPr="003F4FE2" w:rsidRDefault="00BC7152" w:rsidP="00BC7152">
            <w:pPr>
              <w:autoSpaceDE w:val="0"/>
              <w:autoSpaceDN w:val="0"/>
              <w:adjustRightInd w:val="0"/>
              <w:spacing w:before="40" w:after="40"/>
              <w:rPr>
                <w:sz w:val="18"/>
                <w:szCs w:val="18"/>
              </w:rPr>
            </w:pPr>
            <w:r w:rsidRPr="005D52C2">
              <w:t xml:space="preserve">Delete </w:t>
            </w:r>
          </w:p>
        </w:tc>
        <w:tc>
          <w:tcPr>
            <w:tcW w:w="1230" w:type="dxa"/>
          </w:tcPr>
          <w:p w14:paraId="6E09310C" w14:textId="299C548E" w:rsidR="00BC7152" w:rsidRPr="003F4FE2" w:rsidRDefault="008C03EE" w:rsidP="00BC7152">
            <w:pPr>
              <w:autoSpaceDE w:val="0"/>
              <w:autoSpaceDN w:val="0"/>
              <w:adjustRightInd w:val="0"/>
              <w:spacing w:before="40" w:after="40"/>
              <w:rPr>
                <w:sz w:val="18"/>
                <w:szCs w:val="18"/>
              </w:rPr>
            </w:pPr>
            <w:r>
              <w:t>31</w:t>
            </w:r>
          </w:p>
        </w:tc>
      </w:tr>
      <w:tr w:rsidR="00BC7152" w:rsidRPr="00361E69" w14:paraId="64E20A42" w14:textId="77777777" w:rsidTr="00343B07">
        <w:trPr>
          <w:trHeight w:val="563"/>
          <w:jc w:val="center"/>
        </w:trPr>
        <w:tc>
          <w:tcPr>
            <w:tcW w:w="851" w:type="dxa"/>
            <w:shd w:val="clear" w:color="auto" w:fill="auto"/>
          </w:tcPr>
          <w:p w14:paraId="5CD07645" w14:textId="77777777" w:rsidR="00BC7152" w:rsidRPr="00995D3F" w:rsidRDefault="00BC7152" w:rsidP="00BC7152">
            <w:pPr>
              <w:spacing w:before="40" w:after="40"/>
              <w:rPr>
                <w:b/>
                <w:sz w:val="18"/>
                <w:szCs w:val="18"/>
              </w:rPr>
            </w:pPr>
            <w:r w:rsidRPr="005D52C2">
              <w:t>66548</w:t>
            </w:r>
          </w:p>
        </w:tc>
        <w:tc>
          <w:tcPr>
            <w:tcW w:w="4916" w:type="dxa"/>
            <w:shd w:val="clear" w:color="auto" w:fill="auto"/>
          </w:tcPr>
          <w:p w14:paraId="44562815" w14:textId="77777777" w:rsidR="00BC7152" w:rsidRPr="003F4FE2" w:rsidRDefault="00BC7152" w:rsidP="00BC7152">
            <w:pPr>
              <w:autoSpaceDE w:val="0"/>
              <w:autoSpaceDN w:val="0"/>
              <w:adjustRightInd w:val="0"/>
              <w:spacing w:before="40" w:after="40"/>
              <w:rPr>
                <w:sz w:val="18"/>
                <w:szCs w:val="18"/>
              </w:rPr>
            </w:pPr>
            <w:r w:rsidRPr="005D52C2">
              <w:t>Oral glucose tolerance test in pregnancy for the diagnosis of gestational diabetes that includes:</w:t>
            </w:r>
          </w:p>
        </w:tc>
        <w:tc>
          <w:tcPr>
            <w:tcW w:w="1747" w:type="dxa"/>
          </w:tcPr>
          <w:p w14:paraId="384C8080" w14:textId="77777777" w:rsidR="00BC7152" w:rsidRPr="003F4FE2" w:rsidRDefault="00BC7152" w:rsidP="00BC7152">
            <w:pPr>
              <w:autoSpaceDE w:val="0"/>
              <w:autoSpaceDN w:val="0"/>
              <w:adjustRightInd w:val="0"/>
              <w:spacing w:before="40" w:after="40"/>
              <w:rPr>
                <w:sz w:val="18"/>
                <w:szCs w:val="18"/>
              </w:rPr>
            </w:pPr>
            <w:r w:rsidRPr="005D52C2">
              <w:t xml:space="preserve">Change  </w:t>
            </w:r>
          </w:p>
        </w:tc>
        <w:tc>
          <w:tcPr>
            <w:tcW w:w="1230" w:type="dxa"/>
          </w:tcPr>
          <w:p w14:paraId="69EA844A" w14:textId="7E87CB11" w:rsidR="00BC7152" w:rsidRPr="003F4FE2" w:rsidRDefault="008C03EE" w:rsidP="00BC7152">
            <w:pPr>
              <w:autoSpaceDE w:val="0"/>
              <w:autoSpaceDN w:val="0"/>
              <w:adjustRightInd w:val="0"/>
              <w:spacing w:before="40" w:after="40"/>
              <w:rPr>
                <w:sz w:val="18"/>
                <w:szCs w:val="18"/>
              </w:rPr>
            </w:pPr>
            <w:r>
              <w:t>31</w:t>
            </w:r>
          </w:p>
        </w:tc>
      </w:tr>
      <w:tr w:rsidR="00BC7152" w:rsidRPr="00361E69" w14:paraId="45538067" w14:textId="77777777" w:rsidTr="00343B07">
        <w:trPr>
          <w:trHeight w:val="563"/>
          <w:jc w:val="center"/>
        </w:trPr>
        <w:tc>
          <w:tcPr>
            <w:tcW w:w="851" w:type="dxa"/>
            <w:shd w:val="clear" w:color="auto" w:fill="auto"/>
          </w:tcPr>
          <w:p w14:paraId="4EB07E16" w14:textId="77777777" w:rsidR="00BC7152" w:rsidRPr="00080FC1" w:rsidRDefault="00BC7152" w:rsidP="00BC7152">
            <w:pPr>
              <w:spacing w:before="40" w:after="40"/>
            </w:pPr>
            <w:r w:rsidRPr="005D52C2">
              <w:t>66551</w:t>
            </w:r>
          </w:p>
        </w:tc>
        <w:tc>
          <w:tcPr>
            <w:tcW w:w="4916" w:type="dxa"/>
            <w:shd w:val="clear" w:color="auto" w:fill="auto"/>
          </w:tcPr>
          <w:p w14:paraId="63E1F259" w14:textId="77777777" w:rsidR="00BC7152" w:rsidRPr="00080FC1" w:rsidRDefault="00BC7152" w:rsidP="00BC7152">
            <w:pPr>
              <w:autoSpaceDE w:val="0"/>
              <w:autoSpaceDN w:val="0"/>
              <w:adjustRightInd w:val="0"/>
              <w:spacing w:before="40" w:after="40"/>
            </w:pPr>
            <w:r w:rsidRPr="005D52C2">
              <w:t>Quantitation of glycated haemoglobin performed in the management of established diabetes – (item is subject to rule 25).</w:t>
            </w:r>
          </w:p>
        </w:tc>
        <w:tc>
          <w:tcPr>
            <w:tcW w:w="1747" w:type="dxa"/>
          </w:tcPr>
          <w:p w14:paraId="6E1B30CC"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242BF49A" w14:textId="4AA53567" w:rsidR="00BC7152" w:rsidRPr="00080FC1" w:rsidRDefault="008C03EE" w:rsidP="00BC7152">
            <w:pPr>
              <w:autoSpaceDE w:val="0"/>
              <w:autoSpaceDN w:val="0"/>
              <w:adjustRightInd w:val="0"/>
              <w:spacing w:before="40" w:after="40"/>
            </w:pPr>
            <w:r>
              <w:t>3</w:t>
            </w:r>
            <w:r w:rsidR="00BC7152" w:rsidRPr="005D52C2">
              <w:t>2</w:t>
            </w:r>
          </w:p>
        </w:tc>
      </w:tr>
      <w:tr w:rsidR="00BC7152" w:rsidRPr="00361E69" w14:paraId="6DBAE5CA" w14:textId="77777777" w:rsidTr="00343B07">
        <w:trPr>
          <w:trHeight w:val="563"/>
          <w:jc w:val="center"/>
        </w:trPr>
        <w:tc>
          <w:tcPr>
            <w:tcW w:w="851" w:type="dxa"/>
            <w:shd w:val="clear" w:color="auto" w:fill="auto"/>
          </w:tcPr>
          <w:p w14:paraId="2F71BBB2" w14:textId="77777777" w:rsidR="00BC7152" w:rsidRPr="00080FC1" w:rsidRDefault="00BC7152" w:rsidP="00BC7152">
            <w:pPr>
              <w:spacing w:before="40" w:after="40"/>
            </w:pPr>
            <w:r w:rsidRPr="005D52C2">
              <w:t>66554</w:t>
            </w:r>
          </w:p>
        </w:tc>
        <w:tc>
          <w:tcPr>
            <w:tcW w:w="4916" w:type="dxa"/>
            <w:shd w:val="clear" w:color="auto" w:fill="auto"/>
          </w:tcPr>
          <w:p w14:paraId="393A720F" w14:textId="77777777" w:rsidR="00BC7152" w:rsidRPr="00080FC1" w:rsidRDefault="00BC7152" w:rsidP="00BC7152">
            <w:pPr>
              <w:autoSpaceDE w:val="0"/>
              <w:autoSpaceDN w:val="0"/>
              <w:adjustRightInd w:val="0"/>
              <w:spacing w:before="40" w:after="40"/>
            </w:pPr>
            <w:r w:rsidRPr="005D52C2">
              <w:t>Quantitation of glycated haemoglobin performed in the management of pre-existing diabetes where the patient is pregnant – including a service in item 66551 (if performed) – (Item is subject to rule 25).</w:t>
            </w:r>
          </w:p>
        </w:tc>
        <w:tc>
          <w:tcPr>
            <w:tcW w:w="1747" w:type="dxa"/>
          </w:tcPr>
          <w:p w14:paraId="12366D7D"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4D130530" w14:textId="45B77B66" w:rsidR="00BC7152" w:rsidRPr="00080FC1" w:rsidRDefault="008C03EE" w:rsidP="00BC7152">
            <w:pPr>
              <w:autoSpaceDE w:val="0"/>
              <w:autoSpaceDN w:val="0"/>
              <w:adjustRightInd w:val="0"/>
              <w:spacing w:before="40" w:after="40"/>
            </w:pPr>
            <w:r>
              <w:t>3</w:t>
            </w:r>
            <w:r w:rsidR="00BC7152" w:rsidRPr="005D52C2">
              <w:t>2</w:t>
            </w:r>
          </w:p>
        </w:tc>
      </w:tr>
      <w:tr w:rsidR="00BC7152" w:rsidRPr="00361E69" w14:paraId="5A678821" w14:textId="77777777" w:rsidTr="00343B07">
        <w:trPr>
          <w:trHeight w:val="563"/>
          <w:jc w:val="center"/>
        </w:trPr>
        <w:tc>
          <w:tcPr>
            <w:tcW w:w="851" w:type="dxa"/>
            <w:shd w:val="clear" w:color="auto" w:fill="auto"/>
          </w:tcPr>
          <w:p w14:paraId="360E710B" w14:textId="77777777" w:rsidR="00BC7152" w:rsidRPr="00080FC1" w:rsidRDefault="00BC7152" w:rsidP="00BC7152">
            <w:pPr>
              <w:spacing w:before="40" w:after="40"/>
            </w:pPr>
            <w:r w:rsidRPr="005D52C2">
              <w:t>66557</w:t>
            </w:r>
          </w:p>
        </w:tc>
        <w:tc>
          <w:tcPr>
            <w:tcW w:w="4916" w:type="dxa"/>
            <w:shd w:val="clear" w:color="auto" w:fill="auto"/>
          </w:tcPr>
          <w:p w14:paraId="631373CF" w14:textId="77777777" w:rsidR="00BC7152" w:rsidRPr="00080FC1" w:rsidRDefault="00BC7152" w:rsidP="00BC7152">
            <w:pPr>
              <w:autoSpaceDE w:val="0"/>
              <w:autoSpaceDN w:val="0"/>
              <w:adjustRightInd w:val="0"/>
              <w:spacing w:before="40" w:after="40"/>
            </w:pPr>
            <w:r w:rsidRPr="005D52C2">
              <w:t>Quantitation of fructosamine performed in the management of established diabetes – each test to a maximum of 4 tests in a 12 month period.</w:t>
            </w:r>
          </w:p>
        </w:tc>
        <w:tc>
          <w:tcPr>
            <w:tcW w:w="1747" w:type="dxa"/>
          </w:tcPr>
          <w:p w14:paraId="7C4EAA9B"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70F3F76A" w14:textId="71D2D244" w:rsidR="00BC7152" w:rsidRPr="00080FC1" w:rsidRDefault="008C03EE" w:rsidP="00BC7152">
            <w:pPr>
              <w:autoSpaceDE w:val="0"/>
              <w:autoSpaceDN w:val="0"/>
              <w:adjustRightInd w:val="0"/>
              <w:spacing w:before="40" w:after="40"/>
            </w:pPr>
            <w:r>
              <w:t>36</w:t>
            </w:r>
          </w:p>
        </w:tc>
      </w:tr>
      <w:tr w:rsidR="00BC7152" w:rsidRPr="00361E69" w14:paraId="226710AF" w14:textId="77777777" w:rsidTr="00343B07">
        <w:trPr>
          <w:trHeight w:val="563"/>
          <w:jc w:val="center"/>
        </w:trPr>
        <w:tc>
          <w:tcPr>
            <w:tcW w:w="851" w:type="dxa"/>
            <w:shd w:val="clear" w:color="auto" w:fill="auto"/>
          </w:tcPr>
          <w:p w14:paraId="50DE461C" w14:textId="77777777" w:rsidR="00BC7152" w:rsidRPr="00080FC1" w:rsidRDefault="00BC7152" w:rsidP="00BC7152">
            <w:pPr>
              <w:spacing w:before="40" w:after="40"/>
            </w:pPr>
            <w:r w:rsidRPr="005D52C2">
              <w:t>66560</w:t>
            </w:r>
          </w:p>
        </w:tc>
        <w:tc>
          <w:tcPr>
            <w:tcW w:w="4916" w:type="dxa"/>
            <w:shd w:val="clear" w:color="auto" w:fill="auto"/>
          </w:tcPr>
          <w:p w14:paraId="7A347E21" w14:textId="77777777" w:rsidR="00BC7152" w:rsidRPr="00080FC1" w:rsidRDefault="00BC7152" w:rsidP="00BC7152">
            <w:pPr>
              <w:autoSpaceDE w:val="0"/>
              <w:autoSpaceDN w:val="0"/>
              <w:adjustRightInd w:val="0"/>
              <w:spacing w:before="40" w:after="40"/>
            </w:pPr>
            <w:r w:rsidRPr="005D52C2">
              <w:t>Microalbumin – quantitation in urine.</w:t>
            </w:r>
          </w:p>
        </w:tc>
        <w:tc>
          <w:tcPr>
            <w:tcW w:w="1747" w:type="dxa"/>
          </w:tcPr>
          <w:p w14:paraId="4AD7AFA6"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4F7A504A" w14:textId="53702CC1" w:rsidR="00BC7152" w:rsidRPr="00080FC1" w:rsidRDefault="008C03EE" w:rsidP="00BC7152">
            <w:pPr>
              <w:autoSpaceDE w:val="0"/>
              <w:autoSpaceDN w:val="0"/>
              <w:adjustRightInd w:val="0"/>
              <w:spacing w:before="40" w:after="40"/>
            </w:pPr>
            <w:r>
              <w:t>38</w:t>
            </w:r>
          </w:p>
        </w:tc>
      </w:tr>
      <w:tr w:rsidR="00BC7152" w:rsidRPr="00361E69" w14:paraId="0F132759" w14:textId="77777777" w:rsidTr="00343B07">
        <w:trPr>
          <w:trHeight w:val="563"/>
          <w:jc w:val="center"/>
        </w:trPr>
        <w:tc>
          <w:tcPr>
            <w:tcW w:w="851" w:type="dxa"/>
            <w:shd w:val="clear" w:color="auto" w:fill="auto"/>
          </w:tcPr>
          <w:p w14:paraId="66F7CF55" w14:textId="77777777" w:rsidR="00BC7152" w:rsidRPr="00080FC1" w:rsidRDefault="00BC7152" w:rsidP="00BC7152">
            <w:pPr>
              <w:spacing w:before="40" w:after="40"/>
            </w:pPr>
            <w:r w:rsidRPr="005D52C2">
              <w:t>66686</w:t>
            </w:r>
          </w:p>
        </w:tc>
        <w:tc>
          <w:tcPr>
            <w:tcW w:w="4916" w:type="dxa"/>
            <w:shd w:val="clear" w:color="auto" w:fill="auto"/>
          </w:tcPr>
          <w:p w14:paraId="4BD9CDD7" w14:textId="77777777" w:rsidR="00BC7152" w:rsidRPr="00080FC1" w:rsidRDefault="00BC7152" w:rsidP="00BC7152">
            <w:pPr>
              <w:autoSpaceDE w:val="0"/>
              <w:autoSpaceDN w:val="0"/>
              <w:adjustRightInd w:val="0"/>
              <w:spacing w:before="40" w:after="40"/>
            </w:pPr>
            <w:r w:rsidRPr="005D52C2">
              <w:t>Performance of 1 or more of the following procedures: (a) growth hormone suppression by glucose loading; (b) growth hormone stimulation by exercise; (c) dexamethasone suppression test; (d) sweat collection by iontophoresis for chloride analysis; (e) pharmacological stimulation of growth hormone.</w:t>
            </w:r>
          </w:p>
        </w:tc>
        <w:tc>
          <w:tcPr>
            <w:tcW w:w="1747" w:type="dxa"/>
          </w:tcPr>
          <w:p w14:paraId="7DBA8266"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77298653" w14:textId="3D346575" w:rsidR="00BC7152" w:rsidRPr="00080FC1" w:rsidRDefault="008C03EE" w:rsidP="00BC7152">
            <w:pPr>
              <w:autoSpaceDE w:val="0"/>
              <w:autoSpaceDN w:val="0"/>
              <w:adjustRightInd w:val="0"/>
              <w:spacing w:before="40" w:after="40"/>
            </w:pPr>
            <w:r>
              <w:t>48</w:t>
            </w:r>
          </w:p>
        </w:tc>
      </w:tr>
      <w:tr w:rsidR="00BC7152" w:rsidRPr="00361E69" w14:paraId="6C50EB2C" w14:textId="77777777" w:rsidTr="00343B07">
        <w:trPr>
          <w:trHeight w:val="563"/>
          <w:jc w:val="center"/>
        </w:trPr>
        <w:tc>
          <w:tcPr>
            <w:tcW w:w="851" w:type="dxa"/>
            <w:shd w:val="clear" w:color="auto" w:fill="auto"/>
          </w:tcPr>
          <w:p w14:paraId="6CD94B49" w14:textId="77777777" w:rsidR="00BC7152" w:rsidRPr="00080FC1" w:rsidRDefault="00BC7152" w:rsidP="00BC7152">
            <w:pPr>
              <w:spacing w:before="40" w:after="40"/>
            </w:pPr>
            <w:r w:rsidRPr="005D52C2">
              <w:t>66695</w:t>
            </w:r>
          </w:p>
        </w:tc>
        <w:tc>
          <w:tcPr>
            <w:tcW w:w="4916" w:type="dxa"/>
            <w:shd w:val="clear" w:color="auto" w:fill="auto"/>
          </w:tcPr>
          <w:p w14:paraId="672A1412" w14:textId="77777777" w:rsidR="00BC7152" w:rsidRPr="00080FC1" w:rsidRDefault="00BC7152" w:rsidP="00BC7152">
            <w:pPr>
              <w:autoSpaceDE w:val="0"/>
              <w:autoSpaceDN w:val="0"/>
              <w:adjustRightInd w:val="0"/>
              <w:spacing w:before="40" w:after="40"/>
            </w:pPr>
            <w:r w:rsidRPr="005D52C2">
              <w:t>Quantitation in blood or urine of hormones and hormone binding proteins – ACTH, aldosterone, androstenedione, C-peptide, calcitonin, cortisol, DHEAS, 11-deoxycortisol, dihydrotestosterone, FSH, gastrin, glucagon, growth hormone, hydroxyprogesterone, insulin, LH, oestradiol, oestrone, progesterone, prolactin, PTH, renin, sex hormone binding globulin, somatomedin C (IGF-1), free or total testosterone, urine steroid fraction or fractions, vasoactive intestinal peptide, – 1 test. (Item is subject to rule 6.)</w:t>
            </w:r>
          </w:p>
        </w:tc>
        <w:tc>
          <w:tcPr>
            <w:tcW w:w="1747" w:type="dxa"/>
          </w:tcPr>
          <w:p w14:paraId="5450EDC0"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3FBDB837" w14:textId="04551709" w:rsidR="00BC7152" w:rsidRPr="00080FC1" w:rsidRDefault="008C03EE" w:rsidP="00BC7152">
            <w:pPr>
              <w:autoSpaceDE w:val="0"/>
              <w:autoSpaceDN w:val="0"/>
              <w:adjustRightInd w:val="0"/>
              <w:spacing w:before="40" w:after="40"/>
            </w:pPr>
            <w:r>
              <w:t>42</w:t>
            </w:r>
          </w:p>
        </w:tc>
      </w:tr>
      <w:tr w:rsidR="00BC7152" w:rsidRPr="00361E69" w14:paraId="4CA947FB" w14:textId="77777777" w:rsidTr="00343B07">
        <w:trPr>
          <w:trHeight w:val="563"/>
          <w:jc w:val="center"/>
        </w:trPr>
        <w:tc>
          <w:tcPr>
            <w:tcW w:w="851" w:type="dxa"/>
            <w:shd w:val="clear" w:color="auto" w:fill="auto"/>
          </w:tcPr>
          <w:p w14:paraId="775AE4FA" w14:textId="77777777" w:rsidR="00BC7152" w:rsidRPr="00080FC1" w:rsidRDefault="00BC7152" w:rsidP="00BC7152">
            <w:pPr>
              <w:spacing w:before="40" w:after="40"/>
            </w:pPr>
            <w:r w:rsidRPr="005D52C2">
              <w:t>66696</w:t>
            </w:r>
          </w:p>
        </w:tc>
        <w:tc>
          <w:tcPr>
            <w:tcW w:w="4916" w:type="dxa"/>
            <w:shd w:val="clear" w:color="auto" w:fill="auto"/>
          </w:tcPr>
          <w:p w14:paraId="750F3D88" w14:textId="77777777" w:rsidR="00BC7152" w:rsidRPr="00080FC1" w:rsidRDefault="00BC7152" w:rsidP="00BC7152">
            <w:pPr>
              <w:autoSpaceDE w:val="0"/>
              <w:autoSpaceDN w:val="0"/>
              <w:adjustRightInd w:val="0"/>
              <w:spacing w:before="40" w:after="40"/>
            </w:pPr>
            <w:r w:rsidRPr="005D52C2">
              <w:t>A test described in item 66695, if rendered by a receiving APP – where no tests in the item have been rendered by the referring APP. (Item is subject to rule 6 and 18.)</w:t>
            </w:r>
          </w:p>
        </w:tc>
        <w:tc>
          <w:tcPr>
            <w:tcW w:w="1747" w:type="dxa"/>
          </w:tcPr>
          <w:p w14:paraId="64B88E34" w14:textId="7A72054F" w:rsidR="00BC7152" w:rsidRPr="00080FC1" w:rsidRDefault="008C03EE" w:rsidP="00BC7152">
            <w:pPr>
              <w:autoSpaceDE w:val="0"/>
              <w:autoSpaceDN w:val="0"/>
              <w:adjustRightInd w:val="0"/>
              <w:spacing w:before="40" w:after="40"/>
            </w:pPr>
            <w:r>
              <w:t>Pending</w:t>
            </w:r>
            <w:r w:rsidR="00BC7152" w:rsidRPr="005D52C2">
              <w:t xml:space="preserve"> </w:t>
            </w:r>
          </w:p>
        </w:tc>
        <w:tc>
          <w:tcPr>
            <w:tcW w:w="1230" w:type="dxa"/>
          </w:tcPr>
          <w:p w14:paraId="17344E37" w14:textId="2E56D36A" w:rsidR="00BC7152" w:rsidRPr="00080FC1" w:rsidRDefault="008C03EE" w:rsidP="00BC7152">
            <w:pPr>
              <w:autoSpaceDE w:val="0"/>
              <w:autoSpaceDN w:val="0"/>
              <w:adjustRightInd w:val="0"/>
              <w:spacing w:before="40" w:after="40"/>
            </w:pPr>
            <w:r>
              <w:t>42</w:t>
            </w:r>
          </w:p>
        </w:tc>
      </w:tr>
      <w:tr w:rsidR="00BC7152" w:rsidRPr="00361E69" w14:paraId="67DEDCAA" w14:textId="77777777" w:rsidTr="00343B07">
        <w:trPr>
          <w:trHeight w:val="563"/>
          <w:jc w:val="center"/>
        </w:trPr>
        <w:tc>
          <w:tcPr>
            <w:tcW w:w="851" w:type="dxa"/>
            <w:shd w:val="clear" w:color="auto" w:fill="auto"/>
          </w:tcPr>
          <w:p w14:paraId="153B4446" w14:textId="77777777" w:rsidR="00BC7152" w:rsidRPr="00080FC1" w:rsidRDefault="00BC7152" w:rsidP="00BC7152">
            <w:pPr>
              <w:spacing w:before="40" w:after="40"/>
            </w:pPr>
            <w:r w:rsidRPr="005D52C2">
              <w:t>66697</w:t>
            </w:r>
          </w:p>
        </w:tc>
        <w:tc>
          <w:tcPr>
            <w:tcW w:w="4916" w:type="dxa"/>
            <w:shd w:val="clear" w:color="auto" w:fill="auto"/>
          </w:tcPr>
          <w:p w14:paraId="1DB6EDF9" w14:textId="77777777" w:rsidR="00BC7152" w:rsidRPr="00080FC1" w:rsidRDefault="00BC7152" w:rsidP="00BC7152">
            <w:pPr>
              <w:autoSpaceDE w:val="0"/>
              <w:autoSpaceDN w:val="0"/>
              <w:adjustRightInd w:val="0"/>
              <w:spacing w:before="40" w:after="40"/>
            </w:pPr>
            <w:r w:rsidRPr="005D52C2">
              <w:t>Test described in item 66695, other than that described in 66696, if rendered by a receiving APP – each test to a maximum of 4 tests. (Item is subject to rule 6 and 18.)</w:t>
            </w:r>
          </w:p>
        </w:tc>
        <w:tc>
          <w:tcPr>
            <w:tcW w:w="1747" w:type="dxa"/>
          </w:tcPr>
          <w:p w14:paraId="0DD43A4F" w14:textId="7CA3B35B" w:rsidR="00BC7152" w:rsidRPr="00080FC1" w:rsidRDefault="008C03EE" w:rsidP="00BC7152">
            <w:pPr>
              <w:autoSpaceDE w:val="0"/>
              <w:autoSpaceDN w:val="0"/>
              <w:adjustRightInd w:val="0"/>
              <w:spacing w:before="40" w:after="40"/>
            </w:pPr>
            <w:r>
              <w:t>Pending</w:t>
            </w:r>
            <w:r w:rsidR="00BC7152" w:rsidRPr="005D52C2">
              <w:t xml:space="preserve"> </w:t>
            </w:r>
          </w:p>
        </w:tc>
        <w:tc>
          <w:tcPr>
            <w:tcW w:w="1230" w:type="dxa"/>
          </w:tcPr>
          <w:p w14:paraId="21CD9BCD" w14:textId="1AF69ABB" w:rsidR="00BC7152" w:rsidRPr="00080FC1" w:rsidRDefault="008C03EE" w:rsidP="00BC7152">
            <w:pPr>
              <w:autoSpaceDE w:val="0"/>
              <w:autoSpaceDN w:val="0"/>
              <w:adjustRightInd w:val="0"/>
              <w:spacing w:before="40" w:after="40"/>
            </w:pPr>
            <w:r>
              <w:t>42</w:t>
            </w:r>
          </w:p>
        </w:tc>
      </w:tr>
      <w:tr w:rsidR="00BC7152" w:rsidRPr="00361E69" w14:paraId="0E0B81C3" w14:textId="77777777" w:rsidTr="00343B07">
        <w:trPr>
          <w:trHeight w:val="563"/>
          <w:jc w:val="center"/>
        </w:trPr>
        <w:tc>
          <w:tcPr>
            <w:tcW w:w="851" w:type="dxa"/>
            <w:shd w:val="clear" w:color="auto" w:fill="auto"/>
          </w:tcPr>
          <w:p w14:paraId="6BC453C0" w14:textId="77777777" w:rsidR="00BC7152" w:rsidRPr="00080FC1" w:rsidRDefault="00BC7152" w:rsidP="00BC7152">
            <w:pPr>
              <w:spacing w:before="40" w:after="40"/>
            </w:pPr>
            <w:r w:rsidRPr="005D52C2">
              <w:t>66698</w:t>
            </w:r>
          </w:p>
        </w:tc>
        <w:tc>
          <w:tcPr>
            <w:tcW w:w="4916" w:type="dxa"/>
            <w:shd w:val="clear" w:color="auto" w:fill="auto"/>
          </w:tcPr>
          <w:p w14:paraId="65CDDF77" w14:textId="77777777" w:rsidR="00BC7152" w:rsidRPr="00080FC1" w:rsidRDefault="00BC7152" w:rsidP="00BC7152">
            <w:pPr>
              <w:autoSpaceDE w:val="0"/>
              <w:autoSpaceDN w:val="0"/>
              <w:adjustRightInd w:val="0"/>
              <w:spacing w:before="40" w:after="40"/>
            </w:pPr>
            <w:r w:rsidRPr="005D52C2">
              <w:t>2 tests described in item 66695. (Item is subject to rule 6.)</w:t>
            </w:r>
          </w:p>
        </w:tc>
        <w:tc>
          <w:tcPr>
            <w:tcW w:w="1747" w:type="dxa"/>
          </w:tcPr>
          <w:p w14:paraId="2602B5AB" w14:textId="4FBD322B" w:rsidR="00BC7152" w:rsidRPr="00080FC1" w:rsidRDefault="008C03EE" w:rsidP="00BC7152">
            <w:pPr>
              <w:autoSpaceDE w:val="0"/>
              <w:autoSpaceDN w:val="0"/>
              <w:adjustRightInd w:val="0"/>
              <w:spacing w:before="40" w:after="40"/>
            </w:pPr>
            <w:r>
              <w:t>Pending</w:t>
            </w:r>
            <w:r w:rsidR="00BC7152" w:rsidRPr="005D52C2">
              <w:t xml:space="preserve"> </w:t>
            </w:r>
          </w:p>
        </w:tc>
        <w:tc>
          <w:tcPr>
            <w:tcW w:w="1230" w:type="dxa"/>
          </w:tcPr>
          <w:p w14:paraId="51002801" w14:textId="429D58E3" w:rsidR="00BC7152" w:rsidRPr="00080FC1" w:rsidRDefault="008C03EE" w:rsidP="00BC7152">
            <w:pPr>
              <w:autoSpaceDE w:val="0"/>
              <w:autoSpaceDN w:val="0"/>
              <w:adjustRightInd w:val="0"/>
              <w:spacing w:before="40" w:after="40"/>
            </w:pPr>
            <w:r>
              <w:t>42</w:t>
            </w:r>
          </w:p>
        </w:tc>
      </w:tr>
      <w:tr w:rsidR="00BC7152" w:rsidRPr="00361E69" w14:paraId="4B1282EF" w14:textId="77777777" w:rsidTr="00343B07">
        <w:trPr>
          <w:trHeight w:val="563"/>
          <w:jc w:val="center"/>
        </w:trPr>
        <w:tc>
          <w:tcPr>
            <w:tcW w:w="851" w:type="dxa"/>
            <w:shd w:val="clear" w:color="auto" w:fill="auto"/>
          </w:tcPr>
          <w:p w14:paraId="6A7DCFAF" w14:textId="77777777" w:rsidR="00BC7152" w:rsidRPr="00080FC1" w:rsidRDefault="00BC7152" w:rsidP="00BC7152">
            <w:pPr>
              <w:spacing w:before="40" w:after="40"/>
            </w:pPr>
            <w:r w:rsidRPr="005D52C2">
              <w:t>66701</w:t>
            </w:r>
          </w:p>
        </w:tc>
        <w:tc>
          <w:tcPr>
            <w:tcW w:w="4916" w:type="dxa"/>
            <w:shd w:val="clear" w:color="auto" w:fill="auto"/>
          </w:tcPr>
          <w:p w14:paraId="77954F1A" w14:textId="77777777" w:rsidR="00BC7152" w:rsidRPr="00080FC1" w:rsidRDefault="00BC7152" w:rsidP="00BC7152">
            <w:pPr>
              <w:autoSpaceDE w:val="0"/>
              <w:autoSpaceDN w:val="0"/>
              <w:adjustRightInd w:val="0"/>
              <w:spacing w:before="40" w:after="40"/>
            </w:pPr>
            <w:r w:rsidRPr="005D52C2">
              <w:t>3 tests described in item 66695. (Item is subject to rule 6.)</w:t>
            </w:r>
          </w:p>
        </w:tc>
        <w:tc>
          <w:tcPr>
            <w:tcW w:w="1747" w:type="dxa"/>
          </w:tcPr>
          <w:p w14:paraId="3608932E" w14:textId="62BE5799" w:rsidR="00BC7152" w:rsidRPr="00080FC1" w:rsidRDefault="008C03EE" w:rsidP="00BC7152">
            <w:pPr>
              <w:autoSpaceDE w:val="0"/>
              <w:autoSpaceDN w:val="0"/>
              <w:adjustRightInd w:val="0"/>
              <w:spacing w:before="40" w:after="40"/>
            </w:pPr>
            <w:r>
              <w:t>Pending</w:t>
            </w:r>
            <w:r w:rsidR="00BC7152" w:rsidRPr="005D52C2">
              <w:t xml:space="preserve"> </w:t>
            </w:r>
          </w:p>
        </w:tc>
        <w:tc>
          <w:tcPr>
            <w:tcW w:w="1230" w:type="dxa"/>
          </w:tcPr>
          <w:p w14:paraId="02031392" w14:textId="1C4AB09A" w:rsidR="00BC7152" w:rsidRPr="00080FC1" w:rsidRDefault="008C03EE" w:rsidP="00BC7152">
            <w:pPr>
              <w:autoSpaceDE w:val="0"/>
              <w:autoSpaceDN w:val="0"/>
              <w:adjustRightInd w:val="0"/>
              <w:spacing w:before="40" w:after="40"/>
            </w:pPr>
            <w:r>
              <w:t>42</w:t>
            </w:r>
          </w:p>
        </w:tc>
      </w:tr>
      <w:tr w:rsidR="00BC7152" w:rsidRPr="00361E69" w14:paraId="5BF54C31" w14:textId="77777777" w:rsidTr="00343B07">
        <w:trPr>
          <w:trHeight w:val="563"/>
          <w:jc w:val="center"/>
        </w:trPr>
        <w:tc>
          <w:tcPr>
            <w:tcW w:w="851" w:type="dxa"/>
            <w:shd w:val="clear" w:color="auto" w:fill="auto"/>
          </w:tcPr>
          <w:p w14:paraId="2035DBD4" w14:textId="77777777" w:rsidR="00BC7152" w:rsidRPr="00080FC1" w:rsidRDefault="00BC7152" w:rsidP="00BC7152">
            <w:pPr>
              <w:spacing w:before="40" w:after="40"/>
            </w:pPr>
            <w:r w:rsidRPr="005D52C2">
              <w:t>66704</w:t>
            </w:r>
          </w:p>
        </w:tc>
        <w:tc>
          <w:tcPr>
            <w:tcW w:w="4916" w:type="dxa"/>
            <w:shd w:val="clear" w:color="auto" w:fill="auto"/>
          </w:tcPr>
          <w:p w14:paraId="4D3F05B1" w14:textId="77777777" w:rsidR="00BC7152" w:rsidRPr="00080FC1" w:rsidRDefault="00BC7152" w:rsidP="00BC7152">
            <w:pPr>
              <w:autoSpaceDE w:val="0"/>
              <w:autoSpaceDN w:val="0"/>
              <w:adjustRightInd w:val="0"/>
              <w:spacing w:before="40" w:after="40"/>
            </w:pPr>
            <w:r w:rsidRPr="005D52C2">
              <w:t>4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747" w:type="dxa"/>
          </w:tcPr>
          <w:p w14:paraId="05CA418E" w14:textId="01F8599D" w:rsidR="00BC7152" w:rsidRPr="00080FC1" w:rsidRDefault="008C03EE" w:rsidP="00BC7152">
            <w:pPr>
              <w:autoSpaceDE w:val="0"/>
              <w:autoSpaceDN w:val="0"/>
              <w:adjustRightInd w:val="0"/>
              <w:spacing w:before="40" w:after="40"/>
            </w:pPr>
            <w:r>
              <w:t>Pending</w:t>
            </w:r>
          </w:p>
        </w:tc>
        <w:tc>
          <w:tcPr>
            <w:tcW w:w="1230" w:type="dxa"/>
          </w:tcPr>
          <w:p w14:paraId="3B41876E" w14:textId="5FD53E58" w:rsidR="00BC7152" w:rsidRPr="00080FC1" w:rsidRDefault="008C03EE" w:rsidP="00BC7152">
            <w:pPr>
              <w:autoSpaceDE w:val="0"/>
              <w:autoSpaceDN w:val="0"/>
              <w:adjustRightInd w:val="0"/>
              <w:spacing w:before="40" w:after="40"/>
            </w:pPr>
            <w:r>
              <w:t>42</w:t>
            </w:r>
          </w:p>
        </w:tc>
      </w:tr>
      <w:tr w:rsidR="00BC7152" w:rsidRPr="00361E69" w14:paraId="21A8F32C" w14:textId="77777777" w:rsidTr="00343B07">
        <w:trPr>
          <w:trHeight w:val="563"/>
          <w:jc w:val="center"/>
        </w:trPr>
        <w:tc>
          <w:tcPr>
            <w:tcW w:w="851" w:type="dxa"/>
            <w:shd w:val="clear" w:color="auto" w:fill="auto"/>
          </w:tcPr>
          <w:p w14:paraId="6C78EDB5" w14:textId="77777777" w:rsidR="00BC7152" w:rsidRPr="00080FC1" w:rsidRDefault="00BC7152" w:rsidP="00BC7152">
            <w:pPr>
              <w:spacing w:before="40" w:after="40"/>
            </w:pPr>
            <w:r w:rsidRPr="005D52C2">
              <w:t>66707</w:t>
            </w:r>
          </w:p>
        </w:tc>
        <w:tc>
          <w:tcPr>
            <w:tcW w:w="4916" w:type="dxa"/>
            <w:shd w:val="clear" w:color="auto" w:fill="auto"/>
          </w:tcPr>
          <w:p w14:paraId="764426E5" w14:textId="77777777" w:rsidR="00BC7152" w:rsidRPr="00080FC1" w:rsidRDefault="00BC7152" w:rsidP="00BC7152">
            <w:pPr>
              <w:autoSpaceDE w:val="0"/>
              <w:autoSpaceDN w:val="0"/>
              <w:adjustRightInd w:val="0"/>
              <w:spacing w:before="40" w:after="40"/>
            </w:pPr>
            <w:r w:rsidRPr="005D52C2">
              <w:t>5 or more tests described in item 66695. (Item is subject to rule 6.)</w:t>
            </w:r>
          </w:p>
        </w:tc>
        <w:tc>
          <w:tcPr>
            <w:tcW w:w="1747" w:type="dxa"/>
          </w:tcPr>
          <w:p w14:paraId="2F951FFF" w14:textId="7248AFBF" w:rsidR="00BC7152" w:rsidRPr="00080FC1" w:rsidRDefault="008C03EE" w:rsidP="00BC7152">
            <w:pPr>
              <w:autoSpaceDE w:val="0"/>
              <w:autoSpaceDN w:val="0"/>
              <w:adjustRightInd w:val="0"/>
              <w:spacing w:before="40" w:after="40"/>
            </w:pPr>
            <w:r>
              <w:t>Pending</w:t>
            </w:r>
          </w:p>
        </w:tc>
        <w:tc>
          <w:tcPr>
            <w:tcW w:w="1230" w:type="dxa"/>
          </w:tcPr>
          <w:p w14:paraId="06F93668" w14:textId="246EE5F1" w:rsidR="00BC7152" w:rsidRPr="00080FC1" w:rsidRDefault="008C03EE" w:rsidP="00BC7152">
            <w:pPr>
              <w:autoSpaceDE w:val="0"/>
              <w:autoSpaceDN w:val="0"/>
              <w:adjustRightInd w:val="0"/>
              <w:spacing w:before="40" w:after="40"/>
            </w:pPr>
            <w:r>
              <w:t>42</w:t>
            </w:r>
          </w:p>
        </w:tc>
      </w:tr>
      <w:tr w:rsidR="00BC7152" w:rsidRPr="00361E69" w14:paraId="78EE133A" w14:textId="77777777" w:rsidTr="00343B07">
        <w:trPr>
          <w:trHeight w:val="563"/>
          <w:jc w:val="center"/>
        </w:trPr>
        <w:tc>
          <w:tcPr>
            <w:tcW w:w="851" w:type="dxa"/>
            <w:shd w:val="clear" w:color="auto" w:fill="auto"/>
          </w:tcPr>
          <w:p w14:paraId="6985AC15" w14:textId="77777777" w:rsidR="00BC7152" w:rsidRPr="00080FC1" w:rsidRDefault="00BC7152" w:rsidP="00BC7152">
            <w:pPr>
              <w:spacing w:before="40" w:after="40"/>
            </w:pPr>
            <w:r w:rsidRPr="005D52C2">
              <w:t>66711</w:t>
            </w:r>
          </w:p>
        </w:tc>
        <w:tc>
          <w:tcPr>
            <w:tcW w:w="4916" w:type="dxa"/>
            <w:shd w:val="clear" w:color="auto" w:fill="auto"/>
          </w:tcPr>
          <w:p w14:paraId="48279E4F" w14:textId="77777777" w:rsidR="00BC7152" w:rsidRPr="00080FC1" w:rsidRDefault="00BC7152" w:rsidP="00BC7152">
            <w:pPr>
              <w:autoSpaceDE w:val="0"/>
              <w:autoSpaceDN w:val="0"/>
              <w:adjustRightInd w:val="0"/>
              <w:spacing w:before="40" w:after="40"/>
            </w:pPr>
            <w:r w:rsidRPr="005D52C2">
              <w:t>Quantitation in saliva of cortisol in: (a) the investigation of Cushing's syndrome; or (b) the management of children with congenital adrenal hyperplasia. (Item is subject to rule 6.)</w:t>
            </w:r>
          </w:p>
        </w:tc>
        <w:tc>
          <w:tcPr>
            <w:tcW w:w="1747" w:type="dxa"/>
          </w:tcPr>
          <w:p w14:paraId="32F12021"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676A6D40" w14:textId="3B70399E" w:rsidR="00BC7152" w:rsidRPr="00080FC1" w:rsidRDefault="008C03EE" w:rsidP="00BC7152">
            <w:pPr>
              <w:autoSpaceDE w:val="0"/>
              <w:autoSpaceDN w:val="0"/>
              <w:adjustRightInd w:val="0"/>
              <w:spacing w:before="40" w:after="40"/>
            </w:pPr>
            <w:r>
              <w:t>49</w:t>
            </w:r>
          </w:p>
        </w:tc>
      </w:tr>
      <w:tr w:rsidR="00BC7152" w:rsidRPr="00361E69" w14:paraId="548212E2" w14:textId="77777777" w:rsidTr="00343B07">
        <w:trPr>
          <w:trHeight w:val="563"/>
          <w:jc w:val="center"/>
        </w:trPr>
        <w:tc>
          <w:tcPr>
            <w:tcW w:w="851" w:type="dxa"/>
            <w:shd w:val="clear" w:color="auto" w:fill="auto"/>
          </w:tcPr>
          <w:p w14:paraId="6064963F" w14:textId="77777777" w:rsidR="00BC7152" w:rsidRPr="00080FC1" w:rsidRDefault="00BC7152" w:rsidP="00BC7152">
            <w:pPr>
              <w:spacing w:before="40" w:after="40"/>
            </w:pPr>
            <w:r w:rsidRPr="005D52C2">
              <w:t>66712</w:t>
            </w:r>
          </w:p>
        </w:tc>
        <w:tc>
          <w:tcPr>
            <w:tcW w:w="4916" w:type="dxa"/>
            <w:shd w:val="clear" w:color="auto" w:fill="auto"/>
          </w:tcPr>
          <w:p w14:paraId="0DE4EA99" w14:textId="77777777" w:rsidR="00BC7152" w:rsidRPr="00080FC1" w:rsidRDefault="00BC7152" w:rsidP="00BC7152">
            <w:pPr>
              <w:autoSpaceDE w:val="0"/>
              <w:autoSpaceDN w:val="0"/>
              <w:adjustRightInd w:val="0"/>
              <w:spacing w:before="40" w:after="40"/>
            </w:pPr>
            <w:r w:rsidRPr="005D52C2">
              <w:t>Two tests described in item 66711. (Item is subject to rule 6.)</w:t>
            </w:r>
          </w:p>
        </w:tc>
        <w:tc>
          <w:tcPr>
            <w:tcW w:w="1747" w:type="dxa"/>
          </w:tcPr>
          <w:p w14:paraId="22089ECA"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3FC06F7E" w14:textId="06A1B95E" w:rsidR="00BC7152" w:rsidRPr="00080FC1" w:rsidRDefault="008C03EE" w:rsidP="00BC7152">
            <w:pPr>
              <w:autoSpaceDE w:val="0"/>
              <w:autoSpaceDN w:val="0"/>
              <w:adjustRightInd w:val="0"/>
              <w:spacing w:before="40" w:after="40"/>
            </w:pPr>
            <w:r>
              <w:t>49</w:t>
            </w:r>
          </w:p>
        </w:tc>
      </w:tr>
      <w:tr w:rsidR="00BC7152" w:rsidRPr="00361E69" w14:paraId="06F9AE06" w14:textId="77777777" w:rsidTr="00343B07">
        <w:trPr>
          <w:trHeight w:val="563"/>
          <w:jc w:val="center"/>
        </w:trPr>
        <w:tc>
          <w:tcPr>
            <w:tcW w:w="851" w:type="dxa"/>
            <w:shd w:val="clear" w:color="auto" w:fill="auto"/>
          </w:tcPr>
          <w:p w14:paraId="1D1B4756" w14:textId="77777777" w:rsidR="00BC7152" w:rsidRPr="00080FC1" w:rsidRDefault="00BC7152" w:rsidP="00BC7152">
            <w:pPr>
              <w:spacing w:before="40" w:after="40"/>
            </w:pPr>
            <w:r w:rsidRPr="005D52C2">
              <w:t>66714</w:t>
            </w:r>
          </w:p>
        </w:tc>
        <w:tc>
          <w:tcPr>
            <w:tcW w:w="4916" w:type="dxa"/>
            <w:shd w:val="clear" w:color="auto" w:fill="auto"/>
          </w:tcPr>
          <w:p w14:paraId="3A8C82E9" w14:textId="77777777" w:rsidR="00BC7152" w:rsidRPr="00080FC1" w:rsidRDefault="00BC7152" w:rsidP="00BC7152">
            <w:pPr>
              <w:autoSpaceDE w:val="0"/>
              <w:autoSpaceDN w:val="0"/>
              <w:adjustRightInd w:val="0"/>
              <w:spacing w:before="40" w:after="40"/>
            </w:pPr>
            <w:r w:rsidRPr="005D52C2">
              <w:t>A test described in item 66711, if rendered by a receiving APP, where no tests in the item have been rendered by the referring APP. (Item is subject to rule 6 and 18.)</w:t>
            </w:r>
          </w:p>
        </w:tc>
        <w:tc>
          <w:tcPr>
            <w:tcW w:w="1747" w:type="dxa"/>
          </w:tcPr>
          <w:p w14:paraId="3B87083A"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46535BE8" w14:textId="112D78C8" w:rsidR="00BC7152" w:rsidRPr="00080FC1" w:rsidRDefault="008C03EE" w:rsidP="00BC7152">
            <w:pPr>
              <w:autoSpaceDE w:val="0"/>
              <w:autoSpaceDN w:val="0"/>
              <w:adjustRightInd w:val="0"/>
              <w:spacing w:before="40" w:after="40"/>
            </w:pPr>
            <w:r>
              <w:t>49</w:t>
            </w:r>
          </w:p>
        </w:tc>
      </w:tr>
      <w:tr w:rsidR="00BC7152" w:rsidRPr="00361E69" w14:paraId="1C812195" w14:textId="77777777" w:rsidTr="00343B07">
        <w:trPr>
          <w:trHeight w:val="563"/>
          <w:jc w:val="center"/>
        </w:trPr>
        <w:tc>
          <w:tcPr>
            <w:tcW w:w="851" w:type="dxa"/>
            <w:shd w:val="clear" w:color="auto" w:fill="auto"/>
          </w:tcPr>
          <w:p w14:paraId="3395CE62" w14:textId="77777777" w:rsidR="00BC7152" w:rsidRPr="00080FC1" w:rsidRDefault="00BC7152" w:rsidP="00BC7152">
            <w:pPr>
              <w:spacing w:before="40" w:after="40"/>
            </w:pPr>
            <w:r w:rsidRPr="005D52C2">
              <w:t>66715</w:t>
            </w:r>
          </w:p>
        </w:tc>
        <w:tc>
          <w:tcPr>
            <w:tcW w:w="4916" w:type="dxa"/>
            <w:shd w:val="clear" w:color="auto" w:fill="auto"/>
          </w:tcPr>
          <w:p w14:paraId="151B53E8" w14:textId="77777777" w:rsidR="00BC7152" w:rsidRPr="00080FC1" w:rsidRDefault="00BC7152" w:rsidP="00BC7152">
            <w:pPr>
              <w:autoSpaceDE w:val="0"/>
              <w:autoSpaceDN w:val="0"/>
              <w:adjustRightInd w:val="0"/>
              <w:spacing w:before="40" w:after="40"/>
            </w:pPr>
            <w:r w:rsidRPr="005D52C2">
              <w:t>Tests described in item 66711, other than that described in 66714, if rendered by a receiving APP, each test to a maximum of 1 test. (Item is subject to rule 6 and 18.)</w:t>
            </w:r>
          </w:p>
        </w:tc>
        <w:tc>
          <w:tcPr>
            <w:tcW w:w="1747" w:type="dxa"/>
          </w:tcPr>
          <w:p w14:paraId="546E97A3"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31BC3670" w14:textId="65AFDD3C" w:rsidR="00BC7152" w:rsidRPr="00080FC1" w:rsidRDefault="008C03EE" w:rsidP="00BC7152">
            <w:pPr>
              <w:autoSpaceDE w:val="0"/>
              <w:autoSpaceDN w:val="0"/>
              <w:adjustRightInd w:val="0"/>
              <w:spacing w:before="40" w:after="40"/>
            </w:pPr>
            <w:r>
              <w:t>49</w:t>
            </w:r>
          </w:p>
        </w:tc>
      </w:tr>
      <w:tr w:rsidR="00BC7152" w:rsidRPr="00361E69" w14:paraId="022FE5A1" w14:textId="77777777" w:rsidTr="00343B07">
        <w:trPr>
          <w:trHeight w:val="563"/>
          <w:jc w:val="center"/>
        </w:trPr>
        <w:tc>
          <w:tcPr>
            <w:tcW w:w="851" w:type="dxa"/>
            <w:shd w:val="clear" w:color="auto" w:fill="auto"/>
          </w:tcPr>
          <w:p w14:paraId="20F22221" w14:textId="77777777" w:rsidR="00BC7152" w:rsidRPr="00080FC1" w:rsidRDefault="00BC7152" w:rsidP="00BC7152">
            <w:pPr>
              <w:spacing w:before="40" w:after="40"/>
            </w:pPr>
            <w:r w:rsidRPr="005D52C2">
              <w:t>66716</w:t>
            </w:r>
          </w:p>
        </w:tc>
        <w:tc>
          <w:tcPr>
            <w:tcW w:w="4916" w:type="dxa"/>
            <w:shd w:val="clear" w:color="auto" w:fill="auto"/>
          </w:tcPr>
          <w:p w14:paraId="04140D08" w14:textId="77777777" w:rsidR="00BC7152" w:rsidRPr="00080FC1" w:rsidRDefault="00BC7152" w:rsidP="00BC7152">
            <w:pPr>
              <w:autoSpaceDE w:val="0"/>
              <w:autoSpaceDN w:val="0"/>
              <w:adjustRightInd w:val="0"/>
              <w:spacing w:before="40" w:after="40"/>
            </w:pPr>
            <w:r w:rsidRPr="005D52C2">
              <w:t>TSH quantitation</w:t>
            </w:r>
          </w:p>
        </w:tc>
        <w:tc>
          <w:tcPr>
            <w:tcW w:w="1747" w:type="dxa"/>
          </w:tcPr>
          <w:p w14:paraId="1044927F"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31B4DA85" w14:textId="0CCA7399" w:rsidR="00BC7152" w:rsidRPr="00080FC1" w:rsidRDefault="00BC7152" w:rsidP="008C03EE">
            <w:pPr>
              <w:autoSpaceDE w:val="0"/>
              <w:autoSpaceDN w:val="0"/>
              <w:adjustRightInd w:val="0"/>
              <w:spacing w:before="40" w:after="40"/>
            </w:pPr>
            <w:r w:rsidRPr="005D52C2">
              <w:t>1</w:t>
            </w:r>
            <w:r w:rsidR="008C03EE">
              <w:t>6</w:t>
            </w:r>
          </w:p>
        </w:tc>
      </w:tr>
      <w:tr w:rsidR="00BC7152" w:rsidRPr="00361E69" w14:paraId="08C45B84" w14:textId="77777777" w:rsidTr="00343B07">
        <w:trPr>
          <w:trHeight w:val="563"/>
          <w:jc w:val="center"/>
        </w:trPr>
        <w:tc>
          <w:tcPr>
            <w:tcW w:w="851" w:type="dxa"/>
            <w:shd w:val="clear" w:color="auto" w:fill="auto"/>
          </w:tcPr>
          <w:p w14:paraId="028905A4" w14:textId="77777777" w:rsidR="00BC7152" w:rsidRPr="00080FC1" w:rsidRDefault="00BC7152" w:rsidP="00BC7152">
            <w:pPr>
              <w:spacing w:before="40" w:after="40"/>
            </w:pPr>
            <w:r w:rsidRPr="005D52C2">
              <w:t>66719</w:t>
            </w:r>
          </w:p>
        </w:tc>
        <w:tc>
          <w:tcPr>
            <w:tcW w:w="4916" w:type="dxa"/>
            <w:shd w:val="clear" w:color="auto" w:fill="auto"/>
          </w:tcPr>
          <w:p w14:paraId="5DAA283D" w14:textId="6305BB58" w:rsidR="00BC7152" w:rsidRPr="00080FC1" w:rsidRDefault="00BC7152" w:rsidP="00C730F7">
            <w:pPr>
              <w:autoSpaceDE w:val="0"/>
              <w:autoSpaceDN w:val="0"/>
              <w:adjustRightInd w:val="0"/>
              <w:spacing w:before="40" w:after="40"/>
            </w:pPr>
            <w:r w:rsidRPr="005D52C2">
              <w:t xml:space="preserve">Thyroid function tests (comprising the service described in item 66716 and 1 or more of the following tests – free thyroxine, free t3, for a patient, if at least 1 of the following conditions is satisfied: (a) the patient has an abnormal level of </w:t>
            </w:r>
            <w:r w:rsidR="00C730F7">
              <w:t>TSH</w:t>
            </w:r>
            <w:r w:rsidRPr="005D52C2">
              <w:t>; (b) the tests are performed: (i) for the purpose of monitoring thyroid disease in the patient; or (ii) to investigate the sick euthyroid syndrome if the patient is an admitted patient; or (iii) to investigate dementia or psychiatric illness of the patient; or (iv) to investigate amenorrhoea or infertility of the patient; (c) the medical practitioner who requested the tests suspects the patient has a pituitary dysfunction; (d) the patient is on drugs that interfere with thyroid hormone metabolism or function. (Item is subject to rule 9.)</w:t>
            </w:r>
          </w:p>
        </w:tc>
        <w:tc>
          <w:tcPr>
            <w:tcW w:w="1747" w:type="dxa"/>
          </w:tcPr>
          <w:p w14:paraId="63D69DD2"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3B71688A" w14:textId="5CEBFCF0" w:rsidR="00BC7152" w:rsidRPr="00080FC1" w:rsidRDefault="00082CEB" w:rsidP="00BC7152">
            <w:pPr>
              <w:autoSpaceDE w:val="0"/>
              <w:autoSpaceDN w:val="0"/>
              <w:adjustRightInd w:val="0"/>
              <w:spacing w:before="40" w:after="40"/>
            </w:pPr>
            <w:r>
              <w:t>23</w:t>
            </w:r>
          </w:p>
        </w:tc>
      </w:tr>
      <w:tr w:rsidR="00BC7152" w:rsidRPr="00361E69" w14:paraId="35DD8428" w14:textId="77777777" w:rsidTr="00343B07">
        <w:trPr>
          <w:trHeight w:val="563"/>
          <w:jc w:val="center"/>
        </w:trPr>
        <w:tc>
          <w:tcPr>
            <w:tcW w:w="851" w:type="dxa"/>
            <w:shd w:val="clear" w:color="auto" w:fill="auto"/>
          </w:tcPr>
          <w:p w14:paraId="6FF78136" w14:textId="77777777" w:rsidR="00BC7152" w:rsidRPr="00080FC1" w:rsidRDefault="00BC7152" w:rsidP="00BC7152">
            <w:pPr>
              <w:spacing w:before="40" w:after="40"/>
            </w:pPr>
            <w:r w:rsidRPr="005D52C2">
              <w:t>66722</w:t>
            </w:r>
          </w:p>
        </w:tc>
        <w:tc>
          <w:tcPr>
            <w:tcW w:w="4916" w:type="dxa"/>
            <w:shd w:val="clear" w:color="auto" w:fill="auto"/>
          </w:tcPr>
          <w:p w14:paraId="0524DF8B" w14:textId="77777777" w:rsidR="00BC7152" w:rsidRPr="00080FC1" w:rsidRDefault="00BC7152" w:rsidP="00BC7152">
            <w:pPr>
              <w:autoSpaceDE w:val="0"/>
              <w:autoSpaceDN w:val="0"/>
              <w:adjustRightInd w:val="0"/>
              <w:spacing w:before="40" w:after="40"/>
            </w:pPr>
            <w:r w:rsidRPr="005D52C2">
              <w:t>TSH quantitation described in item 66716 and 1 test described in item 66695. (This fee applies where 1 laboratory, or more than 1 laboratory belonging to the same APA, performs the only 2 tests specified on the request form or performs 2 tests and refers the rest to the laboratory of a separate APA.) (Item is subject to rule 6.)</w:t>
            </w:r>
          </w:p>
        </w:tc>
        <w:tc>
          <w:tcPr>
            <w:tcW w:w="1747" w:type="dxa"/>
          </w:tcPr>
          <w:p w14:paraId="72A092C3"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152B36AF" w14:textId="3651A793" w:rsidR="00BC7152" w:rsidRPr="00080FC1" w:rsidRDefault="00082CEB" w:rsidP="00BC7152">
            <w:pPr>
              <w:autoSpaceDE w:val="0"/>
              <w:autoSpaceDN w:val="0"/>
              <w:adjustRightInd w:val="0"/>
              <w:spacing w:before="40" w:after="40"/>
            </w:pPr>
            <w:r>
              <w:t>23</w:t>
            </w:r>
          </w:p>
        </w:tc>
      </w:tr>
      <w:tr w:rsidR="00BC7152" w:rsidRPr="00361E69" w14:paraId="38A930A6" w14:textId="77777777" w:rsidTr="00343B07">
        <w:trPr>
          <w:trHeight w:val="563"/>
          <w:jc w:val="center"/>
        </w:trPr>
        <w:tc>
          <w:tcPr>
            <w:tcW w:w="851" w:type="dxa"/>
            <w:shd w:val="clear" w:color="auto" w:fill="auto"/>
          </w:tcPr>
          <w:p w14:paraId="0E23CF4C" w14:textId="77777777" w:rsidR="00BC7152" w:rsidRPr="00080FC1" w:rsidRDefault="00BC7152" w:rsidP="00BC7152">
            <w:pPr>
              <w:spacing w:before="40" w:after="40"/>
            </w:pPr>
            <w:r w:rsidRPr="005D52C2">
              <w:t>66723</w:t>
            </w:r>
          </w:p>
        </w:tc>
        <w:tc>
          <w:tcPr>
            <w:tcW w:w="4916" w:type="dxa"/>
            <w:shd w:val="clear" w:color="auto" w:fill="auto"/>
          </w:tcPr>
          <w:p w14:paraId="0ED44525" w14:textId="77777777" w:rsidR="00BC7152" w:rsidRPr="00080FC1" w:rsidRDefault="00BC7152" w:rsidP="00BC7152">
            <w:pPr>
              <w:autoSpaceDE w:val="0"/>
              <w:autoSpaceDN w:val="0"/>
              <w:adjustRightInd w:val="0"/>
              <w:spacing w:before="40" w:after="40"/>
            </w:pPr>
            <w:r w:rsidRPr="005D52C2">
              <w:t>Tests described in item 66722, that is, TSH quantitation and 1 test described in 66695, if rendered by a receiving APP, where no tests in the item have been rendered by the referring APP – 1 test. (Item is subject to rule 6 and 18.)</w:t>
            </w:r>
          </w:p>
        </w:tc>
        <w:tc>
          <w:tcPr>
            <w:tcW w:w="1747" w:type="dxa"/>
          </w:tcPr>
          <w:p w14:paraId="006D4834"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7B77A95C" w14:textId="6892166F" w:rsidR="00BC7152" w:rsidRPr="00080FC1" w:rsidRDefault="00082CEB" w:rsidP="00BC7152">
            <w:pPr>
              <w:autoSpaceDE w:val="0"/>
              <w:autoSpaceDN w:val="0"/>
              <w:adjustRightInd w:val="0"/>
              <w:spacing w:before="40" w:after="40"/>
            </w:pPr>
            <w:r>
              <w:t>23</w:t>
            </w:r>
          </w:p>
        </w:tc>
      </w:tr>
      <w:tr w:rsidR="00BC7152" w:rsidRPr="00361E69" w14:paraId="00843C6F" w14:textId="77777777" w:rsidTr="00343B07">
        <w:trPr>
          <w:trHeight w:val="563"/>
          <w:jc w:val="center"/>
        </w:trPr>
        <w:tc>
          <w:tcPr>
            <w:tcW w:w="851" w:type="dxa"/>
            <w:shd w:val="clear" w:color="auto" w:fill="auto"/>
          </w:tcPr>
          <w:p w14:paraId="4DBC29D8" w14:textId="77777777" w:rsidR="00BC7152" w:rsidRPr="00080FC1" w:rsidRDefault="00BC7152" w:rsidP="00BC7152">
            <w:pPr>
              <w:spacing w:before="40" w:after="40"/>
            </w:pPr>
            <w:r w:rsidRPr="005D52C2">
              <w:t>66724</w:t>
            </w:r>
          </w:p>
        </w:tc>
        <w:tc>
          <w:tcPr>
            <w:tcW w:w="4916" w:type="dxa"/>
            <w:shd w:val="clear" w:color="auto" w:fill="auto"/>
          </w:tcPr>
          <w:p w14:paraId="469E1FA1" w14:textId="77777777" w:rsidR="00BC7152" w:rsidRPr="00080FC1" w:rsidRDefault="00BC7152" w:rsidP="00BC7152">
            <w:pPr>
              <w:autoSpaceDE w:val="0"/>
              <w:autoSpaceDN w:val="0"/>
              <w:adjustRightInd w:val="0"/>
              <w:spacing w:before="40" w:after="40"/>
            </w:pPr>
            <w:r w:rsidRPr="005D52C2">
              <w:t>Tests described in item 66722, if rendered by a receiving APP, other than that described in 66723. It is to include a quantitation of TSH – each test to a maximum of 4 tests described in item 66695. (Item is subject to rule 6 and 18.)</w:t>
            </w:r>
          </w:p>
        </w:tc>
        <w:tc>
          <w:tcPr>
            <w:tcW w:w="1747" w:type="dxa"/>
          </w:tcPr>
          <w:p w14:paraId="3B304D5D"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4714B583" w14:textId="2EE75B77" w:rsidR="00BC7152" w:rsidRPr="00080FC1" w:rsidRDefault="00082CEB" w:rsidP="00BC7152">
            <w:pPr>
              <w:autoSpaceDE w:val="0"/>
              <w:autoSpaceDN w:val="0"/>
              <w:adjustRightInd w:val="0"/>
              <w:spacing w:before="40" w:after="40"/>
            </w:pPr>
            <w:r>
              <w:t>23</w:t>
            </w:r>
          </w:p>
        </w:tc>
      </w:tr>
      <w:tr w:rsidR="00BC7152" w:rsidRPr="00361E69" w14:paraId="398ECBE5" w14:textId="77777777" w:rsidTr="00343B07">
        <w:trPr>
          <w:trHeight w:val="563"/>
          <w:jc w:val="center"/>
        </w:trPr>
        <w:tc>
          <w:tcPr>
            <w:tcW w:w="851" w:type="dxa"/>
            <w:shd w:val="clear" w:color="auto" w:fill="auto"/>
          </w:tcPr>
          <w:p w14:paraId="6C0F19A1" w14:textId="77777777" w:rsidR="00BC7152" w:rsidRPr="00080FC1" w:rsidRDefault="00BC7152" w:rsidP="00BC7152">
            <w:pPr>
              <w:spacing w:before="40" w:after="40"/>
            </w:pPr>
            <w:r w:rsidRPr="005D52C2">
              <w:t>66725</w:t>
            </w:r>
          </w:p>
        </w:tc>
        <w:tc>
          <w:tcPr>
            <w:tcW w:w="4916" w:type="dxa"/>
            <w:shd w:val="clear" w:color="auto" w:fill="auto"/>
          </w:tcPr>
          <w:p w14:paraId="1A57353F" w14:textId="77777777" w:rsidR="00BC7152" w:rsidRPr="00080FC1" w:rsidRDefault="00BC7152" w:rsidP="00BC7152">
            <w:pPr>
              <w:autoSpaceDE w:val="0"/>
              <w:autoSpaceDN w:val="0"/>
              <w:adjustRightInd w:val="0"/>
              <w:spacing w:before="40" w:after="40"/>
            </w:pPr>
            <w:r w:rsidRPr="005D52C2">
              <w:t>TSH quantitation described in item 66716 and 2 tests described in item 66695. (This fee applies where 1 laboratory, or more than 1 laboratory belonging to the same APA, performs the only 3 tests specified on the request form or performs 3 tests and refers the rest to the laboratory of a separate APA.) (Item is subject to rule 6.)</w:t>
            </w:r>
          </w:p>
        </w:tc>
        <w:tc>
          <w:tcPr>
            <w:tcW w:w="1747" w:type="dxa"/>
          </w:tcPr>
          <w:p w14:paraId="1EA2655D"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57177275" w14:textId="08D67601" w:rsidR="00BC7152" w:rsidRPr="00080FC1" w:rsidRDefault="00082CEB" w:rsidP="00BC7152">
            <w:pPr>
              <w:autoSpaceDE w:val="0"/>
              <w:autoSpaceDN w:val="0"/>
              <w:adjustRightInd w:val="0"/>
              <w:spacing w:before="40" w:after="40"/>
            </w:pPr>
            <w:r>
              <w:t>23</w:t>
            </w:r>
          </w:p>
        </w:tc>
      </w:tr>
      <w:tr w:rsidR="00BC7152" w:rsidRPr="00361E69" w14:paraId="0E0A311D" w14:textId="77777777" w:rsidTr="00343B07">
        <w:trPr>
          <w:trHeight w:val="563"/>
          <w:jc w:val="center"/>
        </w:trPr>
        <w:tc>
          <w:tcPr>
            <w:tcW w:w="851" w:type="dxa"/>
            <w:shd w:val="clear" w:color="auto" w:fill="auto"/>
          </w:tcPr>
          <w:p w14:paraId="3630DE6B" w14:textId="77777777" w:rsidR="00BC7152" w:rsidRPr="00080FC1" w:rsidRDefault="00BC7152" w:rsidP="00BC7152">
            <w:pPr>
              <w:spacing w:before="40" w:after="40"/>
            </w:pPr>
            <w:r w:rsidRPr="005D52C2">
              <w:t>66728</w:t>
            </w:r>
          </w:p>
        </w:tc>
        <w:tc>
          <w:tcPr>
            <w:tcW w:w="4916" w:type="dxa"/>
            <w:shd w:val="clear" w:color="auto" w:fill="auto"/>
          </w:tcPr>
          <w:p w14:paraId="0BD17AA1" w14:textId="77777777" w:rsidR="00BC7152" w:rsidRPr="00080FC1" w:rsidRDefault="00BC7152" w:rsidP="00BC7152">
            <w:pPr>
              <w:autoSpaceDE w:val="0"/>
              <w:autoSpaceDN w:val="0"/>
              <w:adjustRightInd w:val="0"/>
              <w:spacing w:before="40" w:after="40"/>
            </w:pPr>
            <w:r w:rsidRPr="005D52C2">
              <w:t>TSH quantitation described in item 66716 and 3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747" w:type="dxa"/>
          </w:tcPr>
          <w:p w14:paraId="7E5A1819"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615B7E53" w14:textId="306BB115" w:rsidR="00BC7152" w:rsidRPr="00080FC1" w:rsidRDefault="00082CEB" w:rsidP="00BC7152">
            <w:pPr>
              <w:autoSpaceDE w:val="0"/>
              <w:autoSpaceDN w:val="0"/>
              <w:adjustRightInd w:val="0"/>
              <w:spacing w:before="40" w:after="40"/>
            </w:pPr>
            <w:r>
              <w:t>23</w:t>
            </w:r>
          </w:p>
        </w:tc>
      </w:tr>
      <w:tr w:rsidR="00BC7152" w:rsidRPr="00361E69" w14:paraId="1D9ECFCD" w14:textId="77777777" w:rsidTr="00343B07">
        <w:trPr>
          <w:trHeight w:val="563"/>
          <w:jc w:val="center"/>
        </w:trPr>
        <w:tc>
          <w:tcPr>
            <w:tcW w:w="851" w:type="dxa"/>
            <w:shd w:val="clear" w:color="auto" w:fill="auto"/>
          </w:tcPr>
          <w:p w14:paraId="380ADBC9" w14:textId="77777777" w:rsidR="00BC7152" w:rsidRPr="00080FC1" w:rsidRDefault="00BC7152" w:rsidP="00BC7152">
            <w:pPr>
              <w:spacing w:before="40" w:after="40"/>
            </w:pPr>
            <w:r w:rsidRPr="005D52C2">
              <w:t>66731</w:t>
            </w:r>
          </w:p>
        </w:tc>
        <w:tc>
          <w:tcPr>
            <w:tcW w:w="4916" w:type="dxa"/>
            <w:shd w:val="clear" w:color="auto" w:fill="auto"/>
          </w:tcPr>
          <w:p w14:paraId="139E74FB" w14:textId="77777777" w:rsidR="00BC7152" w:rsidRPr="00080FC1" w:rsidRDefault="00BC7152" w:rsidP="00BC7152">
            <w:pPr>
              <w:autoSpaceDE w:val="0"/>
              <w:autoSpaceDN w:val="0"/>
              <w:adjustRightInd w:val="0"/>
              <w:spacing w:before="40" w:after="40"/>
            </w:pPr>
            <w:r w:rsidRPr="005D52C2">
              <w:t>TSH quantitation described in item 66716 and 4 tests described in item 66695. (This fee applies where 1 laboratory, or more than 1 laboratory belonging to the same APA, performs the only 5 tests specified on the request form or performs 5 tests and refers the rest to the laboratory of a separate APA.) (Item is subject to rule 6.)</w:t>
            </w:r>
          </w:p>
        </w:tc>
        <w:tc>
          <w:tcPr>
            <w:tcW w:w="1747" w:type="dxa"/>
          </w:tcPr>
          <w:p w14:paraId="40FA752F"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636E6829" w14:textId="0C0FD900" w:rsidR="00BC7152" w:rsidRPr="00080FC1" w:rsidRDefault="00082CEB" w:rsidP="00BC7152">
            <w:pPr>
              <w:autoSpaceDE w:val="0"/>
              <w:autoSpaceDN w:val="0"/>
              <w:adjustRightInd w:val="0"/>
              <w:spacing w:before="40" w:after="40"/>
            </w:pPr>
            <w:r>
              <w:t>23</w:t>
            </w:r>
          </w:p>
        </w:tc>
      </w:tr>
      <w:tr w:rsidR="00BC7152" w:rsidRPr="00361E69" w14:paraId="47F67483" w14:textId="77777777" w:rsidTr="00343B07">
        <w:trPr>
          <w:trHeight w:val="563"/>
          <w:jc w:val="center"/>
        </w:trPr>
        <w:tc>
          <w:tcPr>
            <w:tcW w:w="851" w:type="dxa"/>
            <w:shd w:val="clear" w:color="auto" w:fill="auto"/>
          </w:tcPr>
          <w:p w14:paraId="7096BC51" w14:textId="77777777" w:rsidR="00BC7152" w:rsidRPr="00080FC1" w:rsidRDefault="00BC7152" w:rsidP="00BC7152">
            <w:pPr>
              <w:spacing w:before="40" w:after="40"/>
            </w:pPr>
            <w:r w:rsidRPr="005D52C2">
              <w:t>66734</w:t>
            </w:r>
          </w:p>
        </w:tc>
        <w:tc>
          <w:tcPr>
            <w:tcW w:w="4916" w:type="dxa"/>
            <w:shd w:val="clear" w:color="auto" w:fill="auto"/>
          </w:tcPr>
          <w:p w14:paraId="61C36F40" w14:textId="77777777" w:rsidR="00BC7152" w:rsidRPr="00080FC1" w:rsidRDefault="00BC7152" w:rsidP="00BC7152">
            <w:pPr>
              <w:autoSpaceDE w:val="0"/>
              <w:autoSpaceDN w:val="0"/>
              <w:adjustRightInd w:val="0"/>
              <w:spacing w:before="40" w:after="40"/>
            </w:pPr>
            <w:r w:rsidRPr="005D52C2">
              <w:t>TSH quantitation described in item 66716 and 5 tests described in item 66695. (This fee applies where 1 laboratory, or more than 1 laboratory belonging to the same APA, performs 6 or more tests specified on the request form.) (Item is subject to rule 6.)</w:t>
            </w:r>
          </w:p>
        </w:tc>
        <w:tc>
          <w:tcPr>
            <w:tcW w:w="1747" w:type="dxa"/>
          </w:tcPr>
          <w:p w14:paraId="218FE5F5"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2875BD93" w14:textId="3019C327" w:rsidR="00BC7152" w:rsidRPr="00080FC1" w:rsidRDefault="00082CEB" w:rsidP="00BC7152">
            <w:pPr>
              <w:autoSpaceDE w:val="0"/>
              <w:autoSpaceDN w:val="0"/>
              <w:adjustRightInd w:val="0"/>
              <w:spacing w:before="40" w:after="40"/>
            </w:pPr>
            <w:r>
              <w:t>23</w:t>
            </w:r>
          </w:p>
        </w:tc>
      </w:tr>
      <w:tr w:rsidR="00BC7152" w:rsidRPr="00361E69" w14:paraId="3A6BAD9C" w14:textId="77777777" w:rsidTr="00343B07">
        <w:trPr>
          <w:trHeight w:val="563"/>
          <w:jc w:val="center"/>
        </w:trPr>
        <w:tc>
          <w:tcPr>
            <w:tcW w:w="851" w:type="dxa"/>
            <w:shd w:val="clear" w:color="auto" w:fill="auto"/>
          </w:tcPr>
          <w:p w14:paraId="54E0A3B3" w14:textId="77777777" w:rsidR="00BC7152" w:rsidRPr="00080FC1" w:rsidRDefault="00BC7152" w:rsidP="00BC7152">
            <w:pPr>
              <w:spacing w:before="40" w:after="40"/>
            </w:pPr>
            <w:r w:rsidRPr="005D52C2">
              <w:t>66773</w:t>
            </w:r>
          </w:p>
        </w:tc>
        <w:tc>
          <w:tcPr>
            <w:tcW w:w="4916" w:type="dxa"/>
            <w:shd w:val="clear" w:color="auto" w:fill="auto"/>
          </w:tcPr>
          <w:p w14:paraId="48F4E943" w14:textId="77777777" w:rsidR="00BC7152" w:rsidRPr="00080FC1" w:rsidRDefault="00BC7152" w:rsidP="00BC7152">
            <w:pPr>
              <w:autoSpaceDE w:val="0"/>
              <w:autoSpaceDN w:val="0"/>
              <w:adjustRightInd w:val="0"/>
              <w:spacing w:before="40" w:after="40"/>
            </w:pPr>
            <w:r w:rsidRPr="005D52C2">
              <w:t>Quantitation of products of collagen breakdown or formation for the monitoring of patients with proven low bone mineral density, and if performed, a service described in item 66752 – 1 or more tests. (Low bone densitometry is defined in the explanatory notes to Category 2 – Diagnostic Procedures and Investigations of the Medicare Benefits Schedule.)</w:t>
            </w:r>
          </w:p>
        </w:tc>
        <w:tc>
          <w:tcPr>
            <w:tcW w:w="1747" w:type="dxa"/>
          </w:tcPr>
          <w:p w14:paraId="76A58401"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46C6244E" w14:textId="4CB9DE39" w:rsidR="00BC7152" w:rsidRPr="00080FC1" w:rsidRDefault="00082CEB" w:rsidP="00BC7152">
            <w:pPr>
              <w:autoSpaceDE w:val="0"/>
              <w:autoSpaceDN w:val="0"/>
              <w:adjustRightInd w:val="0"/>
              <w:spacing w:before="40" w:after="40"/>
            </w:pPr>
            <w:r>
              <w:t>45</w:t>
            </w:r>
          </w:p>
        </w:tc>
      </w:tr>
      <w:tr w:rsidR="00BC7152" w:rsidRPr="00361E69" w14:paraId="2D064765" w14:textId="77777777" w:rsidTr="00343B07">
        <w:trPr>
          <w:trHeight w:val="563"/>
          <w:jc w:val="center"/>
        </w:trPr>
        <w:tc>
          <w:tcPr>
            <w:tcW w:w="851" w:type="dxa"/>
            <w:shd w:val="clear" w:color="auto" w:fill="auto"/>
          </w:tcPr>
          <w:p w14:paraId="4FF01B61" w14:textId="77777777" w:rsidR="00BC7152" w:rsidRPr="00080FC1" w:rsidRDefault="00BC7152" w:rsidP="00BC7152">
            <w:pPr>
              <w:spacing w:before="40" w:after="40"/>
            </w:pPr>
            <w:r w:rsidRPr="005D52C2">
              <w:t>66776</w:t>
            </w:r>
          </w:p>
        </w:tc>
        <w:tc>
          <w:tcPr>
            <w:tcW w:w="4916" w:type="dxa"/>
            <w:shd w:val="clear" w:color="auto" w:fill="auto"/>
          </w:tcPr>
          <w:p w14:paraId="49572CAF" w14:textId="77777777" w:rsidR="00BC7152" w:rsidRPr="00080FC1" w:rsidRDefault="00BC7152" w:rsidP="00BC7152">
            <w:pPr>
              <w:autoSpaceDE w:val="0"/>
              <w:autoSpaceDN w:val="0"/>
              <w:adjustRightInd w:val="0"/>
              <w:spacing w:before="40" w:after="40"/>
            </w:pPr>
            <w:r w:rsidRPr="005D52C2">
              <w:t>Quantitation of products of collagen breakdown or formation for the monitoring of patients with metabolic bone disease or Paget's disease of bone, and if performed, a service described in item 66752 – 1 or more tests.</w:t>
            </w:r>
          </w:p>
        </w:tc>
        <w:tc>
          <w:tcPr>
            <w:tcW w:w="1747" w:type="dxa"/>
          </w:tcPr>
          <w:p w14:paraId="305A0440"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0861DA74" w14:textId="26E275A0" w:rsidR="00BC7152" w:rsidRPr="00080FC1" w:rsidRDefault="00082CEB" w:rsidP="00BC7152">
            <w:pPr>
              <w:autoSpaceDE w:val="0"/>
              <w:autoSpaceDN w:val="0"/>
              <w:adjustRightInd w:val="0"/>
              <w:spacing w:before="40" w:after="40"/>
            </w:pPr>
            <w:r>
              <w:t>45</w:t>
            </w:r>
          </w:p>
        </w:tc>
      </w:tr>
      <w:tr w:rsidR="00BC7152" w:rsidRPr="00361E69" w14:paraId="1AF58190" w14:textId="77777777" w:rsidTr="00343B07">
        <w:trPr>
          <w:trHeight w:val="563"/>
          <w:jc w:val="center"/>
        </w:trPr>
        <w:tc>
          <w:tcPr>
            <w:tcW w:w="851" w:type="dxa"/>
            <w:shd w:val="clear" w:color="auto" w:fill="auto"/>
          </w:tcPr>
          <w:p w14:paraId="64EDAA75" w14:textId="77777777" w:rsidR="00BC7152" w:rsidRPr="00080FC1" w:rsidRDefault="00BC7152" w:rsidP="00BC7152">
            <w:pPr>
              <w:spacing w:before="40" w:after="40"/>
            </w:pPr>
            <w:r w:rsidRPr="005D52C2">
              <w:t>66779</w:t>
            </w:r>
          </w:p>
        </w:tc>
        <w:tc>
          <w:tcPr>
            <w:tcW w:w="4916" w:type="dxa"/>
            <w:shd w:val="clear" w:color="auto" w:fill="auto"/>
          </w:tcPr>
          <w:p w14:paraId="0CB13043" w14:textId="77777777" w:rsidR="00BC7152" w:rsidRPr="00080FC1" w:rsidRDefault="00BC7152" w:rsidP="00BC7152">
            <w:pPr>
              <w:autoSpaceDE w:val="0"/>
              <w:autoSpaceDN w:val="0"/>
              <w:adjustRightInd w:val="0"/>
              <w:spacing w:before="40" w:after="40"/>
            </w:pPr>
            <w:r w:rsidRPr="005D52C2">
              <w:t>Adrenaline, noradrenaline, dopamine, histamine, hydroxyindoleacetic acid (5HIAA), hydroxymethoxymandelic acid (HMMA), homovanillic acid (HVA), metanephrines, methoxyhydroxyphenylethylene glycol (MHPG), phenylacetic acid (PAA) or serotonin quantitation – 1 or more tests.</w:t>
            </w:r>
          </w:p>
        </w:tc>
        <w:tc>
          <w:tcPr>
            <w:tcW w:w="1747" w:type="dxa"/>
          </w:tcPr>
          <w:p w14:paraId="04952115" w14:textId="2732C0E1" w:rsidR="00BC7152" w:rsidRPr="00080FC1" w:rsidRDefault="00082CEB" w:rsidP="00BC7152">
            <w:pPr>
              <w:autoSpaceDE w:val="0"/>
              <w:autoSpaceDN w:val="0"/>
              <w:adjustRightInd w:val="0"/>
              <w:spacing w:before="40" w:after="40"/>
            </w:pPr>
            <w:r>
              <w:t>Pending</w:t>
            </w:r>
            <w:r w:rsidR="00BC7152" w:rsidRPr="005D52C2">
              <w:t xml:space="preserve"> </w:t>
            </w:r>
          </w:p>
        </w:tc>
        <w:tc>
          <w:tcPr>
            <w:tcW w:w="1230" w:type="dxa"/>
          </w:tcPr>
          <w:p w14:paraId="6822D295" w14:textId="68CD758C" w:rsidR="00BC7152" w:rsidRPr="00080FC1" w:rsidRDefault="00082CEB" w:rsidP="00BC7152">
            <w:pPr>
              <w:autoSpaceDE w:val="0"/>
              <w:autoSpaceDN w:val="0"/>
              <w:adjustRightInd w:val="0"/>
              <w:spacing w:before="40" w:after="40"/>
            </w:pPr>
            <w:r>
              <w:t>46</w:t>
            </w:r>
          </w:p>
        </w:tc>
      </w:tr>
      <w:tr w:rsidR="00BC7152" w:rsidRPr="00361E69" w14:paraId="4C67999F" w14:textId="77777777" w:rsidTr="00343B07">
        <w:trPr>
          <w:trHeight w:val="563"/>
          <w:jc w:val="center"/>
        </w:trPr>
        <w:tc>
          <w:tcPr>
            <w:tcW w:w="851" w:type="dxa"/>
            <w:shd w:val="clear" w:color="auto" w:fill="auto"/>
          </w:tcPr>
          <w:p w14:paraId="57782636" w14:textId="77777777" w:rsidR="00BC7152" w:rsidRPr="00080FC1" w:rsidRDefault="00BC7152" w:rsidP="00BC7152">
            <w:pPr>
              <w:spacing w:before="40" w:after="40"/>
            </w:pPr>
            <w:r w:rsidRPr="005D52C2">
              <w:t>66780</w:t>
            </w:r>
          </w:p>
        </w:tc>
        <w:tc>
          <w:tcPr>
            <w:tcW w:w="4916" w:type="dxa"/>
            <w:shd w:val="clear" w:color="auto" w:fill="auto"/>
          </w:tcPr>
          <w:p w14:paraId="375EC899" w14:textId="77777777" w:rsidR="00BC7152" w:rsidRPr="00080FC1" w:rsidRDefault="00BC7152" w:rsidP="00BC7152">
            <w:pPr>
              <w:autoSpaceDE w:val="0"/>
              <w:autoSpaceDN w:val="0"/>
              <w:adjustRightInd w:val="0"/>
              <w:spacing w:before="40" w:after="40"/>
            </w:pPr>
            <w:r w:rsidRPr="005D52C2">
              <w:t>A test described in item 66779 if rendered by a receiving APP – 1 or more tests. (Item is subject to rule 18.)</w:t>
            </w:r>
          </w:p>
        </w:tc>
        <w:tc>
          <w:tcPr>
            <w:tcW w:w="1747" w:type="dxa"/>
          </w:tcPr>
          <w:p w14:paraId="4A426D66" w14:textId="55C854A1" w:rsidR="00BC7152" w:rsidRPr="00080FC1" w:rsidRDefault="00082CEB" w:rsidP="00BC7152">
            <w:pPr>
              <w:autoSpaceDE w:val="0"/>
              <w:autoSpaceDN w:val="0"/>
              <w:adjustRightInd w:val="0"/>
              <w:spacing w:before="40" w:after="40"/>
            </w:pPr>
            <w:r>
              <w:t>Pending</w:t>
            </w:r>
            <w:r w:rsidR="00BC7152" w:rsidRPr="005D52C2">
              <w:t xml:space="preserve"> </w:t>
            </w:r>
          </w:p>
        </w:tc>
        <w:tc>
          <w:tcPr>
            <w:tcW w:w="1230" w:type="dxa"/>
          </w:tcPr>
          <w:p w14:paraId="716BB765" w14:textId="0F02E7AB" w:rsidR="00BC7152" w:rsidRPr="00080FC1" w:rsidRDefault="00082CEB" w:rsidP="00BC7152">
            <w:pPr>
              <w:autoSpaceDE w:val="0"/>
              <w:autoSpaceDN w:val="0"/>
              <w:adjustRightInd w:val="0"/>
              <w:spacing w:before="40" w:after="40"/>
            </w:pPr>
            <w:r>
              <w:t>46</w:t>
            </w:r>
          </w:p>
        </w:tc>
      </w:tr>
      <w:tr w:rsidR="00BC7152" w:rsidRPr="00361E69" w14:paraId="16601715" w14:textId="77777777" w:rsidTr="00343B07">
        <w:trPr>
          <w:trHeight w:val="563"/>
          <w:jc w:val="center"/>
        </w:trPr>
        <w:tc>
          <w:tcPr>
            <w:tcW w:w="851" w:type="dxa"/>
            <w:shd w:val="clear" w:color="auto" w:fill="auto"/>
          </w:tcPr>
          <w:p w14:paraId="3D7D5363" w14:textId="77777777" w:rsidR="00BC7152" w:rsidRPr="00080FC1" w:rsidRDefault="00BC7152" w:rsidP="00BC7152">
            <w:pPr>
              <w:spacing w:before="40" w:after="40"/>
            </w:pPr>
            <w:r w:rsidRPr="005D52C2">
              <w:t>66835</w:t>
            </w:r>
          </w:p>
        </w:tc>
        <w:tc>
          <w:tcPr>
            <w:tcW w:w="4916" w:type="dxa"/>
            <w:shd w:val="clear" w:color="auto" w:fill="auto"/>
          </w:tcPr>
          <w:p w14:paraId="0BF4C2A7" w14:textId="77777777" w:rsidR="00BC7152" w:rsidRPr="00080FC1" w:rsidRDefault="00BC7152" w:rsidP="00BC7152">
            <w:pPr>
              <w:autoSpaceDE w:val="0"/>
              <w:autoSpaceDN w:val="0"/>
              <w:adjustRightInd w:val="0"/>
              <w:spacing w:before="40" w:after="40"/>
            </w:pPr>
            <w:r w:rsidRPr="005D52C2">
              <w:t>1, 25-dihydroxyvitamin D – quantification in serum, if the request for the test is made by, or on advice of, the specialist or consultant physician managing the treatment of the patient.</w:t>
            </w:r>
          </w:p>
        </w:tc>
        <w:tc>
          <w:tcPr>
            <w:tcW w:w="1747" w:type="dxa"/>
          </w:tcPr>
          <w:p w14:paraId="47DC314C"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655C0607" w14:textId="7622CBF9" w:rsidR="00BC7152" w:rsidRPr="00080FC1" w:rsidRDefault="00082CEB" w:rsidP="00BC7152">
            <w:pPr>
              <w:autoSpaceDE w:val="0"/>
              <w:autoSpaceDN w:val="0"/>
              <w:adjustRightInd w:val="0"/>
              <w:spacing w:before="40" w:after="40"/>
            </w:pPr>
            <w:r>
              <w:t>47</w:t>
            </w:r>
          </w:p>
        </w:tc>
      </w:tr>
      <w:tr w:rsidR="00BC7152" w:rsidRPr="00361E69" w14:paraId="7C8D7E1F" w14:textId="77777777" w:rsidTr="00343B07">
        <w:trPr>
          <w:trHeight w:val="563"/>
          <w:jc w:val="center"/>
        </w:trPr>
        <w:tc>
          <w:tcPr>
            <w:tcW w:w="851" w:type="dxa"/>
            <w:shd w:val="clear" w:color="auto" w:fill="auto"/>
          </w:tcPr>
          <w:p w14:paraId="7F62409D" w14:textId="77777777" w:rsidR="00BC7152" w:rsidRPr="00080FC1" w:rsidRDefault="00BC7152" w:rsidP="00BC7152">
            <w:pPr>
              <w:spacing w:before="40" w:after="40"/>
            </w:pPr>
            <w:r w:rsidRPr="005D52C2">
              <w:t>66836</w:t>
            </w:r>
          </w:p>
        </w:tc>
        <w:tc>
          <w:tcPr>
            <w:tcW w:w="4916" w:type="dxa"/>
            <w:shd w:val="clear" w:color="auto" w:fill="auto"/>
          </w:tcPr>
          <w:p w14:paraId="7755CBE1" w14:textId="6DF117AD" w:rsidR="00BC7152" w:rsidRPr="00080FC1" w:rsidRDefault="00BC7152" w:rsidP="00C730F7">
            <w:pPr>
              <w:autoSpaceDE w:val="0"/>
              <w:autoSpaceDN w:val="0"/>
              <w:adjustRightInd w:val="0"/>
              <w:spacing w:before="40" w:after="40"/>
            </w:pPr>
            <w:r w:rsidRPr="005D52C2">
              <w:t xml:space="preserve">1, 25-dihydroxyvitamin </w:t>
            </w:r>
            <w:r w:rsidR="00C730F7">
              <w:t>D</w:t>
            </w:r>
            <w:r w:rsidRPr="005D52C2">
              <w:t>—quantification in serum, if: (a) the patient has hypercalcaemia; and (b) the request for the test is made by a general practitioner managing the treatment of the patient.</w:t>
            </w:r>
          </w:p>
        </w:tc>
        <w:tc>
          <w:tcPr>
            <w:tcW w:w="1747" w:type="dxa"/>
          </w:tcPr>
          <w:p w14:paraId="317B78E4"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68D989EF" w14:textId="36FB27D3" w:rsidR="00BC7152" w:rsidRPr="00080FC1" w:rsidRDefault="00082CEB" w:rsidP="00082CEB">
            <w:pPr>
              <w:autoSpaceDE w:val="0"/>
              <w:autoSpaceDN w:val="0"/>
              <w:adjustRightInd w:val="0"/>
              <w:spacing w:before="40" w:after="40"/>
            </w:pPr>
            <w:r>
              <w:t>47</w:t>
            </w:r>
          </w:p>
        </w:tc>
      </w:tr>
      <w:tr w:rsidR="00BC7152" w:rsidRPr="00361E69" w14:paraId="323DEE89" w14:textId="77777777" w:rsidTr="00343B07">
        <w:trPr>
          <w:trHeight w:val="563"/>
          <w:jc w:val="center"/>
        </w:trPr>
        <w:tc>
          <w:tcPr>
            <w:tcW w:w="851" w:type="dxa"/>
            <w:shd w:val="clear" w:color="auto" w:fill="auto"/>
          </w:tcPr>
          <w:p w14:paraId="5B2C6578" w14:textId="77777777" w:rsidR="00BC7152" w:rsidRPr="00080FC1" w:rsidRDefault="00BC7152" w:rsidP="00BC7152">
            <w:pPr>
              <w:spacing w:before="40" w:after="40"/>
            </w:pPr>
            <w:r w:rsidRPr="005D52C2">
              <w:t>66837</w:t>
            </w:r>
          </w:p>
        </w:tc>
        <w:tc>
          <w:tcPr>
            <w:tcW w:w="4916" w:type="dxa"/>
            <w:shd w:val="clear" w:color="auto" w:fill="auto"/>
          </w:tcPr>
          <w:p w14:paraId="513D9053" w14:textId="2F0559C1" w:rsidR="00BC7152" w:rsidRPr="00080FC1" w:rsidRDefault="00BC7152" w:rsidP="00BC7152">
            <w:pPr>
              <w:autoSpaceDE w:val="0"/>
              <w:autoSpaceDN w:val="0"/>
              <w:adjustRightInd w:val="0"/>
              <w:spacing w:before="40" w:after="40"/>
            </w:pPr>
            <w:r w:rsidRPr="005D52C2">
              <w:t xml:space="preserve">A test described in item 66835 or 66836 if rendered by a receiving APP. (Item is subject to </w:t>
            </w:r>
            <w:r w:rsidR="00472D28">
              <w:t>r</w:t>
            </w:r>
            <w:r w:rsidRPr="005D52C2">
              <w:t>ule 18.)</w:t>
            </w:r>
          </w:p>
        </w:tc>
        <w:tc>
          <w:tcPr>
            <w:tcW w:w="1747" w:type="dxa"/>
          </w:tcPr>
          <w:p w14:paraId="41D690ED" w14:textId="77777777" w:rsidR="00BC7152" w:rsidRPr="00080FC1" w:rsidRDefault="00BC7152" w:rsidP="00BC7152">
            <w:pPr>
              <w:autoSpaceDE w:val="0"/>
              <w:autoSpaceDN w:val="0"/>
              <w:adjustRightInd w:val="0"/>
              <w:spacing w:before="40" w:after="40"/>
            </w:pPr>
            <w:r w:rsidRPr="005D52C2">
              <w:t xml:space="preserve">No change </w:t>
            </w:r>
          </w:p>
        </w:tc>
        <w:tc>
          <w:tcPr>
            <w:tcW w:w="1230" w:type="dxa"/>
          </w:tcPr>
          <w:p w14:paraId="5F82A698" w14:textId="63ECD9CF" w:rsidR="00BC7152" w:rsidRPr="00080FC1" w:rsidRDefault="00082CEB" w:rsidP="00BC7152">
            <w:pPr>
              <w:autoSpaceDE w:val="0"/>
              <w:autoSpaceDN w:val="0"/>
              <w:adjustRightInd w:val="0"/>
              <w:spacing w:before="40" w:after="40"/>
            </w:pPr>
            <w:r>
              <w:t>47</w:t>
            </w:r>
          </w:p>
        </w:tc>
      </w:tr>
      <w:tr w:rsidR="00BC7152" w:rsidRPr="00361E69" w14:paraId="2CA7758C" w14:textId="77777777" w:rsidTr="00343B07">
        <w:trPr>
          <w:trHeight w:val="563"/>
          <w:jc w:val="center"/>
        </w:trPr>
        <w:tc>
          <w:tcPr>
            <w:tcW w:w="851" w:type="dxa"/>
            <w:shd w:val="clear" w:color="auto" w:fill="auto"/>
          </w:tcPr>
          <w:p w14:paraId="0CF4C508" w14:textId="77777777" w:rsidR="00BC7152" w:rsidRPr="00080FC1" w:rsidRDefault="00BC7152" w:rsidP="00BC7152">
            <w:pPr>
              <w:spacing w:before="40" w:after="40"/>
            </w:pPr>
            <w:r w:rsidRPr="005D52C2">
              <w:t>66841</w:t>
            </w:r>
          </w:p>
        </w:tc>
        <w:tc>
          <w:tcPr>
            <w:tcW w:w="4916" w:type="dxa"/>
            <w:shd w:val="clear" w:color="auto" w:fill="auto"/>
          </w:tcPr>
          <w:p w14:paraId="25376D6B" w14:textId="6DA0243F" w:rsidR="00BC7152" w:rsidRPr="00080FC1" w:rsidRDefault="00BC7152" w:rsidP="00BC7152">
            <w:pPr>
              <w:autoSpaceDE w:val="0"/>
              <w:autoSpaceDN w:val="0"/>
              <w:adjustRightInd w:val="0"/>
              <w:spacing w:before="40" w:after="40"/>
            </w:pPr>
            <w:r w:rsidRPr="005D52C2">
              <w:t xml:space="preserve">Quantitation of </w:t>
            </w:r>
            <w:r w:rsidR="007C1C32">
              <w:t xml:space="preserve">HbA1c </w:t>
            </w:r>
            <w:r w:rsidRPr="005D52C2">
              <w:t>(glycated haemoglobin) performed for the diagnosis of diabetes in asymptomatic patients at high risk. (Item is subject to rule 25.)</w:t>
            </w:r>
          </w:p>
        </w:tc>
        <w:tc>
          <w:tcPr>
            <w:tcW w:w="1747" w:type="dxa"/>
          </w:tcPr>
          <w:p w14:paraId="5A6D6D79" w14:textId="77777777" w:rsidR="00BC7152" w:rsidRPr="00080FC1" w:rsidRDefault="00BC7152" w:rsidP="00BC7152">
            <w:pPr>
              <w:autoSpaceDE w:val="0"/>
              <w:autoSpaceDN w:val="0"/>
              <w:adjustRightInd w:val="0"/>
              <w:spacing w:before="40" w:after="40"/>
            </w:pPr>
            <w:r w:rsidRPr="005D52C2">
              <w:t xml:space="preserve">Change </w:t>
            </w:r>
          </w:p>
        </w:tc>
        <w:tc>
          <w:tcPr>
            <w:tcW w:w="1230" w:type="dxa"/>
          </w:tcPr>
          <w:p w14:paraId="330D9F5D" w14:textId="29EB9DD6" w:rsidR="00BC7152" w:rsidRPr="00080FC1" w:rsidRDefault="00082CEB" w:rsidP="00BC7152">
            <w:pPr>
              <w:autoSpaceDE w:val="0"/>
              <w:autoSpaceDN w:val="0"/>
              <w:adjustRightInd w:val="0"/>
              <w:spacing w:before="40" w:after="40"/>
            </w:pPr>
            <w:r>
              <w:t>33</w:t>
            </w:r>
          </w:p>
        </w:tc>
      </w:tr>
      <w:tr w:rsidR="00BC7152" w:rsidRPr="00361E69" w14:paraId="597625F2" w14:textId="77777777" w:rsidTr="00343B07">
        <w:trPr>
          <w:trHeight w:val="563"/>
          <w:jc w:val="center"/>
        </w:trPr>
        <w:tc>
          <w:tcPr>
            <w:tcW w:w="851" w:type="dxa"/>
            <w:shd w:val="clear" w:color="auto" w:fill="auto"/>
          </w:tcPr>
          <w:p w14:paraId="2F554FA1" w14:textId="77777777" w:rsidR="00BC7152" w:rsidRPr="00080FC1" w:rsidRDefault="00BC7152" w:rsidP="00BC7152">
            <w:pPr>
              <w:spacing w:before="40" w:after="40"/>
            </w:pPr>
            <w:r w:rsidRPr="005D52C2">
              <w:t>71165</w:t>
            </w:r>
          </w:p>
        </w:tc>
        <w:tc>
          <w:tcPr>
            <w:tcW w:w="4916" w:type="dxa"/>
            <w:shd w:val="clear" w:color="auto" w:fill="auto"/>
          </w:tcPr>
          <w:p w14:paraId="76DCB02C" w14:textId="77777777" w:rsidR="00BC7152" w:rsidRPr="00080FC1" w:rsidRDefault="00BC7152" w:rsidP="00BC7152">
            <w:pPr>
              <w:autoSpaceDE w:val="0"/>
              <w:autoSpaceDN w:val="0"/>
              <w:adjustRightInd w:val="0"/>
              <w:spacing w:before="40" w:after="40"/>
            </w:pPr>
            <w:r w:rsidRPr="005D52C2">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(Item is subject to rule 6.)</w:t>
            </w:r>
          </w:p>
        </w:tc>
        <w:tc>
          <w:tcPr>
            <w:tcW w:w="1747" w:type="dxa"/>
          </w:tcPr>
          <w:p w14:paraId="0B5F7C47" w14:textId="3F5C9619" w:rsidR="00BC7152" w:rsidRPr="00080FC1" w:rsidRDefault="00082CEB" w:rsidP="00BC7152">
            <w:pPr>
              <w:autoSpaceDE w:val="0"/>
              <w:autoSpaceDN w:val="0"/>
              <w:adjustRightInd w:val="0"/>
              <w:spacing w:before="40" w:after="40"/>
            </w:pPr>
            <w:r>
              <w:t>Pending</w:t>
            </w:r>
          </w:p>
        </w:tc>
        <w:tc>
          <w:tcPr>
            <w:tcW w:w="1230" w:type="dxa"/>
          </w:tcPr>
          <w:p w14:paraId="692F5FAC" w14:textId="08625618" w:rsidR="00BC7152" w:rsidRPr="00080FC1" w:rsidRDefault="00082CEB" w:rsidP="00BC7152">
            <w:pPr>
              <w:autoSpaceDE w:val="0"/>
              <w:autoSpaceDN w:val="0"/>
              <w:adjustRightInd w:val="0"/>
              <w:spacing w:before="40" w:after="40"/>
            </w:pPr>
            <w:r>
              <w:t>43</w:t>
            </w:r>
          </w:p>
        </w:tc>
      </w:tr>
      <w:tr w:rsidR="00BC7152" w:rsidRPr="00361E69" w14:paraId="6D10C291" w14:textId="77777777" w:rsidTr="00343B07">
        <w:trPr>
          <w:trHeight w:val="563"/>
          <w:jc w:val="center"/>
        </w:trPr>
        <w:tc>
          <w:tcPr>
            <w:tcW w:w="851" w:type="dxa"/>
            <w:shd w:val="clear" w:color="auto" w:fill="auto"/>
          </w:tcPr>
          <w:p w14:paraId="249A944D" w14:textId="77777777" w:rsidR="00BC7152" w:rsidRPr="00080FC1" w:rsidRDefault="00BC7152" w:rsidP="00BC7152">
            <w:pPr>
              <w:spacing w:before="40" w:after="40"/>
            </w:pPr>
            <w:r w:rsidRPr="005D52C2">
              <w:t>71166</w:t>
            </w:r>
          </w:p>
        </w:tc>
        <w:tc>
          <w:tcPr>
            <w:tcW w:w="4916" w:type="dxa"/>
            <w:shd w:val="clear" w:color="auto" w:fill="auto"/>
          </w:tcPr>
          <w:p w14:paraId="59380A37" w14:textId="77777777" w:rsidR="00BC7152" w:rsidRPr="00080FC1" w:rsidRDefault="00BC7152" w:rsidP="00BC7152">
            <w:pPr>
              <w:autoSpaceDE w:val="0"/>
              <w:autoSpaceDN w:val="0"/>
              <w:adjustRightInd w:val="0"/>
              <w:spacing w:before="40" w:after="40"/>
            </w:pPr>
            <w:r w:rsidRPr="005D52C2">
              <w:t>Detection of 2 antibodies described in item 71165. (Item is subject to rule 6.)</w:t>
            </w:r>
          </w:p>
        </w:tc>
        <w:tc>
          <w:tcPr>
            <w:tcW w:w="1747" w:type="dxa"/>
          </w:tcPr>
          <w:p w14:paraId="55ECBB51" w14:textId="636C4137" w:rsidR="00BC7152" w:rsidRPr="00080FC1" w:rsidRDefault="00082CEB" w:rsidP="00BC7152">
            <w:pPr>
              <w:autoSpaceDE w:val="0"/>
              <w:autoSpaceDN w:val="0"/>
              <w:adjustRightInd w:val="0"/>
              <w:spacing w:before="40" w:after="40"/>
            </w:pPr>
            <w:r>
              <w:t>Pending</w:t>
            </w:r>
            <w:r w:rsidR="00BC7152" w:rsidRPr="005D52C2">
              <w:t xml:space="preserve"> </w:t>
            </w:r>
          </w:p>
        </w:tc>
        <w:tc>
          <w:tcPr>
            <w:tcW w:w="1230" w:type="dxa"/>
          </w:tcPr>
          <w:p w14:paraId="75DAFC5F" w14:textId="79B19FC1" w:rsidR="00BC7152" w:rsidRPr="00080FC1" w:rsidRDefault="00082CEB" w:rsidP="00BC7152">
            <w:pPr>
              <w:autoSpaceDE w:val="0"/>
              <w:autoSpaceDN w:val="0"/>
              <w:adjustRightInd w:val="0"/>
              <w:spacing w:before="40" w:after="40"/>
            </w:pPr>
            <w:r>
              <w:t>43</w:t>
            </w:r>
          </w:p>
        </w:tc>
      </w:tr>
      <w:tr w:rsidR="00BC7152" w:rsidRPr="00361E69" w14:paraId="65D9E3BD" w14:textId="77777777" w:rsidTr="00343B07">
        <w:trPr>
          <w:trHeight w:val="563"/>
          <w:jc w:val="center"/>
        </w:trPr>
        <w:tc>
          <w:tcPr>
            <w:tcW w:w="851" w:type="dxa"/>
            <w:shd w:val="clear" w:color="auto" w:fill="auto"/>
          </w:tcPr>
          <w:p w14:paraId="370530D5" w14:textId="77777777" w:rsidR="00BC7152" w:rsidRPr="005D52C2" w:rsidRDefault="00BC7152" w:rsidP="00BC7152">
            <w:pPr>
              <w:spacing w:before="40" w:after="40"/>
            </w:pPr>
            <w:r w:rsidRPr="007249AB">
              <w:t>71167</w:t>
            </w:r>
          </w:p>
        </w:tc>
        <w:tc>
          <w:tcPr>
            <w:tcW w:w="4916" w:type="dxa"/>
            <w:shd w:val="clear" w:color="auto" w:fill="auto"/>
          </w:tcPr>
          <w:p w14:paraId="5D2F3478" w14:textId="77777777" w:rsidR="00BC7152" w:rsidRPr="005D52C2" w:rsidRDefault="00BC7152" w:rsidP="00BC7152">
            <w:pPr>
              <w:autoSpaceDE w:val="0"/>
              <w:autoSpaceDN w:val="0"/>
              <w:adjustRightInd w:val="0"/>
              <w:spacing w:before="40" w:after="40"/>
            </w:pPr>
            <w:r w:rsidRPr="007249AB">
              <w:t>Detection of 3 antibodies described in item 71165. (Item is subject to rule 6.)</w:t>
            </w:r>
          </w:p>
        </w:tc>
        <w:tc>
          <w:tcPr>
            <w:tcW w:w="1747" w:type="dxa"/>
          </w:tcPr>
          <w:p w14:paraId="76FCB84E" w14:textId="7BBC221F" w:rsidR="00BC7152" w:rsidRPr="005D52C2" w:rsidRDefault="00082CEB" w:rsidP="00BC7152">
            <w:pPr>
              <w:autoSpaceDE w:val="0"/>
              <w:autoSpaceDN w:val="0"/>
              <w:adjustRightInd w:val="0"/>
              <w:spacing w:before="40" w:after="40"/>
            </w:pPr>
            <w:r>
              <w:t>Pending</w:t>
            </w:r>
          </w:p>
        </w:tc>
        <w:tc>
          <w:tcPr>
            <w:tcW w:w="1230" w:type="dxa"/>
          </w:tcPr>
          <w:p w14:paraId="58378AEF" w14:textId="3D8E9ADC" w:rsidR="00BC7152" w:rsidRPr="005D52C2" w:rsidRDefault="00082CEB" w:rsidP="00BC7152">
            <w:pPr>
              <w:autoSpaceDE w:val="0"/>
              <w:autoSpaceDN w:val="0"/>
              <w:adjustRightInd w:val="0"/>
              <w:spacing w:before="40" w:after="40"/>
            </w:pPr>
            <w:r>
              <w:t>43</w:t>
            </w:r>
          </w:p>
        </w:tc>
      </w:tr>
      <w:tr w:rsidR="00BC7152" w:rsidRPr="00361E69" w14:paraId="69262F76" w14:textId="77777777" w:rsidTr="00343B07">
        <w:trPr>
          <w:trHeight w:val="563"/>
          <w:jc w:val="center"/>
        </w:trPr>
        <w:tc>
          <w:tcPr>
            <w:tcW w:w="851" w:type="dxa"/>
            <w:shd w:val="clear" w:color="auto" w:fill="auto"/>
          </w:tcPr>
          <w:p w14:paraId="7302BF98" w14:textId="77777777" w:rsidR="00BC7152" w:rsidRPr="005D52C2" w:rsidRDefault="00BC7152" w:rsidP="00BC7152">
            <w:pPr>
              <w:spacing w:before="40" w:after="40"/>
            </w:pPr>
            <w:r w:rsidRPr="007249AB">
              <w:t>71168</w:t>
            </w:r>
          </w:p>
        </w:tc>
        <w:tc>
          <w:tcPr>
            <w:tcW w:w="4916" w:type="dxa"/>
            <w:shd w:val="clear" w:color="auto" w:fill="auto"/>
          </w:tcPr>
          <w:p w14:paraId="4B7D26AD" w14:textId="77777777" w:rsidR="00BC7152" w:rsidRPr="005D52C2" w:rsidRDefault="00BC7152" w:rsidP="00BC7152">
            <w:pPr>
              <w:autoSpaceDE w:val="0"/>
              <w:autoSpaceDN w:val="0"/>
              <w:adjustRightInd w:val="0"/>
              <w:spacing w:before="40" w:after="40"/>
            </w:pPr>
            <w:r w:rsidRPr="007249AB">
              <w:t>Detection of 4 or more antibodies described in item 71165. (Item is subject to rule 6.)</w:t>
            </w:r>
          </w:p>
        </w:tc>
        <w:tc>
          <w:tcPr>
            <w:tcW w:w="1747" w:type="dxa"/>
          </w:tcPr>
          <w:p w14:paraId="1B418973" w14:textId="6E84D47F" w:rsidR="00BC7152" w:rsidRPr="005D52C2" w:rsidRDefault="00082CEB" w:rsidP="00BC7152">
            <w:pPr>
              <w:autoSpaceDE w:val="0"/>
              <w:autoSpaceDN w:val="0"/>
              <w:adjustRightInd w:val="0"/>
              <w:spacing w:before="40" w:after="40"/>
            </w:pPr>
            <w:r>
              <w:t>Pending</w:t>
            </w:r>
          </w:p>
        </w:tc>
        <w:tc>
          <w:tcPr>
            <w:tcW w:w="1230" w:type="dxa"/>
          </w:tcPr>
          <w:p w14:paraId="3C42C902" w14:textId="19452AA4" w:rsidR="00BC7152" w:rsidRPr="005D52C2" w:rsidRDefault="00082CEB" w:rsidP="00BC7152">
            <w:pPr>
              <w:autoSpaceDE w:val="0"/>
              <w:autoSpaceDN w:val="0"/>
              <w:adjustRightInd w:val="0"/>
              <w:spacing w:before="40" w:after="40"/>
            </w:pPr>
            <w:r>
              <w:t>43</w:t>
            </w:r>
          </w:p>
        </w:tc>
      </w:tr>
      <w:tr w:rsidR="00BC7152" w:rsidRPr="00361E69" w14:paraId="4E4AC745" w14:textId="77777777" w:rsidTr="00343B07">
        <w:trPr>
          <w:trHeight w:val="563"/>
          <w:jc w:val="center"/>
        </w:trPr>
        <w:tc>
          <w:tcPr>
            <w:tcW w:w="851" w:type="dxa"/>
            <w:shd w:val="clear" w:color="auto" w:fill="auto"/>
          </w:tcPr>
          <w:p w14:paraId="78F7A49F" w14:textId="77777777" w:rsidR="00BC7152" w:rsidRPr="005D52C2" w:rsidRDefault="00BC7152" w:rsidP="00BC7152">
            <w:pPr>
              <w:spacing w:before="40" w:after="40"/>
            </w:pPr>
            <w:r w:rsidRPr="007249AB">
              <w:t>71169</w:t>
            </w:r>
          </w:p>
        </w:tc>
        <w:tc>
          <w:tcPr>
            <w:tcW w:w="4916" w:type="dxa"/>
            <w:shd w:val="clear" w:color="auto" w:fill="auto"/>
          </w:tcPr>
          <w:p w14:paraId="4F735109" w14:textId="77777777" w:rsidR="00BC7152" w:rsidRPr="005D52C2" w:rsidRDefault="00BC7152" w:rsidP="00BC7152">
            <w:pPr>
              <w:autoSpaceDE w:val="0"/>
              <w:autoSpaceDN w:val="0"/>
              <w:adjustRightInd w:val="0"/>
              <w:spacing w:before="40" w:after="40"/>
            </w:pPr>
            <w:r w:rsidRPr="007249AB">
              <w:t>A test described in item 71165, if rendered by a receiving APP, where no tests in the item have been rendered by the referring APP 1 test. (Item is subject to rule 6 and 18.)</w:t>
            </w:r>
          </w:p>
        </w:tc>
        <w:tc>
          <w:tcPr>
            <w:tcW w:w="1747" w:type="dxa"/>
          </w:tcPr>
          <w:p w14:paraId="15F8A80E" w14:textId="77D7D8D5" w:rsidR="00BC7152" w:rsidRPr="005D52C2" w:rsidRDefault="00082CEB" w:rsidP="00BC7152">
            <w:pPr>
              <w:autoSpaceDE w:val="0"/>
              <w:autoSpaceDN w:val="0"/>
              <w:adjustRightInd w:val="0"/>
              <w:spacing w:before="40" w:after="40"/>
            </w:pPr>
            <w:r>
              <w:t>Pending</w:t>
            </w:r>
          </w:p>
        </w:tc>
        <w:tc>
          <w:tcPr>
            <w:tcW w:w="1230" w:type="dxa"/>
          </w:tcPr>
          <w:p w14:paraId="7F53D622" w14:textId="498377E5" w:rsidR="00BC7152" w:rsidRPr="005D52C2" w:rsidRDefault="00082CEB" w:rsidP="00BC7152">
            <w:pPr>
              <w:autoSpaceDE w:val="0"/>
              <w:autoSpaceDN w:val="0"/>
              <w:adjustRightInd w:val="0"/>
              <w:spacing w:before="40" w:after="40"/>
            </w:pPr>
            <w:r>
              <w:t>43</w:t>
            </w:r>
          </w:p>
        </w:tc>
      </w:tr>
    </w:tbl>
    <w:p w14:paraId="25CB71B8" w14:textId="77777777" w:rsidR="00327C01" w:rsidRPr="00AC5FDC" w:rsidRDefault="00381125" w:rsidP="007F7B48">
      <w:pPr>
        <w:sectPr w:rsidR="00327C01" w:rsidRPr="00AC5FDC" w:rsidSect="00475E69">
          <w:footerReference w:type="default" r:id="rId31"/>
          <w:pgSz w:w="11906" w:h="16838" w:code="9"/>
          <w:pgMar w:top="1440" w:right="1440" w:bottom="1276" w:left="1440" w:header="720" w:footer="720" w:gutter="0"/>
          <w:paperSrc w:first="2" w:other="2"/>
          <w:cols w:space="720"/>
          <w:docGrid w:linePitch="326"/>
        </w:sectPr>
      </w:pPr>
      <w:r>
        <w:rPr>
          <w:lang w:val="en-US" w:eastAsia="en-US"/>
        </w:rPr>
        <w:br w:type="page"/>
      </w:r>
    </w:p>
    <w:p w14:paraId="08D6568C" w14:textId="77777777" w:rsidR="00ED7D2E" w:rsidRPr="001825EC" w:rsidRDefault="009734E5" w:rsidP="00ED7D2E">
      <w:pPr>
        <w:pStyle w:val="AppendixStyle1"/>
      </w:pPr>
      <w:bookmarkStart w:id="130" w:name="_Toc485295767"/>
      <w:bookmarkStart w:id="131" w:name="_Toc485296617"/>
      <w:r>
        <w:t>Summary for consumers</w:t>
      </w:r>
      <w:bookmarkEnd w:id="130"/>
      <w:bookmarkEnd w:id="131"/>
    </w:p>
    <w:p w14:paraId="21C2DCE7" w14:textId="2989EDA9" w:rsidR="0076706F" w:rsidRPr="0095071F" w:rsidRDefault="00175BCE" w:rsidP="009A721A">
      <w:r>
        <w:t>This table describes the medical service, the recommendation(s) of the clinical experts and why the recommendation(s) has been made.</w:t>
      </w:r>
    </w:p>
    <w:p w14:paraId="1EA84CD3" w14:textId="3733360A" w:rsidR="00175BCE" w:rsidRPr="009A721A" w:rsidRDefault="00175BCE" w:rsidP="009A721A">
      <w:pPr>
        <w:pStyle w:val="Caption"/>
        <w:rPr>
          <w:b/>
        </w:rPr>
      </w:pPr>
      <w:r w:rsidRPr="009A721A">
        <w:rPr>
          <w:b/>
          <w:i w:val="0"/>
        </w:rPr>
        <w:t xml:space="preserve">Recommendation </w:t>
      </w:r>
      <w:r w:rsidRPr="009A721A">
        <w:rPr>
          <w:b/>
          <w:i w:val="0"/>
        </w:rPr>
        <w:fldChar w:fldCharType="begin"/>
      </w:r>
      <w:r w:rsidRPr="009A721A">
        <w:rPr>
          <w:b/>
          <w:i w:val="0"/>
        </w:rPr>
        <w:instrText xml:space="preserve"> SEQ Recommendation \* ARABIC </w:instrText>
      </w:r>
      <w:r w:rsidRPr="009A721A">
        <w:rPr>
          <w:b/>
          <w:i w:val="0"/>
        </w:rPr>
        <w:fldChar w:fldCharType="separate"/>
      </w:r>
      <w:r w:rsidR="00235892">
        <w:rPr>
          <w:b/>
          <w:i w:val="0"/>
          <w:noProof/>
        </w:rPr>
        <w:t>1</w:t>
      </w:r>
      <w:r w:rsidRPr="009A721A">
        <w:rPr>
          <w:b/>
          <w:i w:val="0"/>
        </w:rPr>
        <w:fldChar w:fldCharType="end"/>
      </w:r>
      <w:r w:rsidRPr="009A721A">
        <w:rPr>
          <w:b/>
          <w:i w:val="0"/>
        </w:rPr>
        <w:t>: TSH (thyroid-stimulating hormone)</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457"/>
        <w:gridCol w:w="3665"/>
        <w:gridCol w:w="3645"/>
      </w:tblGrid>
      <w:tr w:rsidR="0076706F" w:rsidRPr="00ED7D2E" w14:paraId="1D7B5C5D" w14:textId="77777777" w:rsidTr="009A721A">
        <w:trPr>
          <w:cantSplit/>
          <w:tblHeader/>
        </w:trPr>
        <w:tc>
          <w:tcPr>
            <w:tcW w:w="1663" w:type="dxa"/>
          </w:tcPr>
          <w:p w14:paraId="73187F82"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0DE08CE6"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7" w:type="dxa"/>
          </w:tcPr>
          <w:p w14:paraId="7A8A11F7"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5" w:type="dxa"/>
          </w:tcPr>
          <w:p w14:paraId="1DE03CB3"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5" w:type="dxa"/>
          </w:tcPr>
          <w:p w14:paraId="3E855E31" w14:textId="77777777" w:rsidR="0076706F" w:rsidRPr="00505D08" w:rsidRDefault="0076706F" w:rsidP="009C162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6706F" w:rsidRPr="00ED7D2E" w14:paraId="466337FF" w14:textId="77777777" w:rsidTr="009A721A">
        <w:trPr>
          <w:cantSplit/>
        </w:trPr>
        <w:tc>
          <w:tcPr>
            <w:tcW w:w="1663" w:type="dxa"/>
          </w:tcPr>
          <w:p w14:paraId="2093181B" w14:textId="77777777" w:rsidR="0076706F" w:rsidRPr="00505D08" w:rsidRDefault="001A4AEB" w:rsidP="009C162C">
            <w:pPr>
              <w:spacing w:before="40" w:after="40" w:line="240" w:lineRule="auto"/>
              <w:rPr>
                <w:rFonts w:cs="Arial"/>
                <w:b/>
                <w:sz w:val="18"/>
                <w:szCs w:val="18"/>
                <w:lang w:val="en-US" w:eastAsia="en-US"/>
              </w:rPr>
            </w:pPr>
            <w:r w:rsidRPr="001A4AEB">
              <w:rPr>
                <w:rFonts w:cs="Arial"/>
                <w:b/>
                <w:color w:val="222222"/>
                <w:sz w:val="18"/>
                <w:szCs w:val="18"/>
              </w:rPr>
              <w:t>66716</w:t>
            </w:r>
          </w:p>
        </w:tc>
        <w:tc>
          <w:tcPr>
            <w:tcW w:w="2692" w:type="dxa"/>
          </w:tcPr>
          <w:p w14:paraId="46107FC0" w14:textId="36A1B078" w:rsidR="0076706F" w:rsidRPr="00505D08" w:rsidRDefault="00303067" w:rsidP="00C730F7">
            <w:pPr>
              <w:spacing w:before="40" w:after="40" w:line="240" w:lineRule="auto"/>
              <w:rPr>
                <w:rFonts w:cs="Arial"/>
                <w:sz w:val="18"/>
                <w:szCs w:val="18"/>
              </w:rPr>
            </w:pPr>
            <w:r>
              <w:rPr>
                <w:rFonts w:cs="Arial"/>
                <w:sz w:val="18"/>
                <w:szCs w:val="18"/>
              </w:rPr>
              <w:t xml:space="preserve">Measures </w:t>
            </w:r>
            <w:r w:rsidR="00C730F7">
              <w:rPr>
                <w:rFonts w:cs="Arial"/>
                <w:sz w:val="18"/>
                <w:szCs w:val="18"/>
              </w:rPr>
              <w:t xml:space="preserve">blood </w:t>
            </w:r>
            <w:r>
              <w:rPr>
                <w:rFonts w:cs="Arial"/>
                <w:sz w:val="18"/>
                <w:szCs w:val="18"/>
              </w:rPr>
              <w:t xml:space="preserve">levels of </w:t>
            </w:r>
            <w:r w:rsidR="00C730F7">
              <w:rPr>
                <w:rFonts w:cs="Arial"/>
                <w:sz w:val="18"/>
                <w:szCs w:val="18"/>
              </w:rPr>
              <w:t xml:space="preserve">the hormone that stimulates the thyroid gland, </w:t>
            </w:r>
            <w:r>
              <w:rPr>
                <w:rFonts w:cs="Arial"/>
                <w:sz w:val="18"/>
                <w:szCs w:val="18"/>
              </w:rPr>
              <w:t>to assess thyroid disease</w:t>
            </w:r>
            <w:r w:rsidR="00E5655B">
              <w:rPr>
                <w:rFonts w:cs="Arial"/>
                <w:sz w:val="18"/>
                <w:szCs w:val="18"/>
              </w:rPr>
              <w:t>.</w:t>
            </w:r>
          </w:p>
        </w:tc>
        <w:tc>
          <w:tcPr>
            <w:tcW w:w="2457" w:type="dxa"/>
          </w:tcPr>
          <w:p w14:paraId="0201CE95" w14:textId="77E050C4" w:rsidR="0076706F" w:rsidRPr="00505D08" w:rsidRDefault="00303067" w:rsidP="00455780">
            <w:pPr>
              <w:spacing w:before="40" w:after="40" w:line="240" w:lineRule="auto"/>
              <w:rPr>
                <w:rFonts w:cs="Arial"/>
                <w:b/>
                <w:sz w:val="18"/>
                <w:szCs w:val="18"/>
                <w:lang w:val="en-US" w:eastAsia="en-US"/>
              </w:rPr>
            </w:pPr>
            <w:r>
              <w:rPr>
                <w:rFonts w:cs="Arial"/>
                <w:sz w:val="18"/>
                <w:szCs w:val="18"/>
              </w:rPr>
              <w:t xml:space="preserve">Include guidance on </w:t>
            </w:r>
            <w:r w:rsidR="00455780">
              <w:rPr>
                <w:rFonts w:cs="Arial"/>
                <w:sz w:val="18"/>
                <w:szCs w:val="18"/>
              </w:rPr>
              <w:t xml:space="preserve">when </w:t>
            </w:r>
            <w:r>
              <w:rPr>
                <w:rFonts w:cs="Arial"/>
                <w:sz w:val="18"/>
                <w:szCs w:val="18"/>
              </w:rPr>
              <w:t>the test is appropriate</w:t>
            </w:r>
            <w:r w:rsidR="00455780">
              <w:rPr>
                <w:rFonts w:cs="Arial"/>
                <w:sz w:val="18"/>
                <w:szCs w:val="18"/>
              </w:rPr>
              <w:t xml:space="preserve"> for doctors </w:t>
            </w:r>
            <w:r>
              <w:rPr>
                <w:rFonts w:cs="Arial"/>
                <w:sz w:val="18"/>
                <w:szCs w:val="18"/>
              </w:rPr>
              <w:t>to request</w:t>
            </w:r>
            <w:r w:rsidR="00E5655B">
              <w:rPr>
                <w:rFonts w:cs="Arial"/>
                <w:sz w:val="18"/>
                <w:szCs w:val="18"/>
              </w:rPr>
              <w:t>.</w:t>
            </w:r>
          </w:p>
        </w:tc>
        <w:tc>
          <w:tcPr>
            <w:tcW w:w="3665" w:type="dxa"/>
          </w:tcPr>
          <w:p w14:paraId="0E35E7E1" w14:textId="6D4F7D46" w:rsidR="0076706F" w:rsidRDefault="00455780" w:rsidP="00455780">
            <w:pPr>
              <w:spacing w:before="40" w:after="40" w:line="240" w:lineRule="auto"/>
              <w:ind w:left="57" w:right="57"/>
              <w:rPr>
                <w:sz w:val="18"/>
                <w:szCs w:val="18"/>
              </w:rPr>
            </w:pPr>
            <w:r>
              <w:rPr>
                <w:sz w:val="18"/>
                <w:szCs w:val="18"/>
              </w:rPr>
              <w:t>T</w:t>
            </w:r>
            <w:r w:rsidR="00323CCF">
              <w:rPr>
                <w:sz w:val="18"/>
                <w:szCs w:val="18"/>
              </w:rPr>
              <w:t xml:space="preserve">he test </w:t>
            </w:r>
            <w:r>
              <w:rPr>
                <w:sz w:val="18"/>
                <w:szCs w:val="18"/>
              </w:rPr>
              <w:t xml:space="preserve">would be avoided </w:t>
            </w:r>
            <w:r w:rsidR="00323CCF">
              <w:rPr>
                <w:sz w:val="18"/>
                <w:szCs w:val="18"/>
              </w:rPr>
              <w:t>in patients who do not show thyroid disease symptoms</w:t>
            </w:r>
            <w:r>
              <w:rPr>
                <w:sz w:val="18"/>
                <w:szCs w:val="18"/>
              </w:rPr>
              <w:t xml:space="preserve">, unless they are </w:t>
            </w:r>
            <w:r w:rsidR="00323CCF">
              <w:rPr>
                <w:sz w:val="18"/>
                <w:szCs w:val="18"/>
              </w:rPr>
              <w:t>pregnant or at high risk of thyroid disease</w:t>
            </w:r>
            <w:r w:rsidR="00E5655B">
              <w:rPr>
                <w:sz w:val="18"/>
                <w:szCs w:val="18"/>
              </w:rPr>
              <w:t>.</w:t>
            </w:r>
          </w:p>
          <w:p w14:paraId="1A5ED7D6" w14:textId="1E34F190" w:rsidR="002A01FE" w:rsidRPr="00505D08" w:rsidRDefault="002A01FE" w:rsidP="00455780">
            <w:pPr>
              <w:spacing w:before="40" w:after="40" w:line="240" w:lineRule="auto"/>
              <w:ind w:left="57" w:right="57"/>
              <w:rPr>
                <w:rFonts w:cs="Arial"/>
                <w:b/>
                <w:sz w:val="18"/>
                <w:szCs w:val="18"/>
                <w:lang w:val="en-US" w:eastAsia="en-US"/>
              </w:rPr>
            </w:pPr>
          </w:p>
        </w:tc>
        <w:tc>
          <w:tcPr>
            <w:tcW w:w="3645" w:type="dxa"/>
          </w:tcPr>
          <w:p w14:paraId="438AFEF1" w14:textId="21D2F78D" w:rsidR="0076706F" w:rsidRPr="00505D08" w:rsidRDefault="00323CCF" w:rsidP="00455780">
            <w:pPr>
              <w:spacing w:before="40" w:after="40" w:line="240" w:lineRule="auto"/>
              <w:rPr>
                <w:rFonts w:cs="Arial"/>
                <w:b/>
                <w:sz w:val="18"/>
                <w:szCs w:val="18"/>
                <w:lang w:val="en-US" w:eastAsia="en-US"/>
              </w:rPr>
            </w:pPr>
            <w:r>
              <w:rPr>
                <w:rFonts w:cs="Arial"/>
                <w:sz w:val="18"/>
                <w:szCs w:val="18"/>
              </w:rPr>
              <w:t xml:space="preserve">To align testing with current </w:t>
            </w:r>
            <w:r w:rsidR="00455780">
              <w:rPr>
                <w:rFonts w:cs="Arial"/>
                <w:sz w:val="18"/>
                <w:szCs w:val="18"/>
              </w:rPr>
              <w:t xml:space="preserve">medical </w:t>
            </w:r>
            <w:r>
              <w:rPr>
                <w:rFonts w:cs="Arial"/>
                <w:sz w:val="18"/>
                <w:szCs w:val="18"/>
              </w:rPr>
              <w:t>guidelines</w:t>
            </w:r>
            <w:r w:rsidR="00081DD2">
              <w:rPr>
                <w:rFonts w:cs="Arial"/>
                <w:sz w:val="18"/>
                <w:szCs w:val="18"/>
              </w:rPr>
              <w:t xml:space="preserve">, such as the </w:t>
            </w:r>
            <w:r w:rsidR="00081DD2" w:rsidRPr="00081DD2">
              <w:rPr>
                <w:rFonts w:cs="Arial"/>
                <w:sz w:val="18"/>
                <w:szCs w:val="18"/>
              </w:rPr>
              <w:t>RACGP Choosing Wisely recommendations</w:t>
            </w:r>
            <w:r w:rsidR="00081DD2">
              <w:rPr>
                <w:rFonts w:cs="Arial"/>
                <w:sz w:val="18"/>
                <w:szCs w:val="18"/>
              </w:rPr>
              <w:t>.</w:t>
            </w:r>
          </w:p>
        </w:tc>
      </w:tr>
    </w:tbl>
    <w:p w14:paraId="42ACEEB5" w14:textId="77777777" w:rsidR="00175BCE" w:rsidRDefault="00175BCE"/>
    <w:p w14:paraId="4756AA32" w14:textId="49592BC4" w:rsidR="00175BCE" w:rsidRPr="009A721A" w:rsidRDefault="00175BCE" w:rsidP="009A721A">
      <w:pPr>
        <w:pStyle w:val="Caption"/>
        <w:rPr>
          <w:b/>
        </w:rPr>
      </w:pPr>
      <w:r w:rsidRPr="009A721A">
        <w:rPr>
          <w:b/>
          <w:i w:val="0"/>
        </w:rPr>
        <w:t xml:space="preserve">Recommendation </w:t>
      </w:r>
      <w:r w:rsidRPr="009A721A">
        <w:rPr>
          <w:b/>
          <w:i w:val="0"/>
        </w:rPr>
        <w:fldChar w:fldCharType="begin"/>
      </w:r>
      <w:r w:rsidRPr="009A721A">
        <w:rPr>
          <w:b/>
          <w:i w:val="0"/>
        </w:rPr>
        <w:instrText xml:space="preserve"> SEQ Recommendation \* ARABIC </w:instrText>
      </w:r>
      <w:r w:rsidRPr="009A721A">
        <w:rPr>
          <w:b/>
          <w:i w:val="0"/>
        </w:rPr>
        <w:fldChar w:fldCharType="separate"/>
      </w:r>
      <w:r w:rsidR="00235892">
        <w:rPr>
          <w:b/>
          <w:i w:val="0"/>
          <w:noProof/>
        </w:rPr>
        <w:t>2</w:t>
      </w:r>
      <w:r w:rsidRPr="009A721A">
        <w:rPr>
          <w:b/>
          <w:i w:val="0"/>
        </w:rPr>
        <w:fldChar w:fldCharType="end"/>
      </w:r>
      <w:r w:rsidRPr="009A721A">
        <w:rPr>
          <w:b/>
          <w:i w:val="0"/>
        </w:rPr>
        <w:t>: TFTs (thyroid function tests)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457"/>
        <w:gridCol w:w="3665"/>
        <w:gridCol w:w="3645"/>
      </w:tblGrid>
      <w:tr w:rsidR="00323CCF" w:rsidRPr="00ED7D2E" w14:paraId="160D9A79" w14:textId="77777777" w:rsidTr="009A721A">
        <w:trPr>
          <w:cantSplit/>
          <w:tblHeader/>
        </w:trPr>
        <w:tc>
          <w:tcPr>
            <w:tcW w:w="1663" w:type="dxa"/>
          </w:tcPr>
          <w:p w14:paraId="578C5C69"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3EC1FFF6"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7" w:type="dxa"/>
          </w:tcPr>
          <w:p w14:paraId="338555B6"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5" w:type="dxa"/>
          </w:tcPr>
          <w:p w14:paraId="1D35FCB0"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5" w:type="dxa"/>
          </w:tcPr>
          <w:p w14:paraId="3B2BB00C"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323CCF" w:rsidRPr="00ED7D2E" w14:paraId="714DEC07" w14:textId="77777777" w:rsidTr="009A721A">
        <w:trPr>
          <w:cantSplit/>
        </w:trPr>
        <w:tc>
          <w:tcPr>
            <w:tcW w:w="1663" w:type="dxa"/>
          </w:tcPr>
          <w:p w14:paraId="22EBCCD4" w14:textId="77777777" w:rsidR="00323CCF" w:rsidRPr="00505D08" w:rsidRDefault="00323CCF" w:rsidP="00A407A9">
            <w:pPr>
              <w:spacing w:before="40" w:after="40" w:line="240" w:lineRule="auto"/>
              <w:rPr>
                <w:rFonts w:cs="Arial"/>
                <w:b/>
                <w:sz w:val="18"/>
                <w:szCs w:val="18"/>
                <w:lang w:val="en-US" w:eastAsia="en-US"/>
              </w:rPr>
            </w:pPr>
            <w:r>
              <w:rPr>
                <w:rFonts w:cs="Arial"/>
                <w:b/>
                <w:color w:val="222222"/>
                <w:sz w:val="18"/>
                <w:szCs w:val="18"/>
              </w:rPr>
              <w:t>66719</w:t>
            </w:r>
          </w:p>
        </w:tc>
        <w:tc>
          <w:tcPr>
            <w:tcW w:w="2692" w:type="dxa"/>
          </w:tcPr>
          <w:p w14:paraId="4B1DB5AF" w14:textId="520E0184" w:rsidR="00323CCF" w:rsidRPr="00505D08" w:rsidRDefault="00323CCF" w:rsidP="00455780">
            <w:pPr>
              <w:spacing w:before="40" w:after="40" w:line="240" w:lineRule="auto"/>
              <w:rPr>
                <w:rFonts w:cs="Arial"/>
                <w:sz w:val="18"/>
                <w:szCs w:val="18"/>
              </w:rPr>
            </w:pPr>
            <w:r>
              <w:rPr>
                <w:rFonts w:cs="Arial"/>
                <w:sz w:val="18"/>
                <w:szCs w:val="18"/>
              </w:rPr>
              <w:t xml:space="preserve">Measures </w:t>
            </w:r>
            <w:r w:rsidR="00455780">
              <w:rPr>
                <w:rFonts w:cs="Arial"/>
                <w:sz w:val="18"/>
                <w:szCs w:val="18"/>
              </w:rPr>
              <w:t xml:space="preserve">blood </w:t>
            </w:r>
            <w:r>
              <w:rPr>
                <w:rFonts w:cs="Arial"/>
                <w:sz w:val="18"/>
                <w:szCs w:val="18"/>
              </w:rPr>
              <w:t xml:space="preserve">levels of </w:t>
            </w:r>
            <w:r w:rsidR="00455780">
              <w:rPr>
                <w:rFonts w:cs="Arial"/>
                <w:sz w:val="18"/>
                <w:szCs w:val="18"/>
              </w:rPr>
              <w:t>thyroid hormone</w:t>
            </w:r>
            <w:r w:rsidR="006674A5">
              <w:rPr>
                <w:rFonts w:cs="Arial"/>
                <w:sz w:val="18"/>
                <w:szCs w:val="18"/>
              </w:rPr>
              <w:t>s</w:t>
            </w:r>
            <w:r w:rsidR="00455780">
              <w:rPr>
                <w:rFonts w:cs="Arial"/>
                <w:sz w:val="18"/>
                <w:szCs w:val="18"/>
              </w:rPr>
              <w:t xml:space="preserve"> </w:t>
            </w:r>
            <w:r>
              <w:rPr>
                <w:rFonts w:cs="Arial"/>
                <w:sz w:val="18"/>
                <w:szCs w:val="18"/>
              </w:rPr>
              <w:t>to assess thyroid disease</w:t>
            </w:r>
            <w:r w:rsidR="00E5655B">
              <w:rPr>
                <w:rFonts w:cs="Arial"/>
                <w:sz w:val="18"/>
                <w:szCs w:val="18"/>
              </w:rPr>
              <w:t>.</w:t>
            </w:r>
          </w:p>
        </w:tc>
        <w:tc>
          <w:tcPr>
            <w:tcW w:w="2457" w:type="dxa"/>
          </w:tcPr>
          <w:p w14:paraId="620DB27D" w14:textId="0FA201A4" w:rsidR="00323CCF" w:rsidRDefault="00323CCF" w:rsidP="00455780">
            <w:pPr>
              <w:spacing w:before="40" w:after="40" w:line="240" w:lineRule="auto"/>
              <w:rPr>
                <w:rFonts w:cs="Arial"/>
                <w:sz w:val="18"/>
                <w:szCs w:val="18"/>
              </w:rPr>
            </w:pPr>
            <w:r>
              <w:rPr>
                <w:rFonts w:cs="Arial"/>
                <w:sz w:val="18"/>
                <w:szCs w:val="18"/>
              </w:rPr>
              <w:t xml:space="preserve">Include guidance on </w:t>
            </w:r>
            <w:r w:rsidR="00455780">
              <w:rPr>
                <w:rFonts w:cs="Arial"/>
                <w:sz w:val="18"/>
                <w:szCs w:val="18"/>
              </w:rPr>
              <w:t xml:space="preserve">when </w:t>
            </w:r>
            <w:r>
              <w:rPr>
                <w:rFonts w:cs="Arial"/>
                <w:sz w:val="18"/>
                <w:szCs w:val="18"/>
              </w:rPr>
              <w:t xml:space="preserve">the test is appropriate </w:t>
            </w:r>
            <w:r w:rsidR="00455780">
              <w:rPr>
                <w:rFonts w:cs="Arial"/>
                <w:sz w:val="18"/>
                <w:szCs w:val="18"/>
              </w:rPr>
              <w:t xml:space="preserve">for doctors and </w:t>
            </w:r>
            <w:r>
              <w:rPr>
                <w:rFonts w:cs="Arial"/>
                <w:sz w:val="18"/>
                <w:szCs w:val="18"/>
              </w:rPr>
              <w:t>pathologists</w:t>
            </w:r>
            <w:r w:rsidR="00455780">
              <w:rPr>
                <w:rFonts w:cs="Arial"/>
                <w:sz w:val="18"/>
                <w:szCs w:val="18"/>
              </w:rPr>
              <w:t xml:space="preserve"> to request</w:t>
            </w:r>
            <w:r w:rsidR="00E5655B">
              <w:rPr>
                <w:rFonts w:cs="Arial"/>
                <w:sz w:val="18"/>
                <w:szCs w:val="18"/>
              </w:rPr>
              <w:t>.</w:t>
            </w:r>
          </w:p>
          <w:p w14:paraId="4DCFDE27" w14:textId="0E01E945" w:rsidR="002A01FE" w:rsidRPr="00505D08" w:rsidRDefault="002A01FE" w:rsidP="00455780">
            <w:pPr>
              <w:spacing w:before="40" w:after="40" w:line="240" w:lineRule="auto"/>
              <w:rPr>
                <w:rFonts w:cs="Arial"/>
                <w:b/>
                <w:sz w:val="18"/>
                <w:szCs w:val="18"/>
                <w:lang w:val="en-US" w:eastAsia="en-US"/>
              </w:rPr>
            </w:pPr>
          </w:p>
        </w:tc>
        <w:tc>
          <w:tcPr>
            <w:tcW w:w="3665" w:type="dxa"/>
          </w:tcPr>
          <w:p w14:paraId="3A8A675E" w14:textId="0A43ACFF" w:rsidR="00323CCF" w:rsidRPr="00505D08" w:rsidRDefault="00455780" w:rsidP="00455780">
            <w:pPr>
              <w:spacing w:before="40" w:after="40" w:line="240" w:lineRule="auto"/>
              <w:ind w:left="57" w:right="57"/>
              <w:rPr>
                <w:rFonts w:cs="Arial"/>
                <w:b/>
                <w:sz w:val="18"/>
                <w:szCs w:val="18"/>
                <w:lang w:val="en-US" w:eastAsia="en-US"/>
              </w:rPr>
            </w:pPr>
            <w:r>
              <w:rPr>
                <w:sz w:val="18"/>
                <w:szCs w:val="18"/>
              </w:rPr>
              <w:t>T</w:t>
            </w:r>
            <w:r w:rsidR="00323CCF">
              <w:rPr>
                <w:sz w:val="18"/>
                <w:szCs w:val="18"/>
              </w:rPr>
              <w:t xml:space="preserve">he test </w:t>
            </w:r>
            <w:r>
              <w:rPr>
                <w:sz w:val="18"/>
                <w:szCs w:val="18"/>
              </w:rPr>
              <w:t xml:space="preserve">would be avoided </w:t>
            </w:r>
            <w:r w:rsidR="00323CCF">
              <w:rPr>
                <w:sz w:val="18"/>
                <w:szCs w:val="18"/>
              </w:rPr>
              <w:t xml:space="preserve">in patients </w:t>
            </w:r>
            <w:r>
              <w:rPr>
                <w:sz w:val="18"/>
                <w:szCs w:val="18"/>
              </w:rPr>
              <w:t xml:space="preserve">when </w:t>
            </w:r>
            <w:r w:rsidR="00323CCF">
              <w:rPr>
                <w:sz w:val="18"/>
                <w:szCs w:val="18"/>
              </w:rPr>
              <w:t xml:space="preserve">the results can be unreliable and </w:t>
            </w:r>
            <w:r w:rsidR="00D31AAB">
              <w:rPr>
                <w:sz w:val="18"/>
                <w:szCs w:val="18"/>
              </w:rPr>
              <w:t>misleading</w:t>
            </w:r>
            <w:r w:rsidR="00E5655B">
              <w:rPr>
                <w:sz w:val="18"/>
                <w:szCs w:val="18"/>
              </w:rPr>
              <w:t>.</w:t>
            </w:r>
          </w:p>
        </w:tc>
        <w:tc>
          <w:tcPr>
            <w:tcW w:w="3645" w:type="dxa"/>
          </w:tcPr>
          <w:p w14:paraId="6AAC5BE2" w14:textId="2F9118AB" w:rsidR="00323CCF" w:rsidRPr="00505D08" w:rsidRDefault="00323CCF" w:rsidP="00455780">
            <w:pPr>
              <w:spacing w:before="40" w:after="40" w:line="240" w:lineRule="auto"/>
              <w:rPr>
                <w:rFonts w:cs="Arial"/>
                <w:b/>
                <w:sz w:val="18"/>
                <w:szCs w:val="18"/>
                <w:lang w:val="en-US" w:eastAsia="en-US"/>
              </w:rPr>
            </w:pPr>
            <w:r>
              <w:rPr>
                <w:rFonts w:cs="Arial"/>
                <w:sz w:val="18"/>
                <w:szCs w:val="18"/>
              </w:rPr>
              <w:t xml:space="preserve">To align testing with current </w:t>
            </w:r>
            <w:r w:rsidR="00455780">
              <w:rPr>
                <w:rFonts w:cs="Arial"/>
                <w:sz w:val="18"/>
                <w:szCs w:val="18"/>
              </w:rPr>
              <w:t xml:space="preserve">medical </w:t>
            </w:r>
            <w:r>
              <w:rPr>
                <w:rFonts w:cs="Arial"/>
                <w:sz w:val="18"/>
                <w:szCs w:val="18"/>
              </w:rPr>
              <w:t>guidelines</w:t>
            </w:r>
            <w:r w:rsidR="00E5655B">
              <w:rPr>
                <w:rFonts w:cs="Arial"/>
                <w:sz w:val="18"/>
                <w:szCs w:val="18"/>
              </w:rPr>
              <w:t>.</w:t>
            </w:r>
          </w:p>
        </w:tc>
      </w:tr>
    </w:tbl>
    <w:p w14:paraId="63711AE1" w14:textId="77777777" w:rsidR="00175BCE" w:rsidRDefault="00175BCE"/>
    <w:p w14:paraId="3ECEF45B" w14:textId="249F182E" w:rsidR="007237B6" w:rsidRPr="009A721A" w:rsidRDefault="007237B6" w:rsidP="007237B6">
      <w:pPr>
        <w:pStyle w:val="Caption"/>
        <w:rPr>
          <w:b/>
          <w:i w:val="0"/>
        </w:rPr>
      </w:pPr>
      <w:r w:rsidRPr="00B27BE5">
        <w:rPr>
          <w:b/>
          <w:i w:val="0"/>
        </w:rPr>
        <w:t xml:space="preserve">Recommendation </w:t>
      </w:r>
      <w:r w:rsidRPr="00B27BE5">
        <w:rPr>
          <w:b/>
          <w:i w:val="0"/>
        </w:rPr>
        <w:fldChar w:fldCharType="begin"/>
      </w:r>
      <w:r w:rsidRPr="00B27BE5">
        <w:rPr>
          <w:b/>
          <w:i w:val="0"/>
        </w:rPr>
        <w:instrText xml:space="preserve"> SEQ Recommendation \* ARABIC </w:instrText>
      </w:r>
      <w:r w:rsidRPr="00B27BE5">
        <w:rPr>
          <w:b/>
          <w:i w:val="0"/>
        </w:rPr>
        <w:fldChar w:fldCharType="separate"/>
      </w:r>
      <w:r w:rsidR="00235892">
        <w:rPr>
          <w:b/>
          <w:i w:val="0"/>
          <w:noProof/>
        </w:rPr>
        <w:t>3</w:t>
      </w:r>
      <w:r w:rsidRPr="00B27BE5">
        <w:rPr>
          <w:b/>
          <w:i w:val="0"/>
        </w:rPr>
        <w:fldChar w:fldCharType="end"/>
      </w:r>
      <w:r w:rsidRPr="00B27BE5">
        <w:rPr>
          <w:b/>
          <w:i w:val="0"/>
        </w:rPr>
        <w:t xml:space="preserve">: </w:t>
      </w:r>
      <w:r>
        <w:rPr>
          <w:b/>
          <w:i w:val="0"/>
        </w:rPr>
        <w:t>N</w:t>
      </w:r>
      <w:r w:rsidR="004C3AE0">
        <w:rPr>
          <w:b/>
          <w:i w:val="0"/>
        </w:rPr>
        <w:t>ew item</w:t>
      </w:r>
      <w:r>
        <w:rPr>
          <w:b/>
          <w:i w:val="0"/>
        </w:rPr>
        <w:t xml:space="preserve"> for TFTs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1"/>
        <w:gridCol w:w="2692"/>
        <w:gridCol w:w="2536"/>
        <w:gridCol w:w="3587"/>
        <w:gridCol w:w="3646"/>
      </w:tblGrid>
      <w:tr w:rsidR="007237B6" w:rsidRPr="00ED7D2E" w14:paraId="41F0B592" w14:textId="77777777" w:rsidTr="009A721A">
        <w:trPr>
          <w:cantSplit/>
          <w:tblHeader/>
        </w:trPr>
        <w:tc>
          <w:tcPr>
            <w:tcW w:w="1668" w:type="dxa"/>
          </w:tcPr>
          <w:p w14:paraId="24810C5F" w14:textId="77777777" w:rsidR="007237B6" w:rsidRPr="00505D08" w:rsidRDefault="007237B6"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05C44CAA" w14:textId="77777777" w:rsidR="007237B6" w:rsidRPr="00505D08" w:rsidRDefault="007237B6"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542" w:type="dxa"/>
          </w:tcPr>
          <w:p w14:paraId="56BDD96B" w14:textId="77777777" w:rsidR="007237B6" w:rsidRPr="00505D08" w:rsidRDefault="007237B6"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01" w:type="dxa"/>
          </w:tcPr>
          <w:p w14:paraId="4C4AB889" w14:textId="77777777" w:rsidR="007237B6" w:rsidRPr="00505D08" w:rsidRDefault="007237B6"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6996315D" w14:textId="77777777" w:rsidR="007237B6" w:rsidRPr="00505D08" w:rsidRDefault="007237B6"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237B6" w:rsidRPr="00ED7D2E" w14:paraId="684DBDA9" w14:textId="77777777" w:rsidTr="009A721A">
        <w:trPr>
          <w:cantSplit/>
        </w:trPr>
        <w:tc>
          <w:tcPr>
            <w:tcW w:w="1668" w:type="dxa"/>
          </w:tcPr>
          <w:p w14:paraId="4A727463" w14:textId="34D79BBB" w:rsidR="007237B6" w:rsidRPr="00505D08" w:rsidRDefault="004C3AE0" w:rsidP="007F345C">
            <w:pPr>
              <w:spacing w:before="40" w:after="40" w:line="240" w:lineRule="auto"/>
              <w:rPr>
                <w:rFonts w:cs="Arial"/>
                <w:b/>
                <w:sz w:val="18"/>
                <w:szCs w:val="18"/>
                <w:lang w:val="en-US" w:eastAsia="en-US"/>
              </w:rPr>
            </w:pPr>
            <w:r>
              <w:rPr>
                <w:rFonts w:cs="Arial"/>
                <w:b/>
                <w:sz w:val="18"/>
                <w:szCs w:val="18"/>
                <w:lang w:val="en-US" w:eastAsia="en-US"/>
              </w:rPr>
              <w:t>New item</w:t>
            </w:r>
          </w:p>
        </w:tc>
        <w:tc>
          <w:tcPr>
            <w:tcW w:w="2702" w:type="dxa"/>
          </w:tcPr>
          <w:p w14:paraId="23E7C558" w14:textId="786783A8" w:rsidR="007237B6" w:rsidRPr="00505D08" w:rsidRDefault="004C3AE0" w:rsidP="007F345C">
            <w:pPr>
              <w:spacing w:before="40" w:after="40" w:line="240" w:lineRule="auto"/>
              <w:rPr>
                <w:rFonts w:cs="Arial"/>
                <w:sz w:val="18"/>
                <w:szCs w:val="18"/>
              </w:rPr>
            </w:pPr>
            <w:r>
              <w:rPr>
                <w:rFonts w:cs="Arial"/>
                <w:sz w:val="18"/>
                <w:szCs w:val="18"/>
                <w:lang w:val="en-US" w:eastAsia="en-US"/>
              </w:rPr>
              <w:t>Measures</w:t>
            </w:r>
            <w:r w:rsidRPr="00B27BE5">
              <w:rPr>
                <w:rFonts w:cs="Arial"/>
                <w:sz w:val="18"/>
                <w:szCs w:val="18"/>
                <w:lang w:val="en-US" w:eastAsia="en-US"/>
              </w:rPr>
              <w:t xml:space="preserve"> all thyroid hormone</w:t>
            </w:r>
            <w:r>
              <w:rPr>
                <w:rFonts w:cs="Arial"/>
                <w:sz w:val="18"/>
                <w:szCs w:val="18"/>
                <w:lang w:val="en-US" w:eastAsia="en-US"/>
              </w:rPr>
              <w:t xml:space="preserve"> level</w:t>
            </w:r>
            <w:r w:rsidRPr="00B27BE5">
              <w:rPr>
                <w:rFonts w:cs="Arial"/>
                <w:sz w:val="18"/>
                <w:szCs w:val="18"/>
                <w:lang w:val="en-US" w:eastAsia="en-US"/>
              </w:rPr>
              <w:t>s</w:t>
            </w:r>
            <w:r>
              <w:rPr>
                <w:rFonts w:cs="Arial"/>
                <w:sz w:val="18"/>
                <w:szCs w:val="18"/>
                <w:lang w:val="en-US" w:eastAsia="en-US"/>
              </w:rPr>
              <w:t>.</w:t>
            </w:r>
          </w:p>
        </w:tc>
        <w:tc>
          <w:tcPr>
            <w:tcW w:w="2542" w:type="dxa"/>
          </w:tcPr>
          <w:p w14:paraId="0D8A9079" w14:textId="51B1B0DE" w:rsidR="007237B6" w:rsidRPr="00505D08" w:rsidRDefault="004C3AE0" w:rsidP="007F345C">
            <w:pPr>
              <w:spacing w:before="40" w:after="40" w:line="240" w:lineRule="auto"/>
              <w:rPr>
                <w:rFonts w:cs="Arial"/>
                <w:b/>
                <w:sz w:val="18"/>
                <w:szCs w:val="18"/>
                <w:lang w:val="en-US" w:eastAsia="en-US"/>
              </w:rPr>
            </w:pPr>
            <w:r>
              <w:rPr>
                <w:rFonts w:cs="Arial"/>
                <w:sz w:val="18"/>
                <w:szCs w:val="18"/>
                <w:lang w:val="en-US" w:eastAsia="en-US"/>
              </w:rPr>
              <w:t>Create a n</w:t>
            </w:r>
            <w:r w:rsidRPr="00B27BE5">
              <w:rPr>
                <w:rFonts w:cs="Arial"/>
                <w:sz w:val="18"/>
                <w:szCs w:val="18"/>
                <w:lang w:val="en-US" w:eastAsia="en-US"/>
              </w:rPr>
              <w:t>ew item that includes the measurement of all thyroid hormone</w:t>
            </w:r>
            <w:r>
              <w:rPr>
                <w:rFonts w:cs="Arial"/>
                <w:sz w:val="18"/>
                <w:szCs w:val="18"/>
                <w:lang w:val="en-US" w:eastAsia="en-US"/>
              </w:rPr>
              <w:t xml:space="preserve"> level</w:t>
            </w:r>
            <w:r w:rsidRPr="00B27BE5">
              <w:rPr>
                <w:rFonts w:cs="Arial"/>
                <w:sz w:val="18"/>
                <w:szCs w:val="18"/>
                <w:lang w:val="en-US" w:eastAsia="en-US"/>
              </w:rPr>
              <w:t>s in patients with totally suppressed thyroid-stimulating hormone (TSH).</w:t>
            </w:r>
          </w:p>
        </w:tc>
        <w:tc>
          <w:tcPr>
            <w:tcW w:w="3601" w:type="dxa"/>
          </w:tcPr>
          <w:p w14:paraId="17D51AB9" w14:textId="3F6B41D7" w:rsidR="007237B6" w:rsidRPr="009A721A" w:rsidRDefault="004C3AE0" w:rsidP="007F345C">
            <w:pPr>
              <w:spacing w:before="40" w:after="40" w:line="240" w:lineRule="auto"/>
              <w:ind w:left="57" w:right="57"/>
              <w:rPr>
                <w:rFonts w:cs="Arial"/>
                <w:sz w:val="18"/>
                <w:szCs w:val="18"/>
                <w:lang w:val="en-US" w:eastAsia="en-US"/>
              </w:rPr>
            </w:pPr>
            <w:r>
              <w:rPr>
                <w:rFonts w:cs="Arial"/>
                <w:sz w:val="18"/>
                <w:szCs w:val="18"/>
                <w:lang w:val="en-US" w:eastAsia="en-US"/>
              </w:rPr>
              <w:t>An additional test would be available that measures the levels of all thyroid hormones in patients with totally suppressed TSH.</w:t>
            </w:r>
          </w:p>
        </w:tc>
        <w:tc>
          <w:tcPr>
            <w:tcW w:w="3661" w:type="dxa"/>
          </w:tcPr>
          <w:p w14:paraId="187C6142" w14:textId="77777777" w:rsidR="007237B6" w:rsidRDefault="004C3AE0" w:rsidP="007F345C">
            <w:pPr>
              <w:spacing w:before="40" w:after="40" w:line="240" w:lineRule="auto"/>
              <w:rPr>
                <w:rFonts w:cs="Arial"/>
                <w:sz w:val="18"/>
                <w:szCs w:val="18"/>
                <w:lang w:val="en-US" w:eastAsia="en-US"/>
              </w:rPr>
            </w:pPr>
            <w:r w:rsidRPr="00B27BE5">
              <w:rPr>
                <w:rFonts w:cs="Arial"/>
                <w:sz w:val="18"/>
                <w:szCs w:val="18"/>
                <w:lang w:val="en-US" w:eastAsia="en-US"/>
              </w:rPr>
              <w:t>For most patients TFT tests don't include testing all thyroid hormones, but for some with suppressed TSH the additional tests will offer more information about the severity and prognosis of their overactive thyroid and identify patients with toxic levels of thyroid hormones.</w:t>
            </w:r>
          </w:p>
          <w:p w14:paraId="656ED77D" w14:textId="6ADC1772" w:rsidR="003A6D31" w:rsidRPr="00505D08" w:rsidRDefault="003A6D31" w:rsidP="007F345C">
            <w:pPr>
              <w:spacing w:before="40" w:after="40" w:line="240" w:lineRule="auto"/>
              <w:rPr>
                <w:rFonts w:cs="Arial"/>
                <w:b/>
                <w:sz w:val="18"/>
                <w:szCs w:val="18"/>
                <w:lang w:val="en-US" w:eastAsia="en-US"/>
              </w:rPr>
            </w:pPr>
          </w:p>
        </w:tc>
      </w:tr>
    </w:tbl>
    <w:p w14:paraId="0971E1C7" w14:textId="77777777" w:rsidR="007237B6" w:rsidRDefault="007237B6" w:rsidP="007237B6">
      <w:pPr>
        <w:spacing w:before="40" w:after="40" w:line="240" w:lineRule="auto"/>
        <w:rPr>
          <w:b/>
        </w:rPr>
      </w:pPr>
    </w:p>
    <w:p w14:paraId="2F82B52E" w14:textId="7B1B3CBC" w:rsidR="00793669" w:rsidRPr="009A721A" w:rsidRDefault="00793669" w:rsidP="009A721A">
      <w:pPr>
        <w:pStyle w:val="Caption"/>
        <w:rPr>
          <w:b/>
        </w:rPr>
      </w:pPr>
      <w:r w:rsidRPr="009A721A">
        <w:rPr>
          <w:b/>
          <w:i w:val="0"/>
        </w:rPr>
        <w:t xml:space="preserve">Recommendation </w:t>
      </w:r>
      <w:r w:rsidR="007237B6">
        <w:rPr>
          <w:b/>
          <w:i w:val="0"/>
        </w:rPr>
        <w:t>4</w:t>
      </w:r>
      <w:r w:rsidRPr="009A721A">
        <w:rPr>
          <w:b/>
          <w:i w:val="0"/>
        </w:rPr>
        <w:t xml:space="preserve">: Oral glucose tolerance </w:t>
      </w:r>
      <w:r w:rsidR="007237B6">
        <w:rPr>
          <w:b/>
          <w:i w:val="0"/>
        </w:rPr>
        <w:t xml:space="preserve">and challenge </w:t>
      </w:r>
      <w:r w:rsidRPr="009A721A">
        <w:rPr>
          <w:b/>
          <w:i w:val="0"/>
        </w:rPr>
        <w:t>test</w:t>
      </w:r>
      <w:r w:rsidR="007237B6">
        <w:rPr>
          <w:b/>
          <w:i w:val="0"/>
        </w:rPr>
        <w:t>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457"/>
        <w:gridCol w:w="3665"/>
        <w:gridCol w:w="3645"/>
      </w:tblGrid>
      <w:tr w:rsidR="00323CCF" w:rsidRPr="00ED7D2E" w14:paraId="410373F9" w14:textId="77777777" w:rsidTr="009A721A">
        <w:trPr>
          <w:cantSplit/>
          <w:tblHeader/>
        </w:trPr>
        <w:tc>
          <w:tcPr>
            <w:tcW w:w="1663" w:type="dxa"/>
          </w:tcPr>
          <w:p w14:paraId="19C589FF"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4A4BCD15"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7" w:type="dxa"/>
          </w:tcPr>
          <w:p w14:paraId="5907897A"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5" w:type="dxa"/>
          </w:tcPr>
          <w:p w14:paraId="1131E7E9"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5" w:type="dxa"/>
          </w:tcPr>
          <w:p w14:paraId="429AA046" w14:textId="77777777" w:rsidR="00323CCF" w:rsidRPr="00505D08" w:rsidRDefault="00323CC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8D0840" w:rsidRPr="00ED7D2E" w14:paraId="594EBBE2" w14:textId="77777777" w:rsidTr="00E5655B">
        <w:trPr>
          <w:cantSplit/>
        </w:trPr>
        <w:tc>
          <w:tcPr>
            <w:tcW w:w="1663" w:type="dxa"/>
          </w:tcPr>
          <w:p w14:paraId="24FCEDDF" w14:textId="45D6E918" w:rsidR="008D0840" w:rsidRDefault="008D0840" w:rsidP="008D0840">
            <w:pPr>
              <w:spacing w:before="40" w:after="40" w:line="240" w:lineRule="auto"/>
              <w:rPr>
                <w:rFonts w:cs="Arial"/>
                <w:b/>
                <w:color w:val="222222"/>
                <w:sz w:val="18"/>
                <w:szCs w:val="18"/>
              </w:rPr>
            </w:pPr>
            <w:r>
              <w:rPr>
                <w:rFonts w:cs="Arial"/>
                <w:b/>
                <w:color w:val="222222"/>
                <w:sz w:val="18"/>
                <w:szCs w:val="18"/>
              </w:rPr>
              <w:t>66545</w:t>
            </w:r>
          </w:p>
        </w:tc>
        <w:tc>
          <w:tcPr>
            <w:tcW w:w="2692" w:type="dxa"/>
          </w:tcPr>
          <w:p w14:paraId="163E535D" w14:textId="78C0C042" w:rsidR="008D0840" w:rsidRDefault="007703B3" w:rsidP="008D0840">
            <w:pPr>
              <w:spacing w:before="40" w:after="40" w:line="240" w:lineRule="auto"/>
              <w:rPr>
                <w:rFonts w:cs="Arial"/>
                <w:sz w:val="18"/>
                <w:szCs w:val="18"/>
              </w:rPr>
            </w:pPr>
            <w:r>
              <w:rPr>
                <w:rFonts w:cs="Arial"/>
                <w:sz w:val="18"/>
                <w:szCs w:val="18"/>
              </w:rPr>
              <w:t>Measures blood sugar levels to test for diabetes mellitus in pregnancy.</w:t>
            </w:r>
          </w:p>
        </w:tc>
        <w:tc>
          <w:tcPr>
            <w:tcW w:w="2457" w:type="dxa"/>
          </w:tcPr>
          <w:p w14:paraId="77BC2FD6" w14:textId="77777777" w:rsidR="008D0840" w:rsidRDefault="008D0840" w:rsidP="008D0840">
            <w:pPr>
              <w:spacing w:before="40" w:after="40" w:line="240" w:lineRule="auto"/>
              <w:rPr>
                <w:rFonts w:cs="Arial"/>
                <w:sz w:val="18"/>
                <w:szCs w:val="18"/>
                <w:lang w:val="en-US" w:eastAsia="en-US"/>
              </w:rPr>
            </w:pPr>
            <w:r>
              <w:rPr>
                <w:rFonts w:cs="Arial"/>
                <w:sz w:val="18"/>
                <w:szCs w:val="18"/>
                <w:lang w:val="en-US" w:eastAsia="en-US"/>
              </w:rPr>
              <w:t>Remove</w:t>
            </w:r>
            <w:r w:rsidRPr="00CF2779">
              <w:rPr>
                <w:rFonts w:cs="Arial"/>
                <w:sz w:val="18"/>
                <w:szCs w:val="18"/>
                <w:lang w:val="en-US" w:eastAsia="en-US"/>
              </w:rPr>
              <w:t xml:space="preserve"> </w:t>
            </w:r>
            <w:r>
              <w:rPr>
                <w:rFonts w:cs="Arial"/>
                <w:sz w:val="18"/>
                <w:szCs w:val="18"/>
                <w:lang w:val="en-US" w:eastAsia="en-US"/>
              </w:rPr>
              <w:t xml:space="preserve">this item </w:t>
            </w:r>
            <w:r w:rsidRPr="00CF2779">
              <w:rPr>
                <w:rFonts w:cs="Arial"/>
                <w:sz w:val="18"/>
                <w:szCs w:val="18"/>
                <w:lang w:val="en-US" w:eastAsia="en-US"/>
              </w:rPr>
              <w:t>from the MBS</w:t>
            </w:r>
            <w:r>
              <w:rPr>
                <w:rFonts w:cs="Arial"/>
                <w:sz w:val="18"/>
                <w:szCs w:val="18"/>
                <w:lang w:val="en-US" w:eastAsia="en-US"/>
              </w:rPr>
              <w:t>.</w:t>
            </w:r>
          </w:p>
          <w:p w14:paraId="7010D7F8" w14:textId="366910F4" w:rsidR="003A6D31" w:rsidRDefault="003A6D31" w:rsidP="008D0840">
            <w:pPr>
              <w:spacing w:before="40" w:after="40" w:line="240" w:lineRule="auto"/>
              <w:rPr>
                <w:rFonts w:cs="Arial"/>
                <w:sz w:val="18"/>
                <w:szCs w:val="18"/>
              </w:rPr>
            </w:pPr>
          </w:p>
        </w:tc>
        <w:tc>
          <w:tcPr>
            <w:tcW w:w="3665" w:type="dxa"/>
          </w:tcPr>
          <w:p w14:paraId="513A4658" w14:textId="016E1380" w:rsidR="008D0840" w:rsidRDefault="008D0840" w:rsidP="008D0840">
            <w:pPr>
              <w:spacing w:before="40" w:after="40" w:line="240" w:lineRule="auto"/>
              <w:ind w:left="57" w:right="57"/>
              <w:rPr>
                <w:sz w:val="18"/>
                <w:szCs w:val="18"/>
              </w:rPr>
            </w:pPr>
            <w:r>
              <w:rPr>
                <w:sz w:val="18"/>
                <w:szCs w:val="18"/>
              </w:rPr>
              <w:t>This item would no longer be available</w:t>
            </w:r>
            <w:r w:rsidR="00FC3428">
              <w:rPr>
                <w:sz w:val="18"/>
                <w:szCs w:val="18"/>
              </w:rPr>
              <w:t>.</w:t>
            </w:r>
          </w:p>
        </w:tc>
        <w:tc>
          <w:tcPr>
            <w:tcW w:w="3645" w:type="dxa"/>
          </w:tcPr>
          <w:p w14:paraId="43A9848C" w14:textId="2EA3F489" w:rsidR="008D0840" w:rsidRDefault="008D0840" w:rsidP="008D0840">
            <w:pPr>
              <w:spacing w:before="40" w:after="40" w:line="240" w:lineRule="auto"/>
              <w:rPr>
                <w:rFonts w:cs="Arial"/>
                <w:sz w:val="18"/>
                <w:szCs w:val="18"/>
              </w:rPr>
            </w:pPr>
            <w:r>
              <w:rPr>
                <w:rFonts w:cs="Arial"/>
                <w:sz w:val="18"/>
                <w:szCs w:val="18"/>
                <w:lang w:val="en-US" w:eastAsia="en-US"/>
              </w:rPr>
              <w:t>This i</w:t>
            </w:r>
            <w:r w:rsidR="003A6D31">
              <w:rPr>
                <w:rFonts w:cs="Arial"/>
                <w:sz w:val="18"/>
                <w:szCs w:val="18"/>
                <w:lang w:val="en-US" w:eastAsia="en-US"/>
              </w:rPr>
              <w:t>tem</w:t>
            </w:r>
            <w:r w:rsidRPr="00CF2779">
              <w:rPr>
                <w:rFonts w:cs="Arial"/>
                <w:sz w:val="18"/>
                <w:szCs w:val="18"/>
                <w:lang w:val="en-US" w:eastAsia="en-US"/>
              </w:rPr>
              <w:t xml:space="preserve"> </w:t>
            </w:r>
            <w:r>
              <w:rPr>
                <w:rFonts w:cs="Arial"/>
                <w:sz w:val="18"/>
                <w:szCs w:val="18"/>
                <w:lang w:val="en-US" w:eastAsia="en-US"/>
              </w:rPr>
              <w:t>is out of date.</w:t>
            </w:r>
          </w:p>
        </w:tc>
      </w:tr>
      <w:tr w:rsidR="00BD09D5" w:rsidRPr="00ED7D2E" w14:paraId="2159B757" w14:textId="77777777" w:rsidTr="009A721A">
        <w:trPr>
          <w:cantSplit/>
        </w:trPr>
        <w:tc>
          <w:tcPr>
            <w:tcW w:w="1663" w:type="dxa"/>
          </w:tcPr>
          <w:p w14:paraId="3C84E96E" w14:textId="273F9844" w:rsidR="00BD09D5" w:rsidRDefault="00BD09D5" w:rsidP="00A407A9">
            <w:pPr>
              <w:spacing w:before="40" w:after="40" w:line="240" w:lineRule="auto"/>
              <w:rPr>
                <w:rFonts w:cs="Arial"/>
                <w:b/>
                <w:color w:val="222222"/>
                <w:sz w:val="18"/>
                <w:szCs w:val="18"/>
              </w:rPr>
            </w:pPr>
            <w:r>
              <w:rPr>
                <w:rFonts w:cs="Arial"/>
                <w:b/>
                <w:color w:val="222222"/>
                <w:sz w:val="18"/>
                <w:szCs w:val="18"/>
              </w:rPr>
              <w:t>66542</w:t>
            </w:r>
            <w:r w:rsidR="005F4832">
              <w:rPr>
                <w:rFonts w:cs="Arial"/>
                <w:b/>
                <w:color w:val="222222"/>
                <w:sz w:val="18"/>
                <w:szCs w:val="18"/>
              </w:rPr>
              <w:t>,</w:t>
            </w:r>
            <w:r w:rsidR="007237B6">
              <w:rPr>
                <w:rFonts w:cs="Arial"/>
                <w:b/>
                <w:color w:val="222222"/>
                <w:sz w:val="18"/>
                <w:szCs w:val="18"/>
              </w:rPr>
              <w:t xml:space="preserve"> 66548</w:t>
            </w:r>
          </w:p>
        </w:tc>
        <w:tc>
          <w:tcPr>
            <w:tcW w:w="2692" w:type="dxa"/>
          </w:tcPr>
          <w:p w14:paraId="51FBEFDC" w14:textId="540E0B1B" w:rsidR="00BD09D5" w:rsidRDefault="00BD09D5" w:rsidP="0056258F">
            <w:pPr>
              <w:spacing w:before="40" w:after="40" w:line="240" w:lineRule="auto"/>
              <w:rPr>
                <w:rFonts w:cs="Arial"/>
                <w:sz w:val="18"/>
                <w:szCs w:val="18"/>
              </w:rPr>
            </w:pPr>
            <w:r>
              <w:rPr>
                <w:rFonts w:cs="Arial"/>
                <w:sz w:val="18"/>
                <w:szCs w:val="18"/>
              </w:rPr>
              <w:t xml:space="preserve">Measures blood </w:t>
            </w:r>
            <w:r w:rsidR="0056258F">
              <w:rPr>
                <w:rFonts w:cs="Arial"/>
                <w:sz w:val="18"/>
                <w:szCs w:val="18"/>
              </w:rPr>
              <w:t xml:space="preserve">sugar </w:t>
            </w:r>
            <w:r>
              <w:rPr>
                <w:rFonts w:cs="Arial"/>
                <w:sz w:val="18"/>
                <w:szCs w:val="18"/>
              </w:rPr>
              <w:t>levels to test for diabetes mellitus</w:t>
            </w:r>
            <w:r w:rsidR="00E5655B">
              <w:rPr>
                <w:rFonts w:cs="Arial"/>
                <w:sz w:val="18"/>
                <w:szCs w:val="18"/>
              </w:rPr>
              <w:t>.</w:t>
            </w:r>
          </w:p>
        </w:tc>
        <w:tc>
          <w:tcPr>
            <w:tcW w:w="2457" w:type="dxa"/>
          </w:tcPr>
          <w:p w14:paraId="67CB5991" w14:textId="1D485A17" w:rsidR="00BD09D5" w:rsidRDefault="00BD09D5" w:rsidP="00BD09D5">
            <w:pPr>
              <w:spacing w:before="40" w:after="40" w:line="240" w:lineRule="auto"/>
              <w:rPr>
                <w:rFonts w:cs="Arial"/>
                <w:sz w:val="18"/>
                <w:szCs w:val="18"/>
              </w:rPr>
            </w:pPr>
            <w:r>
              <w:rPr>
                <w:rFonts w:cs="Arial"/>
                <w:sz w:val="18"/>
                <w:szCs w:val="18"/>
              </w:rPr>
              <w:t>Include use in pregnant women and certain specific patient groups, plus guidance on who those specific patient groups are</w:t>
            </w:r>
            <w:r w:rsidR="00E5655B">
              <w:rPr>
                <w:rFonts w:cs="Arial"/>
                <w:sz w:val="18"/>
                <w:szCs w:val="18"/>
              </w:rPr>
              <w:t>.</w:t>
            </w:r>
          </w:p>
          <w:p w14:paraId="492DAF07" w14:textId="77777777" w:rsidR="002A01FE" w:rsidDel="00D752D4" w:rsidRDefault="002A01FE" w:rsidP="00BD09D5">
            <w:pPr>
              <w:spacing w:before="40" w:after="40" w:line="240" w:lineRule="auto"/>
              <w:rPr>
                <w:rFonts w:cs="Arial"/>
                <w:sz w:val="18"/>
                <w:szCs w:val="18"/>
              </w:rPr>
            </w:pPr>
          </w:p>
        </w:tc>
        <w:tc>
          <w:tcPr>
            <w:tcW w:w="3665" w:type="dxa"/>
          </w:tcPr>
          <w:p w14:paraId="78A06CCA" w14:textId="60C5F020" w:rsidR="00BD09D5" w:rsidRDefault="00BD09D5" w:rsidP="00BD09D5">
            <w:pPr>
              <w:spacing w:before="40" w:after="40" w:line="240" w:lineRule="auto"/>
              <w:ind w:left="57" w:right="57"/>
              <w:rPr>
                <w:sz w:val="18"/>
                <w:szCs w:val="18"/>
              </w:rPr>
            </w:pPr>
            <w:r>
              <w:rPr>
                <w:sz w:val="18"/>
                <w:szCs w:val="18"/>
              </w:rPr>
              <w:t>T</w:t>
            </w:r>
            <w:r w:rsidR="00FF73D8">
              <w:rPr>
                <w:sz w:val="18"/>
                <w:szCs w:val="18"/>
              </w:rPr>
              <w:t>he t</w:t>
            </w:r>
            <w:r>
              <w:rPr>
                <w:sz w:val="18"/>
                <w:szCs w:val="18"/>
              </w:rPr>
              <w:t>est would be able to be done in pregnant and specific patient groups</w:t>
            </w:r>
            <w:r w:rsidR="00E5655B">
              <w:rPr>
                <w:sz w:val="18"/>
                <w:szCs w:val="18"/>
              </w:rPr>
              <w:t>.</w:t>
            </w:r>
          </w:p>
        </w:tc>
        <w:tc>
          <w:tcPr>
            <w:tcW w:w="3645" w:type="dxa"/>
          </w:tcPr>
          <w:p w14:paraId="3D7A8C00" w14:textId="5E339366" w:rsidR="00BD09D5" w:rsidRDefault="00BD09D5" w:rsidP="00D752D4">
            <w:pPr>
              <w:spacing w:before="40" w:after="40" w:line="240" w:lineRule="auto"/>
              <w:rPr>
                <w:rFonts w:cs="Arial"/>
                <w:sz w:val="18"/>
                <w:szCs w:val="18"/>
              </w:rPr>
            </w:pPr>
            <w:r>
              <w:rPr>
                <w:rFonts w:cs="Arial"/>
                <w:sz w:val="18"/>
                <w:szCs w:val="18"/>
              </w:rPr>
              <w:t>To align testing with current medical guidelines</w:t>
            </w:r>
            <w:r w:rsidR="00081DD2">
              <w:rPr>
                <w:rFonts w:cs="Arial"/>
                <w:sz w:val="18"/>
                <w:szCs w:val="18"/>
              </w:rPr>
              <w:t xml:space="preserve"> as </w:t>
            </w:r>
            <w:r w:rsidR="00081DD2" w:rsidRPr="00081DD2">
              <w:rPr>
                <w:rFonts w:cs="Arial"/>
                <w:sz w:val="18"/>
                <w:szCs w:val="18"/>
              </w:rPr>
              <w:t>recommended by the Australian Diabetes in Pregnancy Society</w:t>
            </w:r>
            <w:r w:rsidR="00081DD2">
              <w:rPr>
                <w:rFonts w:cs="Arial"/>
                <w:sz w:val="18"/>
                <w:szCs w:val="18"/>
              </w:rPr>
              <w:t>.</w:t>
            </w:r>
          </w:p>
        </w:tc>
      </w:tr>
    </w:tbl>
    <w:p w14:paraId="1A25823B" w14:textId="77777777" w:rsidR="00793669" w:rsidRDefault="00793669"/>
    <w:p w14:paraId="0CD95A89" w14:textId="515EA785" w:rsidR="00793669" w:rsidRPr="009A721A" w:rsidRDefault="00793669" w:rsidP="009A721A">
      <w:pPr>
        <w:pStyle w:val="Caption"/>
        <w:rPr>
          <w:b/>
        </w:rPr>
      </w:pPr>
      <w:r w:rsidRPr="009A721A">
        <w:rPr>
          <w:b/>
          <w:i w:val="0"/>
        </w:rPr>
        <w:t xml:space="preserve">Recommendation </w:t>
      </w:r>
      <w:r w:rsidR="00913160">
        <w:rPr>
          <w:b/>
          <w:i w:val="0"/>
        </w:rPr>
        <w:t>5</w:t>
      </w:r>
      <w:r w:rsidRPr="009A721A">
        <w:rPr>
          <w:b/>
          <w:i w:val="0"/>
        </w:rPr>
        <w:t xml:space="preserve">: </w:t>
      </w:r>
      <w:r w:rsidR="00913160">
        <w:rPr>
          <w:b/>
          <w:i w:val="0"/>
        </w:rPr>
        <w:t>Quantitation of g</w:t>
      </w:r>
      <w:r w:rsidRPr="009A721A">
        <w:rPr>
          <w:b/>
          <w:i w:val="0"/>
        </w:rPr>
        <w:t>lycated haemoglobin (how much oxygen-carrying protein in red blood cells is bound to sugar)</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Caption w:val="Summary for consumers - Pathology Clinical Committee recommendations"/>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457"/>
        <w:gridCol w:w="3665"/>
        <w:gridCol w:w="3645"/>
      </w:tblGrid>
      <w:tr w:rsidR="00EC727F" w:rsidRPr="00ED7D2E" w14:paraId="2D13EBD9" w14:textId="77777777" w:rsidTr="009A721A">
        <w:trPr>
          <w:cantSplit/>
          <w:tblHeader/>
        </w:trPr>
        <w:tc>
          <w:tcPr>
            <w:tcW w:w="1663" w:type="dxa"/>
          </w:tcPr>
          <w:p w14:paraId="06D32A0F"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6E013958"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7" w:type="dxa"/>
          </w:tcPr>
          <w:p w14:paraId="4001D224"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5" w:type="dxa"/>
          </w:tcPr>
          <w:p w14:paraId="20E77B95"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5" w:type="dxa"/>
          </w:tcPr>
          <w:p w14:paraId="6B7CC810"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EC727F" w:rsidRPr="00ED7D2E" w14:paraId="68484383" w14:textId="77777777" w:rsidTr="009A721A">
        <w:trPr>
          <w:cantSplit/>
        </w:trPr>
        <w:tc>
          <w:tcPr>
            <w:tcW w:w="1663" w:type="dxa"/>
          </w:tcPr>
          <w:p w14:paraId="704BBC2B" w14:textId="77777777" w:rsidR="00EC727F" w:rsidRPr="00505D08" w:rsidRDefault="00EC727F" w:rsidP="00A407A9">
            <w:pPr>
              <w:spacing w:before="40" w:after="40" w:line="240" w:lineRule="auto"/>
              <w:rPr>
                <w:rFonts w:cs="Arial"/>
                <w:b/>
                <w:sz w:val="18"/>
                <w:szCs w:val="18"/>
                <w:lang w:val="en-US" w:eastAsia="en-US"/>
              </w:rPr>
            </w:pPr>
            <w:r>
              <w:rPr>
                <w:rFonts w:cs="Arial"/>
                <w:b/>
                <w:color w:val="222222"/>
                <w:sz w:val="18"/>
                <w:szCs w:val="18"/>
              </w:rPr>
              <w:t>66551</w:t>
            </w:r>
          </w:p>
        </w:tc>
        <w:tc>
          <w:tcPr>
            <w:tcW w:w="2692" w:type="dxa"/>
          </w:tcPr>
          <w:p w14:paraId="247EC3BF" w14:textId="2A5C6204" w:rsidR="00EC727F" w:rsidRPr="00505D08" w:rsidRDefault="00EC727F" w:rsidP="0056258F">
            <w:pPr>
              <w:spacing w:before="40" w:after="40" w:line="240" w:lineRule="auto"/>
              <w:rPr>
                <w:rFonts w:cs="Arial"/>
                <w:sz w:val="18"/>
                <w:szCs w:val="18"/>
              </w:rPr>
            </w:pPr>
            <w:r>
              <w:rPr>
                <w:rFonts w:cs="Arial"/>
                <w:sz w:val="18"/>
                <w:szCs w:val="18"/>
              </w:rPr>
              <w:t>Me</w:t>
            </w:r>
            <w:r w:rsidR="00B145B0">
              <w:rPr>
                <w:rFonts w:cs="Arial"/>
                <w:sz w:val="18"/>
                <w:szCs w:val="18"/>
              </w:rPr>
              <w:t>a</w:t>
            </w:r>
            <w:r>
              <w:rPr>
                <w:rFonts w:cs="Arial"/>
                <w:sz w:val="18"/>
                <w:szCs w:val="18"/>
              </w:rPr>
              <w:t xml:space="preserve">sures </w:t>
            </w:r>
            <w:r w:rsidR="00D752D4">
              <w:rPr>
                <w:rFonts w:cs="Arial"/>
                <w:sz w:val="18"/>
                <w:szCs w:val="18"/>
              </w:rPr>
              <w:t xml:space="preserve">blood </w:t>
            </w:r>
            <w:r w:rsidR="0056258F">
              <w:rPr>
                <w:rFonts w:cs="Arial"/>
                <w:sz w:val="18"/>
                <w:szCs w:val="18"/>
              </w:rPr>
              <w:t xml:space="preserve">sugar </w:t>
            </w:r>
            <w:r>
              <w:rPr>
                <w:rFonts w:cs="Arial"/>
                <w:sz w:val="18"/>
                <w:szCs w:val="18"/>
              </w:rPr>
              <w:t>levels to test for diabetes mellitus</w:t>
            </w:r>
            <w:r w:rsidR="00E5655B">
              <w:rPr>
                <w:rFonts w:cs="Arial"/>
                <w:sz w:val="18"/>
                <w:szCs w:val="18"/>
              </w:rPr>
              <w:t>.</w:t>
            </w:r>
          </w:p>
        </w:tc>
        <w:tc>
          <w:tcPr>
            <w:tcW w:w="2457" w:type="dxa"/>
          </w:tcPr>
          <w:p w14:paraId="2E282F42" w14:textId="645513D2" w:rsidR="00EC727F" w:rsidRPr="00505D08" w:rsidRDefault="00BD09D5" w:rsidP="00BD09D5">
            <w:pPr>
              <w:spacing w:before="40" w:after="40" w:line="240" w:lineRule="auto"/>
              <w:rPr>
                <w:rFonts w:cs="Arial"/>
                <w:b/>
                <w:sz w:val="18"/>
                <w:szCs w:val="18"/>
                <w:lang w:val="en-US" w:eastAsia="en-US"/>
              </w:rPr>
            </w:pPr>
            <w:r>
              <w:rPr>
                <w:rFonts w:cs="Arial"/>
                <w:sz w:val="18"/>
                <w:szCs w:val="18"/>
              </w:rPr>
              <w:t>R</w:t>
            </w:r>
            <w:r w:rsidR="00EC727F">
              <w:rPr>
                <w:rFonts w:cs="Arial"/>
                <w:sz w:val="18"/>
                <w:szCs w:val="18"/>
              </w:rPr>
              <w:t xml:space="preserve">estrict </w:t>
            </w:r>
            <w:r>
              <w:rPr>
                <w:rFonts w:cs="Arial"/>
                <w:sz w:val="18"/>
                <w:szCs w:val="18"/>
              </w:rPr>
              <w:t xml:space="preserve">to </w:t>
            </w:r>
            <w:r w:rsidR="00EC727F">
              <w:rPr>
                <w:rFonts w:cs="Arial"/>
                <w:sz w:val="18"/>
                <w:szCs w:val="18"/>
              </w:rPr>
              <w:t xml:space="preserve">a maximum of </w:t>
            </w:r>
            <w:r>
              <w:rPr>
                <w:rFonts w:cs="Arial"/>
                <w:sz w:val="18"/>
                <w:szCs w:val="18"/>
              </w:rPr>
              <w:t xml:space="preserve">four </w:t>
            </w:r>
            <w:r w:rsidR="00EC727F">
              <w:rPr>
                <w:rFonts w:cs="Arial"/>
                <w:sz w:val="18"/>
                <w:szCs w:val="18"/>
              </w:rPr>
              <w:t>tests per yea</w:t>
            </w:r>
            <w:r>
              <w:rPr>
                <w:rFonts w:cs="Arial"/>
                <w:sz w:val="18"/>
                <w:szCs w:val="18"/>
              </w:rPr>
              <w:t>r</w:t>
            </w:r>
            <w:r w:rsidR="00E5655B">
              <w:rPr>
                <w:rFonts w:cs="Arial"/>
                <w:sz w:val="18"/>
                <w:szCs w:val="18"/>
              </w:rPr>
              <w:t>.</w:t>
            </w:r>
          </w:p>
        </w:tc>
        <w:tc>
          <w:tcPr>
            <w:tcW w:w="3665" w:type="dxa"/>
          </w:tcPr>
          <w:p w14:paraId="56A9CBA5" w14:textId="1C06568C" w:rsidR="00EC727F" w:rsidRPr="00505D08" w:rsidRDefault="00EC727F" w:rsidP="00BD09D5">
            <w:pPr>
              <w:spacing w:before="40" w:after="40" w:line="240" w:lineRule="auto"/>
              <w:ind w:left="57" w:right="57"/>
              <w:rPr>
                <w:rFonts w:cs="Arial"/>
                <w:b/>
                <w:sz w:val="18"/>
                <w:szCs w:val="18"/>
                <w:lang w:val="en-US" w:eastAsia="en-US"/>
              </w:rPr>
            </w:pPr>
            <w:r>
              <w:rPr>
                <w:sz w:val="18"/>
                <w:szCs w:val="18"/>
              </w:rPr>
              <w:t xml:space="preserve">Test </w:t>
            </w:r>
            <w:r w:rsidR="00BD09D5">
              <w:rPr>
                <w:sz w:val="18"/>
                <w:szCs w:val="18"/>
              </w:rPr>
              <w:t xml:space="preserve">would be </w:t>
            </w:r>
            <w:r>
              <w:rPr>
                <w:sz w:val="18"/>
                <w:szCs w:val="18"/>
              </w:rPr>
              <w:t xml:space="preserve">limited to </w:t>
            </w:r>
            <w:r w:rsidR="00BD09D5">
              <w:rPr>
                <w:sz w:val="18"/>
                <w:szCs w:val="18"/>
              </w:rPr>
              <w:t xml:space="preserve">four </w:t>
            </w:r>
            <w:r>
              <w:rPr>
                <w:sz w:val="18"/>
                <w:szCs w:val="18"/>
              </w:rPr>
              <w:t>times per year per patient</w:t>
            </w:r>
            <w:r w:rsidR="00E5655B">
              <w:rPr>
                <w:sz w:val="18"/>
                <w:szCs w:val="18"/>
              </w:rPr>
              <w:t>.</w:t>
            </w:r>
          </w:p>
        </w:tc>
        <w:tc>
          <w:tcPr>
            <w:tcW w:w="3645" w:type="dxa"/>
          </w:tcPr>
          <w:p w14:paraId="2A7BF8E9" w14:textId="77777777" w:rsidR="003A6D31" w:rsidRDefault="00EC727F" w:rsidP="00B12978">
            <w:pPr>
              <w:spacing w:before="40" w:after="40" w:line="240" w:lineRule="auto"/>
              <w:rPr>
                <w:rFonts w:cs="Arial"/>
                <w:sz w:val="18"/>
                <w:szCs w:val="18"/>
              </w:rPr>
            </w:pPr>
            <w:r>
              <w:rPr>
                <w:rFonts w:cs="Arial"/>
                <w:sz w:val="18"/>
                <w:szCs w:val="18"/>
              </w:rPr>
              <w:t xml:space="preserve">To align testing with </w:t>
            </w:r>
            <w:r w:rsidR="00B12978">
              <w:rPr>
                <w:rFonts w:cs="Arial"/>
                <w:sz w:val="18"/>
                <w:szCs w:val="18"/>
              </w:rPr>
              <w:t>the current Health Insurance Regulation 2015</w:t>
            </w:r>
            <w:r w:rsidR="00E5655B">
              <w:rPr>
                <w:rFonts w:cs="Arial"/>
                <w:sz w:val="18"/>
                <w:szCs w:val="18"/>
              </w:rPr>
              <w:t>.</w:t>
            </w:r>
          </w:p>
          <w:p w14:paraId="4AF65C85" w14:textId="4F0A3DFB" w:rsidR="00EC727F" w:rsidRPr="00505D08" w:rsidRDefault="00EC727F" w:rsidP="00B12978">
            <w:pPr>
              <w:spacing w:before="40" w:after="40" w:line="240" w:lineRule="auto"/>
              <w:rPr>
                <w:rFonts w:cs="Arial"/>
                <w:b/>
                <w:sz w:val="18"/>
                <w:szCs w:val="18"/>
                <w:lang w:val="en-US" w:eastAsia="en-US"/>
              </w:rPr>
            </w:pPr>
          </w:p>
        </w:tc>
      </w:tr>
      <w:tr w:rsidR="00EC727F" w:rsidRPr="00ED7D2E" w14:paraId="0DA67FE5" w14:textId="77777777" w:rsidTr="009A721A">
        <w:trPr>
          <w:cantSplit/>
        </w:trPr>
        <w:tc>
          <w:tcPr>
            <w:tcW w:w="1663" w:type="dxa"/>
          </w:tcPr>
          <w:p w14:paraId="3752F9B1" w14:textId="77777777" w:rsidR="00EC727F" w:rsidRDefault="00EC727F" w:rsidP="00EC727F">
            <w:pPr>
              <w:spacing w:before="40" w:after="40" w:line="240" w:lineRule="auto"/>
              <w:rPr>
                <w:rFonts w:cs="Arial"/>
                <w:b/>
                <w:color w:val="222222"/>
                <w:sz w:val="18"/>
                <w:szCs w:val="18"/>
              </w:rPr>
            </w:pPr>
            <w:r>
              <w:rPr>
                <w:rFonts w:cs="Arial"/>
                <w:b/>
                <w:color w:val="222222"/>
                <w:sz w:val="18"/>
                <w:szCs w:val="18"/>
              </w:rPr>
              <w:t>66554</w:t>
            </w:r>
          </w:p>
        </w:tc>
        <w:tc>
          <w:tcPr>
            <w:tcW w:w="2692" w:type="dxa"/>
          </w:tcPr>
          <w:p w14:paraId="0541D3DF" w14:textId="61F2BF52" w:rsidR="00EC727F" w:rsidRDefault="00EC727F" w:rsidP="0056258F">
            <w:pPr>
              <w:spacing w:before="40" w:after="40" w:line="240" w:lineRule="auto"/>
              <w:rPr>
                <w:rFonts w:cs="Arial"/>
                <w:sz w:val="18"/>
                <w:szCs w:val="18"/>
              </w:rPr>
            </w:pPr>
            <w:r>
              <w:rPr>
                <w:rFonts w:cs="Arial"/>
                <w:sz w:val="18"/>
                <w:szCs w:val="18"/>
              </w:rPr>
              <w:t xml:space="preserve">Measures </w:t>
            </w:r>
            <w:r w:rsidR="0056258F">
              <w:rPr>
                <w:rFonts w:cs="Arial"/>
                <w:sz w:val="18"/>
                <w:szCs w:val="18"/>
              </w:rPr>
              <w:t xml:space="preserve">blood sugar </w:t>
            </w:r>
            <w:r>
              <w:rPr>
                <w:rFonts w:cs="Arial"/>
                <w:sz w:val="18"/>
                <w:szCs w:val="18"/>
              </w:rPr>
              <w:t>levels to test for diabetes mellitus</w:t>
            </w:r>
            <w:r w:rsidR="00E5655B">
              <w:rPr>
                <w:rFonts w:cs="Arial"/>
                <w:sz w:val="18"/>
                <w:szCs w:val="18"/>
              </w:rPr>
              <w:t>.</w:t>
            </w:r>
          </w:p>
        </w:tc>
        <w:tc>
          <w:tcPr>
            <w:tcW w:w="2457" w:type="dxa"/>
          </w:tcPr>
          <w:p w14:paraId="4969B9F3" w14:textId="56FAC9F7" w:rsidR="00EC727F" w:rsidRDefault="00BD09D5" w:rsidP="00BD09D5">
            <w:pPr>
              <w:spacing w:before="40" w:after="40" w:line="240" w:lineRule="auto"/>
              <w:rPr>
                <w:rFonts w:cs="Arial"/>
                <w:sz w:val="18"/>
                <w:szCs w:val="18"/>
              </w:rPr>
            </w:pPr>
            <w:r>
              <w:rPr>
                <w:rFonts w:cs="Arial"/>
                <w:sz w:val="18"/>
                <w:szCs w:val="18"/>
              </w:rPr>
              <w:t>R</w:t>
            </w:r>
            <w:r w:rsidR="00EC727F">
              <w:rPr>
                <w:rFonts w:cs="Arial"/>
                <w:sz w:val="18"/>
                <w:szCs w:val="18"/>
              </w:rPr>
              <w:t xml:space="preserve">estrict </w:t>
            </w:r>
            <w:r>
              <w:rPr>
                <w:rFonts w:cs="Arial"/>
                <w:sz w:val="18"/>
                <w:szCs w:val="18"/>
              </w:rPr>
              <w:t xml:space="preserve">to </w:t>
            </w:r>
            <w:r w:rsidR="00EC727F">
              <w:rPr>
                <w:rFonts w:cs="Arial"/>
                <w:sz w:val="18"/>
                <w:szCs w:val="18"/>
              </w:rPr>
              <w:t xml:space="preserve">a maximum of </w:t>
            </w:r>
            <w:r>
              <w:rPr>
                <w:rFonts w:cs="Arial"/>
                <w:sz w:val="18"/>
                <w:szCs w:val="18"/>
              </w:rPr>
              <w:t xml:space="preserve">six </w:t>
            </w:r>
            <w:r w:rsidR="00EC727F">
              <w:rPr>
                <w:rFonts w:cs="Arial"/>
                <w:sz w:val="18"/>
                <w:szCs w:val="18"/>
              </w:rPr>
              <w:t>tests per year</w:t>
            </w:r>
            <w:r w:rsidR="00E5655B">
              <w:rPr>
                <w:rFonts w:cs="Arial"/>
                <w:sz w:val="18"/>
                <w:szCs w:val="18"/>
              </w:rPr>
              <w:t>.</w:t>
            </w:r>
          </w:p>
        </w:tc>
        <w:tc>
          <w:tcPr>
            <w:tcW w:w="3665" w:type="dxa"/>
          </w:tcPr>
          <w:p w14:paraId="780F71FF" w14:textId="38A44B92" w:rsidR="00EC727F" w:rsidRDefault="00EC727F" w:rsidP="00BD09D5">
            <w:pPr>
              <w:spacing w:before="40" w:after="40" w:line="240" w:lineRule="auto"/>
              <w:ind w:left="57" w:right="57"/>
              <w:rPr>
                <w:sz w:val="18"/>
                <w:szCs w:val="18"/>
              </w:rPr>
            </w:pPr>
            <w:r>
              <w:rPr>
                <w:sz w:val="18"/>
                <w:szCs w:val="18"/>
              </w:rPr>
              <w:t>T</w:t>
            </w:r>
            <w:r w:rsidR="00FF73D8">
              <w:rPr>
                <w:sz w:val="18"/>
                <w:szCs w:val="18"/>
              </w:rPr>
              <w:t>he t</w:t>
            </w:r>
            <w:r>
              <w:rPr>
                <w:sz w:val="18"/>
                <w:szCs w:val="18"/>
              </w:rPr>
              <w:t xml:space="preserve">est </w:t>
            </w:r>
            <w:r w:rsidR="00BD09D5">
              <w:rPr>
                <w:sz w:val="18"/>
                <w:szCs w:val="18"/>
              </w:rPr>
              <w:t xml:space="preserve">would be </w:t>
            </w:r>
            <w:r>
              <w:rPr>
                <w:sz w:val="18"/>
                <w:szCs w:val="18"/>
              </w:rPr>
              <w:t xml:space="preserve">limited to </w:t>
            </w:r>
            <w:r w:rsidR="00BD09D5">
              <w:rPr>
                <w:sz w:val="18"/>
                <w:szCs w:val="18"/>
              </w:rPr>
              <w:t xml:space="preserve">six </w:t>
            </w:r>
            <w:r>
              <w:rPr>
                <w:sz w:val="18"/>
                <w:szCs w:val="18"/>
              </w:rPr>
              <w:t>times per year per patient</w:t>
            </w:r>
            <w:r w:rsidR="00E5655B">
              <w:rPr>
                <w:sz w:val="18"/>
                <w:szCs w:val="18"/>
              </w:rPr>
              <w:t>.</w:t>
            </w:r>
          </w:p>
        </w:tc>
        <w:tc>
          <w:tcPr>
            <w:tcW w:w="3645" w:type="dxa"/>
          </w:tcPr>
          <w:p w14:paraId="39258BE4" w14:textId="77777777" w:rsidR="003A6D31" w:rsidRDefault="00B12978" w:rsidP="00EC727F">
            <w:pPr>
              <w:spacing w:before="40" w:after="40" w:line="240" w:lineRule="auto"/>
              <w:rPr>
                <w:rFonts w:cs="Arial"/>
                <w:sz w:val="18"/>
                <w:szCs w:val="18"/>
              </w:rPr>
            </w:pPr>
            <w:r>
              <w:rPr>
                <w:rFonts w:cs="Arial"/>
                <w:sz w:val="18"/>
                <w:szCs w:val="18"/>
              </w:rPr>
              <w:t>To align testing with the current Health Insurance Regulation 2015</w:t>
            </w:r>
            <w:r w:rsidR="00E5655B">
              <w:rPr>
                <w:rFonts w:cs="Arial"/>
                <w:sz w:val="18"/>
                <w:szCs w:val="18"/>
              </w:rPr>
              <w:t>.</w:t>
            </w:r>
          </w:p>
          <w:p w14:paraId="039531DC" w14:textId="1BE9084F" w:rsidR="00EC727F" w:rsidRDefault="00EC727F" w:rsidP="00EC727F">
            <w:pPr>
              <w:spacing w:before="40" w:after="40" w:line="240" w:lineRule="auto"/>
              <w:rPr>
                <w:rFonts w:cs="Arial"/>
                <w:sz w:val="18"/>
                <w:szCs w:val="18"/>
              </w:rPr>
            </w:pPr>
          </w:p>
        </w:tc>
      </w:tr>
    </w:tbl>
    <w:p w14:paraId="478525CB" w14:textId="77777777" w:rsidR="00EC727F" w:rsidRDefault="00EC727F" w:rsidP="00323CCF">
      <w:pPr>
        <w:rPr>
          <w:lang w:eastAsia="en-US"/>
        </w:rPr>
      </w:pPr>
    </w:p>
    <w:p w14:paraId="26C8DA94" w14:textId="03AC0D78" w:rsidR="00793669" w:rsidRPr="009A721A" w:rsidRDefault="00793669" w:rsidP="009A721A">
      <w:pPr>
        <w:pStyle w:val="Caption"/>
        <w:rPr>
          <w:b/>
        </w:rPr>
      </w:pPr>
      <w:r w:rsidRPr="009A721A">
        <w:rPr>
          <w:b/>
          <w:i w:val="0"/>
        </w:rPr>
        <w:t xml:space="preserve">Recommendation </w:t>
      </w:r>
      <w:r w:rsidR="007237B6">
        <w:rPr>
          <w:b/>
          <w:i w:val="0"/>
        </w:rPr>
        <w:t>6</w:t>
      </w:r>
      <w:r w:rsidRPr="009A721A">
        <w:rPr>
          <w:b/>
          <w:i w:val="0"/>
        </w:rPr>
        <w:t xml:space="preserve">: </w:t>
      </w:r>
      <w:r w:rsidR="00913160">
        <w:rPr>
          <w:b/>
          <w:i w:val="0"/>
        </w:rPr>
        <w:t>Quantitation of g</w:t>
      </w:r>
      <w:r w:rsidRPr="009A721A">
        <w:rPr>
          <w:b/>
          <w:i w:val="0"/>
        </w:rPr>
        <w:t>lycated haemoglobin (how much oxygen-carrying protein in red blood cells is bound to sugar)</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1"/>
        <w:gridCol w:w="2692"/>
        <w:gridCol w:w="2456"/>
        <w:gridCol w:w="3667"/>
        <w:gridCol w:w="3646"/>
      </w:tblGrid>
      <w:tr w:rsidR="00EC727F" w:rsidRPr="00ED7D2E" w14:paraId="67426563" w14:textId="77777777" w:rsidTr="009A721A">
        <w:trPr>
          <w:cantSplit/>
          <w:tblHeader/>
        </w:trPr>
        <w:tc>
          <w:tcPr>
            <w:tcW w:w="1662" w:type="dxa"/>
          </w:tcPr>
          <w:p w14:paraId="2641C4DF"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442A7627"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6" w:type="dxa"/>
          </w:tcPr>
          <w:p w14:paraId="2C039986"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7" w:type="dxa"/>
          </w:tcPr>
          <w:p w14:paraId="21257DFA"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6" w:type="dxa"/>
          </w:tcPr>
          <w:p w14:paraId="365EA08F" w14:textId="77777777" w:rsidR="00EC727F" w:rsidRPr="00505D08" w:rsidRDefault="00EC727F"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BD09D5" w:rsidRPr="00ED7D2E" w14:paraId="3A49963C" w14:textId="77777777" w:rsidTr="009A721A">
        <w:trPr>
          <w:cantSplit/>
        </w:trPr>
        <w:tc>
          <w:tcPr>
            <w:tcW w:w="1662" w:type="dxa"/>
          </w:tcPr>
          <w:p w14:paraId="79388631" w14:textId="77777777" w:rsidR="00BD09D5" w:rsidRDefault="00BD09D5" w:rsidP="00A407A9">
            <w:pPr>
              <w:spacing w:before="40" w:after="40" w:line="240" w:lineRule="auto"/>
              <w:rPr>
                <w:rFonts w:cs="Arial"/>
                <w:b/>
                <w:color w:val="222222"/>
                <w:sz w:val="18"/>
                <w:szCs w:val="18"/>
              </w:rPr>
            </w:pPr>
            <w:r>
              <w:rPr>
                <w:rFonts w:cs="Arial"/>
                <w:b/>
                <w:color w:val="222222"/>
                <w:sz w:val="18"/>
                <w:szCs w:val="18"/>
              </w:rPr>
              <w:t>66841</w:t>
            </w:r>
          </w:p>
        </w:tc>
        <w:tc>
          <w:tcPr>
            <w:tcW w:w="2692" w:type="dxa"/>
          </w:tcPr>
          <w:p w14:paraId="0880EFFA" w14:textId="40730A22" w:rsidR="00BD09D5" w:rsidRDefault="00BD09D5" w:rsidP="00FF73D8">
            <w:pPr>
              <w:spacing w:before="40" w:after="40" w:line="240" w:lineRule="auto"/>
              <w:rPr>
                <w:rFonts w:cs="Arial"/>
                <w:sz w:val="18"/>
                <w:szCs w:val="18"/>
              </w:rPr>
            </w:pPr>
            <w:r>
              <w:rPr>
                <w:rFonts w:cs="Arial"/>
                <w:sz w:val="18"/>
                <w:szCs w:val="18"/>
              </w:rPr>
              <w:t xml:space="preserve">Measures </w:t>
            </w:r>
            <w:r w:rsidR="00FF73D8">
              <w:rPr>
                <w:rFonts w:cs="Arial"/>
                <w:sz w:val="18"/>
                <w:szCs w:val="18"/>
              </w:rPr>
              <w:t xml:space="preserve">blood sugar </w:t>
            </w:r>
            <w:r>
              <w:rPr>
                <w:rFonts w:cs="Arial"/>
                <w:sz w:val="18"/>
                <w:szCs w:val="18"/>
              </w:rPr>
              <w:t>levels to test for diabetes mellitus</w:t>
            </w:r>
            <w:r w:rsidR="00E5655B">
              <w:rPr>
                <w:rFonts w:cs="Arial"/>
                <w:sz w:val="18"/>
                <w:szCs w:val="18"/>
              </w:rPr>
              <w:t>.</w:t>
            </w:r>
          </w:p>
        </w:tc>
        <w:tc>
          <w:tcPr>
            <w:tcW w:w="2456" w:type="dxa"/>
          </w:tcPr>
          <w:p w14:paraId="762F6157" w14:textId="77777777" w:rsidR="00BD09D5" w:rsidRDefault="0056258F" w:rsidP="009335F1">
            <w:pPr>
              <w:spacing w:before="40" w:after="40" w:line="240" w:lineRule="auto"/>
              <w:rPr>
                <w:rFonts w:cs="Arial"/>
                <w:sz w:val="18"/>
                <w:szCs w:val="18"/>
              </w:rPr>
            </w:pPr>
            <w:r>
              <w:rPr>
                <w:rFonts w:cs="Arial"/>
                <w:sz w:val="18"/>
                <w:szCs w:val="18"/>
              </w:rPr>
              <w:t>Specify</w:t>
            </w:r>
            <w:r w:rsidR="00BD09D5">
              <w:rPr>
                <w:rFonts w:cs="Arial"/>
                <w:sz w:val="18"/>
                <w:szCs w:val="18"/>
              </w:rPr>
              <w:t xml:space="preserve"> </w:t>
            </w:r>
            <w:r>
              <w:rPr>
                <w:rFonts w:cs="Arial"/>
                <w:sz w:val="18"/>
                <w:szCs w:val="18"/>
              </w:rPr>
              <w:t xml:space="preserve">medical situations </w:t>
            </w:r>
            <w:r w:rsidR="009335F1">
              <w:rPr>
                <w:rFonts w:cs="Arial"/>
                <w:sz w:val="18"/>
                <w:szCs w:val="18"/>
              </w:rPr>
              <w:t xml:space="preserve">in </w:t>
            </w:r>
            <w:r>
              <w:rPr>
                <w:rFonts w:cs="Arial"/>
                <w:sz w:val="18"/>
                <w:szCs w:val="18"/>
              </w:rPr>
              <w:t xml:space="preserve">which </w:t>
            </w:r>
            <w:r w:rsidR="00BD09D5">
              <w:rPr>
                <w:rFonts w:cs="Arial"/>
                <w:sz w:val="18"/>
                <w:szCs w:val="18"/>
              </w:rPr>
              <w:t xml:space="preserve">the test should be used. Increase the </w:t>
            </w:r>
            <w:r>
              <w:rPr>
                <w:rFonts w:cs="Arial"/>
                <w:sz w:val="18"/>
                <w:szCs w:val="18"/>
              </w:rPr>
              <w:t xml:space="preserve">number of </w:t>
            </w:r>
            <w:r w:rsidR="00BD09D5">
              <w:rPr>
                <w:rFonts w:cs="Arial"/>
                <w:sz w:val="18"/>
                <w:szCs w:val="18"/>
              </w:rPr>
              <w:t>test</w:t>
            </w:r>
            <w:r>
              <w:rPr>
                <w:rFonts w:cs="Arial"/>
                <w:sz w:val="18"/>
                <w:szCs w:val="18"/>
              </w:rPr>
              <w:t xml:space="preserve">s </w:t>
            </w:r>
            <w:r w:rsidR="00BD09D5">
              <w:rPr>
                <w:rFonts w:cs="Arial"/>
                <w:sz w:val="18"/>
                <w:szCs w:val="18"/>
              </w:rPr>
              <w:t xml:space="preserve">to a maximum of </w:t>
            </w:r>
            <w:r>
              <w:rPr>
                <w:rFonts w:cs="Arial"/>
                <w:sz w:val="18"/>
                <w:szCs w:val="18"/>
              </w:rPr>
              <w:t>two per year</w:t>
            </w:r>
            <w:r w:rsidR="00E5655B">
              <w:rPr>
                <w:rFonts w:cs="Arial"/>
                <w:sz w:val="18"/>
                <w:szCs w:val="18"/>
              </w:rPr>
              <w:t>.</w:t>
            </w:r>
          </w:p>
          <w:p w14:paraId="55830C22" w14:textId="6B2B4628" w:rsidR="003A6D31" w:rsidRDefault="003A6D31" w:rsidP="009335F1">
            <w:pPr>
              <w:spacing w:before="40" w:after="40" w:line="240" w:lineRule="auto"/>
              <w:rPr>
                <w:rFonts w:cs="Arial"/>
                <w:sz w:val="18"/>
                <w:szCs w:val="18"/>
              </w:rPr>
            </w:pPr>
          </w:p>
        </w:tc>
        <w:tc>
          <w:tcPr>
            <w:tcW w:w="3667" w:type="dxa"/>
          </w:tcPr>
          <w:p w14:paraId="1F7544AD" w14:textId="73B377A0" w:rsidR="00BD09D5" w:rsidRDefault="00FF73D8" w:rsidP="00FF73D8">
            <w:pPr>
              <w:spacing w:before="40" w:after="40" w:line="240" w:lineRule="auto"/>
              <w:ind w:left="57" w:right="57"/>
              <w:rPr>
                <w:sz w:val="18"/>
                <w:szCs w:val="18"/>
              </w:rPr>
            </w:pPr>
            <w:r>
              <w:rPr>
                <w:sz w:val="18"/>
                <w:szCs w:val="18"/>
              </w:rPr>
              <w:t>T</w:t>
            </w:r>
            <w:r w:rsidR="00BD09D5">
              <w:rPr>
                <w:sz w:val="18"/>
                <w:szCs w:val="18"/>
              </w:rPr>
              <w:t xml:space="preserve">he test </w:t>
            </w:r>
            <w:r>
              <w:rPr>
                <w:sz w:val="18"/>
                <w:szCs w:val="18"/>
              </w:rPr>
              <w:t xml:space="preserve">would be prevented from </w:t>
            </w:r>
            <w:r w:rsidR="00BD09D5">
              <w:rPr>
                <w:sz w:val="18"/>
                <w:szCs w:val="18"/>
              </w:rPr>
              <w:t xml:space="preserve">being used </w:t>
            </w:r>
            <w:r>
              <w:rPr>
                <w:sz w:val="18"/>
                <w:szCs w:val="18"/>
              </w:rPr>
              <w:t>to see if diabetes is present</w:t>
            </w:r>
            <w:r w:rsidR="00BD09D5">
              <w:rPr>
                <w:sz w:val="18"/>
                <w:szCs w:val="18"/>
              </w:rPr>
              <w:t xml:space="preserve">, </w:t>
            </w:r>
            <w:r w:rsidR="00AE60CF">
              <w:rPr>
                <w:sz w:val="18"/>
                <w:szCs w:val="18"/>
              </w:rPr>
              <w:t>except</w:t>
            </w:r>
            <w:r w:rsidR="003A6D31">
              <w:rPr>
                <w:sz w:val="18"/>
                <w:szCs w:val="18"/>
              </w:rPr>
              <w:t xml:space="preserve"> </w:t>
            </w:r>
            <w:r>
              <w:rPr>
                <w:sz w:val="18"/>
                <w:szCs w:val="18"/>
              </w:rPr>
              <w:t xml:space="preserve">in </w:t>
            </w:r>
            <w:r w:rsidR="00BD09D5">
              <w:rPr>
                <w:sz w:val="18"/>
                <w:szCs w:val="18"/>
              </w:rPr>
              <w:t xml:space="preserve">pregnant </w:t>
            </w:r>
            <w:r>
              <w:rPr>
                <w:sz w:val="18"/>
                <w:szCs w:val="18"/>
              </w:rPr>
              <w:t xml:space="preserve">women or people </w:t>
            </w:r>
            <w:r w:rsidR="00BD09D5">
              <w:rPr>
                <w:sz w:val="18"/>
                <w:szCs w:val="18"/>
              </w:rPr>
              <w:t>at high risk of thyroid disease</w:t>
            </w:r>
            <w:r w:rsidR="00E5655B">
              <w:rPr>
                <w:sz w:val="18"/>
                <w:szCs w:val="18"/>
              </w:rPr>
              <w:t>.</w:t>
            </w:r>
          </w:p>
        </w:tc>
        <w:tc>
          <w:tcPr>
            <w:tcW w:w="3646" w:type="dxa"/>
          </w:tcPr>
          <w:p w14:paraId="70D86FE5" w14:textId="4292F55F" w:rsidR="00BD09D5" w:rsidRDefault="00BD09D5" w:rsidP="00081DD2">
            <w:pPr>
              <w:spacing w:before="40" w:after="40" w:line="240" w:lineRule="auto"/>
              <w:rPr>
                <w:rFonts w:cs="Arial"/>
                <w:sz w:val="18"/>
                <w:szCs w:val="18"/>
              </w:rPr>
            </w:pPr>
            <w:r>
              <w:rPr>
                <w:rFonts w:cs="Arial"/>
                <w:sz w:val="18"/>
                <w:szCs w:val="18"/>
              </w:rPr>
              <w:t xml:space="preserve">To align the number of tests with current </w:t>
            </w:r>
            <w:r w:rsidR="00FF73D8">
              <w:rPr>
                <w:rFonts w:cs="Arial"/>
                <w:sz w:val="18"/>
                <w:szCs w:val="18"/>
              </w:rPr>
              <w:t xml:space="preserve">medical </w:t>
            </w:r>
            <w:r>
              <w:rPr>
                <w:rFonts w:cs="Arial"/>
                <w:sz w:val="18"/>
                <w:szCs w:val="18"/>
              </w:rPr>
              <w:t>guidelines</w:t>
            </w:r>
            <w:r w:rsidR="00081DD2">
              <w:rPr>
                <w:rFonts w:cs="Arial"/>
                <w:sz w:val="18"/>
                <w:szCs w:val="18"/>
              </w:rPr>
              <w:t xml:space="preserve">, such as the </w:t>
            </w:r>
            <w:r w:rsidR="00081DD2" w:rsidRPr="00081DD2">
              <w:rPr>
                <w:rFonts w:cs="Arial"/>
                <w:sz w:val="18"/>
                <w:szCs w:val="18"/>
              </w:rPr>
              <w:t xml:space="preserve">Australian Diabetes Society Position Statement 2015 </w:t>
            </w:r>
            <w:r w:rsidR="00081DD2">
              <w:rPr>
                <w:rFonts w:cs="Arial"/>
                <w:sz w:val="18"/>
                <w:szCs w:val="18"/>
              </w:rPr>
              <w:t xml:space="preserve">as well as the </w:t>
            </w:r>
            <w:r w:rsidR="00081DD2" w:rsidRPr="00081DD2">
              <w:rPr>
                <w:rFonts w:cs="Arial"/>
                <w:sz w:val="18"/>
                <w:szCs w:val="18"/>
              </w:rPr>
              <w:t xml:space="preserve">RACGP, </w:t>
            </w:r>
            <w:r w:rsidR="00081DD2">
              <w:rPr>
                <w:rFonts w:cs="Arial"/>
                <w:sz w:val="18"/>
                <w:szCs w:val="18"/>
              </w:rPr>
              <w:t xml:space="preserve">World Health Organisation </w:t>
            </w:r>
            <w:r w:rsidR="00081DD2" w:rsidRPr="00081DD2">
              <w:rPr>
                <w:rFonts w:cs="Arial"/>
                <w:sz w:val="18"/>
                <w:szCs w:val="18"/>
              </w:rPr>
              <w:t xml:space="preserve">and </w:t>
            </w:r>
            <w:r w:rsidR="00081DD2">
              <w:rPr>
                <w:rFonts w:cs="Arial"/>
                <w:sz w:val="18"/>
                <w:szCs w:val="18"/>
              </w:rPr>
              <w:t xml:space="preserve">American Diabetes Association’s </w:t>
            </w:r>
            <w:r w:rsidR="00081DD2" w:rsidRPr="00081DD2">
              <w:rPr>
                <w:rFonts w:cs="Arial"/>
                <w:sz w:val="18"/>
                <w:szCs w:val="18"/>
              </w:rPr>
              <w:t>advice</w:t>
            </w:r>
            <w:r w:rsidR="00081DD2">
              <w:rPr>
                <w:rFonts w:cs="Arial"/>
                <w:sz w:val="18"/>
                <w:szCs w:val="18"/>
              </w:rPr>
              <w:t>.</w:t>
            </w:r>
          </w:p>
        </w:tc>
      </w:tr>
    </w:tbl>
    <w:p w14:paraId="07ADFAFB" w14:textId="77777777" w:rsidR="00793669" w:rsidRDefault="00793669"/>
    <w:p w14:paraId="0ABA2EC9" w14:textId="6D923460" w:rsidR="00793669" w:rsidRPr="009A721A" w:rsidRDefault="00793669" w:rsidP="009A721A">
      <w:pPr>
        <w:pStyle w:val="Caption"/>
        <w:rPr>
          <w:b/>
        </w:rPr>
      </w:pPr>
      <w:r w:rsidRPr="009A721A">
        <w:rPr>
          <w:b/>
          <w:i w:val="0"/>
        </w:rPr>
        <w:t xml:space="preserve">Recommendation </w:t>
      </w:r>
      <w:r w:rsidR="007237B6">
        <w:rPr>
          <w:b/>
          <w:i w:val="0"/>
        </w:rPr>
        <w:t>7</w:t>
      </w:r>
      <w:r w:rsidRPr="009A721A">
        <w:rPr>
          <w:b/>
          <w:i w:val="0"/>
        </w:rPr>
        <w:t>: Quantitation of fructosamine (blood fructose level)</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1"/>
        <w:gridCol w:w="2692"/>
        <w:gridCol w:w="2456"/>
        <w:gridCol w:w="3667"/>
        <w:gridCol w:w="3646"/>
      </w:tblGrid>
      <w:tr w:rsidR="00B145B0" w:rsidRPr="00ED7D2E" w14:paraId="793C7E96" w14:textId="77777777" w:rsidTr="009A721A">
        <w:trPr>
          <w:cantSplit/>
          <w:tblHeader/>
        </w:trPr>
        <w:tc>
          <w:tcPr>
            <w:tcW w:w="1662" w:type="dxa"/>
          </w:tcPr>
          <w:p w14:paraId="6E3A67BC" w14:textId="77777777" w:rsidR="00B145B0" w:rsidRPr="00505D08" w:rsidRDefault="00B145B0"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692" w:type="dxa"/>
          </w:tcPr>
          <w:p w14:paraId="51AA7A0D" w14:textId="77777777" w:rsidR="00B145B0" w:rsidRPr="00505D08" w:rsidRDefault="00B145B0"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56" w:type="dxa"/>
          </w:tcPr>
          <w:p w14:paraId="14192E26" w14:textId="77777777" w:rsidR="00B145B0" w:rsidRPr="00505D08" w:rsidRDefault="00B145B0"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67" w:type="dxa"/>
          </w:tcPr>
          <w:p w14:paraId="250C3116" w14:textId="77777777" w:rsidR="00B145B0" w:rsidRPr="00505D08" w:rsidRDefault="00B145B0"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46" w:type="dxa"/>
          </w:tcPr>
          <w:p w14:paraId="5FC3E531" w14:textId="77777777" w:rsidR="00B145B0" w:rsidRPr="00505D08" w:rsidRDefault="00B145B0"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B145B0" w:rsidRPr="00ED7D2E" w14:paraId="5DEEBB3E" w14:textId="77777777" w:rsidTr="009A721A">
        <w:trPr>
          <w:cantSplit/>
        </w:trPr>
        <w:tc>
          <w:tcPr>
            <w:tcW w:w="1662" w:type="dxa"/>
          </w:tcPr>
          <w:p w14:paraId="20D12F03" w14:textId="77777777" w:rsidR="00B145B0" w:rsidRPr="00505D08" w:rsidRDefault="00B145B0" w:rsidP="00A407A9">
            <w:pPr>
              <w:spacing w:before="40" w:after="40" w:line="240" w:lineRule="auto"/>
              <w:rPr>
                <w:rFonts w:cs="Arial"/>
                <w:b/>
                <w:sz w:val="18"/>
                <w:szCs w:val="18"/>
                <w:lang w:val="en-US" w:eastAsia="en-US"/>
              </w:rPr>
            </w:pPr>
            <w:r>
              <w:rPr>
                <w:rFonts w:cs="Arial"/>
                <w:b/>
                <w:color w:val="222222"/>
                <w:sz w:val="18"/>
                <w:szCs w:val="18"/>
              </w:rPr>
              <w:t>66557</w:t>
            </w:r>
          </w:p>
        </w:tc>
        <w:tc>
          <w:tcPr>
            <w:tcW w:w="2692" w:type="dxa"/>
          </w:tcPr>
          <w:p w14:paraId="14055CEF" w14:textId="7D5B2AE7" w:rsidR="00B145B0" w:rsidRPr="00505D08" w:rsidRDefault="00B145B0" w:rsidP="00F63502">
            <w:pPr>
              <w:spacing w:before="40" w:after="40" w:line="240" w:lineRule="auto"/>
              <w:rPr>
                <w:rFonts w:cs="Arial"/>
                <w:sz w:val="18"/>
                <w:szCs w:val="18"/>
              </w:rPr>
            </w:pPr>
            <w:r>
              <w:rPr>
                <w:rFonts w:cs="Arial"/>
                <w:sz w:val="18"/>
                <w:szCs w:val="18"/>
              </w:rPr>
              <w:t xml:space="preserve">Measures </w:t>
            </w:r>
            <w:r w:rsidR="00F63502">
              <w:rPr>
                <w:rFonts w:cs="Arial"/>
                <w:sz w:val="18"/>
                <w:szCs w:val="18"/>
              </w:rPr>
              <w:t xml:space="preserve">blood </w:t>
            </w:r>
            <w:r w:rsidR="00EE322B">
              <w:rPr>
                <w:rFonts w:cs="Arial"/>
                <w:sz w:val="18"/>
                <w:szCs w:val="18"/>
              </w:rPr>
              <w:t>fructose (</w:t>
            </w:r>
            <w:r w:rsidR="00F63502">
              <w:rPr>
                <w:rFonts w:cs="Arial"/>
                <w:sz w:val="18"/>
                <w:szCs w:val="18"/>
              </w:rPr>
              <w:t>sugar</w:t>
            </w:r>
            <w:r w:rsidR="00EE322B">
              <w:rPr>
                <w:rFonts w:cs="Arial"/>
                <w:sz w:val="18"/>
                <w:szCs w:val="18"/>
              </w:rPr>
              <w:t>)</w:t>
            </w:r>
            <w:r w:rsidR="00F63502">
              <w:rPr>
                <w:rFonts w:cs="Arial"/>
                <w:sz w:val="18"/>
                <w:szCs w:val="18"/>
              </w:rPr>
              <w:t xml:space="preserve"> </w:t>
            </w:r>
            <w:r>
              <w:rPr>
                <w:rFonts w:cs="Arial"/>
                <w:sz w:val="18"/>
                <w:szCs w:val="18"/>
              </w:rPr>
              <w:t>levels to test for diabetes mellitus</w:t>
            </w:r>
            <w:r w:rsidR="00E5655B">
              <w:rPr>
                <w:rFonts w:cs="Arial"/>
                <w:sz w:val="18"/>
                <w:szCs w:val="18"/>
              </w:rPr>
              <w:t>.</w:t>
            </w:r>
          </w:p>
        </w:tc>
        <w:tc>
          <w:tcPr>
            <w:tcW w:w="2456" w:type="dxa"/>
          </w:tcPr>
          <w:p w14:paraId="2156D8F6" w14:textId="77777777" w:rsidR="00B145B0" w:rsidRDefault="00F63502" w:rsidP="00F63502">
            <w:pPr>
              <w:spacing w:before="40" w:after="40" w:line="240" w:lineRule="auto"/>
              <w:rPr>
                <w:rFonts w:cs="Arial"/>
                <w:sz w:val="18"/>
                <w:szCs w:val="18"/>
              </w:rPr>
            </w:pPr>
            <w:r>
              <w:rPr>
                <w:rFonts w:cs="Arial"/>
                <w:sz w:val="18"/>
                <w:szCs w:val="18"/>
              </w:rPr>
              <w:t>S</w:t>
            </w:r>
            <w:r w:rsidR="00B145B0">
              <w:rPr>
                <w:rFonts w:cs="Arial"/>
                <w:sz w:val="18"/>
                <w:szCs w:val="18"/>
              </w:rPr>
              <w:t>pecif</w:t>
            </w:r>
            <w:r>
              <w:rPr>
                <w:rFonts w:cs="Arial"/>
                <w:sz w:val="18"/>
                <w:szCs w:val="18"/>
              </w:rPr>
              <w:t>y</w:t>
            </w:r>
            <w:r w:rsidR="00B145B0">
              <w:rPr>
                <w:rFonts w:cs="Arial"/>
                <w:sz w:val="18"/>
                <w:szCs w:val="18"/>
              </w:rPr>
              <w:t xml:space="preserve"> </w:t>
            </w:r>
            <w:r>
              <w:rPr>
                <w:rFonts w:cs="Arial"/>
                <w:sz w:val="18"/>
                <w:szCs w:val="18"/>
              </w:rPr>
              <w:t xml:space="preserve">when </w:t>
            </w:r>
            <w:r w:rsidR="00B145B0">
              <w:rPr>
                <w:rFonts w:cs="Arial"/>
                <w:sz w:val="18"/>
                <w:szCs w:val="18"/>
              </w:rPr>
              <w:t xml:space="preserve">the test should be used and </w:t>
            </w:r>
            <w:r>
              <w:rPr>
                <w:rFonts w:cs="Arial"/>
                <w:sz w:val="18"/>
                <w:szCs w:val="18"/>
              </w:rPr>
              <w:t xml:space="preserve">provide </w:t>
            </w:r>
            <w:r w:rsidR="00B145B0">
              <w:rPr>
                <w:rFonts w:cs="Arial"/>
                <w:sz w:val="18"/>
                <w:szCs w:val="18"/>
              </w:rPr>
              <w:t xml:space="preserve">guidance on </w:t>
            </w:r>
            <w:r>
              <w:rPr>
                <w:rFonts w:cs="Arial"/>
                <w:sz w:val="18"/>
                <w:szCs w:val="18"/>
              </w:rPr>
              <w:t xml:space="preserve">appropriate </w:t>
            </w:r>
            <w:r w:rsidR="00B145B0">
              <w:rPr>
                <w:rFonts w:cs="Arial"/>
                <w:sz w:val="18"/>
                <w:szCs w:val="18"/>
              </w:rPr>
              <w:t>us</w:t>
            </w:r>
            <w:r>
              <w:rPr>
                <w:rFonts w:cs="Arial"/>
                <w:sz w:val="18"/>
                <w:szCs w:val="18"/>
              </w:rPr>
              <w:t>e of</w:t>
            </w:r>
            <w:r w:rsidR="00B145B0">
              <w:rPr>
                <w:rFonts w:cs="Arial"/>
                <w:sz w:val="18"/>
                <w:szCs w:val="18"/>
              </w:rPr>
              <w:t xml:space="preserve"> this test</w:t>
            </w:r>
            <w:r w:rsidR="00E5655B">
              <w:rPr>
                <w:rFonts w:cs="Arial"/>
                <w:sz w:val="18"/>
                <w:szCs w:val="18"/>
              </w:rPr>
              <w:t>.</w:t>
            </w:r>
          </w:p>
          <w:p w14:paraId="2CCB044F" w14:textId="7C213763" w:rsidR="003A6D31" w:rsidRPr="00505D08" w:rsidRDefault="003A6D31" w:rsidP="00F63502">
            <w:pPr>
              <w:spacing w:before="40" w:after="40" w:line="240" w:lineRule="auto"/>
              <w:rPr>
                <w:rFonts w:cs="Arial"/>
                <w:b/>
                <w:sz w:val="18"/>
                <w:szCs w:val="18"/>
                <w:lang w:val="en-US" w:eastAsia="en-US"/>
              </w:rPr>
            </w:pPr>
          </w:p>
        </w:tc>
        <w:tc>
          <w:tcPr>
            <w:tcW w:w="3667" w:type="dxa"/>
          </w:tcPr>
          <w:p w14:paraId="0371091E" w14:textId="07142779" w:rsidR="00B145B0" w:rsidRPr="00505D08" w:rsidRDefault="00B24748" w:rsidP="009335F1">
            <w:pPr>
              <w:spacing w:before="40" w:after="40" w:line="240" w:lineRule="auto"/>
              <w:ind w:left="57" w:right="57"/>
              <w:rPr>
                <w:rFonts w:cs="Arial"/>
                <w:b/>
                <w:sz w:val="18"/>
                <w:szCs w:val="18"/>
                <w:lang w:val="en-US" w:eastAsia="en-US"/>
              </w:rPr>
            </w:pPr>
            <w:r>
              <w:rPr>
                <w:sz w:val="18"/>
                <w:szCs w:val="18"/>
              </w:rPr>
              <w:t xml:space="preserve">Doctors </w:t>
            </w:r>
            <w:r w:rsidR="00B145B0">
              <w:rPr>
                <w:sz w:val="18"/>
                <w:szCs w:val="18"/>
              </w:rPr>
              <w:t>will have clear guidance on when they can use this test. T</w:t>
            </w:r>
            <w:r>
              <w:rPr>
                <w:sz w:val="18"/>
                <w:szCs w:val="18"/>
              </w:rPr>
              <w:t>he t</w:t>
            </w:r>
            <w:r w:rsidR="00B145B0">
              <w:rPr>
                <w:sz w:val="18"/>
                <w:szCs w:val="18"/>
              </w:rPr>
              <w:t xml:space="preserve">est </w:t>
            </w:r>
            <w:r w:rsidR="009335F1">
              <w:rPr>
                <w:sz w:val="18"/>
                <w:szCs w:val="18"/>
              </w:rPr>
              <w:t xml:space="preserve">would only </w:t>
            </w:r>
            <w:r w:rsidR="00B145B0">
              <w:rPr>
                <w:sz w:val="18"/>
                <w:szCs w:val="18"/>
              </w:rPr>
              <w:t xml:space="preserve">be used in appropriate </w:t>
            </w:r>
            <w:r w:rsidR="00EE322B">
              <w:rPr>
                <w:sz w:val="18"/>
                <w:szCs w:val="18"/>
              </w:rPr>
              <w:t xml:space="preserve">medical </w:t>
            </w:r>
            <w:r w:rsidR="00B145B0">
              <w:rPr>
                <w:sz w:val="18"/>
                <w:szCs w:val="18"/>
              </w:rPr>
              <w:t>situations</w:t>
            </w:r>
            <w:r w:rsidR="00E5655B">
              <w:rPr>
                <w:sz w:val="18"/>
                <w:szCs w:val="18"/>
              </w:rPr>
              <w:t>.</w:t>
            </w:r>
          </w:p>
        </w:tc>
        <w:tc>
          <w:tcPr>
            <w:tcW w:w="3646" w:type="dxa"/>
          </w:tcPr>
          <w:p w14:paraId="22778324" w14:textId="73E15286" w:rsidR="00B145B0" w:rsidRPr="00505D08" w:rsidRDefault="00B145B0" w:rsidP="00A407A9">
            <w:pPr>
              <w:spacing w:before="40" w:after="40" w:line="240" w:lineRule="auto"/>
              <w:rPr>
                <w:rFonts w:cs="Arial"/>
                <w:b/>
                <w:sz w:val="18"/>
                <w:szCs w:val="18"/>
                <w:lang w:val="en-US" w:eastAsia="en-US"/>
              </w:rPr>
            </w:pPr>
            <w:r>
              <w:rPr>
                <w:rFonts w:cs="Arial"/>
                <w:sz w:val="18"/>
                <w:szCs w:val="18"/>
              </w:rPr>
              <w:t>T</w:t>
            </w:r>
            <w:r w:rsidR="00EE322B">
              <w:rPr>
                <w:rFonts w:cs="Arial"/>
                <w:sz w:val="18"/>
                <w:szCs w:val="18"/>
              </w:rPr>
              <w:t>he t</w:t>
            </w:r>
            <w:r>
              <w:rPr>
                <w:rFonts w:cs="Arial"/>
                <w:sz w:val="18"/>
                <w:szCs w:val="18"/>
              </w:rPr>
              <w:t>est may not have been used optimally</w:t>
            </w:r>
            <w:r w:rsidR="00E5655B">
              <w:rPr>
                <w:rFonts w:cs="Arial"/>
                <w:sz w:val="18"/>
                <w:szCs w:val="18"/>
              </w:rPr>
              <w:t>.</w:t>
            </w:r>
          </w:p>
        </w:tc>
      </w:tr>
    </w:tbl>
    <w:p w14:paraId="2A921816" w14:textId="77777777" w:rsidR="00B145B0" w:rsidRDefault="00B145B0" w:rsidP="00EC727F">
      <w:pPr>
        <w:rPr>
          <w:lang w:eastAsia="en-US"/>
        </w:rPr>
      </w:pPr>
    </w:p>
    <w:p w14:paraId="6FA57CD1" w14:textId="36927C1B" w:rsidR="00793669" w:rsidRPr="009A721A" w:rsidRDefault="00793669" w:rsidP="009A721A">
      <w:pPr>
        <w:pStyle w:val="Caption"/>
        <w:rPr>
          <w:b/>
        </w:rPr>
      </w:pPr>
      <w:r w:rsidRPr="009A721A">
        <w:rPr>
          <w:b/>
          <w:i w:val="0"/>
        </w:rPr>
        <w:t xml:space="preserve">Recommendation </w:t>
      </w:r>
      <w:r w:rsidR="007237B6">
        <w:rPr>
          <w:b/>
          <w:i w:val="0"/>
        </w:rPr>
        <w:t>8</w:t>
      </w:r>
      <w:r w:rsidRPr="009A721A">
        <w:rPr>
          <w:b/>
          <w:i w:val="0"/>
        </w:rPr>
        <w:t xml:space="preserve">: </w:t>
      </w:r>
      <w:r w:rsidR="00913160">
        <w:rPr>
          <w:b/>
          <w:i w:val="0"/>
        </w:rPr>
        <w:t>Microalbumin</w:t>
      </w:r>
      <w:r w:rsidRPr="009A721A">
        <w:rPr>
          <w:b/>
          <w:i w:val="0"/>
        </w:rPr>
        <w:t xml:space="preserve"> (</w:t>
      </w:r>
      <w:r w:rsidR="00991A47">
        <w:rPr>
          <w:b/>
          <w:i w:val="0"/>
        </w:rPr>
        <w:t>albumin is a protein that, when</w:t>
      </w:r>
      <w:r w:rsidR="00913160">
        <w:rPr>
          <w:b/>
          <w:i w:val="0"/>
        </w:rPr>
        <w:t xml:space="preserve"> </w:t>
      </w:r>
      <w:r w:rsidR="00991A47">
        <w:rPr>
          <w:b/>
          <w:i w:val="0"/>
        </w:rPr>
        <w:t xml:space="preserve">found in </w:t>
      </w:r>
      <w:r w:rsidRPr="009A721A">
        <w:rPr>
          <w:b/>
          <w:i w:val="0"/>
        </w:rPr>
        <w:t>urine</w:t>
      </w:r>
      <w:r w:rsidR="00991A47">
        <w:rPr>
          <w:b/>
          <w:i w:val="0"/>
        </w:rPr>
        <w:t>,</w:t>
      </w:r>
      <w:r w:rsidRPr="009A721A">
        <w:rPr>
          <w:b/>
          <w:i w:val="0"/>
        </w:rPr>
        <w:t xml:space="preserve"> indicat</w:t>
      </w:r>
      <w:r w:rsidR="00991A47">
        <w:rPr>
          <w:b/>
          <w:i w:val="0"/>
        </w:rPr>
        <w:t>es</w:t>
      </w:r>
      <w:r w:rsidRPr="009A721A">
        <w:rPr>
          <w:b/>
          <w:i w:val="0"/>
        </w:rPr>
        <w:t xml:space="preserve"> kidney damage due to diabetes)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2"/>
        <w:gridCol w:w="2692"/>
        <w:gridCol w:w="2457"/>
        <w:gridCol w:w="3667"/>
        <w:gridCol w:w="3644"/>
      </w:tblGrid>
      <w:tr w:rsidR="00B145B0" w:rsidRPr="00ED7D2E" w14:paraId="6D593679" w14:textId="77777777" w:rsidTr="009A721A">
        <w:trPr>
          <w:cantSplit/>
          <w:tblHeader/>
        </w:trPr>
        <w:tc>
          <w:tcPr>
            <w:tcW w:w="1668" w:type="dxa"/>
          </w:tcPr>
          <w:p w14:paraId="6B970130" w14:textId="77777777" w:rsidR="00B145B0" w:rsidRPr="00505D08" w:rsidRDefault="00B145B0"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1B1588E0" w14:textId="77777777" w:rsidR="00B145B0" w:rsidRPr="00505D08" w:rsidRDefault="00B145B0"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62" w:type="dxa"/>
          </w:tcPr>
          <w:p w14:paraId="2430B0C0" w14:textId="77777777" w:rsidR="00B145B0" w:rsidRPr="00505D08" w:rsidRDefault="00B145B0"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81" w:type="dxa"/>
          </w:tcPr>
          <w:p w14:paraId="7AF97224" w14:textId="77777777" w:rsidR="00B145B0" w:rsidRPr="00505D08" w:rsidRDefault="00B145B0"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4E9CB85A" w14:textId="77777777" w:rsidR="00B145B0" w:rsidRPr="00505D08" w:rsidRDefault="00B145B0" w:rsidP="00A407A9">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AE1B3A" w:rsidRPr="00ED7D2E" w14:paraId="1F1C7400" w14:textId="77777777" w:rsidTr="009A721A">
        <w:trPr>
          <w:cantSplit/>
        </w:trPr>
        <w:tc>
          <w:tcPr>
            <w:tcW w:w="1668" w:type="dxa"/>
          </w:tcPr>
          <w:p w14:paraId="128BC1BC" w14:textId="77777777" w:rsidR="00B145B0" w:rsidRPr="00505D08" w:rsidRDefault="00B145B0" w:rsidP="00B145B0">
            <w:pPr>
              <w:spacing w:before="40" w:after="40" w:line="240" w:lineRule="auto"/>
              <w:rPr>
                <w:rFonts w:cs="Arial"/>
                <w:b/>
                <w:sz w:val="18"/>
                <w:szCs w:val="18"/>
                <w:lang w:val="en-US" w:eastAsia="en-US"/>
              </w:rPr>
            </w:pPr>
            <w:r>
              <w:rPr>
                <w:rFonts w:cs="Arial"/>
                <w:b/>
                <w:color w:val="222222"/>
                <w:sz w:val="18"/>
                <w:szCs w:val="18"/>
              </w:rPr>
              <w:t>66560</w:t>
            </w:r>
          </w:p>
        </w:tc>
        <w:tc>
          <w:tcPr>
            <w:tcW w:w="2702" w:type="dxa"/>
          </w:tcPr>
          <w:p w14:paraId="169413DA" w14:textId="4A398DC3" w:rsidR="00B145B0" w:rsidRPr="00505D08" w:rsidRDefault="00B145B0" w:rsidP="00EE322B">
            <w:pPr>
              <w:spacing w:before="40" w:after="40" w:line="240" w:lineRule="auto"/>
              <w:rPr>
                <w:rFonts w:cs="Arial"/>
                <w:sz w:val="18"/>
                <w:szCs w:val="18"/>
              </w:rPr>
            </w:pPr>
            <w:r>
              <w:rPr>
                <w:rFonts w:cs="Arial"/>
                <w:sz w:val="18"/>
                <w:szCs w:val="18"/>
              </w:rPr>
              <w:t xml:space="preserve">Measures levels </w:t>
            </w:r>
            <w:r w:rsidR="00EE322B">
              <w:rPr>
                <w:rFonts w:cs="Arial"/>
                <w:sz w:val="18"/>
                <w:szCs w:val="18"/>
              </w:rPr>
              <w:t xml:space="preserve">of albumin and creatinine in urine </w:t>
            </w:r>
            <w:r>
              <w:rPr>
                <w:rFonts w:cs="Arial"/>
                <w:sz w:val="18"/>
                <w:szCs w:val="18"/>
              </w:rPr>
              <w:t>to test for diabetes mellitus</w:t>
            </w:r>
            <w:r w:rsidR="00E5655B">
              <w:rPr>
                <w:rFonts w:cs="Arial"/>
                <w:sz w:val="18"/>
                <w:szCs w:val="18"/>
              </w:rPr>
              <w:t>.</w:t>
            </w:r>
          </w:p>
        </w:tc>
        <w:tc>
          <w:tcPr>
            <w:tcW w:w="2462" w:type="dxa"/>
          </w:tcPr>
          <w:p w14:paraId="3858124B" w14:textId="12CBEB99" w:rsidR="00B145B0" w:rsidRDefault="00B145B0" w:rsidP="009335F1">
            <w:pPr>
              <w:spacing w:before="40" w:after="40" w:line="240" w:lineRule="auto"/>
              <w:rPr>
                <w:rFonts w:cs="Arial"/>
                <w:sz w:val="18"/>
                <w:szCs w:val="18"/>
              </w:rPr>
            </w:pPr>
            <w:r>
              <w:rPr>
                <w:rFonts w:cs="Arial"/>
                <w:sz w:val="18"/>
                <w:szCs w:val="18"/>
              </w:rPr>
              <w:t xml:space="preserve">Change the title of the test </w:t>
            </w:r>
            <w:r w:rsidR="00F8646D">
              <w:rPr>
                <w:rFonts w:cs="Arial"/>
                <w:sz w:val="18"/>
                <w:szCs w:val="18"/>
              </w:rPr>
              <w:t xml:space="preserve"> </w:t>
            </w:r>
            <w:r w:rsidR="00F8646D" w:rsidRPr="00F8646D">
              <w:rPr>
                <w:rFonts w:cs="Arial"/>
                <w:sz w:val="18"/>
                <w:szCs w:val="18"/>
              </w:rPr>
              <w:t xml:space="preserve">to albumin:creatinine ratio </w:t>
            </w:r>
            <w:r>
              <w:rPr>
                <w:rFonts w:cs="Arial"/>
                <w:sz w:val="18"/>
                <w:szCs w:val="18"/>
              </w:rPr>
              <w:t>and specif</w:t>
            </w:r>
            <w:r w:rsidR="009335F1">
              <w:rPr>
                <w:rFonts w:cs="Arial"/>
                <w:sz w:val="18"/>
                <w:szCs w:val="18"/>
              </w:rPr>
              <w:t>y</w:t>
            </w:r>
            <w:r>
              <w:rPr>
                <w:rFonts w:cs="Arial"/>
                <w:sz w:val="18"/>
                <w:szCs w:val="18"/>
              </w:rPr>
              <w:t xml:space="preserve"> </w:t>
            </w:r>
            <w:r w:rsidR="009335F1">
              <w:rPr>
                <w:rFonts w:cs="Arial"/>
                <w:sz w:val="18"/>
                <w:szCs w:val="18"/>
              </w:rPr>
              <w:t xml:space="preserve">medical </w:t>
            </w:r>
            <w:r>
              <w:rPr>
                <w:rFonts w:cs="Arial"/>
                <w:sz w:val="18"/>
                <w:szCs w:val="18"/>
              </w:rPr>
              <w:t xml:space="preserve">situations </w:t>
            </w:r>
            <w:r w:rsidR="009335F1">
              <w:rPr>
                <w:rFonts w:cs="Arial"/>
                <w:sz w:val="18"/>
                <w:szCs w:val="18"/>
              </w:rPr>
              <w:t xml:space="preserve">in which </w:t>
            </w:r>
            <w:r>
              <w:rPr>
                <w:rFonts w:cs="Arial"/>
                <w:sz w:val="18"/>
                <w:szCs w:val="18"/>
              </w:rPr>
              <w:t>the test is appropriate</w:t>
            </w:r>
            <w:r w:rsidR="00E5655B">
              <w:rPr>
                <w:rFonts w:cs="Arial"/>
                <w:sz w:val="18"/>
                <w:szCs w:val="18"/>
              </w:rPr>
              <w:t>.</w:t>
            </w:r>
          </w:p>
          <w:p w14:paraId="49CA61C5" w14:textId="24AA67AD" w:rsidR="003A6D31" w:rsidRPr="00505D08" w:rsidRDefault="003A6D31" w:rsidP="009335F1">
            <w:pPr>
              <w:spacing w:before="40" w:after="40" w:line="240" w:lineRule="auto"/>
              <w:rPr>
                <w:rFonts w:cs="Arial"/>
                <w:b/>
                <w:sz w:val="18"/>
                <w:szCs w:val="18"/>
                <w:lang w:val="en-US" w:eastAsia="en-US"/>
              </w:rPr>
            </w:pPr>
          </w:p>
        </w:tc>
        <w:tc>
          <w:tcPr>
            <w:tcW w:w="3681" w:type="dxa"/>
          </w:tcPr>
          <w:p w14:paraId="741598A8" w14:textId="2DC31A29" w:rsidR="00B145B0" w:rsidRPr="00505D08" w:rsidRDefault="009335F1" w:rsidP="009335F1">
            <w:pPr>
              <w:spacing w:before="40" w:after="40" w:line="240" w:lineRule="auto"/>
              <w:ind w:left="57" w:right="57"/>
              <w:rPr>
                <w:rFonts w:cs="Arial"/>
                <w:b/>
                <w:sz w:val="18"/>
                <w:szCs w:val="18"/>
                <w:lang w:val="en-US" w:eastAsia="en-US"/>
              </w:rPr>
            </w:pPr>
            <w:r>
              <w:rPr>
                <w:sz w:val="18"/>
                <w:szCs w:val="18"/>
              </w:rPr>
              <w:t xml:space="preserve">The </w:t>
            </w:r>
            <w:r w:rsidR="00B145B0">
              <w:rPr>
                <w:sz w:val="18"/>
                <w:szCs w:val="18"/>
              </w:rPr>
              <w:t>M</w:t>
            </w:r>
            <w:r>
              <w:rPr>
                <w:sz w:val="18"/>
                <w:szCs w:val="18"/>
              </w:rPr>
              <w:t xml:space="preserve">edical </w:t>
            </w:r>
            <w:r w:rsidR="00B145B0">
              <w:rPr>
                <w:sz w:val="18"/>
                <w:szCs w:val="18"/>
              </w:rPr>
              <w:t>B</w:t>
            </w:r>
            <w:r>
              <w:rPr>
                <w:sz w:val="18"/>
                <w:szCs w:val="18"/>
              </w:rPr>
              <w:t xml:space="preserve">enefits </w:t>
            </w:r>
            <w:r w:rsidR="00B145B0">
              <w:rPr>
                <w:sz w:val="18"/>
                <w:szCs w:val="18"/>
              </w:rPr>
              <w:t>S</w:t>
            </w:r>
            <w:r>
              <w:rPr>
                <w:sz w:val="18"/>
                <w:szCs w:val="18"/>
              </w:rPr>
              <w:t xml:space="preserve">chedule </w:t>
            </w:r>
            <w:r w:rsidR="008A7861">
              <w:rPr>
                <w:sz w:val="18"/>
                <w:szCs w:val="18"/>
              </w:rPr>
              <w:t xml:space="preserve">(MBS) </w:t>
            </w:r>
            <w:r>
              <w:rPr>
                <w:sz w:val="18"/>
                <w:szCs w:val="18"/>
              </w:rPr>
              <w:t>would be updated</w:t>
            </w:r>
            <w:r w:rsidR="00B145B0">
              <w:rPr>
                <w:sz w:val="18"/>
                <w:szCs w:val="18"/>
              </w:rPr>
              <w:t xml:space="preserve"> to </w:t>
            </w:r>
            <w:r>
              <w:rPr>
                <w:sz w:val="18"/>
                <w:szCs w:val="18"/>
              </w:rPr>
              <w:t xml:space="preserve">use </w:t>
            </w:r>
            <w:r w:rsidR="00B145B0">
              <w:rPr>
                <w:sz w:val="18"/>
                <w:szCs w:val="18"/>
              </w:rPr>
              <w:t xml:space="preserve">more </w:t>
            </w:r>
            <w:r>
              <w:rPr>
                <w:sz w:val="18"/>
                <w:szCs w:val="18"/>
              </w:rPr>
              <w:t xml:space="preserve">current </w:t>
            </w:r>
            <w:r w:rsidR="00B145B0">
              <w:rPr>
                <w:sz w:val="18"/>
                <w:szCs w:val="18"/>
              </w:rPr>
              <w:t>medical terms. T</w:t>
            </w:r>
            <w:r>
              <w:rPr>
                <w:sz w:val="18"/>
                <w:szCs w:val="18"/>
              </w:rPr>
              <w:t>he t</w:t>
            </w:r>
            <w:r w:rsidR="00B145B0">
              <w:rPr>
                <w:sz w:val="18"/>
                <w:szCs w:val="18"/>
              </w:rPr>
              <w:t xml:space="preserve">est </w:t>
            </w:r>
            <w:r>
              <w:rPr>
                <w:sz w:val="18"/>
                <w:szCs w:val="18"/>
              </w:rPr>
              <w:t xml:space="preserve">would only </w:t>
            </w:r>
            <w:r w:rsidR="00B145B0">
              <w:rPr>
                <w:sz w:val="18"/>
                <w:szCs w:val="18"/>
              </w:rPr>
              <w:t xml:space="preserve">be used in appropriate </w:t>
            </w:r>
            <w:r>
              <w:rPr>
                <w:sz w:val="18"/>
                <w:szCs w:val="18"/>
              </w:rPr>
              <w:t xml:space="preserve">medical </w:t>
            </w:r>
            <w:r w:rsidR="00B145B0">
              <w:rPr>
                <w:sz w:val="18"/>
                <w:szCs w:val="18"/>
              </w:rPr>
              <w:t>situations</w:t>
            </w:r>
            <w:r w:rsidR="00E5655B">
              <w:rPr>
                <w:sz w:val="18"/>
                <w:szCs w:val="18"/>
              </w:rPr>
              <w:t>.</w:t>
            </w:r>
          </w:p>
        </w:tc>
        <w:tc>
          <w:tcPr>
            <w:tcW w:w="3661" w:type="dxa"/>
          </w:tcPr>
          <w:p w14:paraId="7B8E59EB" w14:textId="6B523DAA" w:rsidR="00B145B0" w:rsidRPr="00505D08" w:rsidRDefault="008A7861" w:rsidP="008A7861">
            <w:pPr>
              <w:spacing w:before="40" w:after="40" w:line="240" w:lineRule="auto"/>
              <w:rPr>
                <w:rFonts w:cs="Arial"/>
                <w:b/>
                <w:sz w:val="18"/>
                <w:szCs w:val="18"/>
                <w:lang w:val="en-US" w:eastAsia="en-US"/>
              </w:rPr>
            </w:pPr>
            <w:r>
              <w:rPr>
                <w:rFonts w:cs="Arial"/>
                <w:sz w:val="18"/>
                <w:szCs w:val="18"/>
              </w:rPr>
              <w:t xml:space="preserve">To update </w:t>
            </w:r>
            <w:r w:rsidR="00AE1B3A">
              <w:rPr>
                <w:rFonts w:cs="Arial"/>
                <w:sz w:val="18"/>
                <w:szCs w:val="18"/>
              </w:rPr>
              <w:t>the MBS</w:t>
            </w:r>
            <w:r>
              <w:rPr>
                <w:rFonts w:cs="Arial"/>
                <w:sz w:val="18"/>
                <w:szCs w:val="18"/>
              </w:rPr>
              <w:t xml:space="preserve"> and make it current</w:t>
            </w:r>
            <w:r w:rsidR="00E5655B">
              <w:rPr>
                <w:rFonts w:cs="Arial"/>
                <w:sz w:val="18"/>
                <w:szCs w:val="18"/>
              </w:rPr>
              <w:t>.</w:t>
            </w:r>
          </w:p>
        </w:tc>
      </w:tr>
    </w:tbl>
    <w:p w14:paraId="219ADF92" w14:textId="56606A83" w:rsidR="0076706F" w:rsidRDefault="0076706F" w:rsidP="0076706F">
      <w:pPr>
        <w:spacing w:before="40" w:after="40" w:line="240" w:lineRule="auto"/>
        <w:rPr>
          <w:b/>
        </w:rPr>
      </w:pPr>
    </w:p>
    <w:p w14:paraId="7117080D" w14:textId="23A8419F" w:rsidR="00040940" w:rsidRPr="00B27BE5" w:rsidRDefault="00040940" w:rsidP="00040940">
      <w:pPr>
        <w:pStyle w:val="Caption"/>
        <w:rPr>
          <w:b/>
        </w:rPr>
      </w:pPr>
      <w:r w:rsidRPr="00B27BE5">
        <w:rPr>
          <w:b/>
          <w:i w:val="0"/>
        </w:rPr>
        <w:t xml:space="preserve">Recommendation </w:t>
      </w:r>
      <w:r w:rsidR="007237B6">
        <w:rPr>
          <w:b/>
          <w:i w:val="0"/>
        </w:rPr>
        <w:t>9</w:t>
      </w:r>
      <w:r w:rsidRPr="00B27BE5">
        <w:rPr>
          <w:b/>
          <w:i w:val="0"/>
        </w:rPr>
        <w:t xml:space="preserve">: </w:t>
      </w:r>
      <w:r w:rsidR="00913160">
        <w:rPr>
          <w:b/>
          <w:i w:val="0"/>
        </w:rPr>
        <w:t>Quantitation of hormones and hormone-binding proteins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2"/>
        <w:gridCol w:w="2691"/>
        <w:gridCol w:w="2818"/>
        <w:gridCol w:w="3303"/>
        <w:gridCol w:w="3648"/>
      </w:tblGrid>
      <w:tr w:rsidR="00040940" w:rsidRPr="00ED7D2E" w14:paraId="164B5196" w14:textId="77777777" w:rsidTr="009A721A">
        <w:trPr>
          <w:cantSplit/>
          <w:tblHeader/>
        </w:trPr>
        <w:tc>
          <w:tcPr>
            <w:tcW w:w="1668" w:type="dxa"/>
          </w:tcPr>
          <w:p w14:paraId="1B9CD648"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6AD54FD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826" w:type="dxa"/>
          </w:tcPr>
          <w:p w14:paraId="1465A49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317" w:type="dxa"/>
          </w:tcPr>
          <w:p w14:paraId="1A68A78D"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3BF08C83"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040940" w:rsidRPr="00ED7D2E" w14:paraId="240B65F1" w14:textId="77777777" w:rsidTr="009A721A">
        <w:trPr>
          <w:cantSplit/>
        </w:trPr>
        <w:tc>
          <w:tcPr>
            <w:tcW w:w="1668" w:type="dxa"/>
          </w:tcPr>
          <w:p w14:paraId="6285B2B8" w14:textId="3FE03591" w:rsidR="00040940" w:rsidRPr="00505D08" w:rsidRDefault="00725EF0" w:rsidP="00040940">
            <w:pPr>
              <w:spacing w:before="40" w:after="40" w:line="240" w:lineRule="auto"/>
              <w:rPr>
                <w:rFonts w:cs="Arial"/>
                <w:b/>
                <w:sz w:val="18"/>
                <w:szCs w:val="18"/>
                <w:lang w:val="en-US" w:eastAsia="en-US"/>
              </w:rPr>
            </w:pPr>
            <w:r w:rsidRPr="00725EF0">
              <w:rPr>
                <w:rFonts w:cs="Arial"/>
                <w:b/>
                <w:sz w:val="18"/>
                <w:szCs w:val="18"/>
                <w:lang w:val="en-US" w:eastAsia="en-US"/>
              </w:rPr>
              <w:t>66695</w:t>
            </w:r>
            <w:r w:rsidR="00143A60">
              <w:rPr>
                <w:rFonts w:cs="Arial"/>
                <w:b/>
                <w:sz w:val="18"/>
                <w:szCs w:val="18"/>
                <w:lang w:val="en-US" w:eastAsia="en-US"/>
              </w:rPr>
              <w:t>–</w:t>
            </w:r>
            <w:r w:rsidRPr="00725EF0">
              <w:rPr>
                <w:rFonts w:cs="Arial"/>
                <w:b/>
                <w:sz w:val="18"/>
                <w:szCs w:val="18"/>
                <w:lang w:val="en-US" w:eastAsia="en-US"/>
              </w:rPr>
              <w:t>66698, 66701, 66704, 66707</w:t>
            </w:r>
          </w:p>
        </w:tc>
        <w:tc>
          <w:tcPr>
            <w:tcW w:w="2702" w:type="dxa"/>
          </w:tcPr>
          <w:p w14:paraId="3402B4ED" w14:textId="77777777" w:rsidR="00040940" w:rsidRDefault="00725EF0" w:rsidP="00040940">
            <w:pPr>
              <w:spacing w:before="40" w:after="40" w:line="240" w:lineRule="auto"/>
              <w:rPr>
                <w:rFonts w:cs="Arial"/>
                <w:sz w:val="18"/>
                <w:szCs w:val="18"/>
              </w:rPr>
            </w:pPr>
            <w:r>
              <w:rPr>
                <w:rFonts w:cs="Arial"/>
                <w:sz w:val="18"/>
                <w:szCs w:val="18"/>
              </w:rPr>
              <w:t>Measures the levels of various hormones (which regulate body functions) and the proteins that regulate their action</w:t>
            </w:r>
            <w:r w:rsidR="00257F6B">
              <w:rPr>
                <w:rFonts w:cs="Arial"/>
                <w:sz w:val="18"/>
                <w:szCs w:val="18"/>
              </w:rPr>
              <w:t>.</w:t>
            </w:r>
          </w:p>
          <w:p w14:paraId="3E2624C5" w14:textId="20673FAE" w:rsidR="003A6D31" w:rsidRPr="00505D08" w:rsidRDefault="003A6D31" w:rsidP="00040940">
            <w:pPr>
              <w:spacing w:before="40" w:after="40" w:line="240" w:lineRule="auto"/>
              <w:rPr>
                <w:rFonts w:cs="Arial"/>
                <w:sz w:val="18"/>
                <w:szCs w:val="18"/>
              </w:rPr>
            </w:pPr>
          </w:p>
        </w:tc>
        <w:tc>
          <w:tcPr>
            <w:tcW w:w="2826" w:type="dxa"/>
          </w:tcPr>
          <w:p w14:paraId="585D70EE" w14:textId="1B39D7ED" w:rsidR="00040940" w:rsidRPr="009A721A" w:rsidRDefault="00257F6B" w:rsidP="00040940">
            <w:pPr>
              <w:spacing w:before="40" w:after="40" w:line="240" w:lineRule="auto"/>
              <w:rPr>
                <w:rFonts w:cs="Arial"/>
                <w:sz w:val="18"/>
                <w:szCs w:val="18"/>
              </w:rPr>
            </w:pPr>
            <w:r w:rsidRPr="009A721A">
              <w:rPr>
                <w:rFonts w:cs="Arial"/>
                <w:sz w:val="18"/>
                <w:szCs w:val="18"/>
              </w:rPr>
              <w:t>To review these items at a later stage. No recommendations at this time.</w:t>
            </w:r>
          </w:p>
        </w:tc>
        <w:tc>
          <w:tcPr>
            <w:tcW w:w="3317" w:type="dxa"/>
          </w:tcPr>
          <w:p w14:paraId="13C252B9" w14:textId="66800C47" w:rsidR="00040940" w:rsidRPr="009A721A" w:rsidRDefault="00143A60" w:rsidP="00040940">
            <w:pPr>
              <w:spacing w:before="40" w:after="40" w:line="240" w:lineRule="auto"/>
              <w:ind w:left="57" w:right="57"/>
              <w:rPr>
                <w:rFonts w:cs="Arial"/>
                <w:sz w:val="18"/>
                <w:szCs w:val="18"/>
              </w:rPr>
            </w:pPr>
            <w:r>
              <w:rPr>
                <w:rFonts w:cs="Arial"/>
                <w:sz w:val="18"/>
                <w:szCs w:val="18"/>
              </w:rPr>
              <w:t>No difference at this stage.</w:t>
            </w:r>
          </w:p>
        </w:tc>
        <w:tc>
          <w:tcPr>
            <w:tcW w:w="3661" w:type="dxa"/>
          </w:tcPr>
          <w:p w14:paraId="20EC4B24" w14:textId="799E8CD9" w:rsidR="00040940" w:rsidRPr="009A721A" w:rsidRDefault="00143A60" w:rsidP="00040940">
            <w:pPr>
              <w:spacing w:before="40" w:after="40" w:line="240" w:lineRule="auto"/>
              <w:rPr>
                <w:rFonts w:cs="Arial"/>
                <w:sz w:val="18"/>
                <w:szCs w:val="18"/>
              </w:rPr>
            </w:pPr>
            <w:r w:rsidRPr="00B27BE5">
              <w:rPr>
                <w:rFonts w:cs="Arial"/>
                <w:sz w:val="18"/>
                <w:szCs w:val="18"/>
              </w:rPr>
              <w:t>No recommendations made at this time.</w:t>
            </w:r>
          </w:p>
        </w:tc>
      </w:tr>
    </w:tbl>
    <w:p w14:paraId="64529B6D" w14:textId="77777777" w:rsidR="00040940" w:rsidRDefault="00040940" w:rsidP="00040940">
      <w:pPr>
        <w:spacing w:before="40" w:after="40" w:line="240" w:lineRule="auto"/>
        <w:rPr>
          <w:b/>
        </w:rPr>
      </w:pPr>
    </w:p>
    <w:p w14:paraId="1CD22CBE" w14:textId="336E07D4" w:rsidR="00040940" w:rsidRPr="00B27BE5" w:rsidRDefault="00040940" w:rsidP="00040940">
      <w:pPr>
        <w:pStyle w:val="Caption"/>
        <w:rPr>
          <w:b/>
        </w:rPr>
      </w:pPr>
      <w:r w:rsidRPr="00B27BE5">
        <w:rPr>
          <w:b/>
          <w:i w:val="0"/>
        </w:rPr>
        <w:t xml:space="preserve">Recommendation </w:t>
      </w:r>
      <w:r w:rsidR="007237B6">
        <w:rPr>
          <w:b/>
          <w:i w:val="0"/>
        </w:rPr>
        <w:t>10</w:t>
      </w:r>
      <w:r w:rsidRPr="00B27BE5">
        <w:rPr>
          <w:b/>
          <w:i w:val="0"/>
        </w:rPr>
        <w:t xml:space="preserve">: </w:t>
      </w:r>
      <w:r w:rsidR="004A7E00">
        <w:rPr>
          <w:b/>
          <w:i w:val="0"/>
        </w:rPr>
        <w:t>Thyroid antibodies to tissue antigens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2"/>
        <w:gridCol w:w="2691"/>
        <w:gridCol w:w="2677"/>
        <w:gridCol w:w="3444"/>
        <w:gridCol w:w="3648"/>
      </w:tblGrid>
      <w:tr w:rsidR="00040940" w:rsidRPr="00ED7D2E" w14:paraId="198795EB" w14:textId="77777777" w:rsidTr="009A721A">
        <w:trPr>
          <w:cantSplit/>
          <w:tblHeader/>
        </w:trPr>
        <w:tc>
          <w:tcPr>
            <w:tcW w:w="1668" w:type="dxa"/>
          </w:tcPr>
          <w:p w14:paraId="460B3696"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3739EFD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684" w:type="dxa"/>
          </w:tcPr>
          <w:p w14:paraId="44B39CD2"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459" w:type="dxa"/>
          </w:tcPr>
          <w:p w14:paraId="3993EC39"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7ADA0891"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FE3BE9" w:rsidRPr="00ED7D2E" w14:paraId="1529B496" w14:textId="77777777" w:rsidTr="009A721A">
        <w:trPr>
          <w:cantSplit/>
        </w:trPr>
        <w:tc>
          <w:tcPr>
            <w:tcW w:w="1668" w:type="dxa"/>
          </w:tcPr>
          <w:p w14:paraId="018F19F0" w14:textId="561B77DD" w:rsidR="00FE3BE9" w:rsidRPr="00143A60" w:rsidRDefault="00FE3BE9" w:rsidP="00FE3BE9">
            <w:pPr>
              <w:spacing w:before="40" w:after="40" w:line="240" w:lineRule="auto"/>
              <w:rPr>
                <w:rFonts w:cs="Arial"/>
                <w:b/>
                <w:sz w:val="18"/>
                <w:szCs w:val="18"/>
                <w:lang w:val="en-US" w:eastAsia="en-US"/>
              </w:rPr>
            </w:pPr>
            <w:r w:rsidRPr="009A721A">
              <w:rPr>
                <w:rFonts w:cs="Arial"/>
                <w:b/>
                <w:sz w:val="18"/>
                <w:szCs w:val="18"/>
                <w:lang w:val="en-US" w:eastAsia="en-US"/>
              </w:rPr>
              <w:t>71165–71170</w:t>
            </w:r>
          </w:p>
        </w:tc>
        <w:tc>
          <w:tcPr>
            <w:tcW w:w="2702" w:type="dxa"/>
          </w:tcPr>
          <w:p w14:paraId="69E2BD30" w14:textId="68622890" w:rsidR="00FE3BE9" w:rsidRPr="00505D08" w:rsidRDefault="00FE3BE9" w:rsidP="00FE3BE9">
            <w:pPr>
              <w:spacing w:before="40" w:after="40" w:line="240" w:lineRule="auto"/>
              <w:rPr>
                <w:rFonts w:cs="Arial"/>
                <w:sz w:val="18"/>
                <w:szCs w:val="18"/>
              </w:rPr>
            </w:pPr>
            <w:r>
              <w:rPr>
                <w:rFonts w:cs="Arial"/>
                <w:sz w:val="18"/>
                <w:szCs w:val="18"/>
              </w:rPr>
              <w:t>Identifies thyroid cancer or immune response against the thyroid gland</w:t>
            </w:r>
            <w:r w:rsidR="008A64FC">
              <w:rPr>
                <w:rFonts w:cs="Arial"/>
                <w:sz w:val="18"/>
                <w:szCs w:val="18"/>
              </w:rPr>
              <w:t>.</w:t>
            </w:r>
          </w:p>
        </w:tc>
        <w:tc>
          <w:tcPr>
            <w:tcW w:w="2684" w:type="dxa"/>
          </w:tcPr>
          <w:p w14:paraId="5FD241C2" w14:textId="77777777" w:rsidR="00FE3BE9" w:rsidRDefault="00FE3BE9" w:rsidP="00FE3BE9">
            <w:pPr>
              <w:spacing w:before="40" w:after="40" w:line="240" w:lineRule="auto"/>
              <w:rPr>
                <w:rFonts w:cs="Arial"/>
                <w:sz w:val="18"/>
                <w:szCs w:val="18"/>
              </w:rPr>
            </w:pPr>
            <w:r w:rsidRPr="00FE3BE9">
              <w:rPr>
                <w:rFonts w:cs="Arial"/>
                <w:sz w:val="18"/>
                <w:szCs w:val="18"/>
              </w:rPr>
              <w:t>Awaiting input from the Immunology Working Group</w:t>
            </w:r>
            <w:r>
              <w:rPr>
                <w:rFonts w:cs="Arial"/>
                <w:sz w:val="18"/>
                <w:szCs w:val="18"/>
              </w:rPr>
              <w:t xml:space="preserve">. </w:t>
            </w:r>
            <w:r w:rsidRPr="00B27BE5">
              <w:rPr>
                <w:rFonts w:cs="Arial"/>
                <w:sz w:val="18"/>
                <w:szCs w:val="18"/>
              </w:rPr>
              <w:t>No recommendations at this time.</w:t>
            </w:r>
          </w:p>
          <w:p w14:paraId="3A80D2B3" w14:textId="41CFE6B3" w:rsidR="003A6D31" w:rsidRPr="009A721A" w:rsidRDefault="003A6D31" w:rsidP="00FE3BE9">
            <w:pPr>
              <w:spacing w:before="40" w:after="40" w:line="240" w:lineRule="auto"/>
              <w:rPr>
                <w:rFonts w:cs="Arial"/>
                <w:sz w:val="18"/>
                <w:szCs w:val="18"/>
              </w:rPr>
            </w:pPr>
          </w:p>
        </w:tc>
        <w:tc>
          <w:tcPr>
            <w:tcW w:w="3459" w:type="dxa"/>
          </w:tcPr>
          <w:p w14:paraId="7B1FF06B" w14:textId="297F5A30" w:rsidR="00FE3BE9" w:rsidRPr="009A721A" w:rsidRDefault="00FE3BE9" w:rsidP="00FE3BE9">
            <w:pPr>
              <w:spacing w:before="40" w:after="40" w:line="240" w:lineRule="auto"/>
              <w:ind w:left="57" w:right="57"/>
              <w:rPr>
                <w:rFonts w:cs="Arial"/>
                <w:sz w:val="18"/>
                <w:szCs w:val="18"/>
              </w:rPr>
            </w:pPr>
            <w:r>
              <w:rPr>
                <w:rFonts w:cs="Arial"/>
                <w:sz w:val="18"/>
                <w:szCs w:val="18"/>
              </w:rPr>
              <w:t>No difference at this stage.</w:t>
            </w:r>
          </w:p>
        </w:tc>
        <w:tc>
          <w:tcPr>
            <w:tcW w:w="3661" w:type="dxa"/>
          </w:tcPr>
          <w:p w14:paraId="13573F72" w14:textId="3C86739C" w:rsidR="00FE3BE9" w:rsidRPr="009A721A" w:rsidRDefault="00FE3BE9" w:rsidP="00FE3BE9">
            <w:pPr>
              <w:spacing w:before="40" w:after="40" w:line="240" w:lineRule="auto"/>
              <w:rPr>
                <w:rFonts w:cs="Arial"/>
                <w:sz w:val="18"/>
                <w:szCs w:val="18"/>
              </w:rPr>
            </w:pPr>
            <w:r w:rsidRPr="00B27BE5">
              <w:rPr>
                <w:rFonts w:cs="Arial"/>
                <w:sz w:val="18"/>
                <w:szCs w:val="18"/>
              </w:rPr>
              <w:t>No recommendations made at this time.</w:t>
            </w:r>
          </w:p>
        </w:tc>
      </w:tr>
    </w:tbl>
    <w:p w14:paraId="7C018C7F" w14:textId="77777777" w:rsidR="00040940" w:rsidRDefault="00040940" w:rsidP="00040940">
      <w:pPr>
        <w:spacing w:before="40" w:after="40" w:line="240" w:lineRule="auto"/>
        <w:rPr>
          <w:b/>
        </w:rPr>
      </w:pPr>
    </w:p>
    <w:p w14:paraId="3AF77ED6" w14:textId="0A12A9A4" w:rsidR="00040940" w:rsidRPr="00B27BE5" w:rsidRDefault="00040940" w:rsidP="00040940">
      <w:pPr>
        <w:pStyle w:val="Caption"/>
        <w:rPr>
          <w:b/>
        </w:rPr>
      </w:pPr>
      <w:r w:rsidRPr="00B27BE5">
        <w:rPr>
          <w:b/>
          <w:i w:val="0"/>
        </w:rPr>
        <w:t xml:space="preserve">Recommendation </w:t>
      </w:r>
      <w:r>
        <w:rPr>
          <w:b/>
          <w:i w:val="0"/>
        </w:rPr>
        <w:t>1</w:t>
      </w:r>
      <w:r w:rsidR="007237B6">
        <w:rPr>
          <w:b/>
          <w:i w:val="0"/>
        </w:rPr>
        <w:t>1</w:t>
      </w:r>
      <w:r w:rsidRPr="00B27BE5">
        <w:rPr>
          <w:b/>
          <w:i w:val="0"/>
        </w:rPr>
        <w:t xml:space="preserve">: </w:t>
      </w:r>
      <w:r w:rsidR="009F4B18">
        <w:rPr>
          <w:b/>
          <w:i w:val="0"/>
        </w:rPr>
        <w:t>Quantitation of products of collagen breakdown or formation</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2"/>
        <w:gridCol w:w="2691"/>
        <w:gridCol w:w="2959"/>
        <w:gridCol w:w="3163"/>
        <w:gridCol w:w="3647"/>
      </w:tblGrid>
      <w:tr w:rsidR="00040940" w:rsidRPr="00ED7D2E" w14:paraId="50E901EA" w14:textId="77777777" w:rsidTr="009A721A">
        <w:trPr>
          <w:cantSplit/>
          <w:tblHeader/>
        </w:trPr>
        <w:tc>
          <w:tcPr>
            <w:tcW w:w="1668" w:type="dxa"/>
          </w:tcPr>
          <w:p w14:paraId="43C9B9A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2CE4E4D6"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968" w:type="dxa"/>
          </w:tcPr>
          <w:p w14:paraId="642BA80D"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175" w:type="dxa"/>
          </w:tcPr>
          <w:p w14:paraId="79DAF168"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5F6C1831"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040940" w:rsidRPr="00ED7D2E" w14:paraId="28DE4B4F" w14:textId="77777777" w:rsidTr="009A721A">
        <w:trPr>
          <w:cantSplit/>
        </w:trPr>
        <w:tc>
          <w:tcPr>
            <w:tcW w:w="1668" w:type="dxa"/>
          </w:tcPr>
          <w:p w14:paraId="15FB605A" w14:textId="725C9481" w:rsidR="00040940" w:rsidRPr="009A721A" w:rsidRDefault="009764CB" w:rsidP="00040940">
            <w:pPr>
              <w:spacing w:before="40" w:after="40" w:line="240" w:lineRule="auto"/>
              <w:rPr>
                <w:rFonts w:cs="Arial"/>
                <w:sz w:val="18"/>
                <w:szCs w:val="18"/>
              </w:rPr>
            </w:pPr>
            <w:r w:rsidRPr="009A721A">
              <w:rPr>
                <w:rFonts w:cs="Arial"/>
                <w:b/>
                <w:sz w:val="18"/>
                <w:szCs w:val="18"/>
                <w:lang w:val="en-US" w:eastAsia="en-US"/>
              </w:rPr>
              <w:t>66773, 66776</w:t>
            </w:r>
          </w:p>
        </w:tc>
        <w:tc>
          <w:tcPr>
            <w:tcW w:w="2702" w:type="dxa"/>
          </w:tcPr>
          <w:p w14:paraId="67AC1736" w14:textId="11D279B3" w:rsidR="00040940" w:rsidRPr="00505D08" w:rsidRDefault="009764CB" w:rsidP="00040940">
            <w:pPr>
              <w:spacing w:before="40" w:after="40" w:line="240" w:lineRule="auto"/>
              <w:rPr>
                <w:rFonts w:cs="Arial"/>
                <w:sz w:val="18"/>
                <w:szCs w:val="18"/>
              </w:rPr>
            </w:pPr>
            <w:r>
              <w:rPr>
                <w:rFonts w:cs="Arial"/>
                <w:sz w:val="18"/>
                <w:szCs w:val="18"/>
              </w:rPr>
              <w:t>Measures bone density in patients with bone diseases</w:t>
            </w:r>
            <w:r w:rsidR="008A64FC">
              <w:rPr>
                <w:rFonts w:cs="Arial"/>
                <w:sz w:val="18"/>
                <w:szCs w:val="18"/>
              </w:rPr>
              <w:t>.</w:t>
            </w:r>
          </w:p>
        </w:tc>
        <w:tc>
          <w:tcPr>
            <w:tcW w:w="2968" w:type="dxa"/>
          </w:tcPr>
          <w:p w14:paraId="50036D80" w14:textId="4334A8DC" w:rsidR="00040940" w:rsidRPr="009A721A" w:rsidRDefault="009764CB" w:rsidP="00040940">
            <w:pPr>
              <w:spacing w:before="40" w:after="40" w:line="240" w:lineRule="auto"/>
              <w:rPr>
                <w:rFonts w:cs="Arial"/>
                <w:sz w:val="18"/>
                <w:szCs w:val="18"/>
              </w:rPr>
            </w:pPr>
            <w:r>
              <w:rPr>
                <w:rFonts w:cs="Arial"/>
                <w:sz w:val="18"/>
                <w:szCs w:val="18"/>
              </w:rPr>
              <w:t>Leave these items unchanged.</w:t>
            </w:r>
          </w:p>
        </w:tc>
        <w:tc>
          <w:tcPr>
            <w:tcW w:w="3175" w:type="dxa"/>
          </w:tcPr>
          <w:p w14:paraId="2E8C9D25" w14:textId="6870B554" w:rsidR="00040940" w:rsidRPr="009A721A" w:rsidRDefault="009764CB" w:rsidP="00040940">
            <w:pPr>
              <w:spacing w:before="40" w:after="40" w:line="240" w:lineRule="auto"/>
              <w:ind w:left="57" w:right="57"/>
              <w:rPr>
                <w:rFonts w:cs="Arial"/>
                <w:sz w:val="18"/>
                <w:szCs w:val="18"/>
              </w:rPr>
            </w:pPr>
            <w:r>
              <w:rPr>
                <w:rFonts w:cs="Arial"/>
                <w:sz w:val="18"/>
                <w:szCs w:val="18"/>
              </w:rPr>
              <w:t>No difference</w:t>
            </w:r>
            <w:r w:rsidR="008A64FC">
              <w:rPr>
                <w:rFonts w:cs="Arial"/>
                <w:sz w:val="18"/>
                <w:szCs w:val="18"/>
              </w:rPr>
              <w:t>.</w:t>
            </w:r>
          </w:p>
        </w:tc>
        <w:tc>
          <w:tcPr>
            <w:tcW w:w="3661" w:type="dxa"/>
          </w:tcPr>
          <w:p w14:paraId="6D63E18D" w14:textId="77777777" w:rsidR="00040940" w:rsidRDefault="009764CB" w:rsidP="00040940">
            <w:pPr>
              <w:spacing w:before="40" w:after="40" w:line="240" w:lineRule="auto"/>
              <w:rPr>
                <w:rFonts w:cs="Arial"/>
                <w:sz w:val="18"/>
                <w:szCs w:val="18"/>
              </w:rPr>
            </w:pPr>
            <w:r>
              <w:rPr>
                <w:rFonts w:cs="Arial"/>
                <w:sz w:val="18"/>
                <w:szCs w:val="18"/>
              </w:rPr>
              <w:t>These items are recommended to be left unchanged.</w:t>
            </w:r>
          </w:p>
          <w:p w14:paraId="63755F85" w14:textId="2D81F369" w:rsidR="00FC3428" w:rsidRPr="009A721A" w:rsidRDefault="00FC3428" w:rsidP="00040940">
            <w:pPr>
              <w:spacing w:before="40" w:after="40" w:line="240" w:lineRule="auto"/>
              <w:rPr>
                <w:rFonts w:cs="Arial"/>
                <w:sz w:val="18"/>
                <w:szCs w:val="18"/>
              </w:rPr>
            </w:pPr>
          </w:p>
        </w:tc>
      </w:tr>
    </w:tbl>
    <w:p w14:paraId="72FBCEF1" w14:textId="77777777" w:rsidR="00040940" w:rsidRDefault="00040940" w:rsidP="00040940">
      <w:pPr>
        <w:spacing w:before="40" w:after="40" w:line="240" w:lineRule="auto"/>
        <w:rPr>
          <w:b/>
        </w:rPr>
      </w:pPr>
    </w:p>
    <w:p w14:paraId="01E4FAEF" w14:textId="57FA9FCA" w:rsidR="00040940" w:rsidRPr="00B27BE5" w:rsidRDefault="00040940" w:rsidP="00040940">
      <w:pPr>
        <w:pStyle w:val="Caption"/>
        <w:rPr>
          <w:b/>
        </w:rPr>
      </w:pPr>
      <w:r w:rsidRPr="00B27BE5">
        <w:rPr>
          <w:b/>
          <w:i w:val="0"/>
        </w:rPr>
        <w:t xml:space="preserve">Recommendation </w:t>
      </w:r>
      <w:r>
        <w:rPr>
          <w:b/>
          <w:i w:val="0"/>
        </w:rPr>
        <w:t>1</w:t>
      </w:r>
      <w:r w:rsidR="007237B6">
        <w:rPr>
          <w:b/>
          <w:i w:val="0"/>
        </w:rPr>
        <w:t>2</w:t>
      </w:r>
      <w:r w:rsidRPr="00B27BE5">
        <w:rPr>
          <w:b/>
          <w:i w:val="0"/>
        </w:rPr>
        <w:t xml:space="preserve">: </w:t>
      </w:r>
      <w:r w:rsidR="009F4B18">
        <w:rPr>
          <w:b/>
          <w:i w:val="0"/>
        </w:rPr>
        <w:t>Adrenaline and other tests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2"/>
        <w:gridCol w:w="2691"/>
        <w:gridCol w:w="2818"/>
        <w:gridCol w:w="3303"/>
        <w:gridCol w:w="3648"/>
      </w:tblGrid>
      <w:tr w:rsidR="00040940" w:rsidRPr="00ED7D2E" w14:paraId="467A5AE0" w14:textId="77777777" w:rsidTr="009A721A">
        <w:trPr>
          <w:cantSplit/>
          <w:tblHeader/>
        </w:trPr>
        <w:tc>
          <w:tcPr>
            <w:tcW w:w="1668" w:type="dxa"/>
          </w:tcPr>
          <w:p w14:paraId="487B479D"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3C7732FF"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826" w:type="dxa"/>
          </w:tcPr>
          <w:p w14:paraId="43EC2CC4"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317" w:type="dxa"/>
          </w:tcPr>
          <w:p w14:paraId="567E23A8"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402AD6A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747B2E" w:rsidRPr="00ED7D2E" w14:paraId="01CE2740" w14:textId="77777777" w:rsidTr="009A721A">
        <w:trPr>
          <w:cantSplit/>
        </w:trPr>
        <w:tc>
          <w:tcPr>
            <w:tcW w:w="1668" w:type="dxa"/>
          </w:tcPr>
          <w:p w14:paraId="5EFD2DC6" w14:textId="7E6A8E02" w:rsidR="00747B2E" w:rsidRPr="00505D08" w:rsidRDefault="00747B2E" w:rsidP="00747B2E">
            <w:pPr>
              <w:spacing w:before="40" w:after="40" w:line="240" w:lineRule="auto"/>
              <w:rPr>
                <w:rFonts w:cs="Arial"/>
                <w:b/>
                <w:sz w:val="18"/>
                <w:szCs w:val="18"/>
                <w:lang w:val="en-US" w:eastAsia="en-US"/>
              </w:rPr>
            </w:pPr>
            <w:r w:rsidRPr="00D57DBC">
              <w:rPr>
                <w:rFonts w:cs="Arial"/>
                <w:b/>
                <w:sz w:val="18"/>
                <w:szCs w:val="18"/>
                <w:lang w:val="en-US" w:eastAsia="en-US"/>
              </w:rPr>
              <w:t>66779, 66780</w:t>
            </w:r>
          </w:p>
        </w:tc>
        <w:tc>
          <w:tcPr>
            <w:tcW w:w="2702" w:type="dxa"/>
          </w:tcPr>
          <w:p w14:paraId="31D1DC13" w14:textId="02EFF429" w:rsidR="00747B2E" w:rsidRPr="00505D08" w:rsidRDefault="00747B2E" w:rsidP="00747B2E">
            <w:pPr>
              <w:spacing w:before="40" w:after="40" w:line="240" w:lineRule="auto"/>
              <w:rPr>
                <w:rFonts w:cs="Arial"/>
                <w:sz w:val="18"/>
                <w:szCs w:val="18"/>
              </w:rPr>
            </w:pPr>
            <w:r>
              <w:rPr>
                <w:rFonts w:cs="Arial"/>
                <w:sz w:val="18"/>
                <w:szCs w:val="18"/>
              </w:rPr>
              <w:t>Measures level of adrenal gland hormones.</w:t>
            </w:r>
          </w:p>
        </w:tc>
        <w:tc>
          <w:tcPr>
            <w:tcW w:w="2826" w:type="dxa"/>
          </w:tcPr>
          <w:p w14:paraId="11F8D9FD" w14:textId="77777777" w:rsidR="00747B2E" w:rsidRDefault="00747B2E" w:rsidP="00747B2E">
            <w:pPr>
              <w:spacing w:before="40" w:after="40" w:line="240" w:lineRule="auto"/>
              <w:rPr>
                <w:rFonts w:cs="Arial"/>
                <w:sz w:val="18"/>
                <w:szCs w:val="18"/>
              </w:rPr>
            </w:pPr>
            <w:r w:rsidRPr="00747B2E">
              <w:rPr>
                <w:rFonts w:cs="Arial"/>
                <w:sz w:val="18"/>
                <w:szCs w:val="18"/>
              </w:rPr>
              <w:t>Requires review by the Committee</w:t>
            </w:r>
            <w:r>
              <w:rPr>
                <w:rFonts w:cs="Arial"/>
                <w:sz w:val="18"/>
                <w:szCs w:val="18"/>
              </w:rPr>
              <w:t xml:space="preserve">. </w:t>
            </w:r>
            <w:r w:rsidRPr="00B27BE5">
              <w:rPr>
                <w:rFonts w:cs="Arial"/>
                <w:sz w:val="18"/>
                <w:szCs w:val="18"/>
              </w:rPr>
              <w:t>No recommendations at this time.</w:t>
            </w:r>
          </w:p>
          <w:p w14:paraId="5AF481E5" w14:textId="096C11F0" w:rsidR="00FC3428" w:rsidRPr="009A721A" w:rsidRDefault="00FC3428" w:rsidP="00747B2E">
            <w:pPr>
              <w:spacing w:before="40" w:after="40" w:line="240" w:lineRule="auto"/>
              <w:rPr>
                <w:rFonts w:cs="Arial"/>
                <w:sz w:val="18"/>
                <w:szCs w:val="18"/>
              </w:rPr>
            </w:pPr>
          </w:p>
        </w:tc>
        <w:tc>
          <w:tcPr>
            <w:tcW w:w="3317" w:type="dxa"/>
          </w:tcPr>
          <w:p w14:paraId="7128027C" w14:textId="6229FFAE" w:rsidR="00747B2E" w:rsidRPr="009A721A" w:rsidRDefault="00747B2E" w:rsidP="009A721A">
            <w:pPr>
              <w:spacing w:before="40" w:after="40" w:line="240" w:lineRule="auto"/>
              <w:ind w:left="57" w:right="57" w:firstLine="398"/>
              <w:rPr>
                <w:rFonts w:cs="Arial"/>
                <w:sz w:val="18"/>
                <w:szCs w:val="18"/>
              </w:rPr>
            </w:pPr>
            <w:r>
              <w:rPr>
                <w:rFonts w:cs="Arial"/>
                <w:sz w:val="18"/>
                <w:szCs w:val="18"/>
              </w:rPr>
              <w:t>No difference at this stage.</w:t>
            </w:r>
          </w:p>
        </w:tc>
        <w:tc>
          <w:tcPr>
            <w:tcW w:w="3661" w:type="dxa"/>
          </w:tcPr>
          <w:p w14:paraId="26F43626" w14:textId="0042B2BF" w:rsidR="00747B2E" w:rsidRPr="009A721A" w:rsidRDefault="00747B2E" w:rsidP="00747B2E">
            <w:pPr>
              <w:spacing w:before="40" w:after="40" w:line="240" w:lineRule="auto"/>
              <w:rPr>
                <w:rFonts w:cs="Arial"/>
                <w:sz w:val="18"/>
                <w:szCs w:val="18"/>
              </w:rPr>
            </w:pPr>
            <w:r w:rsidRPr="00B27BE5">
              <w:rPr>
                <w:rFonts w:cs="Arial"/>
                <w:sz w:val="18"/>
                <w:szCs w:val="18"/>
              </w:rPr>
              <w:t>No recommendations made at this time.</w:t>
            </w:r>
          </w:p>
        </w:tc>
      </w:tr>
    </w:tbl>
    <w:p w14:paraId="5CC474C0" w14:textId="77777777" w:rsidR="00040940" w:rsidRDefault="00040940" w:rsidP="00040940">
      <w:pPr>
        <w:spacing w:before="40" w:after="40" w:line="240" w:lineRule="auto"/>
        <w:rPr>
          <w:b/>
        </w:rPr>
      </w:pPr>
    </w:p>
    <w:p w14:paraId="52A22566" w14:textId="1C80CDFB" w:rsidR="00040940" w:rsidRPr="00B27BE5" w:rsidRDefault="00040940" w:rsidP="00040940">
      <w:pPr>
        <w:pStyle w:val="Caption"/>
        <w:rPr>
          <w:b/>
        </w:rPr>
      </w:pPr>
      <w:r w:rsidRPr="00B27BE5">
        <w:rPr>
          <w:b/>
          <w:i w:val="0"/>
        </w:rPr>
        <w:t xml:space="preserve">Recommendation </w:t>
      </w:r>
      <w:r>
        <w:rPr>
          <w:b/>
          <w:i w:val="0"/>
        </w:rPr>
        <w:t>1</w:t>
      </w:r>
      <w:r w:rsidR="007237B6">
        <w:rPr>
          <w:b/>
          <w:i w:val="0"/>
        </w:rPr>
        <w:t>3</w:t>
      </w:r>
      <w:r w:rsidRPr="00B27BE5">
        <w:rPr>
          <w:b/>
          <w:i w:val="0"/>
        </w:rPr>
        <w:t xml:space="preserve">: </w:t>
      </w:r>
      <w:r w:rsidR="009F4B18">
        <w:rPr>
          <w:b/>
          <w:i w:val="0"/>
        </w:rPr>
        <w:t>1,</w:t>
      </w:r>
      <w:r w:rsidR="00F008DA">
        <w:rPr>
          <w:b/>
          <w:i w:val="0"/>
        </w:rPr>
        <w:t xml:space="preserve"> </w:t>
      </w:r>
      <w:r w:rsidR="009F4B18">
        <w:rPr>
          <w:b/>
          <w:i w:val="0"/>
        </w:rPr>
        <w:t>25-</w:t>
      </w:r>
      <w:r w:rsidR="00F008DA">
        <w:rPr>
          <w:b/>
          <w:i w:val="0"/>
        </w:rPr>
        <w:t>dihydroxivitamin D quantification</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818"/>
        <w:gridCol w:w="3304"/>
        <w:gridCol w:w="3645"/>
      </w:tblGrid>
      <w:tr w:rsidR="00040940" w:rsidRPr="00ED7D2E" w14:paraId="373DBADD" w14:textId="77777777" w:rsidTr="009A721A">
        <w:trPr>
          <w:cantSplit/>
          <w:tblHeader/>
        </w:trPr>
        <w:tc>
          <w:tcPr>
            <w:tcW w:w="1668" w:type="dxa"/>
          </w:tcPr>
          <w:p w14:paraId="31818B34"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51C618DD"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826" w:type="dxa"/>
          </w:tcPr>
          <w:p w14:paraId="37B4C15C"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317" w:type="dxa"/>
          </w:tcPr>
          <w:p w14:paraId="2C6AAF8E"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13DD98DB" w14:textId="77777777" w:rsidR="00040940" w:rsidRPr="00505D08" w:rsidRDefault="00040940" w:rsidP="00040940">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040940" w:rsidRPr="00ED7D2E" w14:paraId="2E374879" w14:textId="77777777" w:rsidTr="009A721A">
        <w:trPr>
          <w:cantSplit/>
        </w:trPr>
        <w:tc>
          <w:tcPr>
            <w:tcW w:w="1668" w:type="dxa"/>
          </w:tcPr>
          <w:p w14:paraId="563677B1" w14:textId="72854C68" w:rsidR="00040940" w:rsidRPr="00505D08" w:rsidRDefault="00E805F3" w:rsidP="00040940">
            <w:pPr>
              <w:spacing w:before="40" w:after="40" w:line="240" w:lineRule="auto"/>
              <w:rPr>
                <w:rFonts w:cs="Arial"/>
                <w:b/>
                <w:sz w:val="18"/>
                <w:szCs w:val="18"/>
                <w:lang w:val="en-US" w:eastAsia="en-US"/>
              </w:rPr>
            </w:pPr>
            <w:r w:rsidRPr="00E805F3">
              <w:rPr>
                <w:rFonts w:cs="Arial"/>
                <w:b/>
                <w:sz w:val="18"/>
                <w:szCs w:val="18"/>
                <w:lang w:val="en-US" w:eastAsia="en-US"/>
              </w:rPr>
              <w:t>66835, 66836, 66837</w:t>
            </w:r>
          </w:p>
        </w:tc>
        <w:tc>
          <w:tcPr>
            <w:tcW w:w="2702" w:type="dxa"/>
          </w:tcPr>
          <w:p w14:paraId="029A9F1D" w14:textId="53D21EB4" w:rsidR="00040940" w:rsidRPr="00505D08" w:rsidRDefault="00E805F3" w:rsidP="00040940">
            <w:pPr>
              <w:spacing w:before="40" w:after="40" w:line="240" w:lineRule="auto"/>
              <w:rPr>
                <w:rFonts w:cs="Arial"/>
                <w:sz w:val="18"/>
                <w:szCs w:val="18"/>
              </w:rPr>
            </w:pPr>
            <w:r>
              <w:rPr>
                <w:rFonts w:cs="Arial"/>
                <w:sz w:val="18"/>
                <w:szCs w:val="18"/>
              </w:rPr>
              <w:t>Measures the amount of vitamin D in the blood</w:t>
            </w:r>
            <w:r w:rsidR="008A64FC">
              <w:rPr>
                <w:rFonts w:cs="Arial"/>
                <w:sz w:val="18"/>
                <w:szCs w:val="18"/>
              </w:rPr>
              <w:t>.</w:t>
            </w:r>
          </w:p>
        </w:tc>
        <w:tc>
          <w:tcPr>
            <w:tcW w:w="2826" w:type="dxa"/>
          </w:tcPr>
          <w:p w14:paraId="00D6DEE6" w14:textId="0ACE507B" w:rsidR="00040940" w:rsidRPr="009A721A" w:rsidRDefault="00E805F3" w:rsidP="00040940">
            <w:pPr>
              <w:spacing w:before="40" w:after="40" w:line="240" w:lineRule="auto"/>
              <w:rPr>
                <w:rFonts w:cs="Arial"/>
                <w:sz w:val="18"/>
                <w:szCs w:val="18"/>
                <w:lang w:val="en-US" w:eastAsia="en-US"/>
              </w:rPr>
            </w:pPr>
            <w:r w:rsidRPr="009A721A">
              <w:rPr>
                <w:rFonts w:cs="Arial"/>
                <w:sz w:val="18"/>
                <w:szCs w:val="18"/>
                <w:lang w:val="en-US" w:eastAsia="en-US"/>
              </w:rPr>
              <w:t>Leave these items unchanged</w:t>
            </w:r>
            <w:r w:rsidR="008A64FC">
              <w:rPr>
                <w:rFonts w:cs="Arial"/>
                <w:sz w:val="18"/>
                <w:szCs w:val="18"/>
                <w:lang w:val="en-US" w:eastAsia="en-US"/>
              </w:rPr>
              <w:t>.</w:t>
            </w:r>
          </w:p>
        </w:tc>
        <w:tc>
          <w:tcPr>
            <w:tcW w:w="3317" w:type="dxa"/>
          </w:tcPr>
          <w:p w14:paraId="4E31DC59" w14:textId="0CB61B27" w:rsidR="00040940" w:rsidRPr="009A721A" w:rsidRDefault="00E805F3" w:rsidP="009A721A">
            <w:pPr>
              <w:spacing w:before="40" w:after="40" w:line="240" w:lineRule="auto"/>
              <w:ind w:left="57" w:right="57" w:firstLine="398"/>
              <w:rPr>
                <w:rFonts w:cs="Arial"/>
                <w:sz w:val="18"/>
                <w:szCs w:val="18"/>
                <w:lang w:val="en-US" w:eastAsia="en-US"/>
              </w:rPr>
            </w:pPr>
            <w:r w:rsidRPr="009A721A">
              <w:rPr>
                <w:rFonts w:cs="Arial"/>
                <w:sz w:val="18"/>
                <w:szCs w:val="18"/>
                <w:lang w:val="en-US" w:eastAsia="en-US"/>
              </w:rPr>
              <w:t>No difference</w:t>
            </w:r>
            <w:r w:rsidR="0024332A">
              <w:rPr>
                <w:rFonts w:cs="Arial"/>
                <w:sz w:val="18"/>
                <w:szCs w:val="18"/>
                <w:lang w:val="en-US" w:eastAsia="en-US"/>
              </w:rPr>
              <w:t>.</w:t>
            </w:r>
          </w:p>
        </w:tc>
        <w:tc>
          <w:tcPr>
            <w:tcW w:w="3661" w:type="dxa"/>
          </w:tcPr>
          <w:p w14:paraId="21DCC5FE" w14:textId="77777777" w:rsidR="00040940" w:rsidRDefault="00E805F3" w:rsidP="00040940">
            <w:pPr>
              <w:spacing w:before="40" w:after="40" w:line="240" w:lineRule="auto"/>
              <w:rPr>
                <w:rFonts w:cs="Arial"/>
                <w:sz w:val="18"/>
                <w:szCs w:val="18"/>
                <w:lang w:val="en-US" w:eastAsia="en-US"/>
              </w:rPr>
            </w:pPr>
            <w:r w:rsidRPr="009A721A">
              <w:rPr>
                <w:rFonts w:cs="Arial"/>
                <w:sz w:val="18"/>
                <w:szCs w:val="18"/>
                <w:lang w:val="en-US" w:eastAsia="en-US"/>
              </w:rPr>
              <w:t>These items were recently reviewed and changed within the MBS Schedule; they do not require further revision at this stage.</w:t>
            </w:r>
          </w:p>
          <w:p w14:paraId="69DF150B" w14:textId="39EF0698" w:rsidR="00FC3428" w:rsidRPr="009A721A" w:rsidRDefault="00FC3428" w:rsidP="00040940">
            <w:pPr>
              <w:spacing w:before="40" w:after="40" w:line="240" w:lineRule="auto"/>
              <w:rPr>
                <w:rFonts w:cs="Arial"/>
                <w:sz w:val="18"/>
                <w:szCs w:val="18"/>
                <w:lang w:val="en-US" w:eastAsia="en-US"/>
              </w:rPr>
            </w:pPr>
          </w:p>
        </w:tc>
      </w:tr>
    </w:tbl>
    <w:p w14:paraId="19E41F01" w14:textId="77777777" w:rsidR="00040940" w:rsidRDefault="00040940" w:rsidP="00040940">
      <w:pPr>
        <w:spacing w:before="40" w:after="40" w:line="240" w:lineRule="auto"/>
        <w:rPr>
          <w:b/>
        </w:rPr>
      </w:pPr>
    </w:p>
    <w:p w14:paraId="7250A69B" w14:textId="3969424E" w:rsidR="0085593C" w:rsidRPr="00B27BE5" w:rsidRDefault="0085593C" w:rsidP="0085593C">
      <w:pPr>
        <w:pStyle w:val="Caption"/>
        <w:rPr>
          <w:b/>
        </w:rPr>
      </w:pPr>
      <w:r w:rsidRPr="00B27BE5">
        <w:rPr>
          <w:b/>
          <w:i w:val="0"/>
        </w:rPr>
        <w:t xml:space="preserve">Recommendation </w:t>
      </w:r>
      <w:r>
        <w:rPr>
          <w:b/>
          <w:i w:val="0"/>
        </w:rPr>
        <w:t>1</w:t>
      </w:r>
      <w:r w:rsidR="005975C1">
        <w:rPr>
          <w:b/>
          <w:i w:val="0"/>
        </w:rPr>
        <w:t>4</w:t>
      </w:r>
      <w:r w:rsidRPr="00B27BE5">
        <w:rPr>
          <w:b/>
          <w:i w:val="0"/>
        </w:rPr>
        <w:t xml:space="preserve">: </w:t>
      </w:r>
      <w:r w:rsidR="005975C1">
        <w:rPr>
          <w:b/>
          <w:i w:val="0"/>
        </w:rPr>
        <w:t>Hormones and other tests</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1"/>
        <w:gridCol w:w="2692"/>
        <w:gridCol w:w="2818"/>
        <w:gridCol w:w="3304"/>
        <w:gridCol w:w="3647"/>
      </w:tblGrid>
      <w:tr w:rsidR="0085593C" w:rsidRPr="00ED7D2E" w14:paraId="02AF616B" w14:textId="77777777" w:rsidTr="009A721A">
        <w:trPr>
          <w:cantSplit/>
          <w:tblHeader/>
        </w:trPr>
        <w:tc>
          <w:tcPr>
            <w:tcW w:w="1668" w:type="dxa"/>
          </w:tcPr>
          <w:p w14:paraId="1B1485BE" w14:textId="77777777" w:rsidR="0085593C" w:rsidRPr="00505D08" w:rsidRDefault="0085593C"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7D5B8031" w14:textId="77777777" w:rsidR="0085593C" w:rsidRPr="00505D08" w:rsidRDefault="0085593C"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826" w:type="dxa"/>
          </w:tcPr>
          <w:p w14:paraId="3A51E484" w14:textId="77777777" w:rsidR="0085593C" w:rsidRPr="00505D08" w:rsidRDefault="0085593C"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317" w:type="dxa"/>
          </w:tcPr>
          <w:p w14:paraId="72B87A96" w14:textId="77777777" w:rsidR="0085593C" w:rsidRPr="00505D08" w:rsidRDefault="0085593C"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2A43B625" w14:textId="77777777" w:rsidR="0085593C" w:rsidRPr="00505D08" w:rsidRDefault="0085593C" w:rsidP="007F345C">
            <w:pPr>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24332A" w:rsidRPr="00ED7D2E" w14:paraId="41EA42B6" w14:textId="77777777" w:rsidTr="009A721A">
        <w:trPr>
          <w:cantSplit/>
        </w:trPr>
        <w:tc>
          <w:tcPr>
            <w:tcW w:w="1668" w:type="dxa"/>
          </w:tcPr>
          <w:p w14:paraId="1D38ED49" w14:textId="2A102DA7" w:rsidR="0024332A" w:rsidRPr="00505D08" w:rsidRDefault="0024332A" w:rsidP="0024332A">
            <w:pPr>
              <w:spacing w:before="40" w:after="40" w:line="240" w:lineRule="auto"/>
              <w:rPr>
                <w:rFonts w:cs="Arial"/>
                <w:b/>
                <w:sz w:val="18"/>
                <w:szCs w:val="18"/>
                <w:lang w:val="en-US" w:eastAsia="en-US"/>
              </w:rPr>
            </w:pPr>
            <w:r w:rsidRPr="0024332A">
              <w:rPr>
                <w:rFonts w:cs="Arial"/>
                <w:b/>
                <w:sz w:val="18"/>
                <w:szCs w:val="18"/>
                <w:lang w:val="en-US" w:eastAsia="en-US"/>
              </w:rPr>
              <w:t>66686</w:t>
            </w:r>
          </w:p>
        </w:tc>
        <w:tc>
          <w:tcPr>
            <w:tcW w:w="2702" w:type="dxa"/>
          </w:tcPr>
          <w:p w14:paraId="107963A2" w14:textId="203F4001" w:rsidR="0024332A" w:rsidRDefault="0024332A" w:rsidP="0024332A">
            <w:pPr>
              <w:spacing w:before="40" w:after="40" w:line="240" w:lineRule="auto"/>
              <w:rPr>
                <w:rFonts w:cs="Arial"/>
                <w:sz w:val="18"/>
                <w:szCs w:val="18"/>
              </w:rPr>
            </w:pPr>
            <w:r>
              <w:rPr>
                <w:rFonts w:cs="Arial"/>
                <w:sz w:val="18"/>
                <w:szCs w:val="18"/>
              </w:rPr>
              <w:t>Testing for irregular production of growth hormone, cortisol or chloride in sweat</w:t>
            </w:r>
            <w:r w:rsidR="00FC3428">
              <w:rPr>
                <w:rFonts w:cs="Arial"/>
                <w:sz w:val="18"/>
                <w:szCs w:val="18"/>
              </w:rPr>
              <w:t>, indicating underlying diseases</w:t>
            </w:r>
            <w:r>
              <w:rPr>
                <w:rFonts w:cs="Arial"/>
                <w:sz w:val="18"/>
                <w:szCs w:val="18"/>
              </w:rPr>
              <w:t>.</w:t>
            </w:r>
          </w:p>
          <w:p w14:paraId="2BF3D1D4" w14:textId="2D8989D4" w:rsidR="00FC3428" w:rsidRPr="00505D08" w:rsidRDefault="00FC3428" w:rsidP="0024332A">
            <w:pPr>
              <w:spacing w:before="40" w:after="40" w:line="240" w:lineRule="auto"/>
              <w:rPr>
                <w:rFonts w:cs="Arial"/>
                <w:sz w:val="18"/>
                <w:szCs w:val="18"/>
              </w:rPr>
            </w:pPr>
          </w:p>
        </w:tc>
        <w:tc>
          <w:tcPr>
            <w:tcW w:w="2826" w:type="dxa"/>
          </w:tcPr>
          <w:p w14:paraId="43C5875C" w14:textId="4D5AE523" w:rsidR="0024332A" w:rsidRPr="009A721A" w:rsidRDefault="0024332A" w:rsidP="0024332A">
            <w:pPr>
              <w:spacing w:before="40" w:after="40" w:line="240" w:lineRule="auto"/>
              <w:rPr>
                <w:rFonts w:cs="Arial"/>
                <w:sz w:val="18"/>
                <w:szCs w:val="18"/>
              </w:rPr>
            </w:pPr>
            <w:r>
              <w:rPr>
                <w:rFonts w:cs="Arial"/>
                <w:sz w:val="18"/>
                <w:szCs w:val="18"/>
              </w:rPr>
              <w:t>Leave these items unchanged.</w:t>
            </w:r>
          </w:p>
        </w:tc>
        <w:tc>
          <w:tcPr>
            <w:tcW w:w="3317" w:type="dxa"/>
          </w:tcPr>
          <w:p w14:paraId="0BE6A9FE" w14:textId="101554C1" w:rsidR="0024332A" w:rsidRPr="009A721A" w:rsidRDefault="0024332A" w:rsidP="0024332A">
            <w:pPr>
              <w:spacing w:before="40" w:after="40" w:line="240" w:lineRule="auto"/>
              <w:ind w:left="57" w:right="57"/>
              <w:rPr>
                <w:rFonts w:cs="Arial"/>
                <w:sz w:val="18"/>
                <w:szCs w:val="18"/>
              </w:rPr>
            </w:pPr>
            <w:r>
              <w:rPr>
                <w:rFonts w:cs="Arial"/>
                <w:sz w:val="18"/>
                <w:szCs w:val="18"/>
              </w:rPr>
              <w:t>No difference.</w:t>
            </w:r>
          </w:p>
        </w:tc>
        <w:tc>
          <w:tcPr>
            <w:tcW w:w="3661" w:type="dxa"/>
          </w:tcPr>
          <w:p w14:paraId="2B143963" w14:textId="15CE2B24" w:rsidR="0024332A" w:rsidRPr="009A721A" w:rsidRDefault="0024332A" w:rsidP="0024332A">
            <w:pPr>
              <w:spacing w:before="40" w:after="40" w:line="240" w:lineRule="auto"/>
              <w:rPr>
                <w:rFonts w:cs="Arial"/>
                <w:sz w:val="18"/>
                <w:szCs w:val="18"/>
              </w:rPr>
            </w:pPr>
            <w:r>
              <w:rPr>
                <w:rFonts w:cs="Arial"/>
                <w:sz w:val="18"/>
                <w:szCs w:val="18"/>
              </w:rPr>
              <w:t>Th</w:t>
            </w:r>
            <w:r w:rsidR="003A6D31">
              <w:rPr>
                <w:rFonts w:cs="Arial"/>
                <w:sz w:val="18"/>
                <w:szCs w:val="18"/>
              </w:rPr>
              <w:t>is item</w:t>
            </w:r>
            <w:r>
              <w:rPr>
                <w:rFonts w:cs="Arial"/>
                <w:sz w:val="18"/>
                <w:szCs w:val="18"/>
              </w:rPr>
              <w:t xml:space="preserve"> </w:t>
            </w:r>
            <w:r w:rsidR="003A6D31">
              <w:rPr>
                <w:rFonts w:cs="Arial"/>
                <w:sz w:val="18"/>
                <w:szCs w:val="18"/>
              </w:rPr>
              <w:t xml:space="preserve">is </w:t>
            </w:r>
            <w:r>
              <w:rPr>
                <w:rFonts w:cs="Arial"/>
                <w:sz w:val="18"/>
                <w:szCs w:val="18"/>
              </w:rPr>
              <w:t>recommended to be left unchanged.</w:t>
            </w:r>
          </w:p>
        </w:tc>
      </w:tr>
    </w:tbl>
    <w:p w14:paraId="530E1F5A" w14:textId="77777777" w:rsidR="0085593C" w:rsidRDefault="0085593C" w:rsidP="0085593C">
      <w:pPr>
        <w:spacing w:before="40" w:after="40" w:line="240" w:lineRule="auto"/>
        <w:rPr>
          <w:b/>
        </w:rPr>
      </w:pPr>
    </w:p>
    <w:p w14:paraId="62A73DED" w14:textId="46988AD0" w:rsidR="0085593C" w:rsidRPr="00B27BE5" w:rsidRDefault="0085593C" w:rsidP="0085593C">
      <w:pPr>
        <w:pStyle w:val="Caption"/>
        <w:rPr>
          <w:b/>
        </w:rPr>
      </w:pPr>
      <w:r w:rsidRPr="00B27BE5">
        <w:rPr>
          <w:b/>
          <w:i w:val="0"/>
        </w:rPr>
        <w:t xml:space="preserve">Recommendation </w:t>
      </w:r>
      <w:r>
        <w:rPr>
          <w:b/>
          <w:i w:val="0"/>
        </w:rPr>
        <w:t>1</w:t>
      </w:r>
      <w:r w:rsidR="005975C1">
        <w:rPr>
          <w:b/>
          <w:i w:val="0"/>
        </w:rPr>
        <w:t>5</w:t>
      </w:r>
      <w:r w:rsidRPr="00B27BE5">
        <w:rPr>
          <w:b/>
          <w:i w:val="0"/>
        </w:rPr>
        <w:t xml:space="preserve">: </w:t>
      </w:r>
      <w:r w:rsidR="005975C1">
        <w:rPr>
          <w:b/>
          <w:i w:val="0"/>
        </w:rPr>
        <w:t>Quantification in saliva of cortisol</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3"/>
        <w:gridCol w:w="2692"/>
        <w:gridCol w:w="2818"/>
        <w:gridCol w:w="3303"/>
        <w:gridCol w:w="3646"/>
      </w:tblGrid>
      <w:tr w:rsidR="0085593C" w:rsidRPr="00ED7D2E" w14:paraId="76B2F45E" w14:textId="77777777" w:rsidTr="009A721A">
        <w:trPr>
          <w:cantSplit/>
          <w:tblHeader/>
        </w:trPr>
        <w:tc>
          <w:tcPr>
            <w:tcW w:w="1668" w:type="dxa"/>
          </w:tcPr>
          <w:p w14:paraId="44FFA86E"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1EED5D0E"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826" w:type="dxa"/>
          </w:tcPr>
          <w:p w14:paraId="13179471"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317" w:type="dxa"/>
          </w:tcPr>
          <w:p w14:paraId="0AA668EE"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2D141694"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302B5E" w:rsidRPr="00ED7D2E" w14:paraId="10C1C0BB" w14:textId="77777777" w:rsidTr="009A721A">
        <w:trPr>
          <w:cantSplit/>
        </w:trPr>
        <w:tc>
          <w:tcPr>
            <w:tcW w:w="1668" w:type="dxa"/>
          </w:tcPr>
          <w:p w14:paraId="4A55BABA" w14:textId="7C8CF5C2" w:rsidR="00302B5E" w:rsidRPr="00505D08" w:rsidRDefault="00302B5E" w:rsidP="00302B5E">
            <w:pPr>
              <w:spacing w:before="40" w:after="40" w:line="240" w:lineRule="auto"/>
              <w:rPr>
                <w:rFonts w:cs="Arial"/>
                <w:b/>
                <w:sz w:val="18"/>
                <w:szCs w:val="18"/>
                <w:lang w:val="en-US" w:eastAsia="en-US"/>
              </w:rPr>
            </w:pPr>
            <w:r w:rsidRPr="00302B5E">
              <w:rPr>
                <w:rFonts w:cs="Arial"/>
                <w:b/>
                <w:sz w:val="18"/>
                <w:szCs w:val="18"/>
                <w:lang w:val="en-US" w:eastAsia="en-US"/>
              </w:rPr>
              <w:t>66711–66712, 66714–66715</w:t>
            </w:r>
          </w:p>
        </w:tc>
        <w:tc>
          <w:tcPr>
            <w:tcW w:w="2702" w:type="dxa"/>
          </w:tcPr>
          <w:p w14:paraId="55E93FB8" w14:textId="5BEE1A2B" w:rsidR="00302B5E" w:rsidRPr="00505D08" w:rsidRDefault="00302B5E" w:rsidP="00302B5E">
            <w:pPr>
              <w:spacing w:before="40" w:after="40" w:line="240" w:lineRule="auto"/>
              <w:rPr>
                <w:rFonts w:cs="Arial"/>
                <w:sz w:val="18"/>
                <w:szCs w:val="18"/>
              </w:rPr>
            </w:pPr>
            <w:r>
              <w:rPr>
                <w:rFonts w:cs="Arial"/>
                <w:sz w:val="18"/>
                <w:szCs w:val="18"/>
              </w:rPr>
              <w:t>Tests saliva for abnormally high or low cortisol levels that indicate underlying diseases</w:t>
            </w:r>
          </w:p>
        </w:tc>
        <w:tc>
          <w:tcPr>
            <w:tcW w:w="2826" w:type="dxa"/>
          </w:tcPr>
          <w:p w14:paraId="703E60FD" w14:textId="320AF907" w:rsidR="00302B5E" w:rsidRPr="009A721A" w:rsidRDefault="00302B5E" w:rsidP="00302B5E">
            <w:pPr>
              <w:spacing w:before="40" w:after="40" w:line="240" w:lineRule="auto"/>
              <w:rPr>
                <w:rFonts w:cs="Arial"/>
                <w:sz w:val="18"/>
                <w:szCs w:val="18"/>
              </w:rPr>
            </w:pPr>
            <w:r>
              <w:rPr>
                <w:rFonts w:cs="Arial"/>
                <w:sz w:val="18"/>
                <w:szCs w:val="18"/>
              </w:rPr>
              <w:t>Leave these items unchanged.</w:t>
            </w:r>
          </w:p>
        </w:tc>
        <w:tc>
          <w:tcPr>
            <w:tcW w:w="3317" w:type="dxa"/>
          </w:tcPr>
          <w:p w14:paraId="241BC060" w14:textId="6A003CF5" w:rsidR="00302B5E" w:rsidRPr="009A721A" w:rsidRDefault="00302B5E" w:rsidP="009A721A">
            <w:pPr>
              <w:spacing w:before="40" w:after="40" w:line="240" w:lineRule="auto"/>
              <w:ind w:left="57" w:right="57" w:firstLine="256"/>
              <w:rPr>
                <w:rFonts w:cs="Arial"/>
                <w:sz w:val="18"/>
                <w:szCs w:val="18"/>
              </w:rPr>
            </w:pPr>
            <w:r>
              <w:rPr>
                <w:rFonts w:cs="Arial"/>
                <w:sz w:val="18"/>
                <w:szCs w:val="18"/>
              </w:rPr>
              <w:t>No difference.</w:t>
            </w:r>
          </w:p>
        </w:tc>
        <w:tc>
          <w:tcPr>
            <w:tcW w:w="3661" w:type="dxa"/>
          </w:tcPr>
          <w:p w14:paraId="57AFDD18" w14:textId="262F84C8" w:rsidR="00302B5E" w:rsidRPr="009A721A" w:rsidRDefault="00302B5E" w:rsidP="00302B5E">
            <w:pPr>
              <w:spacing w:before="40" w:after="40" w:line="240" w:lineRule="auto"/>
              <w:rPr>
                <w:rFonts w:cs="Arial"/>
                <w:sz w:val="18"/>
                <w:szCs w:val="18"/>
              </w:rPr>
            </w:pPr>
            <w:r>
              <w:rPr>
                <w:rFonts w:cs="Arial"/>
                <w:sz w:val="18"/>
                <w:szCs w:val="18"/>
              </w:rPr>
              <w:t>These items are recommended to be left unchanged.</w:t>
            </w:r>
          </w:p>
        </w:tc>
      </w:tr>
    </w:tbl>
    <w:p w14:paraId="740B85B2" w14:textId="77777777" w:rsidR="0085593C" w:rsidRDefault="0085593C" w:rsidP="0085593C">
      <w:pPr>
        <w:spacing w:before="40" w:after="40" w:line="240" w:lineRule="auto"/>
        <w:rPr>
          <w:b/>
        </w:rPr>
      </w:pPr>
    </w:p>
    <w:p w14:paraId="1603C679" w14:textId="0A286603" w:rsidR="0085593C" w:rsidRPr="00B27BE5" w:rsidRDefault="0085593C" w:rsidP="0085593C">
      <w:pPr>
        <w:pStyle w:val="Caption"/>
        <w:rPr>
          <w:b/>
        </w:rPr>
      </w:pPr>
      <w:r w:rsidRPr="00B27BE5">
        <w:rPr>
          <w:b/>
          <w:i w:val="0"/>
        </w:rPr>
        <w:t xml:space="preserve">Recommendation </w:t>
      </w:r>
      <w:r w:rsidR="005975C1">
        <w:rPr>
          <w:b/>
          <w:i w:val="0"/>
        </w:rPr>
        <w:t>16</w:t>
      </w:r>
      <w:r w:rsidRPr="00B27BE5">
        <w:rPr>
          <w:b/>
          <w:i w:val="0"/>
        </w:rPr>
        <w:t>:</w:t>
      </w:r>
      <w:r w:rsidRPr="0085593C">
        <w:rPr>
          <w:b/>
          <w:i w:val="0"/>
        </w:rPr>
        <w:t xml:space="preserve"> </w:t>
      </w:r>
      <w:r w:rsidR="005975C1">
        <w:rPr>
          <w:b/>
          <w:i w:val="0"/>
        </w:rPr>
        <w:t>Electrophoresis of serum</w:t>
      </w:r>
    </w:p>
    <w:tbl>
      <w:tblPr>
        <w:tblStyle w:val="TableGrid"/>
        <w:tblW w:w="0" w:type="auto"/>
        <w:tblBorders>
          <w:top w:val="single" w:sz="4" w:space="0" w:color="B56011"/>
          <w:left w:val="none" w:sz="0" w:space="0" w:color="auto"/>
          <w:bottom w:val="single" w:sz="4" w:space="0" w:color="B56011"/>
          <w:right w:val="none" w:sz="0" w:space="0" w:color="auto"/>
          <w:insideH w:val="single" w:sz="4" w:space="0" w:color="B56011"/>
          <w:insideV w:val="none" w:sz="0" w:space="0" w:color="auto"/>
        </w:tblBorders>
        <w:tblLook w:val="04A0" w:firstRow="1" w:lastRow="0" w:firstColumn="1" w:lastColumn="0" w:noHBand="0" w:noVBand="1"/>
        <w:tblDescription w:val="This table is a summary of the Pathology Clinical Committee recommendations written for consumers. It lists the endocrine pathology MBS items considered by the Committee, and includes item number, what each test does, the Committee's recommendation, what would be different if the recommendation was implemented, and why."/>
      </w:tblPr>
      <w:tblGrid>
        <w:gridCol w:w="1661"/>
        <w:gridCol w:w="2693"/>
        <w:gridCol w:w="2456"/>
        <w:gridCol w:w="3667"/>
        <w:gridCol w:w="3645"/>
      </w:tblGrid>
      <w:tr w:rsidR="0085593C" w:rsidRPr="00ED7D2E" w14:paraId="642D0410" w14:textId="77777777" w:rsidTr="007F345C">
        <w:trPr>
          <w:cantSplit/>
          <w:tblHeader/>
        </w:trPr>
        <w:tc>
          <w:tcPr>
            <w:tcW w:w="1668" w:type="dxa"/>
          </w:tcPr>
          <w:p w14:paraId="29E1BD97"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Item</w:t>
            </w:r>
          </w:p>
        </w:tc>
        <w:tc>
          <w:tcPr>
            <w:tcW w:w="2702" w:type="dxa"/>
          </w:tcPr>
          <w:p w14:paraId="54331515"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it does</w:t>
            </w:r>
          </w:p>
        </w:tc>
        <w:tc>
          <w:tcPr>
            <w:tcW w:w="2462" w:type="dxa"/>
          </w:tcPr>
          <w:p w14:paraId="46BCAE8E"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Committee recommendation</w:t>
            </w:r>
          </w:p>
        </w:tc>
        <w:tc>
          <w:tcPr>
            <w:tcW w:w="3681" w:type="dxa"/>
          </w:tcPr>
          <w:p w14:paraId="4F8154F4"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What would be different</w:t>
            </w:r>
          </w:p>
        </w:tc>
        <w:tc>
          <w:tcPr>
            <w:tcW w:w="3661" w:type="dxa"/>
          </w:tcPr>
          <w:p w14:paraId="2FA4E68A" w14:textId="77777777" w:rsidR="0085593C" w:rsidRPr="00505D08" w:rsidRDefault="0085593C" w:rsidP="009A721A">
            <w:pPr>
              <w:keepNext/>
              <w:spacing w:before="40" w:after="40" w:line="240" w:lineRule="auto"/>
              <w:jc w:val="center"/>
              <w:rPr>
                <w:rFonts w:cs="Arial"/>
                <w:b/>
                <w:sz w:val="18"/>
                <w:szCs w:val="18"/>
                <w:lang w:val="en-US" w:eastAsia="en-US"/>
              </w:rPr>
            </w:pPr>
            <w:r w:rsidRPr="00505D08">
              <w:rPr>
                <w:rFonts w:cs="Arial"/>
                <w:b/>
                <w:sz w:val="18"/>
                <w:szCs w:val="18"/>
                <w:lang w:val="en-US" w:eastAsia="en-US"/>
              </w:rPr>
              <w:t>Why</w:t>
            </w:r>
          </w:p>
        </w:tc>
      </w:tr>
      <w:tr w:rsidR="00D706C3" w:rsidRPr="00ED7D2E" w14:paraId="4D3F11A9" w14:textId="77777777" w:rsidTr="007F345C">
        <w:trPr>
          <w:cantSplit/>
        </w:trPr>
        <w:tc>
          <w:tcPr>
            <w:tcW w:w="1668" w:type="dxa"/>
          </w:tcPr>
          <w:p w14:paraId="0AFE0713" w14:textId="2866D2AB" w:rsidR="00D706C3" w:rsidRPr="00505D08" w:rsidRDefault="00D706C3" w:rsidP="00D706C3">
            <w:pPr>
              <w:spacing w:before="40" w:after="40" w:line="240" w:lineRule="auto"/>
              <w:rPr>
                <w:rFonts w:cs="Arial"/>
                <w:b/>
                <w:sz w:val="18"/>
                <w:szCs w:val="18"/>
                <w:lang w:val="en-US" w:eastAsia="en-US"/>
              </w:rPr>
            </w:pPr>
            <w:r>
              <w:rPr>
                <w:rFonts w:cs="Arial"/>
                <w:b/>
                <w:sz w:val="18"/>
                <w:szCs w:val="18"/>
                <w:lang w:val="en-US" w:eastAsia="en-US"/>
              </w:rPr>
              <w:t>66539</w:t>
            </w:r>
          </w:p>
        </w:tc>
        <w:tc>
          <w:tcPr>
            <w:tcW w:w="2702" w:type="dxa"/>
          </w:tcPr>
          <w:p w14:paraId="2554007B" w14:textId="77777777" w:rsidR="00D706C3" w:rsidRDefault="003A6D31" w:rsidP="00D706C3">
            <w:pPr>
              <w:spacing w:before="40" w:after="40" w:line="240" w:lineRule="auto"/>
              <w:rPr>
                <w:rFonts w:cs="Arial"/>
                <w:sz w:val="18"/>
                <w:szCs w:val="18"/>
              </w:rPr>
            </w:pPr>
            <w:r>
              <w:rPr>
                <w:rFonts w:cs="Arial"/>
                <w:sz w:val="18"/>
                <w:szCs w:val="18"/>
              </w:rPr>
              <w:t>Tests for hereditary high cholesterol by measuring levels of cholesterol components.</w:t>
            </w:r>
          </w:p>
          <w:p w14:paraId="4E62077E" w14:textId="68BFE8D4" w:rsidR="003B3001" w:rsidRPr="00505D08" w:rsidRDefault="003B3001" w:rsidP="00D706C3">
            <w:pPr>
              <w:spacing w:before="40" w:after="40" w:line="240" w:lineRule="auto"/>
              <w:rPr>
                <w:rFonts w:cs="Arial"/>
                <w:sz w:val="18"/>
                <w:szCs w:val="18"/>
              </w:rPr>
            </w:pPr>
          </w:p>
        </w:tc>
        <w:tc>
          <w:tcPr>
            <w:tcW w:w="2462" w:type="dxa"/>
          </w:tcPr>
          <w:p w14:paraId="21C65154" w14:textId="4C2B1222" w:rsidR="00D706C3" w:rsidRPr="00505D08" w:rsidRDefault="00D706C3" w:rsidP="00D706C3">
            <w:pPr>
              <w:spacing w:before="40" w:after="40" w:line="240" w:lineRule="auto"/>
              <w:rPr>
                <w:rFonts w:cs="Arial"/>
                <w:b/>
                <w:sz w:val="18"/>
                <w:szCs w:val="18"/>
                <w:lang w:val="en-US" w:eastAsia="en-US"/>
              </w:rPr>
            </w:pPr>
            <w:r>
              <w:rPr>
                <w:rFonts w:cs="Arial"/>
                <w:sz w:val="18"/>
                <w:szCs w:val="18"/>
                <w:lang w:val="en-US" w:eastAsia="en-US"/>
              </w:rPr>
              <w:t>Remove</w:t>
            </w:r>
            <w:r w:rsidRPr="00CF2779">
              <w:rPr>
                <w:rFonts w:cs="Arial"/>
                <w:sz w:val="18"/>
                <w:szCs w:val="18"/>
                <w:lang w:val="en-US" w:eastAsia="en-US"/>
              </w:rPr>
              <w:t xml:space="preserve"> </w:t>
            </w:r>
            <w:r>
              <w:rPr>
                <w:rFonts w:cs="Arial"/>
                <w:sz w:val="18"/>
                <w:szCs w:val="18"/>
                <w:lang w:val="en-US" w:eastAsia="en-US"/>
              </w:rPr>
              <w:t xml:space="preserve">this item </w:t>
            </w:r>
            <w:r w:rsidRPr="00CF2779">
              <w:rPr>
                <w:rFonts w:cs="Arial"/>
                <w:sz w:val="18"/>
                <w:szCs w:val="18"/>
                <w:lang w:val="en-US" w:eastAsia="en-US"/>
              </w:rPr>
              <w:t>from the MBS</w:t>
            </w:r>
            <w:r>
              <w:rPr>
                <w:rFonts w:cs="Arial"/>
                <w:sz w:val="18"/>
                <w:szCs w:val="18"/>
                <w:lang w:val="en-US" w:eastAsia="en-US"/>
              </w:rPr>
              <w:t>.</w:t>
            </w:r>
          </w:p>
        </w:tc>
        <w:tc>
          <w:tcPr>
            <w:tcW w:w="3681" w:type="dxa"/>
          </w:tcPr>
          <w:p w14:paraId="502AD436" w14:textId="393BEAC0" w:rsidR="00D706C3" w:rsidRPr="00505D08" w:rsidRDefault="00D706C3" w:rsidP="009A721A">
            <w:pPr>
              <w:spacing w:before="40" w:after="40" w:line="240" w:lineRule="auto"/>
              <w:ind w:left="251" w:right="57"/>
              <w:rPr>
                <w:rFonts w:cs="Arial"/>
                <w:b/>
                <w:sz w:val="18"/>
                <w:szCs w:val="18"/>
                <w:lang w:val="en-US" w:eastAsia="en-US"/>
              </w:rPr>
            </w:pPr>
            <w:r>
              <w:rPr>
                <w:sz w:val="18"/>
                <w:szCs w:val="18"/>
              </w:rPr>
              <w:t>This item would no longer be available</w:t>
            </w:r>
            <w:r w:rsidR="003A6D31">
              <w:rPr>
                <w:sz w:val="18"/>
                <w:szCs w:val="18"/>
              </w:rPr>
              <w:t>.</w:t>
            </w:r>
          </w:p>
        </w:tc>
        <w:tc>
          <w:tcPr>
            <w:tcW w:w="3661" w:type="dxa"/>
          </w:tcPr>
          <w:p w14:paraId="161C0D83" w14:textId="7D7A12D6" w:rsidR="00D706C3" w:rsidRPr="00505D08" w:rsidRDefault="00D706C3" w:rsidP="00D706C3">
            <w:pPr>
              <w:spacing w:before="40" w:after="40" w:line="240" w:lineRule="auto"/>
              <w:rPr>
                <w:rFonts w:cs="Arial"/>
                <w:b/>
                <w:sz w:val="18"/>
                <w:szCs w:val="18"/>
                <w:lang w:val="en-US" w:eastAsia="en-US"/>
              </w:rPr>
            </w:pPr>
            <w:r>
              <w:rPr>
                <w:rFonts w:cs="Arial"/>
                <w:sz w:val="18"/>
                <w:szCs w:val="18"/>
                <w:lang w:val="en-US" w:eastAsia="en-US"/>
              </w:rPr>
              <w:t>This i</w:t>
            </w:r>
            <w:r w:rsidRPr="00CF2779">
              <w:rPr>
                <w:rFonts w:cs="Arial"/>
                <w:sz w:val="18"/>
                <w:szCs w:val="18"/>
                <w:lang w:val="en-US" w:eastAsia="en-US"/>
              </w:rPr>
              <w:t xml:space="preserve">tem </w:t>
            </w:r>
            <w:r>
              <w:rPr>
                <w:rFonts w:cs="Arial"/>
                <w:sz w:val="18"/>
                <w:szCs w:val="18"/>
                <w:lang w:val="en-US" w:eastAsia="en-US"/>
              </w:rPr>
              <w:t>is out of date</w:t>
            </w:r>
            <w:r w:rsidR="009D483D">
              <w:rPr>
                <w:rFonts w:cs="Arial"/>
                <w:sz w:val="18"/>
                <w:szCs w:val="18"/>
                <w:lang w:val="en-US" w:eastAsia="en-US"/>
              </w:rPr>
              <w:t xml:space="preserve"> and has been superseded by genetic testing</w:t>
            </w:r>
            <w:r>
              <w:rPr>
                <w:rFonts w:cs="Arial"/>
                <w:sz w:val="18"/>
                <w:szCs w:val="18"/>
                <w:lang w:val="en-US" w:eastAsia="en-US"/>
              </w:rPr>
              <w:t>.</w:t>
            </w:r>
          </w:p>
        </w:tc>
      </w:tr>
      <w:tr w:rsidR="003A6D31" w:rsidRPr="00ED7D2E" w14:paraId="635BAA5A" w14:textId="77777777" w:rsidTr="007F345C">
        <w:trPr>
          <w:cantSplit/>
        </w:trPr>
        <w:tc>
          <w:tcPr>
            <w:tcW w:w="1668" w:type="dxa"/>
          </w:tcPr>
          <w:p w14:paraId="00C2D184" w14:textId="3DBD6B70" w:rsidR="003A6D31" w:rsidRDefault="003A6D31" w:rsidP="00D706C3">
            <w:pPr>
              <w:spacing w:before="40" w:after="40" w:line="240" w:lineRule="auto"/>
              <w:rPr>
                <w:rFonts w:cs="Arial"/>
                <w:b/>
                <w:sz w:val="18"/>
                <w:szCs w:val="18"/>
                <w:lang w:val="en-US" w:eastAsia="en-US"/>
              </w:rPr>
            </w:pPr>
            <w:r>
              <w:rPr>
                <w:rFonts w:cs="Arial"/>
                <w:b/>
                <w:sz w:val="18"/>
                <w:szCs w:val="18"/>
                <w:lang w:val="en-US" w:eastAsia="en-US"/>
              </w:rPr>
              <w:t>New item</w:t>
            </w:r>
          </w:p>
        </w:tc>
        <w:tc>
          <w:tcPr>
            <w:tcW w:w="2702" w:type="dxa"/>
          </w:tcPr>
          <w:p w14:paraId="5432EC9E" w14:textId="08798C37" w:rsidR="003A6D31" w:rsidRDefault="003B3001" w:rsidP="00D706C3">
            <w:pPr>
              <w:spacing w:before="40" w:after="40" w:line="240" w:lineRule="auto"/>
              <w:rPr>
                <w:rFonts w:cs="Arial"/>
                <w:sz w:val="18"/>
                <w:szCs w:val="18"/>
              </w:rPr>
            </w:pPr>
            <w:r>
              <w:rPr>
                <w:rFonts w:cs="Arial"/>
                <w:sz w:val="18"/>
                <w:szCs w:val="18"/>
              </w:rPr>
              <w:t>Tests for hereditary high cholesterol by checking for mutations in certain genes that produce components of the cholesterol system.</w:t>
            </w:r>
          </w:p>
          <w:p w14:paraId="4CEC6F3F" w14:textId="51EEE0CD" w:rsidR="003B3001" w:rsidRDefault="003B3001" w:rsidP="00D706C3">
            <w:pPr>
              <w:spacing w:before="40" w:after="40" w:line="240" w:lineRule="auto"/>
              <w:rPr>
                <w:rFonts w:cs="Arial"/>
                <w:sz w:val="18"/>
                <w:szCs w:val="18"/>
              </w:rPr>
            </w:pPr>
          </w:p>
        </w:tc>
        <w:tc>
          <w:tcPr>
            <w:tcW w:w="2462" w:type="dxa"/>
          </w:tcPr>
          <w:p w14:paraId="2574A9DE" w14:textId="2B4AEC34" w:rsidR="003A6D31" w:rsidRDefault="003A6D31" w:rsidP="00D706C3">
            <w:pPr>
              <w:spacing w:before="40" w:after="40" w:line="240" w:lineRule="auto"/>
              <w:rPr>
                <w:rFonts w:cs="Arial"/>
                <w:sz w:val="18"/>
                <w:szCs w:val="18"/>
                <w:lang w:val="en-US" w:eastAsia="en-US"/>
              </w:rPr>
            </w:pPr>
            <w:r>
              <w:rPr>
                <w:rFonts w:cs="Arial"/>
                <w:sz w:val="18"/>
                <w:szCs w:val="18"/>
              </w:rPr>
              <w:t>New genetic test for hereditary high cholesterol.</w:t>
            </w:r>
          </w:p>
        </w:tc>
        <w:tc>
          <w:tcPr>
            <w:tcW w:w="3681" w:type="dxa"/>
          </w:tcPr>
          <w:p w14:paraId="07A570C2" w14:textId="02D3AD76" w:rsidR="003A6D31" w:rsidRDefault="003A6D31" w:rsidP="009A721A">
            <w:pPr>
              <w:spacing w:before="40" w:after="40" w:line="240" w:lineRule="auto"/>
              <w:ind w:left="251" w:right="57"/>
              <w:rPr>
                <w:sz w:val="18"/>
                <w:szCs w:val="18"/>
              </w:rPr>
            </w:pPr>
            <w:r>
              <w:rPr>
                <w:sz w:val="18"/>
                <w:szCs w:val="18"/>
              </w:rPr>
              <w:t>New test would replace existing outdated test.</w:t>
            </w:r>
          </w:p>
        </w:tc>
        <w:tc>
          <w:tcPr>
            <w:tcW w:w="3661" w:type="dxa"/>
          </w:tcPr>
          <w:p w14:paraId="70E38469" w14:textId="78D98016" w:rsidR="003A6D31" w:rsidRDefault="003B3001" w:rsidP="00D706C3">
            <w:pPr>
              <w:spacing w:before="40" w:after="40" w:line="240" w:lineRule="auto"/>
              <w:rPr>
                <w:rFonts w:cs="Arial"/>
                <w:sz w:val="18"/>
                <w:szCs w:val="18"/>
                <w:lang w:val="en-US" w:eastAsia="en-US"/>
              </w:rPr>
            </w:pPr>
            <w:r>
              <w:rPr>
                <w:rFonts w:cs="Arial"/>
                <w:sz w:val="18"/>
                <w:szCs w:val="18"/>
              </w:rPr>
              <w:t>To update the MBS and make it current.</w:t>
            </w:r>
          </w:p>
        </w:tc>
      </w:tr>
      <w:tr w:rsidR="003B3001" w:rsidRPr="00ED7D2E" w14:paraId="7A31EE86" w14:textId="77777777" w:rsidTr="007F345C">
        <w:trPr>
          <w:cantSplit/>
        </w:trPr>
        <w:tc>
          <w:tcPr>
            <w:tcW w:w="1668" w:type="dxa"/>
          </w:tcPr>
          <w:p w14:paraId="00D8F5E2" w14:textId="6E2071D1" w:rsidR="003B3001" w:rsidRDefault="003B3001" w:rsidP="003B3001">
            <w:pPr>
              <w:spacing w:before="40" w:after="40" w:line="240" w:lineRule="auto"/>
              <w:rPr>
                <w:rFonts w:cs="Arial"/>
                <w:b/>
                <w:sz w:val="18"/>
                <w:szCs w:val="18"/>
                <w:lang w:val="en-US" w:eastAsia="en-US"/>
              </w:rPr>
            </w:pPr>
            <w:r>
              <w:rPr>
                <w:rFonts w:cs="Arial"/>
                <w:b/>
                <w:sz w:val="18"/>
                <w:szCs w:val="18"/>
                <w:lang w:val="en-US" w:eastAsia="en-US"/>
              </w:rPr>
              <w:t>New item</w:t>
            </w:r>
          </w:p>
        </w:tc>
        <w:tc>
          <w:tcPr>
            <w:tcW w:w="2702" w:type="dxa"/>
          </w:tcPr>
          <w:p w14:paraId="1060428A" w14:textId="17A978D7" w:rsidR="003B3001" w:rsidRDefault="003B3001" w:rsidP="003B3001">
            <w:pPr>
              <w:spacing w:before="40" w:after="40" w:line="240" w:lineRule="auto"/>
              <w:rPr>
                <w:rFonts w:cs="Arial"/>
                <w:sz w:val="18"/>
                <w:szCs w:val="18"/>
              </w:rPr>
            </w:pPr>
            <w:r>
              <w:rPr>
                <w:rFonts w:cs="Arial"/>
                <w:sz w:val="18"/>
                <w:szCs w:val="18"/>
              </w:rPr>
              <w:t xml:space="preserve">Tests for markedly high cholesterol </w:t>
            </w:r>
            <w:r w:rsidR="00C719DA">
              <w:rPr>
                <w:rFonts w:cs="Arial"/>
                <w:sz w:val="18"/>
                <w:szCs w:val="18"/>
              </w:rPr>
              <w:t xml:space="preserve">level </w:t>
            </w:r>
            <w:r>
              <w:rPr>
                <w:rFonts w:cs="Arial"/>
                <w:sz w:val="18"/>
                <w:szCs w:val="18"/>
              </w:rPr>
              <w:t xml:space="preserve">by checking for mutations in </w:t>
            </w:r>
            <w:r w:rsidR="00C719DA">
              <w:rPr>
                <w:rFonts w:cs="Arial"/>
                <w:sz w:val="18"/>
                <w:szCs w:val="18"/>
              </w:rPr>
              <w:t>the gene</w:t>
            </w:r>
            <w:r>
              <w:rPr>
                <w:rFonts w:cs="Arial"/>
                <w:sz w:val="18"/>
                <w:szCs w:val="18"/>
              </w:rPr>
              <w:t xml:space="preserve"> that produce</w:t>
            </w:r>
            <w:r w:rsidR="00170F32">
              <w:rPr>
                <w:rFonts w:cs="Arial"/>
                <w:sz w:val="18"/>
                <w:szCs w:val="18"/>
              </w:rPr>
              <w:t>s</w:t>
            </w:r>
            <w:r>
              <w:rPr>
                <w:rFonts w:cs="Arial"/>
                <w:sz w:val="18"/>
                <w:szCs w:val="18"/>
              </w:rPr>
              <w:t xml:space="preserve"> </w:t>
            </w:r>
            <w:r w:rsidR="00C719DA">
              <w:rPr>
                <w:rFonts w:cs="Arial"/>
                <w:sz w:val="18"/>
                <w:szCs w:val="18"/>
              </w:rPr>
              <w:t xml:space="preserve">a key </w:t>
            </w:r>
            <w:r>
              <w:rPr>
                <w:rFonts w:cs="Arial"/>
                <w:sz w:val="18"/>
                <w:szCs w:val="18"/>
              </w:rPr>
              <w:t xml:space="preserve">cholesterol </w:t>
            </w:r>
            <w:r w:rsidR="00C719DA">
              <w:rPr>
                <w:rFonts w:cs="Arial"/>
                <w:sz w:val="18"/>
                <w:szCs w:val="18"/>
              </w:rPr>
              <w:t>component</w:t>
            </w:r>
            <w:r>
              <w:rPr>
                <w:rFonts w:cs="Arial"/>
                <w:sz w:val="18"/>
                <w:szCs w:val="18"/>
              </w:rPr>
              <w:t>.</w:t>
            </w:r>
          </w:p>
          <w:p w14:paraId="1E5D8218" w14:textId="5E3AC9E5" w:rsidR="003B3001" w:rsidRDefault="003B3001" w:rsidP="003B3001">
            <w:pPr>
              <w:spacing w:before="40" w:after="40" w:line="240" w:lineRule="auto"/>
              <w:rPr>
                <w:rFonts w:cs="Arial"/>
                <w:sz w:val="18"/>
                <w:szCs w:val="18"/>
              </w:rPr>
            </w:pPr>
          </w:p>
        </w:tc>
        <w:tc>
          <w:tcPr>
            <w:tcW w:w="2462" w:type="dxa"/>
          </w:tcPr>
          <w:p w14:paraId="0454A5E5" w14:textId="53D19947" w:rsidR="003B3001" w:rsidRDefault="003B3001" w:rsidP="003B3001">
            <w:pPr>
              <w:spacing w:before="40" w:after="40" w:line="240" w:lineRule="auto"/>
              <w:rPr>
                <w:rFonts w:cs="Arial"/>
                <w:sz w:val="18"/>
                <w:szCs w:val="18"/>
                <w:lang w:val="en-US" w:eastAsia="en-US"/>
              </w:rPr>
            </w:pPr>
            <w:r>
              <w:rPr>
                <w:rFonts w:cs="Arial"/>
                <w:sz w:val="18"/>
                <w:szCs w:val="18"/>
              </w:rPr>
              <w:t xml:space="preserve">New genetic test for </w:t>
            </w:r>
            <w:r w:rsidR="009D483D">
              <w:rPr>
                <w:rFonts w:cs="Arial"/>
                <w:sz w:val="18"/>
                <w:szCs w:val="18"/>
              </w:rPr>
              <w:t>markedly</w:t>
            </w:r>
            <w:r>
              <w:rPr>
                <w:rFonts w:cs="Arial"/>
                <w:sz w:val="18"/>
                <w:szCs w:val="18"/>
              </w:rPr>
              <w:t xml:space="preserve"> high cholesterol.</w:t>
            </w:r>
          </w:p>
        </w:tc>
        <w:tc>
          <w:tcPr>
            <w:tcW w:w="3681" w:type="dxa"/>
          </w:tcPr>
          <w:p w14:paraId="3E6CF2A2" w14:textId="0420BFD4" w:rsidR="003B3001" w:rsidRDefault="003B3001" w:rsidP="009A721A">
            <w:pPr>
              <w:spacing w:before="40" w:after="40" w:line="240" w:lineRule="auto"/>
              <w:ind w:left="251" w:right="57"/>
              <w:rPr>
                <w:sz w:val="18"/>
                <w:szCs w:val="18"/>
              </w:rPr>
            </w:pPr>
            <w:r>
              <w:rPr>
                <w:sz w:val="18"/>
                <w:szCs w:val="18"/>
              </w:rPr>
              <w:t>New test would replace existing outdated test</w:t>
            </w:r>
            <w:r w:rsidR="009D483D">
              <w:rPr>
                <w:sz w:val="18"/>
                <w:szCs w:val="18"/>
              </w:rPr>
              <w:t xml:space="preserve"> and has added benefit of </w:t>
            </w:r>
            <w:r w:rsidR="00B67B0E">
              <w:rPr>
                <w:sz w:val="18"/>
                <w:szCs w:val="18"/>
              </w:rPr>
              <w:t>predicting increased risk of Alzheimer’s disease</w:t>
            </w:r>
            <w:r>
              <w:rPr>
                <w:sz w:val="18"/>
                <w:szCs w:val="18"/>
              </w:rPr>
              <w:t>.</w:t>
            </w:r>
          </w:p>
        </w:tc>
        <w:tc>
          <w:tcPr>
            <w:tcW w:w="3661" w:type="dxa"/>
          </w:tcPr>
          <w:p w14:paraId="74A50807" w14:textId="6A17894C" w:rsidR="003B3001" w:rsidRDefault="003B3001" w:rsidP="003B3001">
            <w:pPr>
              <w:spacing w:before="40" w:after="40" w:line="240" w:lineRule="auto"/>
              <w:rPr>
                <w:rFonts w:cs="Arial"/>
                <w:sz w:val="18"/>
                <w:szCs w:val="18"/>
                <w:lang w:val="en-US" w:eastAsia="en-US"/>
              </w:rPr>
            </w:pPr>
            <w:r>
              <w:rPr>
                <w:rFonts w:cs="Arial"/>
                <w:sz w:val="18"/>
                <w:szCs w:val="18"/>
              </w:rPr>
              <w:t>To update the MBS and make it current.</w:t>
            </w:r>
          </w:p>
        </w:tc>
      </w:tr>
    </w:tbl>
    <w:p w14:paraId="386882CE" w14:textId="7CB8231A" w:rsidR="00040940" w:rsidRDefault="00040940" w:rsidP="00F86057">
      <w:pPr>
        <w:spacing w:before="40" w:after="40" w:line="240" w:lineRule="auto"/>
      </w:pPr>
    </w:p>
    <w:p w14:paraId="2756CFB5" w14:textId="205595F6" w:rsidR="005B4FEA" w:rsidRPr="0060697D" w:rsidRDefault="005B4FEA" w:rsidP="00E5655B">
      <w:pPr>
        <w:spacing w:before="120"/>
        <w:rPr>
          <w:sz w:val="20"/>
          <w:szCs w:val="20"/>
        </w:rPr>
      </w:pPr>
    </w:p>
    <w:sectPr w:rsidR="005B4FEA" w:rsidRPr="0060697D" w:rsidSect="00235892">
      <w:pgSz w:w="16838" w:h="11906" w:orient="landscape" w:code="9"/>
      <w:pgMar w:top="1440" w:right="1440" w:bottom="1440" w:left="1276" w:header="720" w:footer="720" w:gutter="0"/>
      <w:paperSrc w:first="261" w:other="26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32C0B" w14:textId="77777777" w:rsidR="007C7FC3" w:rsidRDefault="007C7FC3" w:rsidP="000D1CF6">
      <w:r>
        <w:separator/>
      </w:r>
    </w:p>
    <w:p w14:paraId="64AD802E" w14:textId="77777777" w:rsidR="007C7FC3" w:rsidRDefault="007C7FC3" w:rsidP="000D1CF6"/>
    <w:p w14:paraId="6F1B4AE9" w14:textId="77777777" w:rsidR="007C7FC3" w:rsidRDefault="007C7FC3"/>
  </w:endnote>
  <w:endnote w:type="continuationSeparator" w:id="0">
    <w:p w14:paraId="2EFC029E" w14:textId="77777777" w:rsidR="007C7FC3" w:rsidRDefault="007C7FC3" w:rsidP="000D1CF6">
      <w:r>
        <w:continuationSeparator/>
      </w:r>
    </w:p>
    <w:p w14:paraId="14FD2DAF" w14:textId="77777777" w:rsidR="007C7FC3" w:rsidRDefault="007C7FC3" w:rsidP="000D1CF6"/>
    <w:p w14:paraId="4FCE5496" w14:textId="77777777" w:rsidR="007C7FC3" w:rsidRDefault="007C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variable"/>
    <w:sig w:usb0="20000287" w:usb1="00000001" w:usb2="00000000" w:usb3="00000000" w:csb0="0000019F" w:csb1="00000000"/>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E8961" w14:textId="68024A5C" w:rsidR="007C7FC3" w:rsidRDefault="007C7FC3" w:rsidP="00381125">
    <w:pPr>
      <w:pStyle w:val="Footer"/>
      <w:pBdr>
        <w:top w:val="single" w:sz="4" w:space="1" w:color="B56012"/>
      </w:pBdr>
      <w:tabs>
        <w:tab w:val="clear" w:pos="4513"/>
      </w:tabs>
      <w:jc w:val="center"/>
    </w:pPr>
    <w:r>
      <w:rPr>
        <w:color w:val="01653F"/>
        <w:sz w:val="16"/>
      </w:rPr>
      <w:t>Report from Pathology Clinical Committee-- Endocrine Tests – 2017</w:t>
    </w:r>
    <w:r>
      <w:rPr>
        <w:color w:val="01653F"/>
        <w:sz w:val="16"/>
      </w:rPr>
      <w:tab/>
    </w:r>
    <w:r w:rsidRPr="003B1222">
      <w:rPr>
        <w:color w:val="01653F"/>
        <w:sz w:val="16"/>
      </w:rPr>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AA30AE" w:rsidRPr="00AA30AE">
      <w:rPr>
        <w:rFonts w:eastAsiaTheme="majorEastAsia"/>
        <w:noProof/>
        <w:color w:val="01653F"/>
        <w:sz w:val="16"/>
      </w:rPr>
      <w:t>20</w:t>
    </w:r>
    <w:r w:rsidRPr="003B1222">
      <w:rPr>
        <w:rFonts w:eastAsiaTheme="majorEastAsia"/>
        <w:noProof/>
        <w:color w:val="01653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406FA" w14:textId="6901AB5F" w:rsidR="007C7FC3" w:rsidRPr="003B1222" w:rsidRDefault="007C7FC3" w:rsidP="00381125">
    <w:pPr>
      <w:pStyle w:val="Footer"/>
      <w:pBdr>
        <w:top w:val="single" w:sz="4" w:space="1" w:color="B56012"/>
      </w:pBdr>
      <w:tabs>
        <w:tab w:val="clear" w:pos="4513"/>
      </w:tabs>
      <w:jc w:val="center"/>
      <w:rPr>
        <w:color w:val="01653F"/>
        <w:sz w:val="16"/>
      </w:rPr>
    </w:pPr>
    <w:r w:rsidRPr="000869E6">
      <w:rPr>
        <w:color w:val="01653F"/>
        <w:sz w:val="16"/>
      </w:rPr>
      <w:t xml:space="preserve">Report from the </w:t>
    </w:r>
    <w:r>
      <w:rPr>
        <w:color w:val="01653F"/>
        <w:sz w:val="16"/>
      </w:rPr>
      <w:t>Pathology</w:t>
    </w:r>
    <w:r w:rsidRPr="000869E6">
      <w:rPr>
        <w:color w:val="01653F"/>
        <w:sz w:val="16"/>
      </w:rPr>
      <w:t xml:space="preserve"> Clinical Committee – </w:t>
    </w:r>
    <w:r>
      <w:rPr>
        <w:color w:val="01653F"/>
        <w:sz w:val="16"/>
      </w:rPr>
      <w:t>2017</w:t>
    </w:r>
    <w:r w:rsidRPr="003B1222">
      <w:rPr>
        <w:color w:val="01653F"/>
        <w:sz w:val="16"/>
      </w:rPr>
      <w:tab/>
      <w:t xml:space="preserve">Page </w:t>
    </w:r>
    <w:r w:rsidRPr="003B1222">
      <w:rPr>
        <w:color w:val="01653F"/>
      </w:rPr>
      <w:fldChar w:fldCharType="begin"/>
    </w:r>
    <w:r w:rsidRPr="003B1222">
      <w:rPr>
        <w:color w:val="01653F"/>
      </w:rPr>
      <w:instrText xml:space="preserve"> PAGE   \* MERGEFORMAT </w:instrText>
    </w:r>
    <w:r w:rsidRPr="003B1222">
      <w:rPr>
        <w:color w:val="01653F"/>
      </w:rPr>
      <w:fldChar w:fldCharType="separate"/>
    </w:r>
    <w:r w:rsidR="00AA30AE" w:rsidRPr="00AA30AE">
      <w:rPr>
        <w:rFonts w:eastAsiaTheme="majorEastAsia"/>
        <w:noProof/>
        <w:color w:val="01653F"/>
        <w:sz w:val="16"/>
      </w:rPr>
      <w:t>66</w:t>
    </w:r>
    <w:r w:rsidRPr="003B1222">
      <w:rPr>
        <w:rFonts w:eastAsiaTheme="majorEastAsia"/>
        <w:noProof/>
        <w:color w:val="01653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93AFD" w14:textId="77777777" w:rsidR="007C7FC3" w:rsidRDefault="007C7FC3" w:rsidP="000D1CF6">
      <w:r>
        <w:separator/>
      </w:r>
    </w:p>
    <w:p w14:paraId="22F8C02C" w14:textId="77777777" w:rsidR="007C7FC3" w:rsidRDefault="007C7FC3" w:rsidP="000D1CF6"/>
    <w:p w14:paraId="3BF11DAB" w14:textId="77777777" w:rsidR="007C7FC3" w:rsidRDefault="007C7FC3"/>
  </w:footnote>
  <w:footnote w:type="continuationSeparator" w:id="0">
    <w:p w14:paraId="636D2DF4" w14:textId="77777777" w:rsidR="007C7FC3" w:rsidRDefault="007C7FC3" w:rsidP="000D1CF6">
      <w:r>
        <w:continuationSeparator/>
      </w:r>
    </w:p>
    <w:p w14:paraId="6E88C62D" w14:textId="77777777" w:rsidR="007C7FC3" w:rsidRDefault="007C7FC3" w:rsidP="000D1CF6"/>
    <w:p w14:paraId="102792B4" w14:textId="77777777" w:rsidR="007C7FC3" w:rsidRDefault="007C7FC3"/>
  </w:footnote>
  <w:footnote w:id="1">
    <w:p w14:paraId="338293AA" w14:textId="77777777" w:rsidR="007C7FC3" w:rsidRDefault="007C7FC3" w:rsidP="00AF5D5F">
      <w:pPr>
        <w:pStyle w:val="FootnoteText"/>
      </w:pPr>
      <w:r>
        <w:rPr>
          <w:rStyle w:val="FootnoteReference"/>
        </w:rPr>
        <w:footnoteRef/>
      </w:r>
      <w:r w:rsidRPr="003530A2">
        <w:rPr>
          <w:sz w:val="18"/>
          <w:szCs w:val="18"/>
        </w:rPr>
        <w:t>It was noted that this may be referred to as ‘low bone mineral density’ in the Schedule, section D1.19 pages 30 and 31, and may require the descriptor to be updated.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494"/>
    <w:multiLevelType w:val="hybridMultilevel"/>
    <w:tmpl w:val="719A91F2"/>
    <w:lvl w:ilvl="0" w:tplc="04090017">
      <w:start w:val="1"/>
      <w:numFmt w:val="lowerLetter"/>
      <w:lvlText w:val="%1)"/>
      <w:lvlJc w:val="left"/>
      <w:pPr>
        <w:ind w:left="-7076" w:hanging="360"/>
      </w:pPr>
    </w:lvl>
    <w:lvl w:ilvl="1" w:tplc="04090019" w:tentative="1">
      <w:start w:val="1"/>
      <w:numFmt w:val="lowerLetter"/>
      <w:lvlText w:val="%2."/>
      <w:lvlJc w:val="left"/>
      <w:pPr>
        <w:ind w:left="-6356" w:hanging="360"/>
      </w:pPr>
    </w:lvl>
    <w:lvl w:ilvl="2" w:tplc="0409001B" w:tentative="1">
      <w:start w:val="1"/>
      <w:numFmt w:val="lowerRoman"/>
      <w:lvlText w:val="%3."/>
      <w:lvlJc w:val="right"/>
      <w:pPr>
        <w:ind w:left="-5636" w:hanging="180"/>
      </w:pPr>
    </w:lvl>
    <w:lvl w:ilvl="3" w:tplc="0409000F" w:tentative="1">
      <w:start w:val="1"/>
      <w:numFmt w:val="decimal"/>
      <w:lvlText w:val="%4."/>
      <w:lvlJc w:val="left"/>
      <w:pPr>
        <w:ind w:left="-4916" w:hanging="360"/>
      </w:pPr>
    </w:lvl>
    <w:lvl w:ilvl="4" w:tplc="04090019" w:tentative="1">
      <w:start w:val="1"/>
      <w:numFmt w:val="lowerLetter"/>
      <w:lvlText w:val="%5."/>
      <w:lvlJc w:val="left"/>
      <w:pPr>
        <w:ind w:left="-4196" w:hanging="360"/>
      </w:pPr>
    </w:lvl>
    <w:lvl w:ilvl="5" w:tplc="0409001B" w:tentative="1">
      <w:start w:val="1"/>
      <w:numFmt w:val="lowerRoman"/>
      <w:lvlText w:val="%6."/>
      <w:lvlJc w:val="right"/>
      <w:pPr>
        <w:ind w:left="-3476" w:hanging="180"/>
      </w:pPr>
    </w:lvl>
    <w:lvl w:ilvl="6" w:tplc="0409000F" w:tentative="1">
      <w:start w:val="1"/>
      <w:numFmt w:val="decimal"/>
      <w:lvlText w:val="%7."/>
      <w:lvlJc w:val="left"/>
      <w:pPr>
        <w:ind w:left="-2756" w:hanging="360"/>
      </w:pPr>
    </w:lvl>
    <w:lvl w:ilvl="7" w:tplc="04090019" w:tentative="1">
      <w:start w:val="1"/>
      <w:numFmt w:val="lowerLetter"/>
      <w:lvlText w:val="%8."/>
      <w:lvlJc w:val="left"/>
      <w:pPr>
        <w:ind w:left="-2036" w:hanging="360"/>
      </w:pPr>
    </w:lvl>
    <w:lvl w:ilvl="8" w:tplc="0409001B" w:tentative="1">
      <w:start w:val="1"/>
      <w:numFmt w:val="lowerRoman"/>
      <w:lvlText w:val="%9."/>
      <w:lvlJc w:val="right"/>
      <w:pPr>
        <w:ind w:left="-1316" w:hanging="180"/>
      </w:pPr>
    </w:lvl>
  </w:abstractNum>
  <w:abstractNum w:abstractNumId="1" w15:restartNumberingAfterBreak="0">
    <w:nsid w:val="03E52A96"/>
    <w:multiLevelType w:val="hybridMultilevel"/>
    <w:tmpl w:val="DD00DD76"/>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410E6"/>
    <w:multiLevelType w:val="hybridMultilevel"/>
    <w:tmpl w:val="53962F26"/>
    <w:lvl w:ilvl="0" w:tplc="DFB23B78">
      <w:numFmt w:val="bullet"/>
      <w:lvlText w:val="-"/>
      <w:lvlJc w:val="left"/>
      <w:pPr>
        <w:ind w:left="360" w:hanging="360"/>
      </w:pPr>
      <w:rPr>
        <w:rFonts w:ascii="Calibri" w:hAnsi="Calibri" w:cs="Times New Roman"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D62010"/>
    <w:multiLevelType w:val="hybridMultilevel"/>
    <w:tmpl w:val="3D648BFE"/>
    <w:lvl w:ilvl="0" w:tplc="E0689C7E">
      <w:start w:val="1"/>
      <w:numFmt w:val="lowerRoman"/>
      <w:pStyle w:val="TableBulletrom"/>
      <w:lvlText w:val="(%1)"/>
      <w:lvlJc w:val="left"/>
      <w:pPr>
        <w:ind w:left="936" w:hanging="360"/>
      </w:pPr>
      <w:rPr>
        <w:rFonts w:hint="default"/>
        <w:color w:val="000000" w:themeColor="text1"/>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4" w15:restartNumberingAfterBreak="0">
    <w:nsid w:val="16585F21"/>
    <w:multiLevelType w:val="hybridMultilevel"/>
    <w:tmpl w:val="9586D7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BB4224"/>
    <w:multiLevelType w:val="hybridMultilevel"/>
    <w:tmpl w:val="1B0610DC"/>
    <w:lvl w:ilvl="0" w:tplc="1CD09CAE">
      <w:start w:val="1"/>
      <w:numFmt w:val="bullet"/>
      <w:pStyle w:val="BoxBullet"/>
      <w:lvlText w:val="∆"/>
      <w:lvlJc w:val="left"/>
      <w:pPr>
        <w:tabs>
          <w:tab w:val="num" w:pos="357"/>
        </w:tabs>
        <w:ind w:left="357" w:hanging="357"/>
      </w:pPr>
      <w:rPr>
        <w:rFonts w:ascii="Calibri" w:hAnsi="Calibri" w:hint="default"/>
        <w:color w:val="B560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23834"/>
    <w:multiLevelType w:val="hybridMultilevel"/>
    <w:tmpl w:val="AF8AEEAA"/>
    <w:lvl w:ilvl="0" w:tplc="6B88DACE">
      <w:start w:val="1"/>
      <w:numFmt w:val="upperLetter"/>
      <w:pStyle w:val="AppendixStyle1"/>
      <w:lvlText w:val="Appendix %1"/>
      <w:lvlJc w:val="left"/>
      <w:pPr>
        <w:ind w:left="8156" w:hanging="360"/>
      </w:pPr>
      <w:rPr>
        <w:rFonts w:hint="default"/>
        <w:bCs w:val="0"/>
        <w:i w:val="0"/>
        <w:iCs w:val="0"/>
        <w:caps w:val="0"/>
        <w:smallCaps w:val="0"/>
        <w:strike w:val="0"/>
        <w:dstrike w:val="0"/>
        <w:vanish w:val="0"/>
        <w:color w:val="000000"/>
        <w:spacing w:val="0"/>
        <w:kern w:val="0"/>
        <w:position w:val="0"/>
        <w:sz w:val="32"/>
        <w:szCs w:val="32"/>
        <w:u w:val="none"/>
        <w:effect w:val="none"/>
        <w:vertAlign w:val="baseline"/>
        <w:em w:val="none"/>
      </w:rPr>
    </w:lvl>
    <w:lvl w:ilvl="1" w:tplc="0C090019" w:tentative="1">
      <w:start w:val="1"/>
      <w:numFmt w:val="lowerLetter"/>
      <w:lvlText w:val="%2."/>
      <w:lvlJc w:val="left"/>
      <w:pPr>
        <w:ind w:left="3566" w:hanging="360"/>
      </w:pPr>
    </w:lvl>
    <w:lvl w:ilvl="2" w:tplc="0C09001B" w:tentative="1">
      <w:start w:val="1"/>
      <w:numFmt w:val="lowerRoman"/>
      <w:lvlText w:val="%3."/>
      <w:lvlJc w:val="right"/>
      <w:pPr>
        <w:ind w:left="4286" w:hanging="180"/>
      </w:pPr>
    </w:lvl>
    <w:lvl w:ilvl="3" w:tplc="0C09000F" w:tentative="1">
      <w:start w:val="1"/>
      <w:numFmt w:val="decimal"/>
      <w:lvlText w:val="%4."/>
      <w:lvlJc w:val="left"/>
      <w:pPr>
        <w:ind w:left="5006" w:hanging="360"/>
      </w:pPr>
    </w:lvl>
    <w:lvl w:ilvl="4" w:tplc="0C090019" w:tentative="1">
      <w:start w:val="1"/>
      <w:numFmt w:val="lowerLetter"/>
      <w:lvlText w:val="%5."/>
      <w:lvlJc w:val="left"/>
      <w:pPr>
        <w:ind w:left="5726" w:hanging="360"/>
      </w:pPr>
    </w:lvl>
    <w:lvl w:ilvl="5" w:tplc="0C09001B" w:tentative="1">
      <w:start w:val="1"/>
      <w:numFmt w:val="lowerRoman"/>
      <w:lvlText w:val="%6."/>
      <w:lvlJc w:val="right"/>
      <w:pPr>
        <w:ind w:left="6446" w:hanging="180"/>
      </w:pPr>
    </w:lvl>
    <w:lvl w:ilvl="6" w:tplc="0C09000F" w:tentative="1">
      <w:start w:val="1"/>
      <w:numFmt w:val="decimal"/>
      <w:lvlText w:val="%7."/>
      <w:lvlJc w:val="left"/>
      <w:pPr>
        <w:ind w:left="7166" w:hanging="360"/>
      </w:pPr>
    </w:lvl>
    <w:lvl w:ilvl="7" w:tplc="0C090019" w:tentative="1">
      <w:start w:val="1"/>
      <w:numFmt w:val="lowerLetter"/>
      <w:lvlText w:val="%8."/>
      <w:lvlJc w:val="left"/>
      <w:pPr>
        <w:ind w:left="7886" w:hanging="360"/>
      </w:pPr>
    </w:lvl>
    <w:lvl w:ilvl="8" w:tplc="0C09001B" w:tentative="1">
      <w:start w:val="1"/>
      <w:numFmt w:val="lowerRoman"/>
      <w:lvlText w:val="%9."/>
      <w:lvlJc w:val="right"/>
      <w:pPr>
        <w:ind w:left="8606" w:hanging="180"/>
      </w:pPr>
    </w:lvl>
  </w:abstractNum>
  <w:abstractNum w:abstractNumId="7" w15:restartNumberingAfterBreak="0">
    <w:nsid w:val="1907593B"/>
    <w:multiLevelType w:val="hybridMultilevel"/>
    <w:tmpl w:val="3C9EE528"/>
    <w:lvl w:ilvl="0" w:tplc="960231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6E0D92"/>
    <w:multiLevelType w:val="hybridMultilevel"/>
    <w:tmpl w:val="73ACFCB6"/>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6C7890"/>
    <w:multiLevelType w:val="hybridMultilevel"/>
    <w:tmpl w:val="DFD6D308"/>
    <w:lvl w:ilvl="0" w:tplc="DFB23B78">
      <w:numFmt w:val="bullet"/>
      <w:lvlText w:val="-"/>
      <w:lvlJc w:val="left"/>
      <w:pPr>
        <w:ind w:left="360" w:hanging="360"/>
      </w:pPr>
      <w:rPr>
        <w:rFonts w:ascii="Calibri" w:hAnsi="Calibri" w:cs="Times New Roman"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B27BFD"/>
    <w:multiLevelType w:val="multilevel"/>
    <w:tmpl w:val="B3C89B00"/>
    <w:lvl w:ilvl="0">
      <w:start w:val="1"/>
      <w:numFmt w:val="bullet"/>
      <w:pStyle w:val="01squarebullet"/>
      <w:lvlText w:val=""/>
      <w:lvlJc w:val="left"/>
      <w:pPr>
        <w:tabs>
          <w:tab w:val="num" w:pos="357"/>
        </w:tabs>
        <w:ind w:left="360" w:hanging="360"/>
      </w:pPr>
      <w:rPr>
        <w:rFonts w:ascii="Symbol" w:hAnsi="Symbol"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4shortdash"/>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11" w15:restartNumberingAfterBreak="0">
    <w:nsid w:val="21131BE9"/>
    <w:multiLevelType w:val="hybridMultilevel"/>
    <w:tmpl w:val="6638E1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6D4EE7C6">
      <w:start w:val="1"/>
      <w:numFmt w:val="bullet"/>
      <w:pStyle w:val="Bullet3"/>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593547"/>
    <w:multiLevelType w:val="multilevel"/>
    <w:tmpl w:val="8DB4AC64"/>
    <w:styleLink w:val="Style2"/>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13" w15:restartNumberingAfterBreak="0">
    <w:nsid w:val="24742B66"/>
    <w:multiLevelType w:val="hybridMultilevel"/>
    <w:tmpl w:val="4EF46102"/>
    <w:lvl w:ilvl="0" w:tplc="0C090001">
      <w:start w:val="1"/>
      <w:numFmt w:val="bullet"/>
      <w:lvlText w:val=""/>
      <w:lvlJc w:val="left"/>
      <w:pPr>
        <w:ind w:left="720" w:hanging="360"/>
      </w:pPr>
      <w:rPr>
        <w:rFonts w:ascii="Symbol" w:hAnsi="Symbol" w:hint="default"/>
      </w:rPr>
    </w:lvl>
    <w:lvl w:ilvl="1" w:tplc="016AB9E8">
      <w:start w:val="1"/>
      <w:numFmt w:val="bullet"/>
      <w:pStyle w:val="Bullet2"/>
      <w:lvlText w:val="–"/>
      <w:lvlJc w:val="left"/>
      <w:pPr>
        <w:ind w:left="1440" w:hanging="360"/>
      </w:pPr>
      <w:rPr>
        <w:rFonts w:ascii="Calibri" w:hAnsi="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1F7462"/>
    <w:multiLevelType w:val="hybridMultilevel"/>
    <w:tmpl w:val="4476C61C"/>
    <w:lvl w:ilvl="0" w:tplc="DFB23B78">
      <w:numFmt w:val="bullet"/>
      <w:lvlText w:val="-"/>
      <w:lvlJc w:val="left"/>
      <w:pPr>
        <w:ind w:left="360" w:hanging="360"/>
      </w:pPr>
      <w:rPr>
        <w:rFonts w:ascii="Calibri" w:hAnsi="Calibri" w:cs="Times New Roma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E2F4E2B"/>
    <w:multiLevelType w:val="multilevel"/>
    <w:tmpl w:val="3B966E82"/>
    <w:lvl w:ilvl="0">
      <w:start w:val="5"/>
      <w:numFmt w:val="decimal"/>
      <w:lvlText w:val="%1."/>
      <w:lvlJc w:val="left"/>
      <w:pPr>
        <w:ind w:left="444" w:hanging="444"/>
      </w:pPr>
      <w:rPr>
        <w:rFonts w:eastAsia="Times New Roman" w:cs="Times New Roman" w:hint="default"/>
        <w:b w:val="0"/>
        <w:i w:val="0"/>
        <w:color w:val="auto"/>
        <w:sz w:val="22"/>
      </w:rPr>
    </w:lvl>
    <w:lvl w:ilvl="1">
      <w:start w:val="13"/>
      <w:numFmt w:val="decimal"/>
      <w:lvlText w:val="%1.%2."/>
      <w:lvlJc w:val="left"/>
      <w:pPr>
        <w:ind w:left="720" w:hanging="720"/>
      </w:pPr>
      <w:rPr>
        <w:rFonts w:eastAsia="Times New Roman" w:cs="Times New Roman" w:hint="default"/>
        <w:b w:val="0"/>
        <w:i w:val="0"/>
        <w:color w:val="auto"/>
        <w:sz w:val="22"/>
      </w:rPr>
    </w:lvl>
    <w:lvl w:ilvl="2">
      <w:start w:val="1"/>
      <w:numFmt w:val="decimal"/>
      <w:lvlText w:val="%1.%2.%3."/>
      <w:lvlJc w:val="left"/>
      <w:pPr>
        <w:ind w:left="720" w:hanging="720"/>
      </w:pPr>
      <w:rPr>
        <w:rFonts w:eastAsia="Times New Roman" w:cs="Times New Roman" w:hint="default"/>
        <w:b w:val="0"/>
        <w:i w:val="0"/>
        <w:color w:val="auto"/>
        <w:sz w:val="22"/>
      </w:rPr>
    </w:lvl>
    <w:lvl w:ilvl="3">
      <w:start w:val="1"/>
      <w:numFmt w:val="decimal"/>
      <w:lvlText w:val="%1.%2.%3.%4."/>
      <w:lvlJc w:val="left"/>
      <w:pPr>
        <w:ind w:left="1080" w:hanging="1080"/>
      </w:pPr>
      <w:rPr>
        <w:rFonts w:eastAsia="Times New Roman" w:cs="Times New Roman" w:hint="default"/>
        <w:b w:val="0"/>
        <w:i w:val="0"/>
        <w:color w:val="auto"/>
        <w:sz w:val="22"/>
      </w:rPr>
    </w:lvl>
    <w:lvl w:ilvl="4">
      <w:start w:val="1"/>
      <w:numFmt w:val="decimal"/>
      <w:lvlText w:val="%1.%2.%3.%4.%5."/>
      <w:lvlJc w:val="left"/>
      <w:pPr>
        <w:ind w:left="1080" w:hanging="1080"/>
      </w:pPr>
      <w:rPr>
        <w:rFonts w:eastAsia="Times New Roman" w:cs="Times New Roman" w:hint="default"/>
        <w:b w:val="0"/>
        <w:i w:val="0"/>
        <w:color w:val="auto"/>
        <w:sz w:val="22"/>
      </w:rPr>
    </w:lvl>
    <w:lvl w:ilvl="5">
      <w:start w:val="1"/>
      <w:numFmt w:val="decimal"/>
      <w:lvlText w:val="%1.%2.%3.%4.%5.%6."/>
      <w:lvlJc w:val="left"/>
      <w:pPr>
        <w:ind w:left="1440" w:hanging="1440"/>
      </w:pPr>
      <w:rPr>
        <w:rFonts w:eastAsia="Times New Roman" w:cs="Times New Roman" w:hint="default"/>
        <w:b w:val="0"/>
        <w:i w:val="0"/>
        <w:color w:val="auto"/>
        <w:sz w:val="22"/>
      </w:rPr>
    </w:lvl>
    <w:lvl w:ilvl="6">
      <w:start w:val="1"/>
      <w:numFmt w:val="decimal"/>
      <w:lvlText w:val="%1.%2.%3.%4.%5.%6.%7."/>
      <w:lvlJc w:val="left"/>
      <w:pPr>
        <w:ind w:left="1440" w:hanging="1440"/>
      </w:pPr>
      <w:rPr>
        <w:rFonts w:eastAsia="Times New Roman" w:cs="Times New Roman" w:hint="default"/>
        <w:b w:val="0"/>
        <w:i w:val="0"/>
        <w:color w:val="auto"/>
        <w:sz w:val="22"/>
      </w:rPr>
    </w:lvl>
    <w:lvl w:ilvl="7">
      <w:start w:val="1"/>
      <w:numFmt w:val="decimal"/>
      <w:lvlText w:val="%1.%2.%3.%4.%5.%6.%7.%8."/>
      <w:lvlJc w:val="left"/>
      <w:pPr>
        <w:ind w:left="1800" w:hanging="1800"/>
      </w:pPr>
      <w:rPr>
        <w:rFonts w:eastAsia="Times New Roman" w:cs="Times New Roman" w:hint="default"/>
        <w:b w:val="0"/>
        <w:i w:val="0"/>
        <w:color w:val="auto"/>
        <w:sz w:val="22"/>
      </w:rPr>
    </w:lvl>
    <w:lvl w:ilvl="8">
      <w:start w:val="1"/>
      <w:numFmt w:val="decimal"/>
      <w:lvlText w:val="%1.%2.%3.%4.%5.%6.%7.%8.%9."/>
      <w:lvlJc w:val="left"/>
      <w:pPr>
        <w:ind w:left="1800" w:hanging="1800"/>
      </w:pPr>
      <w:rPr>
        <w:rFonts w:eastAsia="Times New Roman" w:cs="Times New Roman" w:hint="default"/>
        <w:b w:val="0"/>
        <w:i w:val="0"/>
        <w:color w:val="auto"/>
        <w:sz w:val="22"/>
      </w:rPr>
    </w:lvl>
  </w:abstractNum>
  <w:abstractNum w:abstractNumId="16" w15:restartNumberingAfterBreak="0">
    <w:nsid w:val="43F968D9"/>
    <w:multiLevelType w:val="hybridMultilevel"/>
    <w:tmpl w:val="1B026312"/>
    <w:lvl w:ilvl="0" w:tplc="0C1E34B8">
      <w:start w:val="1"/>
      <w:numFmt w:val="decimal"/>
      <w:pStyle w:val="Number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45535F4"/>
    <w:multiLevelType w:val="hybridMultilevel"/>
    <w:tmpl w:val="35AC557E"/>
    <w:lvl w:ilvl="0" w:tplc="11CE4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9E3CAA"/>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4DC71B52"/>
    <w:multiLevelType w:val="hybridMultilevel"/>
    <w:tmpl w:val="3758939A"/>
    <w:lvl w:ilvl="0" w:tplc="FAAAE8F6">
      <w:start w:val="1"/>
      <w:numFmt w:val="bullet"/>
      <w:pStyle w:val="Bulleted"/>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0" w15:restartNumberingAfterBreak="0">
    <w:nsid w:val="51770642"/>
    <w:multiLevelType w:val="multilevel"/>
    <w:tmpl w:val="6360F57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539952AA"/>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3B2FB7"/>
    <w:multiLevelType w:val="hybridMultilevel"/>
    <w:tmpl w:val="FF422B24"/>
    <w:lvl w:ilvl="0" w:tplc="DFB23B78">
      <w:numFmt w:val="bullet"/>
      <w:lvlText w:val="-"/>
      <w:lvlJc w:val="left"/>
      <w:pPr>
        <w:ind w:left="360" w:hanging="360"/>
      </w:pPr>
      <w:rPr>
        <w:rFonts w:ascii="Calibri" w:hAnsi="Calibri" w:cs="Times New Roman" w:hint="default"/>
        <w:color w:val="000000" w:themeColor="text1"/>
      </w:rPr>
    </w:lvl>
    <w:lvl w:ilvl="1" w:tplc="74B6F98C">
      <w:numFmt w:val="bullet"/>
      <w:lvlText w:val="-"/>
      <w:lvlJc w:val="left"/>
      <w:pPr>
        <w:ind w:left="1800" w:hanging="720"/>
      </w:pPr>
      <w:rPr>
        <w:rFonts w:ascii="Calibri" w:eastAsia="Times New Roman" w:hAnsi="Calibri" w:cs="Times New Roman" w:hint="default"/>
      </w:rPr>
    </w:lvl>
    <w:lvl w:ilvl="2" w:tplc="4FD8853A">
      <w:numFmt w:val="bullet"/>
      <w:lvlText w:val=""/>
      <w:lvlJc w:val="left"/>
      <w:pPr>
        <w:ind w:left="2520" w:hanging="720"/>
      </w:pPr>
      <w:rPr>
        <w:rFonts w:ascii="Symbol" w:eastAsia="Times New Roman"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74A11"/>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24" w15:restartNumberingAfterBreak="0">
    <w:nsid w:val="5F1E3AE9"/>
    <w:multiLevelType w:val="hybridMultilevel"/>
    <w:tmpl w:val="E9F4E4AE"/>
    <w:lvl w:ilvl="0" w:tplc="1DAE15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A67BDB"/>
    <w:multiLevelType w:val="hybridMultilevel"/>
    <w:tmpl w:val="AB80013A"/>
    <w:lvl w:ilvl="0" w:tplc="6F02FB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C053B5"/>
    <w:multiLevelType w:val="hybridMultilevel"/>
    <w:tmpl w:val="A86EF6AA"/>
    <w:lvl w:ilvl="0" w:tplc="DA5A5C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9153F"/>
    <w:multiLevelType w:val="hybridMultilevel"/>
    <w:tmpl w:val="EB723402"/>
    <w:lvl w:ilvl="0" w:tplc="A1A85CAC">
      <w:start w:val="1"/>
      <w:numFmt w:val="bullet"/>
      <w:pStyle w:val="NormalBulleted"/>
      <w:lvlText w:val="∆"/>
      <w:lvlJc w:val="left"/>
      <w:pPr>
        <w:ind w:left="431" w:hanging="431"/>
      </w:pPr>
      <w:rPr>
        <w:rFonts w:ascii="Calibri" w:hAnsi="Calibri" w:hint="default"/>
        <w:color w:val="B56012"/>
      </w:rPr>
    </w:lvl>
    <w:lvl w:ilvl="1" w:tplc="74B6F98C">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E02197"/>
    <w:multiLevelType w:val="multilevel"/>
    <w:tmpl w:val="76201C88"/>
    <w:lvl w:ilvl="0">
      <w:start w:val="1"/>
      <w:numFmt w:val="decimal"/>
      <w:pStyle w:val="Numbered"/>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3.%2"/>
      <w:lvlJc w:val="left"/>
      <w:pPr>
        <w:ind w:left="1418" w:hanging="141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E00D13"/>
    <w:multiLevelType w:val="hybridMultilevel"/>
    <w:tmpl w:val="96FE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853F36"/>
    <w:multiLevelType w:val="hybridMultilevel"/>
    <w:tmpl w:val="719A91F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0575B2"/>
    <w:multiLevelType w:val="multilevel"/>
    <w:tmpl w:val="B44443D0"/>
    <w:lvl w:ilvl="0">
      <w:start w:val="1"/>
      <w:numFmt w:val="decimal"/>
      <w:pStyle w:val="Heading1"/>
      <w:lvlText w:val="%1."/>
      <w:lvlJc w:val="left"/>
      <w:pPr>
        <w:ind w:left="4118" w:hanging="432"/>
      </w:pPr>
      <w:rPr>
        <w:rFonts w:hint="default"/>
      </w:rPr>
    </w:lvl>
    <w:lvl w:ilvl="1">
      <w:start w:val="1"/>
      <w:numFmt w:val="decimal"/>
      <w:pStyle w:val="Heading2"/>
      <w:lvlText w:val="%1.%2"/>
      <w:lvlJc w:val="left"/>
      <w:pPr>
        <w:ind w:left="6530" w:hanging="576"/>
      </w:pPr>
      <w:rPr>
        <w:rFonts w:hint="default"/>
      </w:rPr>
    </w:lvl>
    <w:lvl w:ilvl="2">
      <w:start w:val="1"/>
      <w:numFmt w:val="decimal"/>
      <w:pStyle w:val="Heading3Numbered"/>
      <w:lvlText w:val="%1.%2.%3"/>
      <w:lvlJc w:val="left"/>
      <w:pPr>
        <w:ind w:left="8658"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2" w15:restartNumberingAfterBreak="0">
    <w:nsid w:val="7DD516D9"/>
    <w:multiLevelType w:val="multilevel"/>
    <w:tmpl w:val="8BB884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EDB59BA"/>
    <w:multiLevelType w:val="multilevel"/>
    <w:tmpl w:val="8DB4AC64"/>
    <w:lvl w:ilvl="0">
      <w:start w:val="1"/>
      <w:numFmt w:val="bullet"/>
      <w:lvlText w:val="Δ"/>
      <w:lvlJc w:val="left"/>
      <w:pPr>
        <w:ind w:left="360" w:hanging="360"/>
      </w:pPr>
      <w:rPr>
        <w:rFonts w:ascii="Calibri" w:hAnsi="Calibri" w:cs="Times New Roman" w:hint="default"/>
        <w:color w:val="B66113"/>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lvl>
    <w:lvl w:ilvl="5">
      <w:start w:val="1"/>
      <w:numFmt w:val="lowerRoman"/>
      <w:lvlText w:val="(%6)"/>
      <w:lvlJc w:val="left"/>
      <w:pPr>
        <w:tabs>
          <w:tab w:val="num" w:pos="2237"/>
        </w:tabs>
        <w:ind w:left="2237" w:hanging="360"/>
      </w:pPr>
    </w:lvl>
    <w:lvl w:ilvl="6">
      <w:start w:val="1"/>
      <w:numFmt w:val="decimal"/>
      <w:lvlText w:val="%7."/>
      <w:lvlJc w:val="left"/>
      <w:pPr>
        <w:tabs>
          <w:tab w:val="num" w:pos="2597"/>
        </w:tabs>
        <w:ind w:left="2597" w:hanging="360"/>
      </w:pPr>
    </w:lvl>
    <w:lvl w:ilvl="7">
      <w:start w:val="1"/>
      <w:numFmt w:val="lowerLetter"/>
      <w:lvlText w:val="%8."/>
      <w:lvlJc w:val="left"/>
      <w:pPr>
        <w:tabs>
          <w:tab w:val="num" w:pos="2957"/>
        </w:tabs>
        <w:ind w:left="2957" w:hanging="360"/>
      </w:pPr>
    </w:lvl>
    <w:lvl w:ilvl="8">
      <w:start w:val="1"/>
      <w:numFmt w:val="lowerRoman"/>
      <w:lvlText w:val="%9."/>
      <w:lvlJc w:val="left"/>
      <w:pPr>
        <w:tabs>
          <w:tab w:val="num" w:pos="3317"/>
        </w:tabs>
        <w:ind w:left="3317" w:hanging="360"/>
      </w:pPr>
    </w:lvl>
  </w:abstractNum>
  <w:abstractNum w:abstractNumId="34" w15:restartNumberingAfterBreak="0">
    <w:nsid w:val="7EE32549"/>
    <w:multiLevelType w:val="hybridMultilevel"/>
    <w:tmpl w:val="FAECEC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3"/>
  </w:num>
  <w:num w:numId="3">
    <w:abstractNumId w:val="10"/>
  </w:num>
  <w:num w:numId="4">
    <w:abstractNumId w:val="6"/>
  </w:num>
  <w:num w:numId="5">
    <w:abstractNumId w:val="16"/>
  </w:num>
  <w:num w:numId="6">
    <w:abstractNumId w:val="31"/>
  </w:num>
  <w:num w:numId="7">
    <w:abstractNumId w:val="27"/>
  </w:num>
  <w:num w:numId="8">
    <w:abstractNumId w:val="19"/>
  </w:num>
  <w:num w:numId="9">
    <w:abstractNumId w:val="20"/>
  </w:num>
  <w:num w:numId="10">
    <w:abstractNumId w:val="34"/>
  </w:num>
  <w:num w:numId="11">
    <w:abstractNumId w:val="30"/>
  </w:num>
  <w:num w:numId="12">
    <w:abstractNumId w:val="28"/>
  </w:num>
  <w:num w:numId="13">
    <w:abstractNumId w:val="22"/>
  </w:num>
  <w:num w:numId="14">
    <w:abstractNumId w:val="9"/>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
  </w:num>
  <w:num w:numId="18">
    <w:abstractNumId w:val="8"/>
  </w:num>
  <w:num w:numId="19">
    <w:abstractNumId w:val="14"/>
  </w:num>
  <w:num w:numId="20">
    <w:abstractNumId w:val="18"/>
  </w:num>
  <w:num w:numId="21">
    <w:abstractNumId w:val="21"/>
  </w:num>
  <w:num w:numId="22">
    <w:abstractNumId w:val="0"/>
  </w:num>
  <w:num w:numId="23">
    <w:abstractNumId w:val="5"/>
  </w:num>
  <w:num w:numId="24">
    <w:abstractNumId w:val="31"/>
    <w:lvlOverride w:ilvl="0">
      <w:startOverride w:val="1"/>
    </w:lvlOverride>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17"/>
  </w:num>
  <w:num w:numId="39">
    <w:abstractNumId w:val="7"/>
  </w:num>
  <w:num w:numId="40">
    <w:abstractNumId w:val="26"/>
  </w:num>
  <w:num w:numId="41">
    <w:abstractNumId w:val="24"/>
  </w:num>
  <w:num w:numId="42">
    <w:abstractNumId w:val="3"/>
  </w:num>
  <w:num w:numId="43">
    <w:abstractNumId w:val="13"/>
  </w:num>
  <w:num w:numId="44">
    <w:abstractNumId w:val="13"/>
  </w:num>
  <w:num w:numId="45">
    <w:abstractNumId w:val="15"/>
  </w:num>
  <w:num w:numId="46">
    <w:abstractNumId w:val="12"/>
  </w:num>
  <w:num w:numId="47">
    <w:abstractNumId w:val="3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lvl w:ilvl="0">
        <w:numFmt w:val="decimal"/>
        <w:lvlText w:val=""/>
        <w:lvlJc w:val="left"/>
      </w:lvl>
    </w:lvlOverride>
    <w:lvlOverride w:ilvl="1">
      <w:startOverride w:val="1"/>
      <w:lvl w:ilvl="1">
        <w:start w:val="1"/>
        <w:numFmt w:val="bullet"/>
        <w:lvlText w:val="–"/>
        <w:lvlJc w:val="left"/>
        <w:pPr>
          <w:tabs>
            <w:tab w:val="num" w:pos="646"/>
          </w:tabs>
          <w:ind w:left="644" w:hanging="284"/>
        </w:pPr>
        <w:rPr>
          <w:rFonts w:ascii="Arial" w:hAnsi="Arial" w:cs="Times New Roman" w:hint="default"/>
          <w:color w:val="auto"/>
          <w:sz w:val="24"/>
        </w:rPr>
      </w:lvl>
    </w:lvlOverride>
    <w:lvlOverride w:ilvl="2">
      <w:lvl w:ilvl="2">
        <w:numFmt w:val="decimal"/>
        <w:lvlText w:val=""/>
        <w:lvlJc w:val="left"/>
      </w:lvl>
    </w:lvlOverride>
    <w:lvlOverride w:ilvl="3">
      <w:lvl w:ilvl="3">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9">
    <w:abstractNumId w:val="29"/>
  </w:num>
  <w:num w:numId="50">
    <w:abstractNumId w:val="27"/>
  </w:num>
  <w:num w:numId="51">
    <w:abstractNumId w:val="4"/>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PS full style PubMed superscript cit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s5xeapdpddpyexds6ppreypt5sp9spp2a5&quot;&gt;CWG report on endocrine pathology tests&lt;record-ids&gt;&lt;item&gt;1&lt;/item&gt;&lt;item&gt;2&lt;/item&gt;&lt;item&gt;3&lt;/item&gt;&lt;item&gt;4&lt;/item&gt;&lt;item&gt;5&lt;/item&gt;&lt;item&gt;6&lt;/item&gt;&lt;item&gt;7&lt;/item&gt;&lt;item&gt;8&lt;/item&gt;&lt;item&gt;9&lt;/item&gt;&lt;item&gt;10&lt;/item&gt;&lt;item&gt;12&lt;/item&gt;&lt;item&gt;13&lt;/item&gt;&lt;item&gt;14&lt;/item&gt;&lt;item&gt;15&lt;/item&gt;&lt;item&gt;16&lt;/item&gt;&lt;item&gt;17&lt;/item&gt;&lt;item&gt;18&lt;/item&gt;&lt;item&gt;19&lt;/item&gt;&lt;item&gt;20&lt;/item&gt;&lt;item&gt;21&lt;/item&gt;&lt;item&gt;23&lt;/item&gt;&lt;item&gt;24&lt;/item&gt;&lt;item&gt;25&lt;/item&gt;&lt;item&gt;26&lt;/item&gt;&lt;item&gt;27&lt;/item&gt;&lt;item&gt;28&lt;/item&gt;&lt;item&gt;29&lt;/item&gt;&lt;item&gt;30&lt;/item&gt;&lt;/record-ids&gt;&lt;/item&gt;&lt;/Libraries&gt;"/>
    <w:docVar w:name="IsNewDoc" w:val="No"/>
  </w:docVars>
  <w:rsids>
    <w:rsidRoot w:val="00093404"/>
    <w:rsid w:val="000006E3"/>
    <w:rsid w:val="0000150F"/>
    <w:rsid w:val="00001F7B"/>
    <w:rsid w:val="00002477"/>
    <w:rsid w:val="00002678"/>
    <w:rsid w:val="00002A0C"/>
    <w:rsid w:val="000036E5"/>
    <w:rsid w:val="000044E9"/>
    <w:rsid w:val="00004920"/>
    <w:rsid w:val="00004CCA"/>
    <w:rsid w:val="0000566B"/>
    <w:rsid w:val="00006915"/>
    <w:rsid w:val="0000693D"/>
    <w:rsid w:val="00006AE9"/>
    <w:rsid w:val="00007CFB"/>
    <w:rsid w:val="000107B3"/>
    <w:rsid w:val="0001084A"/>
    <w:rsid w:val="0001359C"/>
    <w:rsid w:val="00013881"/>
    <w:rsid w:val="0001393A"/>
    <w:rsid w:val="000140C8"/>
    <w:rsid w:val="00014712"/>
    <w:rsid w:val="00014B3B"/>
    <w:rsid w:val="0001545C"/>
    <w:rsid w:val="00015973"/>
    <w:rsid w:val="00017563"/>
    <w:rsid w:val="00020196"/>
    <w:rsid w:val="00020431"/>
    <w:rsid w:val="00020587"/>
    <w:rsid w:val="000206BB"/>
    <w:rsid w:val="00020E0E"/>
    <w:rsid w:val="00021658"/>
    <w:rsid w:val="00021A9A"/>
    <w:rsid w:val="00022E87"/>
    <w:rsid w:val="0002353D"/>
    <w:rsid w:val="00023C89"/>
    <w:rsid w:val="00024230"/>
    <w:rsid w:val="00024FE0"/>
    <w:rsid w:val="000253EC"/>
    <w:rsid w:val="00027148"/>
    <w:rsid w:val="000278CF"/>
    <w:rsid w:val="00027C07"/>
    <w:rsid w:val="00027FC8"/>
    <w:rsid w:val="0003055F"/>
    <w:rsid w:val="000309CE"/>
    <w:rsid w:val="00031095"/>
    <w:rsid w:val="00031ADE"/>
    <w:rsid w:val="00031E6C"/>
    <w:rsid w:val="00031F0C"/>
    <w:rsid w:val="00031F39"/>
    <w:rsid w:val="00032108"/>
    <w:rsid w:val="000337EF"/>
    <w:rsid w:val="00033DA4"/>
    <w:rsid w:val="0003544F"/>
    <w:rsid w:val="00035A74"/>
    <w:rsid w:val="00036C0E"/>
    <w:rsid w:val="00040940"/>
    <w:rsid w:val="00040EAC"/>
    <w:rsid w:val="00040F54"/>
    <w:rsid w:val="000411E6"/>
    <w:rsid w:val="00042A17"/>
    <w:rsid w:val="00043742"/>
    <w:rsid w:val="000440C2"/>
    <w:rsid w:val="000441C6"/>
    <w:rsid w:val="00045495"/>
    <w:rsid w:val="000459AD"/>
    <w:rsid w:val="00045F1B"/>
    <w:rsid w:val="00045F6B"/>
    <w:rsid w:val="00046AF0"/>
    <w:rsid w:val="00046C9C"/>
    <w:rsid w:val="00047145"/>
    <w:rsid w:val="00047FB5"/>
    <w:rsid w:val="000501C9"/>
    <w:rsid w:val="00050ED2"/>
    <w:rsid w:val="00050EF0"/>
    <w:rsid w:val="00051058"/>
    <w:rsid w:val="000531AF"/>
    <w:rsid w:val="000537C0"/>
    <w:rsid w:val="00054036"/>
    <w:rsid w:val="000544D2"/>
    <w:rsid w:val="00054D62"/>
    <w:rsid w:val="0005522D"/>
    <w:rsid w:val="0005557F"/>
    <w:rsid w:val="000558E5"/>
    <w:rsid w:val="00056CF7"/>
    <w:rsid w:val="00057AB0"/>
    <w:rsid w:val="00057F0D"/>
    <w:rsid w:val="00060C76"/>
    <w:rsid w:val="00061127"/>
    <w:rsid w:val="000612DC"/>
    <w:rsid w:val="000612E4"/>
    <w:rsid w:val="0006140B"/>
    <w:rsid w:val="0006177C"/>
    <w:rsid w:val="00062404"/>
    <w:rsid w:val="00062B74"/>
    <w:rsid w:val="0006309D"/>
    <w:rsid w:val="00064465"/>
    <w:rsid w:val="0006464C"/>
    <w:rsid w:val="00064A52"/>
    <w:rsid w:val="0006504A"/>
    <w:rsid w:val="000653C1"/>
    <w:rsid w:val="000655C1"/>
    <w:rsid w:val="00065ADB"/>
    <w:rsid w:val="00066AF2"/>
    <w:rsid w:val="00067BEC"/>
    <w:rsid w:val="00070239"/>
    <w:rsid w:val="00070347"/>
    <w:rsid w:val="000703EC"/>
    <w:rsid w:val="000707D3"/>
    <w:rsid w:val="00070CD8"/>
    <w:rsid w:val="0007194A"/>
    <w:rsid w:val="0007261D"/>
    <w:rsid w:val="00072D68"/>
    <w:rsid w:val="00073660"/>
    <w:rsid w:val="000737C9"/>
    <w:rsid w:val="00074357"/>
    <w:rsid w:val="000744E0"/>
    <w:rsid w:val="0007506F"/>
    <w:rsid w:val="0007623D"/>
    <w:rsid w:val="000765ED"/>
    <w:rsid w:val="00076AB6"/>
    <w:rsid w:val="00076C83"/>
    <w:rsid w:val="000801A7"/>
    <w:rsid w:val="00081875"/>
    <w:rsid w:val="00081DD2"/>
    <w:rsid w:val="00081F8E"/>
    <w:rsid w:val="00082219"/>
    <w:rsid w:val="00082CEB"/>
    <w:rsid w:val="000831DB"/>
    <w:rsid w:val="000838B7"/>
    <w:rsid w:val="00083CF7"/>
    <w:rsid w:val="00083E2A"/>
    <w:rsid w:val="0008448B"/>
    <w:rsid w:val="00084B53"/>
    <w:rsid w:val="00084F7A"/>
    <w:rsid w:val="0008648C"/>
    <w:rsid w:val="000869E6"/>
    <w:rsid w:val="00086AFF"/>
    <w:rsid w:val="00086C40"/>
    <w:rsid w:val="00086FD0"/>
    <w:rsid w:val="0008778F"/>
    <w:rsid w:val="00087975"/>
    <w:rsid w:val="00091AC3"/>
    <w:rsid w:val="000923EA"/>
    <w:rsid w:val="00092463"/>
    <w:rsid w:val="0009284F"/>
    <w:rsid w:val="00092AB5"/>
    <w:rsid w:val="00093404"/>
    <w:rsid w:val="00094411"/>
    <w:rsid w:val="000959B5"/>
    <w:rsid w:val="00097A82"/>
    <w:rsid w:val="000A0939"/>
    <w:rsid w:val="000A0C01"/>
    <w:rsid w:val="000A126D"/>
    <w:rsid w:val="000A2C3B"/>
    <w:rsid w:val="000A38E3"/>
    <w:rsid w:val="000A3C55"/>
    <w:rsid w:val="000A3FBE"/>
    <w:rsid w:val="000A4EF9"/>
    <w:rsid w:val="000A5376"/>
    <w:rsid w:val="000A705B"/>
    <w:rsid w:val="000B0FB3"/>
    <w:rsid w:val="000B167F"/>
    <w:rsid w:val="000B18FD"/>
    <w:rsid w:val="000B197F"/>
    <w:rsid w:val="000B24D3"/>
    <w:rsid w:val="000B2534"/>
    <w:rsid w:val="000B2AAD"/>
    <w:rsid w:val="000B30AF"/>
    <w:rsid w:val="000B3DCA"/>
    <w:rsid w:val="000B48DB"/>
    <w:rsid w:val="000B4B1F"/>
    <w:rsid w:val="000B4CE8"/>
    <w:rsid w:val="000B4D61"/>
    <w:rsid w:val="000B4EB8"/>
    <w:rsid w:val="000B5054"/>
    <w:rsid w:val="000B52C9"/>
    <w:rsid w:val="000B544F"/>
    <w:rsid w:val="000B710A"/>
    <w:rsid w:val="000B7216"/>
    <w:rsid w:val="000B76F2"/>
    <w:rsid w:val="000B7F3F"/>
    <w:rsid w:val="000C0CE4"/>
    <w:rsid w:val="000C10BE"/>
    <w:rsid w:val="000C2086"/>
    <w:rsid w:val="000C2699"/>
    <w:rsid w:val="000C2768"/>
    <w:rsid w:val="000C366C"/>
    <w:rsid w:val="000C4035"/>
    <w:rsid w:val="000C41CB"/>
    <w:rsid w:val="000C421B"/>
    <w:rsid w:val="000C4756"/>
    <w:rsid w:val="000C498A"/>
    <w:rsid w:val="000C548F"/>
    <w:rsid w:val="000C54E8"/>
    <w:rsid w:val="000C565E"/>
    <w:rsid w:val="000C5F18"/>
    <w:rsid w:val="000C70F5"/>
    <w:rsid w:val="000C7A37"/>
    <w:rsid w:val="000C7B86"/>
    <w:rsid w:val="000D1176"/>
    <w:rsid w:val="000D14E3"/>
    <w:rsid w:val="000D1905"/>
    <w:rsid w:val="000D1CF6"/>
    <w:rsid w:val="000D25AD"/>
    <w:rsid w:val="000D2E96"/>
    <w:rsid w:val="000D3691"/>
    <w:rsid w:val="000D4345"/>
    <w:rsid w:val="000D4490"/>
    <w:rsid w:val="000D5132"/>
    <w:rsid w:val="000D532B"/>
    <w:rsid w:val="000D5C22"/>
    <w:rsid w:val="000D5E90"/>
    <w:rsid w:val="000D677B"/>
    <w:rsid w:val="000D68B2"/>
    <w:rsid w:val="000D6BFF"/>
    <w:rsid w:val="000D6C33"/>
    <w:rsid w:val="000D73DF"/>
    <w:rsid w:val="000D7716"/>
    <w:rsid w:val="000D7F4F"/>
    <w:rsid w:val="000E015A"/>
    <w:rsid w:val="000E03E7"/>
    <w:rsid w:val="000E0690"/>
    <w:rsid w:val="000E07AD"/>
    <w:rsid w:val="000E0950"/>
    <w:rsid w:val="000E13E8"/>
    <w:rsid w:val="000E1934"/>
    <w:rsid w:val="000E1B03"/>
    <w:rsid w:val="000E1BE2"/>
    <w:rsid w:val="000E28DA"/>
    <w:rsid w:val="000E2F64"/>
    <w:rsid w:val="000E347D"/>
    <w:rsid w:val="000E39CD"/>
    <w:rsid w:val="000E4A79"/>
    <w:rsid w:val="000E521E"/>
    <w:rsid w:val="000E5530"/>
    <w:rsid w:val="000E5E69"/>
    <w:rsid w:val="000E6B0A"/>
    <w:rsid w:val="000E6C56"/>
    <w:rsid w:val="000E70E3"/>
    <w:rsid w:val="000E7727"/>
    <w:rsid w:val="000F0B7D"/>
    <w:rsid w:val="000F0D2A"/>
    <w:rsid w:val="000F0F68"/>
    <w:rsid w:val="000F0F7F"/>
    <w:rsid w:val="000F2CDA"/>
    <w:rsid w:val="000F2E2B"/>
    <w:rsid w:val="000F2E9B"/>
    <w:rsid w:val="000F3C1E"/>
    <w:rsid w:val="000F3F4F"/>
    <w:rsid w:val="000F4DB6"/>
    <w:rsid w:val="000F5115"/>
    <w:rsid w:val="000F6378"/>
    <w:rsid w:val="000F6A75"/>
    <w:rsid w:val="000F705F"/>
    <w:rsid w:val="000F72BF"/>
    <w:rsid w:val="000F7608"/>
    <w:rsid w:val="000F7D1F"/>
    <w:rsid w:val="0010003C"/>
    <w:rsid w:val="0010008F"/>
    <w:rsid w:val="00101268"/>
    <w:rsid w:val="00101410"/>
    <w:rsid w:val="00101DE4"/>
    <w:rsid w:val="00101E86"/>
    <w:rsid w:val="00103DA5"/>
    <w:rsid w:val="00104311"/>
    <w:rsid w:val="00105EB2"/>
    <w:rsid w:val="00106078"/>
    <w:rsid w:val="0010664E"/>
    <w:rsid w:val="00106987"/>
    <w:rsid w:val="00107B15"/>
    <w:rsid w:val="001104FA"/>
    <w:rsid w:val="00110719"/>
    <w:rsid w:val="0011099B"/>
    <w:rsid w:val="0011158E"/>
    <w:rsid w:val="0011166D"/>
    <w:rsid w:val="00111A0E"/>
    <w:rsid w:val="001121E7"/>
    <w:rsid w:val="001122B9"/>
    <w:rsid w:val="00112C49"/>
    <w:rsid w:val="00113907"/>
    <w:rsid w:val="001141BB"/>
    <w:rsid w:val="001143E8"/>
    <w:rsid w:val="00114E0F"/>
    <w:rsid w:val="00115549"/>
    <w:rsid w:val="001156AF"/>
    <w:rsid w:val="00115F6A"/>
    <w:rsid w:val="00116136"/>
    <w:rsid w:val="00116BB6"/>
    <w:rsid w:val="0011770F"/>
    <w:rsid w:val="001201D4"/>
    <w:rsid w:val="0012096A"/>
    <w:rsid w:val="00120E25"/>
    <w:rsid w:val="00122E25"/>
    <w:rsid w:val="00123147"/>
    <w:rsid w:val="00123D3B"/>
    <w:rsid w:val="00124A29"/>
    <w:rsid w:val="00125F82"/>
    <w:rsid w:val="00126E67"/>
    <w:rsid w:val="0012701C"/>
    <w:rsid w:val="00127BD9"/>
    <w:rsid w:val="00131578"/>
    <w:rsid w:val="00132336"/>
    <w:rsid w:val="001329BB"/>
    <w:rsid w:val="00132F58"/>
    <w:rsid w:val="00135D05"/>
    <w:rsid w:val="0013638A"/>
    <w:rsid w:val="00136C3E"/>
    <w:rsid w:val="00142C57"/>
    <w:rsid w:val="0014315F"/>
    <w:rsid w:val="0014366A"/>
    <w:rsid w:val="00143948"/>
    <w:rsid w:val="00143A60"/>
    <w:rsid w:val="00145358"/>
    <w:rsid w:val="001453BB"/>
    <w:rsid w:val="001461F3"/>
    <w:rsid w:val="0014694A"/>
    <w:rsid w:val="001472FA"/>
    <w:rsid w:val="00150C38"/>
    <w:rsid w:val="0015141E"/>
    <w:rsid w:val="001514D7"/>
    <w:rsid w:val="001518DA"/>
    <w:rsid w:val="00151AAE"/>
    <w:rsid w:val="00151F01"/>
    <w:rsid w:val="00152849"/>
    <w:rsid w:val="00152C99"/>
    <w:rsid w:val="001530FC"/>
    <w:rsid w:val="00153816"/>
    <w:rsid w:val="001545AB"/>
    <w:rsid w:val="001548FB"/>
    <w:rsid w:val="0015505E"/>
    <w:rsid w:val="001553A5"/>
    <w:rsid w:val="001560F9"/>
    <w:rsid w:val="00157102"/>
    <w:rsid w:val="00157337"/>
    <w:rsid w:val="0015789A"/>
    <w:rsid w:val="00157F85"/>
    <w:rsid w:val="00160601"/>
    <w:rsid w:val="001614A0"/>
    <w:rsid w:val="001629A1"/>
    <w:rsid w:val="001629F3"/>
    <w:rsid w:val="001631CB"/>
    <w:rsid w:val="00163874"/>
    <w:rsid w:val="00163AA0"/>
    <w:rsid w:val="001643F5"/>
    <w:rsid w:val="00164423"/>
    <w:rsid w:val="0016604A"/>
    <w:rsid w:val="0016694A"/>
    <w:rsid w:val="00166CAF"/>
    <w:rsid w:val="00166D14"/>
    <w:rsid w:val="00167150"/>
    <w:rsid w:val="001672F2"/>
    <w:rsid w:val="001677C8"/>
    <w:rsid w:val="0016786F"/>
    <w:rsid w:val="001700F4"/>
    <w:rsid w:val="001701C0"/>
    <w:rsid w:val="001704D2"/>
    <w:rsid w:val="00170846"/>
    <w:rsid w:val="0017098E"/>
    <w:rsid w:val="00170F32"/>
    <w:rsid w:val="00171193"/>
    <w:rsid w:val="001717C6"/>
    <w:rsid w:val="00171BA8"/>
    <w:rsid w:val="00171DB2"/>
    <w:rsid w:val="001722C6"/>
    <w:rsid w:val="0017270D"/>
    <w:rsid w:val="001727E3"/>
    <w:rsid w:val="00172A0E"/>
    <w:rsid w:val="00174822"/>
    <w:rsid w:val="00174940"/>
    <w:rsid w:val="00174BD7"/>
    <w:rsid w:val="00175BCE"/>
    <w:rsid w:val="00176080"/>
    <w:rsid w:val="00176F32"/>
    <w:rsid w:val="00177E5A"/>
    <w:rsid w:val="00177E9F"/>
    <w:rsid w:val="0018075E"/>
    <w:rsid w:val="001807AC"/>
    <w:rsid w:val="001807ED"/>
    <w:rsid w:val="00181C5E"/>
    <w:rsid w:val="001825EC"/>
    <w:rsid w:val="00182A9B"/>
    <w:rsid w:val="00182CAC"/>
    <w:rsid w:val="00183251"/>
    <w:rsid w:val="0018384D"/>
    <w:rsid w:val="0018389D"/>
    <w:rsid w:val="00184199"/>
    <w:rsid w:val="001842C4"/>
    <w:rsid w:val="001849D5"/>
    <w:rsid w:val="00186CD0"/>
    <w:rsid w:val="00187050"/>
    <w:rsid w:val="001871A8"/>
    <w:rsid w:val="00187333"/>
    <w:rsid w:val="00187F36"/>
    <w:rsid w:val="00190347"/>
    <w:rsid w:val="001906B0"/>
    <w:rsid w:val="00191078"/>
    <w:rsid w:val="0019117E"/>
    <w:rsid w:val="00192413"/>
    <w:rsid w:val="001925E8"/>
    <w:rsid w:val="00192B0B"/>
    <w:rsid w:val="00192F97"/>
    <w:rsid w:val="001937BB"/>
    <w:rsid w:val="001938F8"/>
    <w:rsid w:val="001951F7"/>
    <w:rsid w:val="00195D92"/>
    <w:rsid w:val="00196AA8"/>
    <w:rsid w:val="00196F67"/>
    <w:rsid w:val="00197283"/>
    <w:rsid w:val="0019747D"/>
    <w:rsid w:val="0019781D"/>
    <w:rsid w:val="00197F7F"/>
    <w:rsid w:val="001A10D5"/>
    <w:rsid w:val="001A128A"/>
    <w:rsid w:val="001A1B51"/>
    <w:rsid w:val="001A2772"/>
    <w:rsid w:val="001A2F4C"/>
    <w:rsid w:val="001A3164"/>
    <w:rsid w:val="001A3D86"/>
    <w:rsid w:val="001A4AEB"/>
    <w:rsid w:val="001A5017"/>
    <w:rsid w:val="001A56B3"/>
    <w:rsid w:val="001A71AB"/>
    <w:rsid w:val="001A7644"/>
    <w:rsid w:val="001B0195"/>
    <w:rsid w:val="001B05C2"/>
    <w:rsid w:val="001B0EFC"/>
    <w:rsid w:val="001B1416"/>
    <w:rsid w:val="001B1EC2"/>
    <w:rsid w:val="001B21CA"/>
    <w:rsid w:val="001B3443"/>
    <w:rsid w:val="001B36A2"/>
    <w:rsid w:val="001B44C3"/>
    <w:rsid w:val="001B4762"/>
    <w:rsid w:val="001B5B16"/>
    <w:rsid w:val="001B7A86"/>
    <w:rsid w:val="001B7D4C"/>
    <w:rsid w:val="001B7DCA"/>
    <w:rsid w:val="001C032F"/>
    <w:rsid w:val="001C1428"/>
    <w:rsid w:val="001C152C"/>
    <w:rsid w:val="001C1650"/>
    <w:rsid w:val="001C172A"/>
    <w:rsid w:val="001C1BDF"/>
    <w:rsid w:val="001C2780"/>
    <w:rsid w:val="001C2AA1"/>
    <w:rsid w:val="001C2CAA"/>
    <w:rsid w:val="001C2D99"/>
    <w:rsid w:val="001C2FE0"/>
    <w:rsid w:val="001C37C5"/>
    <w:rsid w:val="001C3D07"/>
    <w:rsid w:val="001C5E1D"/>
    <w:rsid w:val="001C5E2F"/>
    <w:rsid w:val="001C610D"/>
    <w:rsid w:val="001C79A8"/>
    <w:rsid w:val="001D0D1A"/>
    <w:rsid w:val="001D0F3F"/>
    <w:rsid w:val="001D1098"/>
    <w:rsid w:val="001D226A"/>
    <w:rsid w:val="001D2AF1"/>
    <w:rsid w:val="001D4C7C"/>
    <w:rsid w:val="001D507E"/>
    <w:rsid w:val="001D658B"/>
    <w:rsid w:val="001D7199"/>
    <w:rsid w:val="001D73E5"/>
    <w:rsid w:val="001D7C3C"/>
    <w:rsid w:val="001D7C4E"/>
    <w:rsid w:val="001D7F51"/>
    <w:rsid w:val="001E0A42"/>
    <w:rsid w:val="001E0B5F"/>
    <w:rsid w:val="001E146E"/>
    <w:rsid w:val="001E1B30"/>
    <w:rsid w:val="001E2467"/>
    <w:rsid w:val="001E26B2"/>
    <w:rsid w:val="001E2778"/>
    <w:rsid w:val="001E2E7D"/>
    <w:rsid w:val="001E2FA6"/>
    <w:rsid w:val="001E3134"/>
    <w:rsid w:val="001E3E01"/>
    <w:rsid w:val="001E3E7E"/>
    <w:rsid w:val="001E4930"/>
    <w:rsid w:val="001E59A7"/>
    <w:rsid w:val="001E68C9"/>
    <w:rsid w:val="001E7BD7"/>
    <w:rsid w:val="001F012F"/>
    <w:rsid w:val="001F051E"/>
    <w:rsid w:val="001F0F85"/>
    <w:rsid w:val="001F1135"/>
    <w:rsid w:val="001F134F"/>
    <w:rsid w:val="001F1810"/>
    <w:rsid w:val="001F297A"/>
    <w:rsid w:val="001F45A9"/>
    <w:rsid w:val="001F50C1"/>
    <w:rsid w:val="001F7873"/>
    <w:rsid w:val="002009CD"/>
    <w:rsid w:val="00200F16"/>
    <w:rsid w:val="00201125"/>
    <w:rsid w:val="0020199E"/>
    <w:rsid w:val="00202BC7"/>
    <w:rsid w:val="00202DB4"/>
    <w:rsid w:val="00204534"/>
    <w:rsid w:val="00204BEE"/>
    <w:rsid w:val="0020555B"/>
    <w:rsid w:val="00205BC3"/>
    <w:rsid w:val="00205C46"/>
    <w:rsid w:val="00206F6E"/>
    <w:rsid w:val="00206FF1"/>
    <w:rsid w:val="002074CE"/>
    <w:rsid w:val="0020796B"/>
    <w:rsid w:val="002079A4"/>
    <w:rsid w:val="002105F7"/>
    <w:rsid w:val="0021097C"/>
    <w:rsid w:val="00210A7C"/>
    <w:rsid w:val="00211A73"/>
    <w:rsid w:val="00211FE7"/>
    <w:rsid w:val="002129AE"/>
    <w:rsid w:val="00212AF8"/>
    <w:rsid w:val="00212BB5"/>
    <w:rsid w:val="002132C5"/>
    <w:rsid w:val="00213592"/>
    <w:rsid w:val="002147B7"/>
    <w:rsid w:val="00214AF6"/>
    <w:rsid w:val="00215607"/>
    <w:rsid w:val="00215CDD"/>
    <w:rsid w:val="002161AE"/>
    <w:rsid w:val="00216340"/>
    <w:rsid w:val="00216901"/>
    <w:rsid w:val="00216DD6"/>
    <w:rsid w:val="002173D9"/>
    <w:rsid w:val="002175F5"/>
    <w:rsid w:val="0021772A"/>
    <w:rsid w:val="00220C72"/>
    <w:rsid w:val="00221664"/>
    <w:rsid w:val="0022219C"/>
    <w:rsid w:val="002227B6"/>
    <w:rsid w:val="002229DB"/>
    <w:rsid w:val="00222E2F"/>
    <w:rsid w:val="0022331C"/>
    <w:rsid w:val="00224135"/>
    <w:rsid w:val="00224AC8"/>
    <w:rsid w:val="00225887"/>
    <w:rsid w:val="002262DB"/>
    <w:rsid w:val="002269B5"/>
    <w:rsid w:val="00226CA6"/>
    <w:rsid w:val="0022729C"/>
    <w:rsid w:val="00227512"/>
    <w:rsid w:val="00230619"/>
    <w:rsid w:val="0023138C"/>
    <w:rsid w:val="00233CC6"/>
    <w:rsid w:val="002345FA"/>
    <w:rsid w:val="002355B4"/>
    <w:rsid w:val="00235840"/>
    <w:rsid w:val="00235892"/>
    <w:rsid w:val="00235DD0"/>
    <w:rsid w:val="00236BB7"/>
    <w:rsid w:val="00236FB1"/>
    <w:rsid w:val="00237403"/>
    <w:rsid w:val="002378DB"/>
    <w:rsid w:val="00237BA5"/>
    <w:rsid w:val="002400C9"/>
    <w:rsid w:val="002407CB"/>
    <w:rsid w:val="00240A81"/>
    <w:rsid w:val="00240CAF"/>
    <w:rsid w:val="00240E05"/>
    <w:rsid w:val="00241429"/>
    <w:rsid w:val="00241D60"/>
    <w:rsid w:val="00241E3C"/>
    <w:rsid w:val="002429D9"/>
    <w:rsid w:val="0024332A"/>
    <w:rsid w:val="00243A06"/>
    <w:rsid w:val="00243BE2"/>
    <w:rsid w:val="00244CFB"/>
    <w:rsid w:val="002454FD"/>
    <w:rsid w:val="0024720B"/>
    <w:rsid w:val="002477A3"/>
    <w:rsid w:val="002478C9"/>
    <w:rsid w:val="00250831"/>
    <w:rsid w:val="002508D0"/>
    <w:rsid w:val="0025096F"/>
    <w:rsid w:val="002513F9"/>
    <w:rsid w:val="00251B9C"/>
    <w:rsid w:val="00251EEE"/>
    <w:rsid w:val="00251FF0"/>
    <w:rsid w:val="00252AC9"/>
    <w:rsid w:val="0025322B"/>
    <w:rsid w:val="00253414"/>
    <w:rsid w:val="00253780"/>
    <w:rsid w:val="00253F2C"/>
    <w:rsid w:val="0025405E"/>
    <w:rsid w:val="00254BE8"/>
    <w:rsid w:val="002552B6"/>
    <w:rsid w:val="00255AD3"/>
    <w:rsid w:val="00255E89"/>
    <w:rsid w:val="00256FEA"/>
    <w:rsid w:val="0025740C"/>
    <w:rsid w:val="002575B0"/>
    <w:rsid w:val="00257CB6"/>
    <w:rsid w:val="00257F6B"/>
    <w:rsid w:val="0026010C"/>
    <w:rsid w:val="00262127"/>
    <w:rsid w:val="00264364"/>
    <w:rsid w:val="002647E1"/>
    <w:rsid w:val="00264A6B"/>
    <w:rsid w:val="00265446"/>
    <w:rsid w:val="00265DC7"/>
    <w:rsid w:val="00266013"/>
    <w:rsid w:val="00266262"/>
    <w:rsid w:val="00266516"/>
    <w:rsid w:val="0026678E"/>
    <w:rsid w:val="00266968"/>
    <w:rsid w:val="00267E18"/>
    <w:rsid w:val="0027084B"/>
    <w:rsid w:val="00270866"/>
    <w:rsid w:val="00270DA4"/>
    <w:rsid w:val="00270E97"/>
    <w:rsid w:val="00270F66"/>
    <w:rsid w:val="00272695"/>
    <w:rsid w:val="0027331F"/>
    <w:rsid w:val="00273B42"/>
    <w:rsid w:val="002741EF"/>
    <w:rsid w:val="0027474C"/>
    <w:rsid w:val="002755AF"/>
    <w:rsid w:val="00276A36"/>
    <w:rsid w:val="00277043"/>
    <w:rsid w:val="00277BC0"/>
    <w:rsid w:val="0028172C"/>
    <w:rsid w:val="00281A36"/>
    <w:rsid w:val="00283024"/>
    <w:rsid w:val="00283359"/>
    <w:rsid w:val="0028345C"/>
    <w:rsid w:val="002843C6"/>
    <w:rsid w:val="00284E84"/>
    <w:rsid w:val="00285E03"/>
    <w:rsid w:val="002866D5"/>
    <w:rsid w:val="00286922"/>
    <w:rsid w:val="00286DBC"/>
    <w:rsid w:val="00287FA4"/>
    <w:rsid w:val="00290D04"/>
    <w:rsid w:val="00291A31"/>
    <w:rsid w:val="00291BF6"/>
    <w:rsid w:val="002926F0"/>
    <w:rsid w:val="00292C7A"/>
    <w:rsid w:val="0029368F"/>
    <w:rsid w:val="00293AD6"/>
    <w:rsid w:val="00293C64"/>
    <w:rsid w:val="002945B4"/>
    <w:rsid w:val="00294895"/>
    <w:rsid w:val="00295167"/>
    <w:rsid w:val="00295954"/>
    <w:rsid w:val="00295AF0"/>
    <w:rsid w:val="00296439"/>
    <w:rsid w:val="00296C96"/>
    <w:rsid w:val="00297CD3"/>
    <w:rsid w:val="002A01FE"/>
    <w:rsid w:val="002A0BF1"/>
    <w:rsid w:val="002A1285"/>
    <w:rsid w:val="002A1546"/>
    <w:rsid w:val="002A1756"/>
    <w:rsid w:val="002A293E"/>
    <w:rsid w:val="002A2D68"/>
    <w:rsid w:val="002A3863"/>
    <w:rsid w:val="002A389E"/>
    <w:rsid w:val="002A53CD"/>
    <w:rsid w:val="002A5C75"/>
    <w:rsid w:val="002A5E16"/>
    <w:rsid w:val="002A614A"/>
    <w:rsid w:val="002A62B0"/>
    <w:rsid w:val="002B03B0"/>
    <w:rsid w:val="002B0BC7"/>
    <w:rsid w:val="002B11A3"/>
    <w:rsid w:val="002B137D"/>
    <w:rsid w:val="002B1D8A"/>
    <w:rsid w:val="002B1F64"/>
    <w:rsid w:val="002B2866"/>
    <w:rsid w:val="002B2D5B"/>
    <w:rsid w:val="002B2D9F"/>
    <w:rsid w:val="002B2E9C"/>
    <w:rsid w:val="002B37F6"/>
    <w:rsid w:val="002B42C5"/>
    <w:rsid w:val="002B462B"/>
    <w:rsid w:val="002B51FB"/>
    <w:rsid w:val="002B65D4"/>
    <w:rsid w:val="002B7C6B"/>
    <w:rsid w:val="002C289D"/>
    <w:rsid w:val="002C2A74"/>
    <w:rsid w:val="002C3AA9"/>
    <w:rsid w:val="002C450D"/>
    <w:rsid w:val="002C4900"/>
    <w:rsid w:val="002C4BDA"/>
    <w:rsid w:val="002C51A3"/>
    <w:rsid w:val="002C5616"/>
    <w:rsid w:val="002C5905"/>
    <w:rsid w:val="002C5916"/>
    <w:rsid w:val="002C635C"/>
    <w:rsid w:val="002C7C8F"/>
    <w:rsid w:val="002D19FB"/>
    <w:rsid w:val="002D1EF1"/>
    <w:rsid w:val="002D2021"/>
    <w:rsid w:val="002D2F76"/>
    <w:rsid w:val="002D2FD2"/>
    <w:rsid w:val="002D3019"/>
    <w:rsid w:val="002D3642"/>
    <w:rsid w:val="002D60CE"/>
    <w:rsid w:val="002D63AE"/>
    <w:rsid w:val="002D6FCA"/>
    <w:rsid w:val="002E0FC2"/>
    <w:rsid w:val="002E1BB1"/>
    <w:rsid w:val="002E28FD"/>
    <w:rsid w:val="002E2F45"/>
    <w:rsid w:val="002E372E"/>
    <w:rsid w:val="002E3CF7"/>
    <w:rsid w:val="002E4168"/>
    <w:rsid w:val="002E4513"/>
    <w:rsid w:val="002E531B"/>
    <w:rsid w:val="002E5508"/>
    <w:rsid w:val="002E5CDA"/>
    <w:rsid w:val="002E7F34"/>
    <w:rsid w:val="002F08F3"/>
    <w:rsid w:val="002F0CCD"/>
    <w:rsid w:val="002F17BA"/>
    <w:rsid w:val="002F1EFD"/>
    <w:rsid w:val="002F24B5"/>
    <w:rsid w:val="002F300D"/>
    <w:rsid w:val="002F4265"/>
    <w:rsid w:val="002F5343"/>
    <w:rsid w:val="002F5A7A"/>
    <w:rsid w:val="002F5F27"/>
    <w:rsid w:val="003010F7"/>
    <w:rsid w:val="00301524"/>
    <w:rsid w:val="00301CAE"/>
    <w:rsid w:val="00302B5E"/>
    <w:rsid w:val="00302F55"/>
    <w:rsid w:val="00303067"/>
    <w:rsid w:val="00303AE1"/>
    <w:rsid w:val="00304630"/>
    <w:rsid w:val="00304A10"/>
    <w:rsid w:val="00305745"/>
    <w:rsid w:val="00305D5C"/>
    <w:rsid w:val="00305F48"/>
    <w:rsid w:val="003067E4"/>
    <w:rsid w:val="00306AC2"/>
    <w:rsid w:val="00306D5B"/>
    <w:rsid w:val="00306EF2"/>
    <w:rsid w:val="00307001"/>
    <w:rsid w:val="003072CD"/>
    <w:rsid w:val="0030786C"/>
    <w:rsid w:val="0030796F"/>
    <w:rsid w:val="00307B0B"/>
    <w:rsid w:val="0031002A"/>
    <w:rsid w:val="00310DC6"/>
    <w:rsid w:val="003126DB"/>
    <w:rsid w:val="0031317F"/>
    <w:rsid w:val="003136F2"/>
    <w:rsid w:val="003138CB"/>
    <w:rsid w:val="00314F69"/>
    <w:rsid w:val="0031595E"/>
    <w:rsid w:val="00316D32"/>
    <w:rsid w:val="003174CF"/>
    <w:rsid w:val="003177F3"/>
    <w:rsid w:val="0031799A"/>
    <w:rsid w:val="0032076A"/>
    <w:rsid w:val="00321288"/>
    <w:rsid w:val="003215D3"/>
    <w:rsid w:val="003216B7"/>
    <w:rsid w:val="00321B3D"/>
    <w:rsid w:val="00322482"/>
    <w:rsid w:val="0032320C"/>
    <w:rsid w:val="00323267"/>
    <w:rsid w:val="00323AE8"/>
    <w:rsid w:val="00323B09"/>
    <w:rsid w:val="00323CCF"/>
    <w:rsid w:val="003242C8"/>
    <w:rsid w:val="00324415"/>
    <w:rsid w:val="003246CB"/>
    <w:rsid w:val="00324818"/>
    <w:rsid w:val="0032559C"/>
    <w:rsid w:val="00326D7D"/>
    <w:rsid w:val="0032742C"/>
    <w:rsid w:val="00327C01"/>
    <w:rsid w:val="003304D6"/>
    <w:rsid w:val="00331ED5"/>
    <w:rsid w:val="0033219A"/>
    <w:rsid w:val="00332A99"/>
    <w:rsid w:val="00332C4D"/>
    <w:rsid w:val="00334A38"/>
    <w:rsid w:val="00334DB3"/>
    <w:rsid w:val="00334FFC"/>
    <w:rsid w:val="003362F6"/>
    <w:rsid w:val="003367CA"/>
    <w:rsid w:val="00336BD9"/>
    <w:rsid w:val="0033730C"/>
    <w:rsid w:val="00341948"/>
    <w:rsid w:val="003420BD"/>
    <w:rsid w:val="00342E98"/>
    <w:rsid w:val="00342F35"/>
    <w:rsid w:val="00343B07"/>
    <w:rsid w:val="003444D2"/>
    <w:rsid w:val="00344975"/>
    <w:rsid w:val="00344A70"/>
    <w:rsid w:val="0034674B"/>
    <w:rsid w:val="00346F24"/>
    <w:rsid w:val="00346FA4"/>
    <w:rsid w:val="00350453"/>
    <w:rsid w:val="00350813"/>
    <w:rsid w:val="00350D59"/>
    <w:rsid w:val="0035187A"/>
    <w:rsid w:val="003530A2"/>
    <w:rsid w:val="00353206"/>
    <w:rsid w:val="003549AB"/>
    <w:rsid w:val="00354AC7"/>
    <w:rsid w:val="00355E4D"/>
    <w:rsid w:val="003562BD"/>
    <w:rsid w:val="0036052D"/>
    <w:rsid w:val="00360B7A"/>
    <w:rsid w:val="00361580"/>
    <w:rsid w:val="0036177A"/>
    <w:rsid w:val="00361E69"/>
    <w:rsid w:val="003627A4"/>
    <w:rsid w:val="00362D8A"/>
    <w:rsid w:val="00364BB7"/>
    <w:rsid w:val="00366D0C"/>
    <w:rsid w:val="00370DEF"/>
    <w:rsid w:val="0037183B"/>
    <w:rsid w:val="00372460"/>
    <w:rsid w:val="00372A48"/>
    <w:rsid w:val="00372BF0"/>
    <w:rsid w:val="00372E34"/>
    <w:rsid w:val="003744BA"/>
    <w:rsid w:val="003744D6"/>
    <w:rsid w:val="00374D9F"/>
    <w:rsid w:val="003767F0"/>
    <w:rsid w:val="00380A8B"/>
    <w:rsid w:val="00381125"/>
    <w:rsid w:val="00381526"/>
    <w:rsid w:val="00382C96"/>
    <w:rsid w:val="00382CC5"/>
    <w:rsid w:val="003837AF"/>
    <w:rsid w:val="00384A6E"/>
    <w:rsid w:val="00386D66"/>
    <w:rsid w:val="00387321"/>
    <w:rsid w:val="0039008B"/>
    <w:rsid w:val="003905E0"/>
    <w:rsid w:val="00390BD4"/>
    <w:rsid w:val="00390F34"/>
    <w:rsid w:val="00391B78"/>
    <w:rsid w:val="00391B9B"/>
    <w:rsid w:val="003922A8"/>
    <w:rsid w:val="00392426"/>
    <w:rsid w:val="00392464"/>
    <w:rsid w:val="00392A02"/>
    <w:rsid w:val="00393A1C"/>
    <w:rsid w:val="00394EAE"/>
    <w:rsid w:val="0039568A"/>
    <w:rsid w:val="00396B69"/>
    <w:rsid w:val="003970A7"/>
    <w:rsid w:val="00397EFB"/>
    <w:rsid w:val="003A0046"/>
    <w:rsid w:val="003A1AEE"/>
    <w:rsid w:val="003A2586"/>
    <w:rsid w:val="003A418B"/>
    <w:rsid w:val="003A46D2"/>
    <w:rsid w:val="003A4907"/>
    <w:rsid w:val="003A527D"/>
    <w:rsid w:val="003A5728"/>
    <w:rsid w:val="003A605D"/>
    <w:rsid w:val="003A6B42"/>
    <w:rsid w:val="003A6D31"/>
    <w:rsid w:val="003B00FD"/>
    <w:rsid w:val="003B04C3"/>
    <w:rsid w:val="003B0AAD"/>
    <w:rsid w:val="003B0B47"/>
    <w:rsid w:val="003B1222"/>
    <w:rsid w:val="003B23E5"/>
    <w:rsid w:val="003B2657"/>
    <w:rsid w:val="003B2972"/>
    <w:rsid w:val="003B2C42"/>
    <w:rsid w:val="003B2E5C"/>
    <w:rsid w:val="003B3001"/>
    <w:rsid w:val="003B3033"/>
    <w:rsid w:val="003B3C7F"/>
    <w:rsid w:val="003B44E3"/>
    <w:rsid w:val="003B4B2A"/>
    <w:rsid w:val="003B4C9E"/>
    <w:rsid w:val="003B54BC"/>
    <w:rsid w:val="003B59C4"/>
    <w:rsid w:val="003B5AC1"/>
    <w:rsid w:val="003B6012"/>
    <w:rsid w:val="003B60A7"/>
    <w:rsid w:val="003B7766"/>
    <w:rsid w:val="003B797C"/>
    <w:rsid w:val="003B7C92"/>
    <w:rsid w:val="003C0856"/>
    <w:rsid w:val="003C0974"/>
    <w:rsid w:val="003C0BDC"/>
    <w:rsid w:val="003C1DD5"/>
    <w:rsid w:val="003C1F67"/>
    <w:rsid w:val="003C2F8E"/>
    <w:rsid w:val="003C36FF"/>
    <w:rsid w:val="003C3E2A"/>
    <w:rsid w:val="003C502B"/>
    <w:rsid w:val="003C51B9"/>
    <w:rsid w:val="003C6180"/>
    <w:rsid w:val="003C729B"/>
    <w:rsid w:val="003C736D"/>
    <w:rsid w:val="003D0BA7"/>
    <w:rsid w:val="003D0D1C"/>
    <w:rsid w:val="003D282A"/>
    <w:rsid w:val="003D2E0F"/>
    <w:rsid w:val="003D2F8F"/>
    <w:rsid w:val="003D3218"/>
    <w:rsid w:val="003D3E15"/>
    <w:rsid w:val="003D59E7"/>
    <w:rsid w:val="003D5E45"/>
    <w:rsid w:val="003D64D2"/>
    <w:rsid w:val="003D6BC1"/>
    <w:rsid w:val="003E058B"/>
    <w:rsid w:val="003E1403"/>
    <w:rsid w:val="003E36C5"/>
    <w:rsid w:val="003E39C7"/>
    <w:rsid w:val="003E3BEF"/>
    <w:rsid w:val="003E4622"/>
    <w:rsid w:val="003E4EDB"/>
    <w:rsid w:val="003E577A"/>
    <w:rsid w:val="003E63E6"/>
    <w:rsid w:val="003E6B4C"/>
    <w:rsid w:val="003E7AB4"/>
    <w:rsid w:val="003E7ADD"/>
    <w:rsid w:val="003F03D0"/>
    <w:rsid w:val="003F06B0"/>
    <w:rsid w:val="003F09FF"/>
    <w:rsid w:val="003F19D4"/>
    <w:rsid w:val="003F1DC7"/>
    <w:rsid w:val="003F2A8D"/>
    <w:rsid w:val="003F35FA"/>
    <w:rsid w:val="003F3668"/>
    <w:rsid w:val="003F485A"/>
    <w:rsid w:val="003F4CF2"/>
    <w:rsid w:val="003F4E26"/>
    <w:rsid w:val="003F4FE2"/>
    <w:rsid w:val="003F6163"/>
    <w:rsid w:val="003F64B4"/>
    <w:rsid w:val="003F777B"/>
    <w:rsid w:val="003F7882"/>
    <w:rsid w:val="003F788A"/>
    <w:rsid w:val="003F7A83"/>
    <w:rsid w:val="0040008D"/>
    <w:rsid w:val="004004C3"/>
    <w:rsid w:val="0040164D"/>
    <w:rsid w:val="00401DCE"/>
    <w:rsid w:val="00401E59"/>
    <w:rsid w:val="00402D30"/>
    <w:rsid w:val="00403E1A"/>
    <w:rsid w:val="00404475"/>
    <w:rsid w:val="0040678A"/>
    <w:rsid w:val="00406ED1"/>
    <w:rsid w:val="004072A8"/>
    <w:rsid w:val="004074E1"/>
    <w:rsid w:val="004115AD"/>
    <w:rsid w:val="00411892"/>
    <w:rsid w:val="00412122"/>
    <w:rsid w:val="00412607"/>
    <w:rsid w:val="00413087"/>
    <w:rsid w:val="00414954"/>
    <w:rsid w:val="00416622"/>
    <w:rsid w:val="00417FDF"/>
    <w:rsid w:val="004200CD"/>
    <w:rsid w:val="0042033B"/>
    <w:rsid w:val="00420391"/>
    <w:rsid w:val="0042071B"/>
    <w:rsid w:val="00420A01"/>
    <w:rsid w:val="00422829"/>
    <w:rsid w:val="00423928"/>
    <w:rsid w:val="00424DB2"/>
    <w:rsid w:val="00425D06"/>
    <w:rsid w:val="0042614A"/>
    <w:rsid w:val="0042696C"/>
    <w:rsid w:val="0042753C"/>
    <w:rsid w:val="004307C5"/>
    <w:rsid w:val="00430D5B"/>
    <w:rsid w:val="00430EC1"/>
    <w:rsid w:val="0043134E"/>
    <w:rsid w:val="00432023"/>
    <w:rsid w:val="0043303C"/>
    <w:rsid w:val="0043359F"/>
    <w:rsid w:val="00434D9D"/>
    <w:rsid w:val="00435810"/>
    <w:rsid w:val="00435A5F"/>
    <w:rsid w:val="0043636D"/>
    <w:rsid w:val="00436C63"/>
    <w:rsid w:val="00437620"/>
    <w:rsid w:val="004378E1"/>
    <w:rsid w:val="00437F91"/>
    <w:rsid w:val="004405D1"/>
    <w:rsid w:val="0044076B"/>
    <w:rsid w:val="00440815"/>
    <w:rsid w:val="00441295"/>
    <w:rsid w:val="00441FC2"/>
    <w:rsid w:val="0044224F"/>
    <w:rsid w:val="0044292D"/>
    <w:rsid w:val="00442A2B"/>
    <w:rsid w:val="00443623"/>
    <w:rsid w:val="00444173"/>
    <w:rsid w:val="00445169"/>
    <w:rsid w:val="0044555A"/>
    <w:rsid w:val="00445614"/>
    <w:rsid w:val="00445CC7"/>
    <w:rsid w:val="00446362"/>
    <w:rsid w:val="004465C8"/>
    <w:rsid w:val="00446CE4"/>
    <w:rsid w:val="004477BE"/>
    <w:rsid w:val="00450311"/>
    <w:rsid w:val="00451065"/>
    <w:rsid w:val="00451A5E"/>
    <w:rsid w:val="00451CA2"/>
    <w:rsid w:val="004520E6"/>
    <w:rsid w:val="00452C36"/>
    <w:rsid w:val="00454FE1"/>
    <w:rsid w:val="00455780"/>
    <w:rsid w:val="00456EEC"/>
    <w:rsid w:val="00457661"/>
    <w:rsid w:val="00457693"/>
    <w:rsid w:val="00457A12"/>
    <w:rsid w:val="00460A32"/>
    <w:rsid w:val="00462C69"/>
    <w:rsid w:val="00462CB1"/>
    <w:rsid w:val="00463319"/>
    <w:rsid w:val="00463683"/>
    <w:rsid w:val="00463720"/>
    <w:rsid w:val="00463B1C"/>
    <w:rsid w:val="00463CE2"/>
    <w:rsid w:val="004644A3"/>
    <w:rsid w:val="004644F9"/>
    <w:rsid w:val="0046512B"/>
    <w:rsid w:val="004660CC"/>
    <w:rsid w:val="00466953"/>
    <w:rsid w:val="00466A0E"/>
    <w:rsid w:val="0046737D"/>
    <w:rsid w:val="00470B37"/>
    <w:rsid w:val="00470CDE"/>
    <w:rsid w:val="00471B83"/>
    <w:rsid w:val="00472534"/>
    <w:rsid w:val="0047256D"/>
    <w:rsid w:val="00472743"/>
    <w:rsid w:val="00472BEA"/>
    <w:rsid w:val="00472C91"/>
    <w:rsid w:val="00472D28"/>
    <w:rsid w:val="00474686"/>
    <w:rsid w:val="00474780"/>
    <w:rsid w:val="004749E9"/>
    <w:rsid w:val="00474ADC"/>
    <w:rsid w:val="00474DAD"/>
    <w:rsid w:val="00475785"/>
    <w:rsid w:val="00475E69"/>
    <w:rsid w:val="0047654A"/>
    <w:rsid w:val="00476C07"/>
    <w:rsid w:val="00477345"/>
    <w:rsid w:val="0048125A"/>
    <w:rsid w:val="0048144C"/>
    <w:rsid w:val="00481FDB"/>
    <w:rsid w:val="00482932"/>
    <w:rsid w:val="0048386A"/>
    <w:rsid w:val="0048416D"/>
    <w:rsid w:val="00484218"/>
    <w:rsid w:val="004859A5"/>
    <w:rsid w:val="004859DF"/>
    <w:rsid w:val="00485D21"/>
    <w:rsid w:val="004862D3"/>
    <w:rsid w:val="004867E2"/>
    <w:rsid w:val="00486A7D"/>
    <w:rsid w:val="00487394"/>
    <w:rsid w:val="00490F36"/>
    <w:rsid w:val="00491F70"/>
    <w:rsid w:val="0049247B"/>
    <w:rsid w:val="004942CA"/>
    <w:rsid w:val="00494B98"/>
    <w:rsid w:val="004963B8"/>
    <w:rsid w:val="00496CD3"/>
    <w:rsid w:val="00497603"/>
    <w:rsid w:val="004A1D0D"/>
    <w:rsid w:val="004A253B"/>
    <w:rsid w:val="004A28CA"/>
    <w:rsid w:val="004A29C3"/>
    <w:rsid w:val="004A2B9A"/>
    <w:rsid w:val="004A2F14"/>
    <w:rsid w:val="004A3803"/>
    <w:rsid w:val="004A40A5"/>
    <w:rsid w:val="004A411E"/>
    <w:rsid w:val="004A43F3"/>
    <w:rsid w:val="004A61DB"/>
    <w:rsid w:val="004A6E95"/>
    <w:rsid w:val="004A7E00"/>
    <w:rsid w:val="004B0928"/>
    <w:rsid w:val="004B2987"/>
    <w:rsid w:val="004B2F46"/>
    <w:rsid w:val="004B4440"/>
    <w:rsid w:val="004B4D10"/>
    <w:rsid w:val="004B6382"/>
    <w:rsid w:val="004B6F11"/>
    <w:rsid w:val="004B7242"/>
    <w:rsid w:val="004C0614"/>
    <w:rsid w:val="004C13B1"/>
    <w:rsid w:val="004C2904"/>
    <w:rsid w:val="004C29CE"/>
    <w:rsid w:val="004C3AE0"/>
    <w:rsid w:val="004C4891"/>
    <w:rsid w:val="004C4951"/>
    <w:rsid w:val="004C4CAD"/>
    <w:rsid w:val="004C5E9C"/>
    <w:rsid w:val="004C64BC"/>
    <w:rsid w:val="004C6985"/>
    <w:rsid w:val="004C724D"/>
    <w:rsid w:val="004D0A22"/>
    <w:rsid w:val="004D2469"/>
    <w:rsid w:val="004D2602"/>
    <w:rsid w:val="004D2685"/>
    <w:rsid w:val="004D2C42"/>
    <w:rsid w:val="004D38CB"/>
    <w:rsid w:val="004D4525"/>
    <w:rsid w:val="004D482B"/>
    <w:rsid w:val="004D5156"/>
    <w:rsid w:val="004D57AE"/>
    <w:rsid w:val="004D584F"/>
    <w:rsid w:val="004D6453"/>
    <w:rsid w:val="004D66D0"/>
    <w:rsid w:val="004D67AF"/>
    <w:rsid w:val="004D69BB"/>
    <w:rsid w:val="004D6FB9"/>
    <w:rsid w:val="004D72E6"/>
    <w:rsid w:val="004D781D"/>
    <w:rsid w:val="004D7CBA"/>
    <w:rsid w:val="004E0161"/>
    <w:rsid w:val="004E14A4"/>
    <w:rsid w:val="004E1F3F"/>
    <w:rsid w:val="004E21F8"/>
    <w:rsid w:val="004E4471"/>
    <w:rsid w:val="004E49EA"/>
    <w:rsid w:val="004E5C08"/>
    <w:rsid w:val="004E705F"/>
    <w:rsid w:val="004E72CB"/>
    <w:rsid w:val="004E72CC"/>
    <w:rsid w:val="004E734A"/>
    <w:rsid w:val="004E7548"/>
    <w:rsid w:val="004F0267"/>
    <w:rsid w:val="004F0CC7"/>
    <w:rsid w:val="004F12D4"/>
    <w:rsid w:val="004F2D47"/>
    <w:rsid w:val="004F3775"/>
    <w:rsid w:val="004F50BA"/>
    <w:rsid w:val="004F56EF"/>
    <w:rsid w:val="004F6D63"/>
    <w:rsid w:val="004F7273"/>
    <w:rsid w:val="004F7428"/>
    <w:rsid w:val="004F7C8E"/>
    <w:rsid w:val="00501A51"/>
    <w:rsid w:val="00502A2A"/>
    <w:rsid w:val="005040B7"/>
    <w:rsid w:val="005049DD"/>
    <w:rsid w:val="005051FD"/>
    <w:rsid w:val="005057EB"/>
    <w:rsid w:val="00505D08"/>
    <w:rsid w:val="005072E5"/>
    <w:rsid w:val="00507402"/>
    <w:rsid w:val="00507F8F"/>
    <w:rsid w:val="00510445"/>
    <w:rsid w:val="0051059A"/>
    <w:rsid w:val="00510D4D"/>
    <w:rsid w:val="00511214"/>
    <w:rsid w:val="00512065"/>
    <w:rsid w:val="0051250F"/>
    <w:rsid w:val="00512DE7"/>
    <w:rsid w:val="005130A6"/>
    <w:rsid w:val="005149E5"/>
    <w:rsid w:val="00515C8C"/>
    <w:rsid w:val="00515FDE"/>
    <w:rsid w:val="00516298"/>
    <w:rsid w:val="0051650E"/>
    <w:rsid w:val="00516F16"/>
    <w:rsid w:val="00517383"/>
    <w:rsid w:val="005173EC"/>
    <w:rsid w:val="00517D3C"/>
    <w:rsid w:val="005211BA"/>
    <w:rsid w:val="0052142D"/>
    <w:rsid w:val="00522B51"/>
    <w:rsid w:val="00522C7A"/>
    <w:rsid w:val="00523499"/>
    <w:rsid w:val="0052373D"/>
    <w:rsid w:val="00523BE9"/>
    <w:rsid w:val="005262C3"/>
    <w:rsid w:val="00526832"/>
    <w:rsid w:val="005269F1"/>
    <w:rsid w:val="00526F01"/>
    <w:rsid w:val="00527034"/>
    <w:rsid w:val="0053053F"/>
    <w:rsid w:val="005307BB"/>
    <w:rsid w:val="00530ED3"/>
    <w:rsid w:val="00532271"/>
    <w:rsid w:val="00532D8C"/>
    <w:rsid w:val="005332A5"/>
    <w:rsid w:val="00533CFE"/>
    <w:rsid w:val="00534C4A"/>
    <w:rsid w:val="005359FF"/>
    <w:rsid w:val="00535E22"/>
    <w:rsid w:val="005364D9"/>
    <w:rsid w:val="005366A2"/>
    <w:rsid w:val="0053694B"/>
    <w:rsid w:val="00536C27"/>
    <w:rsid w:val="00536EB8"/>
    <w:rsid w:val="0053791D"/>
    <w:rsid w:val="00540534"/>
    <w:rsid w:val="00541E6E"/>
    <w:rsid w:val="00542990"/>
    <w:rsid w:val="0054443F"/>
    <w:rsid w:val="00544C04"/>
    <w:rsid w:val="0054559B"/>
    <w:rsid w:val="0054627D"/>
    <w:rsid w:val="00546C8D"/>
    <w:rsid w:val="00547427"/>
    <w:rsid w:val="00550612"/>
    <w:rsid w:val="005508A4"/>
    <w:rsid w:val="00550D28"/>
    <w:rsid w:val="00551DC2"/>
    <w:rsid w:val="005521F7"/>
    <w:rsid w:val="0055285B"/>
    <w:rsid w:val="00552935"/>
    <w:rsid w:val="00552F9E"/>
    <w:rsid w:val="0055338F"/>
    <w:rsid w:val="005542A2"/>
    <w:rsid w:val="0055458C"/>
    <w:rsid w:val="00555BA9"/>
    <w:rsid w:val="0055643B"/>
    <w:rsid w:val="005577C4"/>
    <w:rsid w:val="00557E9F"/>
    <w:rsid w:val="00561614"/>
    <w:rsid w:val="0056191C"/>
    <w:rsid w:val="0056258F"/>
    <w:rsid w:val="00562F23"/>
    <w:rsid w:val="00563284"/>
    <w:rsid w:val="005632B5"/>
    <w:rsid w:val="00563CCC"/>
    <w:rsid w:val="00563F39"/>
    <w:rsid w:val="00564DA4"/>
    <w:rsid w:val="00565224"/>
    <w:rsid w:val="0056522B"/>
    <w:rsid w:val="0056626E"/>
    <w:rsid w:val="00566467"/>
    <w:rsid w:val="00566CE0"/>
    <w:rsid w:val="005673D8"/>
    <w:rsid w:val="00567A33"/>
    <w:rsid w:val="005703A3"/>
    <w:rsid w:val="00570845"/>
    <w:rsid w:val="00570A1E"/>
    <w:rsid w:val="005717BB"/>
    <w:rsid w:val="005719DA"/>
    <w:rsid w:val="005727D3"/>
    <w:rsid w:val="00572B5D"/>
    <w:rsid w:val="005734F8"/>
    <w:rsid w:val="00573D95"/>
    <w:rsid w:val="005749DC"/>
    <w:rsid w:val="005755AF"/>
    <w:rsid w:val="00575736"/>
    <w:rsid w:val="00575C2E"/>
    <w:rsid w:val="00575F16"/>
    <w:rsid w:val="0057605A"/>
    <w:rsid w:val="00576D6E"/>
    <w:rsid w:val="005801CC"/>
    <w:rsid w:val="00580207"/>
    <w:rsid w:val="00580263"/>
    <w:rsid w:val="0058196D"/>
    <w:rsid w:val="00581CB6"/>
    <w:rsid w:val="005825D0"/>
    <w:rsid w:val="00583ACA"/>
    <w:rsid w:val="00583C98"/>
    <w:rsid w:val="00584AFC"/>
    <w:rsid w:val="00584B8F"/>
    <w:rsid w:val="00584C97"/>
    <w:rsid w:val="00585A1A"/>
    <w:rsid w:val="00585C90"/>
    <w:rsid w:val="00585F54"/>
    <w:rsid w:val="00587227"/>
    <w:rsid w:val="005901F2"/>
    <w:rsid w:val="00590D1E"/>
    <w:rsid w:val="005913C5"/>
    <w:rsid w:val="00591EB8"/>
    <w:rsid w:val="005921B6"/>
    <w:rsid w:val="0059223F"/>
    <w:rsid w:val="00593BB7"/>
    <w:rsid w:val="00593ED0"/>
    <w:rsid w:val="0059489D"/>
    <w:rsid w:val="005953AE"/>
    <w:rsid w:val="005955C5"/>
    <w:rsid w:val="00595811"/>
    <w:rsid w:val="00595B9E"/>
    <w:rsid w:val="00595F78"/>
    <w:rsid w:val="0059628F"/>
    <w:rsid w:val="005962BE"/>
    <w:rsid w:val="00596777"/>
    <w:rsid w:val="005975C1"/>
    <w:rsid w:val="00597C04"/>
    <w:rsid w:val="005A1A12"/>
    <w:rsid w:val="005A25E8"/>
    <w:rsid w:val="005A4485"/>
    <w:rsid w:val="005A45A3"/>
    <w:rsid w:val="005A462A"/>
    <w:rsid w:val="005A47E9"/>
    <w:rsid w:val="005A4B09"/>
    <w:rsid w:val="005A52F2"/>
    <w:rsid w:val="005A5416"/>
    <w:rsid w:val="005A58DE"/>
    <w:rsid w:val="005A6179"/>
    <w:rsid w:val="005A623E"/>
    <w:rsid w:val="005A6B6A"/>
    <w:rsid w:val="005A6D6D"/>
    <w:rsid w:val="005A6EAF"/>
    <w:rsid w:val="005B006C"/>
    <w:rsid w:val="005B107D"/>
    <w:rsid w:val="005B168B"/>
    <w:rsid w:val="005B2E79"/>
    <w:rsid w:val="005B2EB9"/>
    <w:rsid w:val="005B2F78"/>
    <w:rsid w:val="005B30E9"/>
    <w:rsid w:val="005B3495"/>
    <w:rsid w:val="005B3D3B"/>
    <w:rsid w:val="005B4FEA"/>
    <w:rsid w:val="005B7582"/>
    <w:rsid w:val="005B7D85"/>
    <w:rsid w:val="005C0054"/>
    <w:rsid w:val="005C1005"/>
    <w:rsid w:val="005C11B4"/>
    <w:rsid w:val="005C1B8E"/>
    <w:rsid w:val="005C3D54"/>
    <w:rsid w:val="005C43A3"/>
    <w:rsid w:val="005C4DFD"/>
    <w:rsid w:val="005C5C4A"/>
    <w:rsid w:val="005C5C96"/>
    <w:rsid w:val="005C6FFC"/>
    <w:rsid w:val="005D0181"/>
    <w:rsid w:val="005D0441"/>
    <w:rsid w:val="005D0C65"/>
    <w:rsid w:val="005D1190"/>
    <w:rsid w:val="005D1B05"/>
    <w:rsid w:val="005D24EC"/>
    <w:rsid w:val="005D2C6E"/>
    <w:rsid w:val="005D2E12"/>
    <w:rsid w:val="005D3387"/>
    <w:rsid w:val="005D3B21"/>
    <w:rsid w:val="005D4CF7"/>
    <w:rsid w:val="005D5EC0"/>
    <w:rsid w:val="005D7699"/>
    <w:rsid w:val="005E06D0"/>
    <w:rsid w:val="005E1695"/>
    <w:rsid w:val="005E18FB"/>
    <w:rsid w:val="005E2CF2"/>
    <w:rsid w:val="005E2D5A"/>
    <w:rsid w:val="005E31B4"/>
    <w:rsid w:val="005E3627"/>
    <w:rsid w:val="005E3726"/>
    <w:rsid w:val="005E379F"/>
    <w:rsid w:val="005E4E94"/>
    <w:rsid w:val="005E5468"/>
    <w:rsid w:val="005E55C2"/>
    <w:rsid w:val="005E5CE4"/>
    <w:rsid w:val="005E6F21"/>
    <w:rsid w:val="005E78AE"/>
    <w:rsid w:val="005F0181"/>
    <w:rsid w:val="005F16AA"/>
    <w:rsid w:val="005F1818"/>
    <w:rsid w:val="005F2885"/>
    <w:rsid w:val="005F2D6B"/>
    <w:rsid w:val="005F2DD9"/>
    <w:rsid w:val="005F3C7E"/>
    <w:rsid w:val="005F40D3"/>
    <w:rsid w:val="005F4832"/>
    <w:rsid w:val="005F5744"/>
    <w:rsid w:val="005F6683"/>
    <w:rsid w:val="005F7C4B"/>
    <w:rsid w:val="0060075E"/>
    <w:rsid w:val="006010BC"/>
    <w:rsid w:val="006013F1"/>
    <w:rsid w:val="00601415"/>
    <w:rsid w:val="00601C45"/>
    <w:rsid w:val="00601DA4"/>
    <w:rsid w:val="0060242C"/>
    <w:rsid w:val="00602566"/>
    <w:rsid w:val="00602753"/>
    <w:rsid w:val="00602D00"/>
    <w:rsid w:val="00605812"/>
    <w:rsid w:val="00605A06"/>
    <w:rsid w:val="00605B07"/>
    <w:rsid w:val="00605DF3"/>
    <w:rsid w:val="0060697D"/>
    <w:rsid w:val="006101B0"/>
    <w:rsid w:val="0061043D"/>
    <w:rsid w:val="0061065D"/>
    <w:rsid w:val="006111F0"/>
    <w:rsid w:val="00611EC0"/>
    <w:rsid w:val="0061248A"/>
    <w:rsid w:val="00612B3B"/>
    <w:rsid w:val="00613143"/>
    <w:rsid w:val="00613533"/>
    <w:rsid w:val="00613B5F"/>
    <w:rsid w:val="00614121"/>
    <w:rsid w:val="00614A82"/>
    <w:rsid w:val="00615102"/>
    <w:rsid w:val="006161C7"/>
    <w:rsid w:val="006163D8"/>
    <w:rsid w:val="0061697D"/>
    <w:rsid w:val="00616D3D"/>
    <w:rsid w:val="00620F24"/>
    <w:rsid w:val="00622642"/>
    <w:rsid w:val="006234D9"/>
    <w:rsid w:val="006237E2"/>
    <w:rsid w:val="00623C5D"/>
    <w:rsid w:val="00625801"/>
    <w:rsid w:val="0062643F"/>
    <w:rsid w:val="00626680"/>
    <w:rsid w:val="00630391"/>
    <w:rsid w:val="006325B6"/>
    <w:rsid w:val="0063279E"/>
    <w:rsid w:val="00633420"/>
    <w:rsid w:val="00633424"/>
    <w:rsid w:val="0063478C"/>
    <w:rsid w:val="00634B44"/>
    <w:rsid w:val="00634E32"/>
    <w:rsid w:val="00634FA3"/>
    <w:rsid w:val="006351E8"/>
    <w:rsid w:val="00635B53"/>
    <w:rsid w:val="006361A4"/>
    <w:rsid w:val="00636BA9"/>
    <w:rsid w:val="00636C93"/>
    <w:rsid w:val="00636DBA"/>
    <w:rsid w:val="00636EE9"/>
    <w:rsid w:val="00640207"/>
    <w:rsid w:val="00640794"/>
    <w:rsid w:val="006408F4"/>
    <w:rsid w:val="00640EF8"/>
    <w:rsid w:val="00641651"/>
    <w:rsid w:val="00643356"/>
    <w:rsid w:val="0064346B"/>
    <w:rsid w:val="00643535"/>
    <w:rsid w:val="0064373A"/>
    <w:rsid w:val="00644425"/>
    <w:rsid w:val="00644D64"/>
    <w:rsid w:val="0064562F"/>
    <w:rsid w:val="006458E6"/>
    <w:rsid w:val="00645949"/>
    <w:rsid w:val="00645CCE"/>
    <w:rsid w:val="00645ED4"/>
    <w:rsid w:val="00646BCE"/>
    <w:rsid w:val="00646F70"/>
    <w:rsid w:val="00647973"/>
    <w:rsid w:val="0065067D"/>
    <w:rsid w:val="00650725"/>
    <w:rsid w:val="00650915"/>
    <w:rsid w:val="006514AB"/>
    <w:rsid w:val="00651739"/>
    <w:rsid w:val="006519CA"/>
    <w:rsid w:val="0065281F"/>
    <w:rsid w:val="0065351B"/>
    <w:rsid w:val="00653785"/>
    <w:rsid w:val="00655054"/>
    <w:rsid w:val="00655586"/>
    <w:rsid w:val="00657B5D"/>
    <w:rsid w:val="00657C74"/>
    <w:rsid w:val="00660142"/>
    <w:rsid w:val="00662AF3"/>
    <w:rsid w:val="00662D4A"/>
    <w:rsid w:val="006637C7"/>
    <w:rsid w:val="00663BD7"/>
    <w:rsid w:val="006646CB"/>
    <w:rsid w:val="00664A0A"/>
    <w:rsid w:val="006655DE"/>
    <w:rsid w:val="00666241"/>
    <w:rsid w:val="006673E0"/>
    <w:rsid w:val="006674A5"/>
    <w:rsid w:val="00670376"/>
    <w:rsid w:val="00670C77"/>
    <w:rsid w:val="0067213C"/>
    <w:rsid w:val="00672333"/>
    <w:rsid w:val="0067299F"/>
    <w:rsid w:val="00672B9B"/>
    <w:rsid w:val="006734A7"/>
    <w:rsid w:val="006748B5"/>
    <w:rsid w:val="00675304"/>
    <w:rsid w:val="00675F01"/>
    <w:rsid w:val="006771AD"/>
    <w:rsid w:val="006776FE"/>
    <w:rsid w:val="00677E98"/>
    <w:rsid w:val="00677EBB"/>
    <w:rsid w:val="00681471"/>
    <w:rsid w:val="006816D3"/>
    <w:rsid w:val="00682C10"/>
    <w:rsid w:val="0068387C"/>
    <w:rsid w:val="00683966"/>
    <w:rsid w:val="00683B78"/>
    <w:rsid w:val="00685CE3"/>
    <w:rsid w:val="00685E41"/>
    <w:rsid w:val="00686517"/>
    <w:rsid w:val="00686778"/>
    <w:rsid w:val="00686FA0"/>
    <w:rsid w:val="006877D3"/>
    <w:rsid w:val="00687DAD"/>
    <w:rsid w:val="00691C5B"/>
    <w:rsid w:val="00691D24"/>
    <w:rsid w:val="00692057"/>
    <w:rsid w:val="00692C6A"/>
    <w:rsid w:val="0069342F"/>
    <w:rsid w:val="00696295"/>
    <w:rsid w:val="006966F6"/>
    <w:rsid w:val="00696AEF"/>
    <w:rsid w:val="00696E97"/>
    <w:rsid w:val="0069737A"/>
    <w:rsid w:val="006976AE"/>
    <w:rsid w:val="00697EAF"/>
    <w:rsid w:val="00697F76"/>
    <w:rsid w:val="006A0DD6"/>
    <w:rsid w:val="006A24C9"/>
    <w:rsid w:val="006A26B8"/>
    <w:rsid w:val="006A286B"/>
    <w:rsid w:val="006A2BC3"/>
    <w:rsid w:val="006A3A98"/>
    <w:rsid w:val="006A3BF1"/>
    <w:rsid w:val="006A48FC"/>
    <w:rsid w:val="006A4BB7"/>
    <w:rsid w:val="006A5170"/>
    <w:rsid w:val="006A5DE0"/>
    <w:rsid w:val="006A5E0F"/>
    <w:rsid w:val="006A7406"/>
    <w:rsid w:val="006A7956"/>
    <w:rsid w:val="006A7AB2"/>
    <w:rsid w:val="006B034B"/>
    <w:rsid w:val="006B0D15"/>
    <w:rsid w:val="006B1119"/>
    <w:rsid w:val="006B15BC"/>
    <w:rsid w:val="006B16BF"/>
    <w:rsid w:val="006B2E99"/>
    <w:rsid w:val="006B2EB4"/>
    <w:rsid w:val="006B31A8"/>
    <w:rsid w:val="006B3527"/>
    <w:rsid w:val="006B383C"/>
    <w:rsid w:val="006B3C13"/>
    <w:rsid w:val="006B4430"/>
    <w:rsid w:val="006B5552"/>
    <w:rsid w:val="006B58BF"/>
    <w:rsid w:val="006B6787"/>
    <w:rsid w:val="006B68E2"/>
    <w:rsid w:val="006B6DBF"/>
    <w:rsid w:val="006C0049"/>
    <w:rsid w:val="006C02B8"/>
    <w:rsid w:val="006C0A7E"/>
    <w:rsid w:val="006C1FA2"/>
    <w:rsid w:val="006C2C37"/>
    <w:rsid w:val="006C3338"/>
    <w:rsid w:val="006C3F52"/>
    <w:rsid w:val="006C436B"/>
    <w:rsid w:val="006C509C"/>
    <w:rsid w:val="006C5359"/>
    <w:rsid w:val="006C65D4"/>
    <w:rsid w:val="006C688E"/>
    <w:rsid w:val="006C751B"/>
    <w:rsid w:val="006C7FE8"/>
    <w:rsid w:val="006D0012"/>
    <w:rsid w:val="006D0BEA"/>
    <w:rsid w:val="006D0DAE"/>
    <w:rsid w:val="006D1D8A"/>
    <w:rsid w:val="006D1EEA"/>
    <w:rsid w:val="006D218D"/>
    <w:rsid w:val="006D3040"/>
    <w:rsid w:val="006D306A"/>
    <w:rsid w:val="006D39E1"/>
    <w:rsid w:val="006D4747"/>
    <w:rsid w:val="006D4902"/>
    <w:rsid w:val="006D4EEF"/>
    <w:rsid w:val="006D4FA4"/>
    <w:rsid w:val="006D5B9D"/>
    <w:rsid w:val="006D624B"/>
    <w:rsid w:val="006D65A1"/>
    <w:rsid w:val="006D6A5D"/>
    <w:rsid w:val="006D73D5"/>
    <w:rsid w:val="006D7C35"/>
    <w:rsid w:val="006D7C4B"/>
    <w:rsid w:val="006D7C75"/>
    <w:rsid w:val="006E043E"/>
    <w:rsid w:val="006E08C4"/>
    <w:rsid w:val="006E0D20"/>
    <w:rsid w:val="006E182E"/>
    <w:rsid w:val="006E1CA6"/>
    <w:rsid w:val="006E2919"/>
    <w:rsid w:val="006E2B84"/>
    <w:rsid w:val="006E2C4B"/>
    <w:rsid w:val="006E312A"/>
    <w:rsid w:val="006E47CC"/>
    <w:rsid w:val="006E4A8A"/>
    <w:rsid w:val="006E4BDB"/>
    <w:rsid w:val="006E6C19"/>
    <w:rsid w:val="006E720B"/>
    <w:rsid w:val="006E77A4"/>
    <w:rsid w:val="006E799D"/>
    <w:rsid w:val="006F0082"/>
    <w:rsid w:val="006F02A9"/>
    <w:rsid w:val="006F05BD"/>
    <w:rsid w:val="006F07CC"/>
    <w:rsid w:val="006F15BF"/>
    <w:rsid w:val="006F1800"/>
    <w:rsid w:val="006F1A8C"/>
    <w:rsid w:val="006F2792"/>
    <w:rsid w:val="006F2A16"/>
    <w:rsid w:val="006F3E20"/>
    <w:rsid w:val="006F57E6"/>
    <w:rsid w:val="006F61CF"/>
    <w:rsid w:val="006F6592"/>
    <w:rsid w:val="006F6B91"/>
    <w:rsid w:val="006F7E2D"/>
    <w:rsid w:val="00700D3F"/>
    <w:rsid w:val="00701F36"/>
    <w:rsid w:val="00702E8E"/>
    <w:rsid w:val="00703DC7"/>
    <w:rsid w:val="00704E29"/>
    <w:rsid w:val="007058EE"/>
    <w:rsid w:val="007060DA"/>
    <w:rsid w:val="0070687A"/>
    <w:rsid w:val="00710394"/>
    <w:rsid w:val="00710E4D"/>
    <w:rsid w:val="00710E65"/>
    <w:rsid w:val="00710ED1"/>
    <w:rsid w:val="00711182"/>
    <w:rsid w:val="00712BC4"/>
    <w:rsid w:val="007131DD"/>
    <w:rsid w:val="00713594"/>
    <w:rsid w:val="00713662"/>
    <w:rsid w:val="00713875"/>
    <w:rsid w:val="00713E66"/>
    <w:rsid w:val="0071481F"/>
    <w:rsid w:val="00714C81"/>
    <w:rsid w:val="00714DBD"/>
    <w:rsid w:val="0071509B"/>
    <w:rsid w:val="007154E8"/>
    <w:rsid w:val="00715996"/>
    <w:rsid w:val="00715CA7"/>
    <w:rsid w:val="00715EC9"/>
    <w:rsid w:val="00716A19"/>
    <w:rsid w:val="007171C6"/>
    <w:rsid w:val="0072016D"/>
    <w:rsid w:val="007203D1"/>
    <w:rsid w:val="007205DF"/>
    <w:rsid w:val="007220D9"/>
    <w:rsid w:val="00722B05"/>
    <w:rsid w:val="007237A9"/>
    <w:rsid w:val="007237B6"/>
    <w:rsid w:val="00723932"/>
    <w:rsid w:val="00725788"/>
    <w:rsid w:val="00725D11"/>
    <w:rsid w:val="00725EF0"/>
    <w:rsid w:val="007260AE"/>
    <w:rsid w:val="007266CB"/>
    <w:rsid w:val="0072705E"/>
    <w:rsid w:val="007274A9"/>
    <w:rsid w:val="00730545"/>
    <w:rsid w:val="00730C7B"/>
    <w:rsid w:val="00732EDC"/>
    <w:rsid w:val="00733070"/>
    <w:rsid w:val="0073374D"/>
    <w:rsid w:val="007342BE"/>
    <w:rsid w:val="00735B38"/>
    <w:rsid w:val="00737491"/>
    <w:rsid w:val="00737AEE"/>
    <w:rsid w:val="00737B23"/>
    <w:rsid w:val="007405AB"/>
    <w:rsid w:val="0074117E"/>
    <w:rsid w:val="007411EF"/>
    <w:rsid w:val="0074171E"/>
    <w:rsid w:val="00741959"/>
    <w:rsid w:val="00741C5B"/>
    <w:rsid w:val="007427F3"/>
    <w:rsid w:val="00742EAD"/>
    <w:rsid w:val="00743D9C"/>
    <w:rsid w:val="00743F5B"/>
    <w:rsid w:val="00744949"/>
    <w:rsid w:val="00744FBE"/>
    <w:rsid w:val="0074538E"/>
    <w:rsid w:val="007457F2"/>
    <w:rsid w:val="00745ABC"/>
    <w:rsid w:val="0074604E"/>
    <w:rsid w:val="00746466"/>
    <w:rsid w:val="00746AF2"/>
    <w:rsid w:val="00746E5F"/>
    <w:rsid w:val="0074754E"/>
    <w:rsid w:val="00747B2E"/>
    <w:rsid w:val="007502D6"/>
    <w:rsid w:val="007512B4"/>
    <w:rsid w:val="00751666"/>
    <w:rsid w:val="007524C0"/>
    <w:rsid w:val="00753466"/>
    <w:rsid w:val="00753B3C"/>
    <w:rsid w:val="00754383"/>
    <w:rsid w:val="00755971"/>
    <w:rsid w:val="00755FE9"/>
    <w:rsid w:val="00756090"/>
    <w:rsid w:val="00757C05"/>
    <w:rsid w:val="007623ED"/>
    <w:rsid w:val="0076275C"/>
    <w:rsid w:val="007627E0"/>
    <w:rsid w:val="00762D5B"/>
    <w:rsid w:val="007630B3"/>
    <w:rsid w:val="0076332F"/>
    <w:rsid w:val="0076349B"/>
    <w:rsid w:val="00763CD7"/>
    <w:rsid w:val="00764AC0"/>
    <w:rsid w:val="00764D6C"/>
    <w:rsid w:val="0076511E"/>
    <w:rsid w:val="00765536"/>
    <w:rsid w:val="007655EC"/>
    <w:rsid w:val="00765E19"/>
    <w:rsid w:val="007660C1"/>
    <w:rsid w:val="0076619C"/>
    <w:rsid w:val="007668FB"/>
    <w:rsid w:val="0076706F"/>
    <w:rsid w:val="00767868"/>
    <w:rsid w:val="00767C3E"/>
    <w:rsid w:val="007703B3"/>
    <w:rsid w:val="00770854"/>
    <w:rsid w:val="007712D0"/>
    <w:rsid w:val="0077174E"/>
    <w:rsid w:val="007717A5"/>
    <w:rsid w:val="00771FCC"/>
    <w:rsid w:val="0077228B"/>
    <w:rsid w:val="0077269E"/>
    <w:rsid w:val="007728EB"/>
    <w:rsid w:val="00774B99"/>
    <w:rsid w:val="00774D10"/>
    <w:rsid w:val="00775BF0"/>
    <w:rsid w:val="007760A3"/>
    <w:rsid w:val="00776ADA"/>
    <w:rsid w:val="00777701"/>
    <w:rsid w:val="007777EE"/>
    <w:rsid w:val="0077793C"/>
    <w:rsid w:val="00777D66"/>
    <w:rsid w:val="00777DB4"/>
    <w:rsid w:val="00783285"/>
    <w:rsid w:val="00783F83"/>
    <w:rsid w:val="00784B22"/>
    <w:rsid w:val="00784EAE"/>
    <w:rsid w:val="007851E8"/>
    <w:rsid w:val="00785236"/>
    <w:rsid w:val="00785C6E"/>
    <w:rsid w:val="00785FF2"/>
    <w:rsid w:val="007869A5"/>
    <w:rsid w:val="00790C75"/>
    <w:rsid w:val="00790CE0"/>
    <w:rsid w:val="00791154"/>
    <w:rsid w:val="00791B88"/>
    <w:rsid w:val="00791CA7"/>
    <w:rsid w:val="00791ECC"/>
    <w:rsid w:val="0079203B"/>
    <w:rsid w:val="00792521"/>
    <w:rsid w:val="00792914"/>
    <w:rsid w:val="007929E6"/>
    <w:rsid w:val="00792A2F"/>
    <w:rsid w:val="0079346C"/>
    <w:rsid w:val="007934E1"/>
    <w:rsid w:val="00793669"/>
    <w:rsid w:val="0079394C"/>
    <w:rsid w:val="0079494A"/>
    <w:rsid w:val="00794CCB"/>
    <w:rsid w:val="00795937"/>
    <w:rsid w:val="0079763C"/>
    <w:rsid w:val="00797801"/>
    <w:rsid w:val="007A14A4"/>
    <w:rsid w:val="007A1647"/>
    <w:rsid w:val="007A1A79"/>
    <w:rsid w:val="007A2143"/>
    <w:rsid w:val="007A21EF"/>
    <w:rsid w:val="007A2741"/>
    <w:rsid w:val="007A287F"/>
    <w:rsid w:val="007A2FA7"/>
    <w:rsid w:val="007A3124"/>
    <w:rsid w:val="007A41A7"/>
    <w:rsid w:val="007A52F9"/>
    <w:rsid w:val="007A60FA"/>
    <w:rsid w:val="007A64FB"/>
    <w:rsid w:val="007A673E"/>
    <w:rsid w:val="007A6B19"/>
    <w:rsid w:val="007A7A34"/>
    <w:rsid w:val="007B18B4"/>
    <w:rsid w:val="007B1CE4"/>
    <w:rsid w:val="007B31A4"/>
    <w:rsid w:val="007B3382"/>
    <w:rsid w:val="007B3CDC"/>
    <w:rsid w:val="007B4508"/>
    <w:rsid w:val="007B46FC"/>
    <w:rsid w:val="007B4FA2"/>
    <w:rsid w:val="007B57A1"/>
    <w:rsid w:val="007B5EF6"/>
    <w:rsid w:val="007B65A2"/>
    <w:rsid w:val="007B78D5"/>
    <w:rsid w:val="007B7CB8"/>
    <w:rsid w:val="007B7F33"/>
    <w:rsid w:val="007C00E1"/>
    <w:rsid w:val="007C0A8D"/>
    <w:rsid w:val="007C0B33"/>
    <w:rsid w:val="007C1C32"/>
    <w:rsid w:val="007C2345"/>
    <w:rsid w:val="007C3F89"/>
    <w:rsid w:val="007C49F1"/>
    <w:rsid w:val="007C5386"/>
    <w:rsid w:val="007C5DFA"/>
    <w:rsid w:val="007C6DD5"/>
    <w:rsid w:val="007C7016"/>
    <w:rsid w:val="007C787B"/>
    <w:rsid w:val="007C7FC3"/>
    <w:rsid w:val="007D03B6"/>
    <w:rsid w:val="007D0DF0"/>
    <w:rsid w:val="007D15E7"/>
    <w:rsid w:val="007D1735"/>
    <w:rsid w:val="007D2992"/>
    <w:rsid w:val="007D2B7B"/>
    <w:rsid w:val="007D2F6A"/>
    <w:rsid w:val="007D3156"/>
    <w:rsid w:val="007D36B9"/>
    <w:rsid w:val="007D4032"/>
    <w:rsid w:val="007D4373"/>
    <w:rsid w:val="007D49F1"/>
    <w:rsid w:val="007D5BB4"/>
    <w:rsid w:val="007D642B"/>
    <w:rsid w:val="007D669C"/>
    <w:rsid w:val="007D7E91"/>
    <w:rsid w:val="007E02E9"/>
    <w:rsid w:val="007E1027"/>
    <w:rsid w:val="007E107B"/>
    <w:rsid w:val="007E1388"/>
    <w:rsid w:val="007E1461"/>
    <w:rsid w:val="007E2B6C"/>
    <w:rsid w:val="007E2BD5"/>
    <w:rsid w:val="007E356A"/>
    <w:rsid w:val="007E4154"/>
    <w:rsid w:val="007E47EF"/>
    <w:rsid w:val="007E588A"/>
    <w:rsid w:val="007E69FC"/>
    <w:rsid w:val="007E74DC"/>
    <w:rsid w:val="007E751A"/>
    <w:rsid w:val="007E79CE"/>
    <w:rsid w:val="007E7FC8"/>
    <w:rsid w:val="007F00FB"/>
    <w:rsid w:val="007F0B1F"/>
    <w:rsid w:val="007F1243"/>
    <w:rsid w:val="007F136B"/>
    <w:rsid w:val="007F1641"/>
    <w:rsid w:val="007F178F"/>
    <w:rsid w:val="007F2051"/>
    <w:rsid w:val="007F345C"/>
    <w:rsid w:val="007F43E9"/>
    <w:rsid w:val="007F59A2"/>
    <w:rsid w:val="007F5F99"/>
    <w:rsid w:val="007F60DE"/>
    <w:rsid w:val="007F637C"/>
    <w:rsid w:val="007F65AE"/>
    <w:rsid w:val="007F6814"/>
    <w:rsid w:val="007F6EF6"/>
    <w:rsid w:val="007F70DE"/>
    <w:rsid w:val="007F7B48"/>
    <w:rsid w:val="00800A30"/>
    <w:rsid w:val="008034AA"/>
    <w:rsid w:val="008037F6"/>
    <w:rsid w:val="00803CBB"/>
    <w:rsid w:val="00803DA5"/>
    <w:rsid w:val="00804630"/>
    <w:rsid w:val="00804BC5"/>
    <w:rsid w:val="00805802"/>
    <w:rsid w:val="008059EE"/>
    <w:rsid w:val="008066EC"/>
    <w:rsid w:val="008066FB"/>
    <w:rsid w:val="00806C64"/>
    <w:rsid w:val="0080700E"/>
    <w:rsid w:val="00807E7B"/>
    <w:rsid w:val="008108CB"/>
    <w:rsid w:val="00811E9A"/>
    <w:rsid w:val="00812570"/>
    <w:rsid w:val="00812C15"/>
    <w:rsid w:val="00812DD2"/>
    <w:rsid w:val="008133E9"/>
    <w:rsid w:val="00814E17"/>
    <w:rsid w:val="00814F3A"/>
    <w:rsid w:val="008172B8"/>
    <w:rsid w:val="00817A04"/>
    <w:rsid w:val="00817E9E"/>
    <w:rsid w:val="008204EF"/>
    <w:rsid w:val="008207D4"/>
    <w:rsid w:val="00822C57"/>
    <w:rsid w:val="00823299"/>
    <w:rsid w:val="00823A9D"/>
    <w:rsid w:val="00824939"/>
    <w:rsid w:val="00824C50"/>
    <w:rsid w:val="00824D9D"/>
    <w:rsid w:val="00825F02"/>
    <w:rsid w:val="008260BD"/>
    <w:rsid w:val="0082638A"/>
    <w:rsid w:val="008264EB"/>
    <w:rsid w:val="0082788A"/>
    <w:rsid w:val="00827F65"/>
    <w:rsid w:val="00830160"/>
    <w:rsid w:val="00830811"/>
    <w:rsid w:val="008309AF"/>
    <w:rsid w:val="00830C05"/>
    <w:rsid w:val="00831390"/>
    <w:rsid w:val="00832045"/>
    <w:rsid w:val="00832763"/>
    <w:rsid w:val="00833C60"/>
    <w:rsid w:val="008342B2"/>
    <w:rsid w:val="00835456"/>
    <w:rsid w:val="00835D9F"/>
    <w:rsid w:val="00837097"/>
    <w:rsid w:val="00837815"/>
    <w:rsid w:val="00837D41"/>
    <w:rsid w:val="0084061A"/>
    <w:rsid w:val="00840B1E"/>
    <w:rsid w:val="00840C6F"/>
    <w:rsid w:val="008410EF"/>
    <w:rsid w:val="00841D33"/>
    <w:rsid w:val="00842862"/>
    <w:rsid w:val="00842A4F"/>
    <w:rsid w:val="008435C9"/>
    <w:rsid w:val="008435F7"/>
    <w:rsid w:val="0084368A"/>
    <w:rsid w:val="00843A5D"/>
    <w:rsid w:val="008452AC"/>
    <w:rsid w:val="008459AA"/>
    <w:rsid w:val="00846EBF"/>
    <w:rsid w:val="00847488"/>
    <w:rsid w:val="00847675"/>
    <w:rsid w:val="0084793A"/>
    <w:rsid w:val="00850E21"/>
    <w:rsid w:val="00851353"/>
    <w:rsid w:val="008516C0"/>
    <w:rsid w:val="008521D9"/>
    <w:rsid w:val="0085231C"/>
    <w:rsid w:val="0085248A"/>
    <w:rsid w:val="00852A26"/>
    <w:rsid w:val="0085357E"/>
    <w:rsid w:val="00853D82"/>
    <w:rsid w:val="00854A50"/>
    <w:rsid w:val="008552C6"/>
    <w:rsid w:val="0085559A"/>
    <w:rsid w:val="0085593C"/>
    <w:rsid w:val="00855EAE"/>
    <w:rsid w:val="008568E7"/>
    <w:rsid w:val="00856FC4"/>
    <w:rsid w:val="008572E4"/>
    <w:rsid w:val="00857893"/>
    <w:rsid w:val="00857A32"/>
    <w:rsid w:val="00857BDF"/>
    <w:rsid w:val="0086028B"/>
    <w:rsid w:val="008606E8"/>
    <w:rsid w:val="00861063"/>
    <w:rsid w:val="0086173B"/>
    <w:rsid w:val="00861DAE"/>
    <w:rsid w:val="00862EC7"/>
    <w:rsid w:val="00863EB5"/>
    <w:rsid w:val="008646FE"/>
    <w:rsid w:val="008653C3"/>
    <w:rsid w:val="00865620"/>
    <w:rsid w:val="008670E5"/>
    <w:rsid w:val="00867CC4"/>
    <w:rsid w:val="00870A5E"/>
    <w:rsid w:val="00872175"/>
    <w:rsid w:val="00873E30"/>
    <w:rsid w:val="00874222"/>
    <w:rsid w:val="008745D9"/>
    <w:rsid w:val="00875D98"/>
    <w:rsid w:val="0087668E"/>
    <w:rsid w:val="00876D06"/>
    <w:rsid w:val="008770DF"/>
    <w:rsid w:val="008775F2"/>
    <w:rsid w:val="00877C64"/>
    <w:rsid w:val="00880178"/>
    <w:rsid w:val="00880466"/>
    <w:rsid w:val="008810D4"/>
    <w:rsid w:val="00881532"/>
    <w:rsid w:val="00881B7D"/>
    <w:rsid w:val="00882515"/>
    <w:rsid w:val="00882EE8"/>
    <w:rsid w:val="00883DE8"/>
    <w:rsid w:val="00884AF6"/>
    <w:rsid w:val="00884CCE"/>
    <w:rsid w:val="00885022"/>
    <w:rsid w:val="00885208"/>
    <w:rsid w:val="00885AEE"/>
    <w:rsid w:val="00885DB4"/>
    <w:rsid w:val="00885E8E"/>
    <w:rsid w:val="008876DA"/>
    <w:rsid w:val="00890048"/>
    <w:rsid w:val="00890920"/>
    <w:rsid w:val="00890C8B"/>
    <w:rsid w:val="008912C3"/>
    <w:rsid w:val="00891863"/>
    <w:rsid w:val="00892556"/>
    <w:rsid w:val="00892648"/>
    <w:rsid w:val="00892950"/>
    <w:rsid w:val="0089315C"/>
    <w:rsid w:val="00893242"/>
    <w:rsid w:val="0089331C"/>
    <w:rsid w:val="00893D9A"/>
    <w:rsid w:val="00894AB0"/>
    <w:rsid w:val="00894C15"/>
    <w:rsid w:val="00894EDF"/>
    <w:rsid w:val="008958D6"/>
    <w:rsid w:val="00896BCD"/>
    <w:rsid w:val="00897111"/>
    <w:rsid w:val="0089791F"/>
    <w:rsid w:val="00897EBD"/>
    <w:rsid w:val="00897F3D"/>
    <w:rsid w:val="008A00F0"/>
    <w:rsid w:val="008A05B8"/>
    <w:rsid w:val="008A06C4"/>
    <w:rsid w:val="008A06D6"/>
    <w:rsid w:val="008A0BC2"/>
    <w:rsid w:val="008A0E18"/>
    <w:rsid w:val="008A0E33"/>
    <w:rsid w:val="008A13AB"/>
    <w:rsid w:val="008A1730"/>
    <w:rsid w:val="008A1DDC"/>
    <w:rsid w:val="008A2C6F"/>
    <w:rsid w:val="008A34CC"/>
    <w:rsid w:val="008A34DC"/>
    <w:rsid w:val="008A375C"/>
    <w:rsid w:val="008A3E3C"/>
    <w:rsid w:val="008A405A"/>
    <w:rsid w:val="008A44F4"/>
    <w:rsid w:val="008A44FF"/>
    <w:rsid w:val="008A49F1"/>
    <w:rsid w:val="008A4B64"/>
    <w:rsid w:val="008A52D0"/>
    <w:rsid w:val="008A5B18"/>
    <w:rsid w:val="008A64FC"/>
    <w:rsid w:val="008A6F0F"/>
    <w:rsid w:val="008A6FE6"/>
    <w:rsid w:val="008A7861"/>
    <w:rsid w:val="008A7BF5"/>
    <w:rsid w:val="008A7D3D"/>
    <w:rsid w:val="008A7F46"/>
    <w:rsid w:val="008B02B4"/>
    <w:rsid w:val="008B1083"/>
    <w:rsid w:val="008B153E"/>
    <w:rsid w:val="008B1627"/>
    <w:rsid w:val="008B1A29"/>
    <w:rsid w:val="008B1FB3"/>
    <w:rsid w:val="008B25EE"/>
    <w:rsid w:val="008B29D9"/>
    <w:rsid w:val="008B4C7C"/>
    <w:rsid w:val="008B536D"/>
    <w:rsid w:val="008B5A18"/>
    <w:rsid w:val="008B6081"/>
    <w:rsid w:val="008B688D"/>
    <w:rsid w:val="008B6E11"/>
    <w:rsid w:val="008B77B8"/>
    <w:rsid w:val="008B7D64"/>
    <w:rsid w:val="008B7ECE"/>
    <w:rsid w:val="008B7F44"/>
    <w:rsid w:val="008C03EE"/>
    <w:rsid w:val="008C0BCB"/>
    <w:rsid w:val="008C0D51"/>
    <w:rsid w:val="008C19D9"/>
    <w:rsid w:val="008C1C68"/>
    <w:rsid w:val="008C2008"/>
    <w:rsid w:val="008C2413"/>
    <w:rsid w:val="008C24EF"/>
    <w:rsid w:val="008C298B"/>
    <w:rsid w:val="008C455F"/>
    <w:rsid w:val="008C6042"/>
    <w:rsid w:val="008C7145"/>
    <w:rsid w:val="008C7A6C"/>
    <w:rsid w:val="008D0497"/>
    <w:rsid w:val="008D0840"/>
    <w:rsid w:val="008D0B7C"/>
    <w:rsid w:val="008D1C6A"/>
    <w:rsid w:val="008D35CA"/>
    <w:rsid w:val="008D5138"/>
    <w:rsid w:val="008D5E8C"/>
    <w:rsid w:val="008D6292"/>
    <w:rsid w:val="008D62E8"/>
    <w:rsid w:val="008D6D51"/>
    <w:rsid w:val="008D6EB1"/>
    <w:rsid w:val="008D7374"/>
    <w:rsid w:val="008E03EF"/>
    <w:rsid w:val="008E07B0"/>
    <w:rsid w:val="008E0DBE"/>
    <w:rsid w:val="008E135B"/>
    <w:rsid w:val="008E182B"/>
    <w:rsid w:val="008E2AFF"/>
    <w:rsid w:val="008E2BA5"/>
    <w:rsid w:val="008E3373"/>
    <w:rsid w:val="008E34E5"/>
    <w:rsid w:val="008E3992"/>
    <w:rsid w:val="008E3F26"/>
    <w:rsid w:val="008E3F75"/>
    <w:rsid w:val="008E45AF"/>
    <w:rsid w:val="008E5BB3"/>
    <w:rsid w:val="008E5CD4"/>
    <w:rsid w:val="008E5F3E"/>
    <w:rsid w:val="008E6265"/>
    <w:rsid w:val="008E6267"/>
    <w:rsid w:val="008E7B76"/>
    <w:rsid w:val="008E7F61"/>
    <w:rsid w:val="008F0798"/>
    <w:rsid w:val="008F0A08"/>
    <w:rsid w:val="008F0C06"/>
    <w:rsid w:val="008F20B2"/>
    <w:rsid w:val="008F2B47"/>
    <w:rsid w:val="008F2EA0"/>
    <w:rsid w:val="008F30CB"/>
    <w:rsid w:val="008F3899"/>
    <w:rsid w:val="008F38FF"/>
    <w:rsid w:val="008F39AA"/>
    <w:rsid w:val="008F3EBA"/>
    <w:rsid w:val="008F4ADC"/>
    <w:rsid w:val="008F5442"/>
    <w:rsid w:val="008F549A"/>
    <w:rsid w:val="008F54ED"/>
    <w:rsid w:val="008F6371"/>
    <w:rsid w:val="008F6552"/>
    <w:rsid w:val="008F6710"/>
    <w:rsid w:val="008F6C85"/>
    <w:rsid w:val="008F6FD0"/>
    <w:rsid w:val="008F7722"/>
    <w:rsid w:val="008F7766"/>
    <w:rsid w:val="008F7C32"/>
    <w:rsid w:val="008F7F39"/>
    <w:rsid w:val="009009D6"/>
    <w:rsid w:val="009010DF"/>
    <w:rsid w:val="00901615"/>
    <w:rsid w:val="009035E7"/>
    <w:rsid w:val="009038F8"/>
    <w:rsid w:val="009051BC"/>
    <w:rsid w:val="00905497"/>
    <w:rsid w:val="00905988"/>
    <w:rsid w:val="00905EE9"/>
    <w:rsid w:val="0090625F"/>
    <w:rsid w:val="00907139"/>
    <w:rsid w:val="009105CD"/>
    <w:rsid w:val="00910E7D"/>
    <w:rsid w:val="00912EB3"/>
    <w:rsid w:val="00913160"/>
    <w:rsid w:val="009134EC"/>
    <w:rsid w:val="00913704"/>
    <w:rsid w:val="00913B3A"/>
    <w:rsid w:val="00913EA8"/>
    <w:rsid w:val="009155BF"/>
    <w:rsid w:val="009155EC"/>
    <w:rsid w:val="009161FF"/>
    <w:rsid w:val="009164DA"/>
    <w:rsid w:val="00916D6A"/>
    <w:rsid w:val="00916FCF"/>
    <w:rsid w:val="009175F7"/>
    <w:rsid w:val="009200D8"/>
    <w:rsid w:val="009205CE"/>
    <w:rsid w:val="00921343"/>
    <w:rsid w:val="00922481"/>
    <w:rsid w:val="00923829"/>
    <w:rsid w:val="009238AF"/>
    <w:rsid w:val="00923912"/>
    <w:rsid w:val="00925406"/>
    <w:rsid w:val="009255F9"/>
    <w:rsid w:val="00925674"/>
    <w:rsid w:val="009257E1"/>
    <w:rsid w:val="009269B5"/>
    <w:rsid w:val="00927C34"/>
    <w:rsid w:val="00931038"/>
    <w:rsid w:val="00931BC4"/>
    <w:rsid w:val="009335F1"/>
    <w:rsid w:val="00934174"/>
    <w:rsid w:val="00934DB0"/>
    <w:rsid w:val="00936307"/>
    <w:rsid w:val="0093644A"/>
    <w:rsid w:val="00937252"/>
    <w:rsid w:val="0093778C"/>
    <w:rsid w:val="00937B33"/>
    <w:rsid w:val="00940ABC"/>
    <w:rsid w:val="00940EF6"/>
    <w:rsid w:val="009413D0"/>
    <w:rsid w:val="00941426"/>
    <w:rsid w:val="00942A79"/>
    <w:rsid w:val="00943C8C"/>
    <w:rsid w:val="00943E9E"/>
    <w:rsid w:val="00944A96"/>
    <w:rsid w:val="009506CB"/>
    <w:rsid w:val="00953116"/>
    <w:rsid w:val="00953E54"/>
    <w:rsid w:val="0095439D"/>
    <w:rsid w:val="009574FF"/>
    <w:rsid w:val="00957F67"/>
    <w:rsid w:val="0096034E"/>
    <w:rsid w:val="00960863"/>
    <w:rsid w:val="00960B35"/>
    <w:rsid w:val="00960BFE"/>
    <w:rsid w:val="009614F2"/>
    <w:rsid w:val="00961902"/>
    <w:rsid w:val="009620AE"/>
    <w:rsid w:val="00962257"/>
    <w:rsid w:val="00962D55"/>
    <w:rsid w:val="0096360D"/>
    <w:rsid w:val="00963F67"/>
    <w:rsid w:val="0096427B"/>
    <w:rsid w:val="0096579B"/>
    <w:rsid w:val="00965AE3"/>
    <w:rsid w:val="009662CD"/>
    <w:rsid w:val="00966933"/>
    <w:rsid w:val="00966D11"/>
    <w:rsid w:val="00966E90"/>
    <w:rsid w:val="00967B0F"/>
    <w:rsid w:val="00967D1B"/>
    <w:rsid w:val="0097029A"/>
    <w:rsid w:val="00971680"/>
    <w:rsid w:val="0097248F"/>
    <w:rsid w:val="009724E3"/>
    <w:rsid w:val="009734E5"/>
    <w:rsid w:val="00974038"/>
    <w:rsid w:val="00974127"/>
    <w:rsid w:val="009764CB"/>
    <w:rsid w:val="00977136"/>
    <w:rsid w:val="009778EA"/>
    <w:rsid w:val="00977D13"/>
    <w:rsid w:val="00977EF3"/>
    <w:rsid w:val="0098021F"/>
    <w:rsid w:val="00981051"/>
    <w:rsid w:val="0098301E"/>
    <w:rsid w:val="009834B1"/>
    <w:rsid w:val="00983653"/>
    <w:rsid w:val="009837DB"/>
    <w:rsid w:val="00983ED8"/>
    <w:rsid w:val="00984488"/>
    <w:rsid w:val="00984BFF"/>
    <w:rsid w:val="00984F36"/>
    <w:rsid w:val="00985B35"/>
    <w:rsid w:val="00985BE6"/>
    <w:rsid w:val="00986533"/>
    <w:rsid w:val="00986C5C"/>
    <w:rsid w:val="00987088"/>
    <w:rsid w:val="009904A3"/>
    <w:rsid w:val="00990C93"/>
    <w:rsid w:val="00991750"/>
    <w:rsid w:val="00991A47"/>
    <w:rsid w:val="00992E2B"/>
    <w:rsid w:val="00994589"/>
    <w:rsid w:val="00995BA2"/>
    <w:rsid w:val="00995D3F"/>
    <w:rsid w:val="009A07C4"/>
    <w:rsid w:val="009A08AF"/>
    <w:rsid w:val="009A0DC4"/>
    <w:rsid w:val="009A1898"/>
    <w:rsid w:val="009A1BED"/>
    <w:rsid w:val="009A211B"/>
    <w:rsid w:val="009A23CD"/>
    <w:rsid w:val="009A2569"/>
    <w:rsid w:val="009A3684"/>
    <w:rsid w:val="009A44BC"/>
    <w:rsid w:val="009A5A94"/>
    <w:rsid w:val="009A5E50"/>
    <w:rsid w:val="009A622D"/>
    <w:rsid w:val="009A721A"/>
    <w:rsid w:val="009B04B4"/>
    <w:rsid w:val="009B08ED"/>
    <w:rsid w:val="009B0EBB"/>
    <w:rsid w:val="009B156A"/>
    <w:rsid w:val="009B187F"/>
    <w:rsid w:val="009B2C53"/>
    <w:rsid w:val="009B3221"/>
    <w:rsid w:val="009B34F1"/>
    <w:rsid w:val="009B3678"/>
    <w:rsid w:val="009B3C70"/>
    <w:rsid w:val="009B4240"/>
    <w:rsid w:val="009B5010"/>
    <w:rsid w:val="009B54FC"/>
    <w:rsid w:val="009B5671"/>
    <w:rsid w:val="009B5C97"/>
    <w:rsid w:val="009B61F0"/>
    <w:rsid w:val="009B63F5"/>
    <w:rsid w:val="009B73FD"/>
    <w:rsid w:val="009B7443"/>
    <w:rsid w:val="009B7570"/>
    <w:rsid w:val="009B75CF"/>
    <w:rsid w:val="009B7FA7"/>
    <w:rsid w:val="009C02D2"/>
    <w:rsid w:val="009C10DF"/>
    <w:rsid w:val="009C162C"/>
    <w:rsid w:val="009C1E32"/>
    <w:rsid w:val="009C3086"/>
    <w:rsid w:val="009C4001"/>
    <w:rsid w:val="009C5628"/>
    <w:rsid w:val="009C5D84"/>
    <w:rsid w:val="009C5E85"/>
    <w:rsid w:val="009C62F9"/>
    <w:rsid w:val="009C78B5"/>
    <w:rsid w:val="009D0EED"/>
    <w:rsid w:val="009D10FE"/>
    <w:rsid w:val="009D11A6"/>
    <w:rsid w:val="009D183C"/>
    <w:rsid w:val="009D40D0"/>
    <w:rsid w:val="009D4807"/>
    <w:rsid w:val="009D483D"/>
    <w:rsid w:val="009D4966"/>
    <w:rsid w:val="009D4B37"/>
    <w:rsid w:val="009D58C6"/>
    <w:rsid w:val="009D594E"/>
    <w:rsid w:val="009D743C"/>
    <w:rsid w:val="009D74AB"/>
    <w:rsid w:val="009E104E"/>
    <w:rsid w:val="009E14B4"/>
    <w:rsid w:val="009E196E"/>
    <w:rsid w:val="009E2932"/>
    <w:rsid w:val="009E44AC"/>
    <w:rsid w:val="009E4B27"/>
    <w:rsid w:val="009E55D9"/>
    <w:rsid w:val="009E55F6"/>
    <w:rsid w:val="009E6AF3"/>
    <w:rsid w:val="009E76CF"/>
    <w:rsid w:val="009E7880"/>
    <w:rsid w:val="009E7D8A"/>
    <w:rsid w:val="009F0534"/>
    <w:rsid w:val="009F095A"/>
    <w:rsid w:val="009F2552"/>
    <w:rsid w:val="009F29CF"/>
    <w:rsid w:val="009F3C66"/>
    <w:rsid w:val="009F3E64"/>
    <w:rsid w:val="009F47A9"/>
    <w:rsid w:val="009F4B18"/>
    <w:rsid w:val="009F50FB"/>
    <w:rsid w:val="009F5C9B"/>
    <w:rsid w:val="009F6AD3"/>
    <w:rsid w:val="009F6FE8"/>
    <w:rsid w:val="009F7F00"/>
    <w:rsid w:val="00A00387"/>
    <w:rsid w:val="00A00EED"/>
    <w:rsid w:val="00A02134"/>
    <w:rsid w:val="00A02737"/>
    <w:rsid w:val="00A03039"/>
    <w:rsid w:val="00A036E6"/>
    <w:rsid w:val="00A054C8"/>
    <w:rsid w:val="00A05C35"/>
    <w:rsid w:val="00A05C88"/>
    <w:rsid w:val="00A060E2"/>
    <w:rsid w:val="00A0698E"/>
    <w:rsid w:val="00A06ABB"/>
    <w:rsid w:val="00A0716B"/>
    <w:rsid w:val="00A07547"/>
    <w:rsid w:val="00A07684"/>
    <w:rsid w:val="00A07AFD"/>
    <w:rsid w:val="00A07BDB"/>
    <w:rsid w:val="00A10A0E"/>
    <w:rsid w:val="00A10A35"/>
    <w:rsid w:val="00A118D9"/>
    <w:rsid w:val="00A11A63"/>
    <w:rsid w:val="00A11A6D"/>
    <w:rsid w:val="00A123B4"/>
    <w:rsid w:val="00A124A8"/>
    <w:rsid w:val="00A12B82"/>
    <w:rsid w:val="00A12E59"/>
    <w:rsid w:val="00A12F4A"/>
    <w:rsid w:val="00A13193"/>
    <w:rsid w:val="00A131B1"/>
    <w:rsid w:val="00A13577"/>
    <w:rsid w:val="00A139D1"/>
    <w:rsid w:val="00A13A3C"/>
    <w:rsid w:val="00A13E71"/>
    <w:rsid w:val="00A142BC"/>
    <w:rsid w:val="00A1504E"/>
    <w:rsid w:val="00A15C12"/>
    <w:rsid w:val="00A15F0A"/>
    <w:rsid w:val="00A17352"/>
    <w:rsid w:val="00A220E4"/>
    <w:rsid w:val="00A22251"/>
    <w:rsid w:val="00A22961"/>
    <w:rsid w:val="00A23571"/>
    <w:rsid w:val="00A238C4"/>
    <w:rsid w:val="00A2436B"/>
    <w:rsid w:val="00A24BDF"/>
    <w:rsid w:val="00A25374"/>
    <w:rsid w:val="00A258E2"/>
    <w:rsid w:val="00A2602A"/>
    <w:rsid w:val="00A264A4"/>
    <w:rsid w:val="00A31DC8"/>
    <w:rsid w:val="00A3257B"/>
    <w:rsid w:val="00A33C45"/>
    <w:rsid w:val="00A3408F"/>
    <w:rsid w:val="00A3532E"/>
    <w:rsid w:val="00A359D7"/>
    <w:rsid w:val="00A3613D"/>
    <w:rsid w:val="00A3648B"/>
    <w:rsid w:val="00A36E34"/>
    <w:rsid w:val="00A373EB"/>
    <w:rsid w:val="00A40548"/>
    <w:rsid w:val="00A407A9"/>
    <w:rsid w:val="00A40942"/>
    <w:rsid w:val="00A41A93"/>
    <w:rsid w:val="00A421A7"/>
    <w:rsid w:val="00A424A5"/>
    <w:rsid w:val="00A4292D"/>
    <w:rsid w:val="00A431A9"/>
    <w:rsid w:val="00A434BE"/>
    <w:rsid w:val="00A436A7"/>
    <w:rsid w:val="00A44957"/>
    <w:rsid w:val="00A44DD3"/>
    <w:rsid w:val="00A458A5"/>
    <w:rsid w:val="00A458F0"/>
    <w:rsid w:val="00A46223"/>
    <w:rsid w:val="00A473A6"/>
    <w:rsid w:val="00A474A3"/>
    <w:rsid w:val="00A477B2"/>
    <w:rsid w:val="00A50D60"/>
    <w:rsid w:val="00A50E42"/>
    <w:rsid w:val="00A5186F"/>
    <w:rsid w:val="00A533DD"/>
    <w:rsid w:val="00A535EF"/>
    <w:rsid w:val="00A54073"/>
    <w:rsid w:val="00A54260"/>
    <w:rsid w:val="00A54322"/>
    <w:rsid w:val="00A54423"/>
    <w:rsid w:val="00A54B48"/>
    <w:rsid w:val="00A54D9E"/>
    <w:rsid w:val="00A54DCA"/>
    <w:rsid w:val="00A55586"/>
    <w:rsid w:val="00A55818"/>
    <w:rsid w:val="00A55880"/>
    <w:rsid w:val="00A56BA1"/>
    <w:rsid w:val="00A571E5"/>
    <w:rsid w:val="00A57B65"/>
    <w:rsid w:val="00A60598"/>
    <w:rsid w:val="00A6080D"/>
    <w:rsid w:val="00A60C06"/>
    <w:rsid w:val="00A61061"/>
    <w:rsid w:val="00A62C01"/>
    <w:rsid w:val="00A63C7F"/>
    <w:rsid w:val="00A6503D"/>
    <w:rsid w:val="00A65A53"/>
    <w:rsid w:val="00A65E61"/>
    <w:rsid w:val="00A665B0"/>
    <w:rsid w:val="00A666C1"/>
    <w:rsid w:val="00A6692E"/>
    <w:rsid w:val="00A66B73"/>
    <w:rsid w:val="00A66F52"/>
    <w:rsid w:val="00A66F54"/>
    <w:rsid w:val="00A705CE"/>
    <w:rsid w:val="00A70995"/>
    <w:rsid w:val="00A721D5"/>
    <w:rsid w:val="00A73F8C"/>
    <w:rsid w:val="00A74C6B"/>
    <w:rsid w:val="00A74CA8"/>
    <w:rsid w:val="00A764EE"/>
    <w:rsid w:val="00A7651E"/>
    <w:rsid w:val="00A7663E"/>
    <w:rsid w:val="00A76A8C"/>
    <w:rsid w:val="00A776BC"/>
    <w:rsid w:val="00A77A65"/>
    <w:rsid w:val="00A77B0E"/>
    <w:rsid w:val="00A80493"/>
    <w:rsid w:val="00A80D97"/>
    <w:rsid w:val="00A8103F"/>
    <w:rsid w:val="00A81878"/>
    <w:rsid w:val="00A81F14"/>
    <w:rsid w:val="00A8370E"/>
    <w:rsid w:val="00A83C08"/>
    <w:rsid w:val="00A84213"/>
    <w:rsid w:val="00A8492E"/>
    <w:rsid w:val="00A84E01"/>
    <w:rsid w:val="00A8511C"/>
    <w:rsid w:val="00A8574C"/>
    <w:rsid w:val="00A85B7F"/>
    <w:rsid w:val="00A85EFF"/>
    <w:rsid w:val="00A86633"/>
    <w:rsid w:val="00A86B37"/>
    <w:rsid w:val="00A874C4"/>
    <w:rsid w:val="00A87A21"/>
    <w:rsid w:val="00A908EE"/>
    <w:rsid w:val="00A91510"/>
    <w:rsid w:val="00A9291A"/>
    <w:rsid w:val="00A932C0"/>
    <w:rsid w:val="00A93E8C"/>
    <w:rsid w:val="00A94BF6"/>
    <w:rsid w:val="00A94CA2"/>
    <w:rsid w:val="00A94D08"/>
    <w:rsid w:val="00A9543E"/>
    <w:rsid w:val="00A95BB9"/>
    <w:rsid w:val="00A95CFB"/>
    <w:rsid w:val="00A962D1"/>
    <w:rsid w:val="00A968C7"/>
    <w:rsid w:val="00A96BC1"/>
    <w:rsid w:val="00A9711F"/>
    <w:rsid w:val="00A9745D"/>
    <w:rsid w:val="00A97632"/>
    <w:rsid w:val="00AA209F"/>
    <w:rsid w:val="00AA22FA"/>
    <w:rsid w:val="00AA2CA4"/>
    <w:rsid w:val="00AA30AE"/>
    <w:rsid w:val="00AA33B9"/>
    <w:rsid w:val="00AA37FF"/>
    <w:rsid w:val="00AA448A"/>
    <w:rsid w:val="00AA464B"/>
    <w:rsid w:val="00AA47FF"/>
    <w:rsid w:val="00AA488B"/>
    <w:rsid w:val="00AA57AC"/>
    <w:rsid w:val="00AA6F40"/>
    <w:rsid w:val="00AA7F29"/>
    <w:rsid w:val="00AB0D64"/>
    <w:rsid w:val="00AB10FF"/>
    <w:rsid w:val="00AB3003"/>
    <w:rsid w:val="00AB425A"/>
    <w:rsid w:val="00AB4A94"/>
    <w:rsid w:val="00AB4F71"/>
    <w:rsid w:val="00AB626B"/>
    <w:rsid w:val="00AB6963"/>
    <w:rsid w:val="00AB755D"/>
    <w:rsid w:val="00AC01F0"/>
    <w:rsid w:val="00AC02A4"/>
    <w:rsid w:val="00AC1913"/>
    <w:rsid w:val="00AC2DAE"/>
    <w:rsid w:val="00AC34EA"/>
    <w:rsid w:val="00AC42B0"/>
    <w:rsid w:val="00AC4318"/>
    <w:rsid w:val="00AC49DB"/>
    <w:rsid w:val="00AC5C5C"/>
    <w:rsid w:val="00AC5FDC"/>
    <w:rsid w:val="00AC6474"/>
    <w:rsid w:val="00AC6D2B"/>
    <w:rsid w:val="00AC70AF"/>
    <w:rsid w:val="00AC78FF"/>
    <w:rsid w:val="00AC7B3F"/>
    <w:rsid w:val="00AC7CE1"/>
    <w:rsid w:val="00AD08E4"/>
    <w:rsid w:val="00AD11E1"/>
    <w:rsid w:val="00AD135B"/>
    <w:rsid w:val="00AD231E"/>
    <w:rsid w:val="00AD4F19"/>
    <w:rsid w:val="00AD5464"/>
    <w:rsid w:val="00AD5A19"/>
    <w:rsid w:val="00AD5AD7"/>
    <w:rsid w:val="00AD64D3"/>
    <w:rsid w:val="00AD6C1A"/>
    <w:rsid w:val="00AD6D4B"/>
    <w:rsid w:val="00AE066B"/>
    <w:rsid w:val="00AE07D5"/>
    <w:rsid w:val="00AE0B4C"/>
    <w:rsid w:val="00AE0D45"/>
    <w:rsid w:val="00AE112B"/>
    <w:rsid w:val="00AE1A40"/>
    <w:rsid w:val="00AE1B3A"/>
    <w:rsid w:val="00AE208F"/>
    <w:rsid w:val="00AE2319"/>
    <w:rsid w:val="00AE2340"/>
    <w:rsid w:val="00AE2637"/>
    <w:rsid w:val="00AE2918"/>
    <w:rsid w:val="00AE2DDA"/>
    <w:rsid w:val="00AE2F8A"/>
    <w:rsid w:val="00AE3203"/>
    <w:rsid w:val="00AE34AD"/>
    <w:rsid w:val="00AE385C"/>
    <w:rsid w:val="00AE3E09"/>
    <w:rsid w:val="00AE3E7C"/>
    <w:rsid w:val="00AE5197"/>
    <w:rsid w:val="00AE5BA9"/>
    <w:rsid w:val="00AE5CB3"/>
    <w:rsid w:val="00AE60CF"/>
    <w:rsid w:val="00AE62EB"/>
    <w:rsid w:val="00AE63B0"/>
    <w:rsid w:val="00AE69AC"/>
    <w:rsid w:val="00AE70E3"/>
    <w:rsid w:val="00AE7424"/>
    <w:rsid w:val="00AF11CA"/>
    <w:rsid w:val="00AF127F"/>
    <w:rsid w:val="00AF1799"/>
    <w:rsid w:val="00AF1AD0"/>
    <w:rsid w:val="00AF1CB0"/>
    <w:rsid w:val="00AF23ED"/>
    <w:rsid w:val="00AF306D"/>
    <w:rsid w:val="00AF38C6"/>
    <w:rsid w:val="00AF3B5D"/>
    <w:rsid w:val="00AF4007"/>
    <w:rsid w:val="00AF4746"/>
    <w:rsid w:val="00AF4A98"/>
    <w:rsid w:val="00AF5A7C"/>
    <w:rsid w:val="00AF5D5F"/>
    <w:rsid w:val="00AF78EC"/>
    <w:rsid w:val="00B001E1"/>
    <w:rsid w:val="00B00256"/>
    <w:rsid w:val="00B00B0E"/>
    <w:rsid w:val="00B010CF"/>
    <w:rsid w:val="00B01112"/>
    <w:rsid w:val="00B01949"/>
    <w:rsid w:val="00B0275C"/>
    <w:rsid w:val="00B02A29"/>
    <w:rsid w:val="00B02B1E"/>
    <w:rsid w:val="00B03886"/>
    <w:rsid w:val="00B04A5D"/>
    <w:rsid w:val="00B04DBB"/>
    <w:rsid w:val="00B056C0"/>
    <w:rsid w:val="00B05CDF"/>
    <w:rsid w:val="00B05E6E"/>
    <w:rsid w:val="00B05FC9"/>
    <w:rsid w:val="00B06138"/>
    <w:rsid w:val="00B062D5"/>
    <w:rsid w:val="00B063DE"/>
    <w:rsid w:val="00B06965"/>
    <w:rsid w:val="00B06970"/>
    <w:rsid w:val="00B06F3E"/>
    <w:rsid w:val="00B06F73"/>
    <w:rsid w:val="00B079FF"/>
    <w:rsid w:val="00B11C53"/>
    <w:rsid w:val="00B12310"/>
    <w:rsid w:val="00B12978"/>
    <w:rsid w:val="00B12EC5"/>
    <w:rsid w:val="00B14528"/>
    <w:rsid w:val="00B145B0"/>
    <w:rsid w:val="00B147CC"/>
    <w:rsid w:val="00B148DB"/>
    <w:rsid w:val="00B1520C"/>
    <w:rsid w:val="00B158C8"/>
    <w:rsid w:val="00B15962"/>
    <w:rsid w:val="00B15A00"/>
    <w:rsid w:val="00B15C98"/>
    <w:rsid w:val="00B15F35"/>
    <w:rsid w:val="00B16069"/>
    <w:rsid w:val="00B16CF2"/>
    <w:rsid w:val="00B16FA4"/>
    <w:rsid w:val="00B20A72"/>
    <w:rsid w:val="00B214E2"/>
    <w:rsid w:val="00B2187A"/>
    <w:rsid w:val="00B219CC"/>
    <w:rsid w:val="00B22CEC"/>
    <w:rsid w:val="00B23133"/>
    <w:rsid w:val="00B23740"/>
    <w:rsid w:val="00B23F69"/>
    <w:rsid w:val="00B24748"/>
    <w:rsid w:val="00B26719"/>
    <w:rsid w:val="00B270E2"/>
    <w:rsid w:val="00B2737F"/>
    <w:rsid w:val="00B30B43"/>
    <w:rsid w:val="00B31AF5"/>
    <w:rsid w:val="00B31FD6"/>
    <w:rsid w:val="00B32323"/>
    <w:rsid w:val="00B33615"/>
    <w:rsid w:val="00B33E5C"/>
    <w:rsid w:val="00B34008"/>
    <w:rsid w:val="00B34C66"/>
    <w:rsid w:val="00B35A1C"/>
    <w:rsid w:val="00B35A36"/>
    <w:rsid w:val="00B35C48"/>
    <w:rsid w:val="00B365F6"/>
    <w:rsid w:val="00B378D5"/>
    <w:rsid w:val="00B41592"/>
    <w:rsid w:val="00B4171E"/>
    <w:rsid w:val="00B41781"/>
    <w:rsid w:val="00B42851"/>
    <w:rsid w:val="00B43352"/>
    <w:rsid w:val="00B45329"/>
    <w:rsid w:val="00B4585C"/>
    <w:rsid w:val="00B45DFF"/>
    <w:rsid w:val="00B46BCD"/>
    <w:rsid w:val="00B504B8"/>
    <w:rsid w:val="00B51979"/>
    <w:rsid w:val="00B51BE0"/>
    <w:rsid w:val="00B5270F"/>
    <w:rsid w:val="00B52AC5"/>
    <w:rsid w:val="00B52FD3"/>
    <w:rsid w:val="00B532A0"/>
    <w:rsid w:val="00B54163"/>
    <w:rsid w:val="00B55000"/>
    <w:rsid w:val="00B56411"/>
    <w:rsid w:val="00B56612"/>
    <w:rsid w:val="00B5767E"/>
    <w:rsid w:val="00B57FBD"/>
    <w:rsid w:val="00B6036B"/>
    <w:rsid w:val="00B60658"/>
    <w:rsid w:val="00B618B6"/>
    <w:rsid w:val="00B62FF8"/>
    <w:rsid w:val="00B63371"/>
    <w:rsid w:val="00B637A1"/>
    <w:rsid w:val="00B63B4B"/>
    <w:rsid w:val="00B63B54"/>
    <w:rsid w:val="00B63FC5"/>
    <w:rsid w:val="00B64518"/>
    <w:rsid w:val="00B64ED3"/>
    <w:rsid w:val="00B6569C"/>
    <w:rsid w:val="00B65AAE"/>
    <w:rsid w:val="00B65C81"/>
    <w:rsid w:val="00B66245"/>
    <w:rsid w:val="00B66EB2"/>
    <w:rsid w:val="00B67B0E"/>
    <w:rsid w:val="00B67B47"/>
    <w:rsid w:val="00B67C79"/>
    <w:rsid w:val="00B7489E"/>
    <w:rsid w:val="00B75853"/>
    <w:rsid w:val="00B766C6"/>
    <w:rsid w:val="00B76F43"/>
    <w:rsid w:val="00B77015"/>
    <w:rsid w:val="00B775FF"/>
    <w:rsid w:val="00B77743"/>
    <w:rsid w:val="00B800D5"/>
    <w:rsid w:val="00B812A8"/>
    <w:rsid w:val="00B81A4D"/>
    <w:rsid w:val="00B81C2F"/>
    <w:rsid w:val="00B8219B"/>
    <w:rsid w:val="00B8389D"/>
    <w:rsid w:val="00B838EB"/>
    <w:rsid w:val="00B83E4D"/>
    <w:rsid w:val="00B83F35"/>
    <w:rsid w:val="00B84517"/>
    <w:rsid w:val="00B84C4F"/>
    <w:rsid w:val="00B84DBA"/>
    <w:rsid w:val="00B84E2A"/>
    <w:rsid w:val="00B85B41"/>
    <w:rsid w:val="00B85FC7"/>
    <w:rsid w:val="00B86CF8"/>
    <w:rsid w:val="00B86E92"/>
    <w:rsid w:val="00B86FB9"/>
    <w:rsid w:val="00B871A5"/>
    <w:rsid w:val="00B90041"/>
    <w:rsid w:val="00B90986"/>
    <w:rsid w:val="00B913F6"/>
    <w:rsid w:val="00B914CC"/>
    <w:rsid w:val="00B9160A"/>
    <w:rsid w:val="00B9169A"/>
    <w:rsid w:val="00B92132"/>
    <w:rsid w:val="00B92EB8"/>
    <w:rsid w:val="00B93419"/>
    <w:rsid w:val="00B93BAF"/>
    <w:rsid w:val="00B94179"/>
    <w:rsid w:val="00B9445F"/>
    <w:rsid w:val="00B9558A"/>
    <w:rsid w:val="00B9570C"/>
    <w:rsid w:val="00B95F30"/>
    <w:rsid w:val="00B962EC"/>
    <w:rsid w:val="00B96558"/>
    <w:rsid w:val="00B9770B"/>
    <w:rsid w:val="00B97B76"/>
    <w:rsid w:val="00B97ECB"/>
    <w:rsid w:val="00BA075B"/>
    <w:rsid w:val="00BA0B9A"/>
    <w:rsid w:val="00BA1621"/>
    <w:rsid w:val="00BA189B"/>
    <w:rsid w:val="00BA23FB"/>
    <w:rsid w:val="00BA2755"/>
    <w:rsid w:val="00BA2F72"/>
    <w:rsid w:val="00BA361F"/>
    <w:rsid w:val="00BA3F0C"/>
    <w:rsid w:val="00BA4A55"/>
    <w:rsid w:val="00BA4D9B"/>
    <w:rsid w:val="00BA4E11"/>
    <w:rsid w:val="00BA6B22"/>
    <w:rsid w:val="00BA7415"/>
    <w:rsid w:val="00BA7E18"/>
    <w:rsid w:val="00BB01CC"/>
    <w:rsid w:val="00BB0CD7"/>
    <w:rsid w:val="00BB13C7"/>
    <w:rsid w:val="00BB2271"/>
    <w:rsid w:val="00BB22D8"/>
    <w:rsid w:val="00BB359F"/>
    <w:rsid w:val="00BB3C7D"/>
    <w:rsid w:val="00BB4EFA"/>
    <w:rsid w:val="00BB514E"/>
    <w:rsid w:val="00BB53DB"/>
    <w:rsid w:val="00BB5ECA"/>
    <w:rsid w:val="00BB69EC"/>
    <w:rsid w:val="00BB6E50"/>
    <w:rsid w:val="00BB6FDC"/>
    <w:rsid w:val="00BC1241"/>
    <w:rsid w:val="00BC1374"/>
    <w:rsid w:val="00BC14DA"/>
    <w:rsid w:val="00BC1747"/>
    <w:rsid w:val="00BC2570"/>
    <w:rsid w:val="00BC2920"/>
    <w:rsid w:val="00BC339C"/>
    <w:rsid w:val="00BC391B"/>
    <w:rsid w:val="00BC4FD0"/>
    <w:rsid w:val="00BC5AE0"/>
    <w:rsid w:val="00BC6531"/>
    <w:rsid w:val="00BC669B"/>
    <w:rsid w:val="00BC7152"/>
    <w:rsid w:val="00BC715C"/>
    <w:rsid w:val="00BC7F4F"/>
    <w:rsid w:val="00BD09D5"/>
    <w:rsid w:val="00BD1440"/>
    <w:rsid w:val="00BD172F"/>
    <w:rsid w:val="00BD3C3A"/>
    <w:rsid w:val="00BD3C93"/>
    <w:rsid w:val="00BD4FEC"/>
    <w:rsid w:val="00BD5456"/>
    <w:rsid w:val="00BD5B35"/>
    <w:rsid w:val="00BD5C8D"/>
    <w:rsid w:val="00BD6486"/>
    <w:rsid w:val="00BD7AB1"/>
    <w:rsid w:val="00BD7AF2"/>
    <w:rsid w:val="00BD7EE7"/>
    <w:rsid w:val="00BE118A"/>
    <w:rsid w:val="00BE151A"/>
    <w:rsid w:val="00BE1658"/>
    <w:rsid w:val="00BE3064"/>
    <w:rsid w:val="00BE3771"/>
    <w:rsid w:val="00BE5FCF"/>
    <w:rsid w:val="00BE62DE"/>
    <w:rsid w:val="00BE63C7"/>
    <w:rsid w:val="00BE6DAC"/>
    <w:rsid w:val="00BE6F03"/>
    <w:rsid w:val="00BE742A"/>
    <w:rsid w:val="00BF0E4D"/>
    <w:rsid w:val="00BF0F88"/>
    <w:rsid w:val="00BF3CB8"/>
    <w:rsid w:val="00BF3D48"/>
    <w:rsid w:val="00BF58D5"/>
    <w:rsid w:val="00BF682D"/>
    <w:rsid w:val="00BF7113"/>
    <w:rsid w:val="00BF746B"/>
    <w:rsid w:val="00C01B17"/>
    <w:rsid w:val="00C026B8"/>
    <w:rsid w:val="00C02DC8"/>
    <w:rsid w:val="00C04D55"/>
    <w:rsid w:val="00C0506F"/>
    <w:rsid w:val="00C052A6"/>
    <w:rsid w:val="00C05302"/>
    <w:rsid w:val="00C0550A"/>
    <w:rsid w:val="00C069D4"/>
    <w:rsid w:val="00C072AB"/>
    <w:rsid w:val="00C076CA"/>
    <w:rsid w:val="00C07B75"/>
    <w:rsid w:val="00C100FB"/>
    <w:rsid w:val="00C11F5A"/>
    <w:rsid w:val="00C127DA"/>
    <w:rsid w:val="00C12862"/>
    <w:rsid w:val="00C12CE5"/>
    <w:rsid w:val="00C14049"/>
    <w:rsid w:val="00C14752"/>
    <w:rsid w:val="00C1610A"/>
    <w:rsid w:val="00C172DC"/>
    <w:rsid w:val="00C17978"/>
    <w:rsid w:val="00C17B3E"/>
    <w:rsid w:val="00C21485"/>
    <w:rsid w:val="00C221B9"/>
    <w:rsid w:val="00C222A1"/>
    <w:rsid w:val="00C225D2"/>
    <w:rsid w:val="00C22709"/>
    <w:rsid w:val="00C233FF"/>
    <w:rsid w:val="00C23C1D"/>
    <w:rsid w:val="00C24060"/>
    <w:rsid w:val="00C24897"/>
    <w:rsid w:val="00C25432"/>
    <w:rsid w:val="00C25556"/>
    <w:rsid w:val="00C260E5"/>
    <w:rsid w:val="00C30340"/>
    <w:rsid w:val="00C30D83"/>
    <w:rsid w:val="00C31232"/>
    <w:rsid w:val="00C313DD"/>
    <w:rsid w:val="00C31AF4"/>
    <w:rsid w:val="00C32780"/>
    <w:rsid w:val="00C32C5F"/>
    <w:rsid w:val="00C3352B"/>
    <w:rsid w:val="00C33A00"/>
    <w:rsid w:val="00C344C9"/>
    <w:rsid w:val="00C35BB3"/>
    <w:rsid w:val="00C35D19"/>
    <w:rsid w:val="00C365BC"/>
    <w:rsid w:val="00C36771"/>
    <w:rsid w:val="00C37227"/>
    <w:rsid w:val="00C374DB"/>
    <w:rsid w:val="00C37CC0"/>
    <w:rsid w:val="00C37DE8"/>
    <w:rsid w:val="00C40520"/>
    <w:rsid w:val="00C40A4A"/>
    <w:rsid w:val="00C40BE7"/>
    <w:rsid w:val="00C411DE"/>
    <w:rsid w:val="00C41365"/>
    <w:rsid w:val="00C43CD8"/>
    <w:rsid w:val="00C440BC"/>
    <w:rsid w:val="00C44417"/>
    <w:rsid w:val="00C4554C"/>
    <w:rsid w:val="00C47078"/>
    <w:rsid w:val="00C47132"/>
    <w:rsid w:val="00C47D6C"/>
    <w:rsid w:val="00C501AF"/>
    <w:rsid w:val="00C50AC0"/>
    <w:rsid w:val="00C50B0E"/>
    <w:rsid w:val="00C50FA9"/>
    <w:rsid w:val="00C51065"/>
    <w:rsid w:val="00C516B5"/>
    <w:rsid w:val="00C51E67"/>
    <w:rsid w:val="00C52368"/>
    <w:rsid w:val="00C52786"/>
    <w:rsid w:val="00C53A92"/>
    <w:rsid w:val="00C53E01"/>
    <w:rsid w:val="00C53F26"/>
    <w:rsid w:val="00C548D0"/>
    <w:rsid w:val="00C54A35"/>
    <w:rsid w:val="00C55B70"/>
    <w:rsid w:val="00C55BBF"/>
    <w:rsid w:val="00C569E2"/>
    <w:rsid w:val="00C56D96"/>
    <w:rsid w:val="00C56DF9"/>
    <w:rsid w:val="00C56EAB"/>
    <w:rsid w:val="00C600AB"/>
    <w:rsid w:val="00C60857"/>
    <w:rsid w:val="00C60A3A"/>
    <w:rsid w:val="00C60D93"/>
    <w:rsid w:val="00C61149"/>
    <w:rsid w:val="00C62E46"/>
    <w:rsid w:val="00C635A8"/>
    <w:rsid w:val="00C63824"/>
    <w:rsid w:val="00C63BD1"/>
    <w:rsid w:val="00C64174"/>
    <w:rsid w:val="00C65670"/>
    <w:rsid w:val="00C6642D"/>
    <w:rsid w:val="00C6692D"/>
    <w:rsid w:val="00C70845"/>
    <w:rsid w:val="00C70B9E"/>
    <w:rsid w:val="00C70E55"/>
    <w:rsid w:val="00C71194"/>
    <w:rsid w:val="00C7191E"/>
    <w:rsid w:val="00C719DA"/>
    <w:rsid w:val="00C71B13"/>
    <w:rsid w:val="00C71C59"/>
    <w:rsid w:val="00C71DCD"/>
    <w:rsid w:val="00C727A8"/>
    <w:rsid w:val="00C72869"/>
    <w:rsid w:val="00C730F7"/>
    <w:rsid w:val="00C733C8"/>
    <w:rsid w:val="00C74CDD"/>
    <w:rsid w:val="00C75FBD"/>
    <w:rsid w:val="00C7683D"/>
    <w:rsid w:val="00C76A58"/>
    <w:rsid w:val="00C775AB"/>
    <w:rsid w:val="00C80539"/>
    <w:rsid w:val="00C80CC5"/>
    <w:rsid w:val="00C81211"/>
    <w:rsid w:val="00C812B0"/>
    <w:rsid w:val="00C81D1F"/>
    <w:rsid w:val="00C82065"/>
    <w:rsid w:val="00C820B5"/>
    <w:rsid w:val="00C82112"/>
    <w:rsid w:val="00C822BD"/>
    <w:rsid w:val="00C8275D"/>
    <w:rsid w:val="00C827A6"/>
    <w:rsid w:val="00C82E3C"/>
    <w:rsid w:val="00C83A7C"/>
    <w:rsid w:val="00C84632"/>
    <w:rsid w:val="00C848B4"/>
    <w:rsid w:val="00C8560D"/>
    <w:rsid w:val="00C87E83"/>
    <w:rsid w:val="00C87F79"/>
    <w:rsid w:val="00C9194B"/>
    <w:rsid w:val="00C91AB0"/>
    <w:rsid w:val="00C92003"/>
    <w:rsid w:val="00C92234"/>
    <w:rsid w:val="00C925B7"/>
    <w:rsid w:val="00C92B63"/>
    <w:rsid w:val="00C936AF"/>
    <w:rsid w:val="00C93A12"/>
    <w:rsid w:val="00C94175"/>
    <w:rsid w:val="00C950F8"/>
    <w:rsid w:val="00C95253"/>
    <w:rsid w:val="00C958D4"/>
    <w:rsid w:val="00C95CBF"/>
    <w:rsid w:val="00C96B34"/>
    <w:rsid w:val="00C96B5F"/>
    <w:rsid w:val="00C96D9A"/>
    <w:rsid w:val="00C976DA"/>
    <w:rsid w:val="00CA0275"/>
    <w:rsid w:val="00CA027C"/>
    <w:rsid w:val="00CA0C38"/>
    <w:rsid w:val="00CA17FD"/>
    <w:rsid w:val="00CA2A25"/>
    <w:rsid w:val="00CA2C99"/>
    <w:rsid w:val="00CA2D15"/>
    <w:rsid w:val="00CA30DC"/>
    <w:rsid w:val="00CA3169"/>
    <w:rsid w:val="00CA3500"/>
    <w:rsid w:val="00CA47CB"/>
    <w:rsid w:val="00CA4C2B"/>
    <w:rsid w:val="00CA52CF"/>
    <w:rsid w:val="00CA5962"/>
    <w:rsid w:val="00CA5B2A"/>
    <w:rsid w:val="00CA6263"/>
    <w:rsid w:val="00CA6426"/>
    <w:rsid w:val="00CA6865"/>
    <w:rsid w:val="00CA6BB7"/>
    <w:rsid w:val="00CA70FA"/>
    <w:rsid w:val="00CA74B7"/>
    <w:rsid w:val="00CA780C"/>
    <w:rsid w:val="00CB0621"/>
    <w:rsid w:val="00CB078E"/>
    <w:rsid w:val="00CB087E"/>
    <w:rsid w:val="00CB19E3"/>
    <w:rsid w:val="00CB257F"/>
    <w:rsid w:val="00CB2FA9"/>
    <w:rsid w:val="00CB3B18"/>
    <w:rsid w:val="00CB450B"/>
    <w:rsid w:val="00CB462C"/>
    <w:rsid w:val="00CB564E"/>
    <w:rsid w:val="00CB5B1A"/>
    <w:rsid w:val="00CB7689"/>
    <w:rsid w:val="00CC12BC"/>
    <w:rsid w:val="00CC1C86"/>
    <w:rsid w:val="00CC260D"/>
    <w:rsid w:val="00CC2A09"/>
    <w:rsid w:val="00CC33E0"/>
    <w:rsid w:val="00CC3504"/>
    <w:rsid w:val="00CC36A6"/>
    <w:rsid w:val="00CC3ADA"/>
    <w:rsid w:val="00CC4E66"/>
    <w:rsid w:val="00CC52F5"/>
    <w:rsid w:val="00CC5791"/>
    <w:rsid w:val="00CC64E0"/>
    <w:rsid w:val="00CC6A8E"/>
    <w:rsid w:val="00CC6BC9"/>
    <w:rsid w:val="00CC73BE"/>
    <w:rsid w:val="00CD049D"/>
    <w:rsid w:val="00CD1177"/>
    <w:rsid w:val="00CD1B21"/>
    <w:rsid w:val="00CD2948"/>
    <w:rsid w:val="00CD2964"/>
    <w:rsid w:val="00CD2BB5"/>
    <w:rsid w:val="00CD40A2"/>
    <w:rsid w:val="00CD412F"/>
    <w:rsid w:val="00CD4146"/>
    <w:rsid w:val="00CD5F84"/>
    <w:rsid w:val="00CD65BA"/>
    <w:rsid w:val="00CD6F63"/>
    <w:rsid w:val="00CD75F2"/>
    <w:rsid w:val="00CD75FB"/>
    <w:rsid w:val="00CD7A89"/>
    <w:rsid w:val="00CE07D1"/>
    <w:rsid w:val="00CE0E68"/>
    <w:rsid w:val="00CE1022"/>
    <w:rsid w:val="00CE1453"/>
    <w:rsid w:val="00CE22F2"/>
    <w:rsid w:val="00CE284B"/>
    <w:rsid w:val="00CE2C06"/>
    <w:rsid w:val="00CE347E"/>
    <w:rsid w:val="00CE4491"/>
    <w:rsid w:val="00CE4B31"/>
    <w:rsid w:val="00CE4D00"/>
    <w:rsid w:val="00CE4E0D"/>
    <w:rsid w:val="00CE4E66"/>
    <w:rsid w:val="00CE55D5"/>
    <w:rsid w:val="00CE5614"/>
    <w:rsid w:val="00CE59AE"/>
    <w:rsid w:val="00CE5DBC"/>
    <w:rsid w:val="00CE62A9"/>
    <w:rsid w:val="00CE72C4"/>
    <w:rsid w:val="00CE7A79"/>
    <w:rsid w:val="00CF1342"/>
    <w:rsid w:val="00CF1E64"/>
    <w:rsid w:val="00CF2779"/>
    <w:rsid w:val="00CF38BC"/>
    <w:rsid w:val="00CF3A42"/>
    <w:rsid w:val="00CF4495"/>
    <w:rsid w:val="00CF4741"/>
    <w:rsid w:val="00CF4DD0"/>
    <w:rsid w:val="00CF522D"/>
    <w:rsid w:val="00CF65A1"/>
    <w:rsid w:val="00CF7668"/>
    <w:rsid w:val="00CF7CBD"/>
    <w:rsid w:val="00D000CB"/>
    <w:rsid w:val="00D014E4"/>
    <w:rsid w:val="00D01B58"/>
    <w:rsid w:val="00D0377A"/>
    <w:rsid w:val="00D03E5F"/>
    <w:rsid w:val="00D04243"/>
    <w:rsid w:val="00D045EB"/>
    <w:rsid w:val="00D049FB"/>
    <w:rsid w:val="00D05157"/>
    <w:rsid w:val="00D059C5"/>
    <w:rsid w:val="00D05C23"/>
    <w:rsid w:val="00D063EB"/>
    <w:rsid w:val="00D06CCE"/>
    <w:rsid w:val="00D07A3B"/>
    <w:rsid w:val="00D07CF7"/>
    <w:rsid w:val="00D07D5F"/>
    <w:rsid w:val="00D1056D"/>
    <w:rsid w:val="00D115BA"/>
    <w:rsid w:val="00D11ABF"/>
    <w:rsid w:val="00D11D80"/>
    <w:rsid w:val="00D12771"/>
    <w:rsid w:val="00D134D3"/>
    <w:rsid w:val="00D14062"/>
    <w:rsid w:val="00D14876"/>
    <w:rsid w:val="00D14986"/>
    <w:rsid w:val="00D160BB"/>
    <w:rsid w:val="00D168B6"/>
    <w:rsid w:val="00D169E5"/>
    <w:rsid w:val="00D17A1E"/>
    <w:rsid w:val="00D2036F"/>
    <w:rsid w:val="00D21154"/>
    <w:rsid w:val="00D21E79"/>
    <w:rsid w:val="00D237B1"/>
    <w:rsid w:val="00D2577E"/>
    <w:rsid w:val="00D2599A"/>
    <w:rsid w:val="00D266B5"/>
    <w:rsid w:val="00D26C6F"/>
    <w:rsid w:val="00D26F50"/>
    <w:rsid w:val="00D274D9"/>
    <w:rsid w:val="00D27978"/>
    <w:rsid w:val="00D31932"/>
    <w:rsid w:val="00D31AAB"/>
    <w:rsid w:val="00D31B6B"/>
    <w:rsid w:val="00D327B2"/>
    <w:rsid w:val="00D328FA"/>
    <w:rsid w:val="00D3527C"/>
    <w:rsid w:val="00D355A5"/>
    <w:rsid w:val="00D36EA6"/>
    <w:rsid w:val="00D401AE"/>
    <w:rsid w:val="00D40B6B"/>
    <w:rsid w:val="00D40F17"/>
    <w:rsid w:val="00D42FB0"/>
    <w:rsid w:val="00D43403"/>
    <w:rsid w:val="00D4365D"/>
    <w:rsid w:val="00D43ECE"/>
    <w:rsid w:val="00D447C6"/>
    <w:rsid w:val="00D474F9"/>
    <w:rsid w:val="00D4773F"/>
    <w:rsid w:val="00D47A26"/>
    <w:rsid w:val="00D47E23"/>
    <w:rsid w:val="00D505B9"/>
    <w:rsid w:val="00D50A53"/>
    <w:rsid w:val="00D51BF3"/>
    <w:rsid w:val="00D51E7F"/>
    <w:rsid w:val="00D530FE"/>
    <w:rsid w:val="00D53AF2"/>
    <w:rsid w:val="00D54593"/>
    <w:rsid w:val="00D55DF9"/>
    <w:rsid w:val="00D5694F"/>
    <w:rsid w:val="00D56A62"/>
    <w:rsid w:val="00D56BBF"/>
    <w:rsid w:val="00D5751F"/>
    <w:rsid w:val="00D575A9"/>
    <w:rsid w:val="00D57793"/>
    <w:rsid w:val="00D5799B"/>
    <w:rsid w:val="00D57DBC"/>
    <w:rsid w:val="00D6052F"/>
    <w:rsid w:val="00D61068"/>
    <w:rsid w:val="00D622EB"/>
    <w:rsid w:val="00D62C57"/>
    <w:rsid w:val="00D62CC5"/>
    <w:rsid w:val="00D63537"/>
    <w:rsid w:val="00D63EA0"/>
    <w:rsid w:val="00D64073"/>
    <w:rsid w:val="00D641B6"/>
    <w:rsid w:val="00D6526B"/>
    <w:rsid w:val="00D65CC9"/>
    <w:rsid w:val="00D65EFF"/>
    <w:rsid w:val="00D66FEC"/>
    <w:rsid w:val="00D67DC6"/>
    <w:rsid w:val="00D705EC"/>
    <w:rsid w:val="00D706C3"/>
    <w:rsid w:val="00D70F17"/>
    <w:rsid w:val="00D71E2C"/>
    <w:rsid w:val="00D71EE3"/>
    <w:rsid w:val="00D7333E"/>
    <w:rsid w:val="00D73FC2"/>
    <w:rsid w:val="00D74397"/>
    <w:rsid w:val="00D74415"/>
    <w:rsid w:val="00D74580"/>
    <w:rsid w:val="00D752D4"/>
    <w:rsid w:val="00D765A7"/>
    <w:rsid w:val="00D7711C"/>
    <w:rsid w:val="00D77149"/>
    <w:rsid w:val="00D800A9"/>
    <w:rsid w:val="00D80739"/>
    <w:rsid w:val="00D80E78"/>
    <w:rsid w:val="00D80F12"/>
    <w:rsid w:val="00D8120A"/>
    <w:rsid w:val="00D81B43"/>
    <w:rsid w:val="00D81DC6"/>
    <w:rsid w:val="00D8261A"/>
    <w:rsid w:val="00D82D2D"/>
    <w:rsid w:val="00D83327"/>
    <w:rsid w:val="00D8332E"/>
    <w:rsid w:val="00D83D36"/>
    <w:rsid w:val="00D84272"/>
    <w:rsid w:val="00D85783"/>
    <w:rsid w:val="00D85BC0"/>
    <w:rsid w:val="00D861C5"/>
    <w:rsid w:val="00D8622A"/>
    <w:rsid w:val="00D86941"/>
    <w:rsid w:val="00D8706D"/>
    <w:rsid w:val="00D871F1"/>
    <w:rsid w:val="00D874EC"/>
    <w:rsid w:val="00D87B34"/>
    <w:rsid w:val="00D87B61"/>
    <w:rsid w:val="00D87CA3"/>
    <w:rsid w:val="00D92B97"/>
    <w:rsid w:val="00D9327B"/>
    <w:rsid w:val="00D937FC"/>
    <w:rsid w:val="00D93A69"/>
    <w:rsid w:val="00D95278"/>
    <w:rsid w:val="00D9570C"/>
    <w:rsid w:val="00D95C0D"/>
    <w:rsid w:val="00D97389"/>
    <w:rsid w:val="00D97F1C"/>
    <w:rsid w:val="00DA0337"/>
    <w:rsid w:val="00DA043C"/>
    <w:rsid w:val="00DA07F9"/>
    <w:rsid w:val="00DA2146"/>
    <w:rsid w:val="00DA393D"/>
    <w:rsid w:val="00DA4A23"/>
    <w:rsid w:val="00DA4E59"/>
    <w:rsid w:val="00DA5BBC"/>
    <w:rsid w:val="00DA5C11"/>
    <w:rsid w:val="00DA5E04"/>
    <w:rsid w:val="00DA6737"/>
    <w:rsid w:val="00DA7BF2"/>
    <w:rsid w:val="00DB090A"/>
    <w:rsid w:val="00DB2DF5"/>
    <w:rsid w:val="00DB3145"/>
    <w:rsid w:val="00DB35C4"/>
    <w:rsid w:val="00DB4977"/>
    <w:rsid w:val="00DB5E33"/>
    <w:rsid w:val="00DB6523"/>
    <w:rsid w:val="00DC09DC"/>
    <w:rsid w:val="00DC0FA6"/>
    <w:rsid w:val="00DC130C"/>
    <w:rsid w:val="00DC2292"/>
    <w:rsid w:val="00DC459C"/>
    <w:rsid w:val="00DC4992"/>
    <w:rsid w:val="00DC4BB8"/>
    <w:rsid w:val="00DC508E"/>
    <w:rsid w:val="00DC5487"/>
    <w:rsid w:val="00DC5DC9"/>
    <w:rsid w:val="00DC677E"/>
    <w:rsid w:val="00DC6B2C"/>
    <w:rsid w:val="00DC6E54"/>
    <w:rsid w:val="00DC714C"/>
    <w:rsid w:val="00DC79ED"/>
    <w:rsid w:val="00DC7F60"/>
    <w:rsid w:val="00DC7F96"/>
    <w:rsid w:val="00DD0342"/>
    <w:rsid w:val="00DD119F"/>
    <w:rsid w:val="00DD2F7B"/>
    <w:rsid w:val="00DD4A2C"/>
    <w:rsid w:val="00DD4C42"/>
    <w:rsid w:val="00DD6A4B"/>
    <w:rsid w:val="00DD6A85"/>
    <w:rsid w:val="00DD6E24"/>
    <w:rsid w:val="00DE04FA"/>
    <w:rsid w:val="00DE0C23"/>
    <w:rsid w:val="00DE14A2"/>
    <w:rsid w:val="00DE23C8"/>
    <w:rsid w:val="00DE25AF"/>
    <w:rsid w:val="00DE29BA"/>
    <w:rsid w:val="00DE2E79"/>
    <w:rsid w:val="00DE31BD"/>
    <w:rsid w:val="00DE34B7"/>
    <w:rsid w:val="00DE38F1"/>
    <w:rsid w:val="00DE3939"/>
    <w:rsid w:val="00DE418C"/>
    <w:rsid w:val="00DE5060"/>
    <w:rsid w:val="00DE52B0"/>
    <w:rsid w:val="00DE588D"/>
    <w:rsid w:val="00DE73EA"/>
    <w:rsid w:val="00DE74B8"/>
    <w:rsid w:val="00DE7BE0"/>
    <w:rsid w:val="00DF1623"/>
    <w:rsid w:val="00DF16CC"/>
    <w:rsid w:val="00DF2D3E"/>
    <w:rsid w:val="00DF2D9E"/>
    <w:rsid w:val="00DF366C"/>
    <w:rsid w:val="00DF36FD"/>
    <w:rsid w:val="00DF3A8E"/>
    <w:rsid w:val="00DF3BB9"/>
    <w:rsid w:val="00DF3F89"/>
    <w:rsid w:val="00DF4216"/>
    <w:rsid w:val="00DF46C4"/>
    <w:rsid w:val="00DF4E88"/>
    <w:rsid w:val="00DF6A92"/>
    <w:rsid w:val="00E025F8"/>
    <w:rsid w:val="00E027FF"/>
    <w:rsid w:val="00E038C5"/>
    <w:rsid w:val="00E03E3B"/>
    <w:rsid w:val="00E04589"/>
    <w:rsid w:val="00E04D05"/>
    <w:rsid w:val="00E0500A"/>
    <w:rsid w:val="00E05480"/>
    <w:rsid w:val="00E05EB9"/>
    <w:rsid w:val="00E05EEF"/>
    <w:rsid w:val="00E065FF"/>
    <w:rsid w:val="00E06B38"/>
    <w:rsid w:val="00E07340"/>
    <w:rsid w:val="00E0747D"/>
    <w:rsid w:val="00E078BB"/>
    <w:rsid w:val="00E102DF"/>
    <w:rsid w:val="00E128D8"/>
    <w:rsid w:val="00E12C42"/>
    <w:rsid w:val="00E130F6"/>
    <w:rsid w:val="00E132D9"/>
    <w:rsid w:val="00E155A9"/>
    <w:rsid w:val="00E15E54"/>
    <w:rsid w:val="00E165B5"/>
    <w:rsid w:val="00E1688A"/>
    <w:rsid w:val="00E170B3"/>
    <w:rsid w:val="00E1728C"/>
    <w:rsid w:val="00E17A0A"/>
    <w:rsid w:val="00E17ED6"/>
    <w:rsid w:val="00E20EEF"/>
    <w:rsid w:val="00E2102F"/>
    <w:rsid w:val="00E219DF"/>
    <w:rsid w:val="00E227DA"/>
    <w:rsid w:val="00E232AF"/>
    <w:rsid w:val="00E232B1"/>
    <w:rsid w:val="00E232BB"/>
    <w:rsid w:val="00E2333B"/>
    <w:rsid w:val="00E24145"/>
    <w:rsid w:val="00E24353"/>
    <w:rsid w:val="00E248AC"/>
    <w:rsid w:val="00E25107"/>
    <w:rsid w:val="00E251ED"/>
    <w:rsid w:val="00E25B33"/>
    <w:rsid w:val="00E26053"/>
    <w:rsid w:val="00E26758"/>
    <w:rsid w:val="00E27BF0"/>
    <w:rsid w:val="00E27E69"/>
    <w:rsid w:val="00E27F81"/>
    <w:rsid w:val="00E300E3"/>
    <w:rsid w:val="00E30B10"/>
    <w:rsid w:val="00E30D9B"/>
    <w:rsid w:val="00E31085"/>
    <w:rsid w:val="00E3128A"/>
    <w:rsid w:val="00E324C1"/>
    <w:rsid w:val="00E328DF"/>
    <w:rsid w:val="00E32AD7"/>
    <w:rsid w:val="00E33D3B"/>
    <w:rsid w:val="00E3560E"/>
    <w:rsid w:val="00E37140"/>
    <w:rsid w:val="00E37193"/>
    <w:rsid w:val="00E37CBC"/>
    <w:rsid w:val="00E37CC1"/>
    <w:rsid w:val="00E409C1"/>
    <w:rsid w:val="00E40F5E"/>
    <w:rsid w:val="00E415E8"/>
    <w:rsid w:val="00E416FC"/>
    <w:rsid w:val="00E42214"/>
    <w:rsid w:val="00E422FF"/>
    <w:rsid w:val="00E42848"/>
    <w:rsid w:val="00E42CF8"/>
    <w:rsid w:val="00E42E23"/>
    <w:rsid w:val="00E432AF"/>
    <w:rsid w:val="00E44494"/>
    <w:rsid w:val="00E44920"/>
    <w:rsid w:val="00E45B37"/>
    <w:rsid w:val="00E45E54"/>
    <w:rsid w:val="00E4669C"/>
    <w:rsid w:val="00E46FDA"/>
    <w:rsid w:val="00E47078"/>
    <w:rsid w:val="00E47A1E"/>
    <w:rsid w:val="00E50262"/>
    <w:rsid w:val="00E50712"/>
    <w:rsid w:val="00E51F1C"/>
    <w:rsid w:val="00E525AB"/>
    <w:rsid w:val="00E52888"/>
    <w:rsid w:val="00E52FA6"/>
    <w:rsid w:val="00E53564"/>
    <w:rsid w:val="00E544F8"/>
    <w:rsid w:val="00E553A5"/>
    <w:rsid w:val="00E55613"/>
    <w:rsid w:val="00E5655B"/>
    <w:rsid w:val="00E570AC"/>
    <w:rsid w:val="00E57444"/>
    <w:rsid w:val="00E57E79"/>
    <w:rsid w:val="00E57EEC"/>
    <w:rsid w:val="00E601E9"/>
    <w:rsid w:val="00E606C4"/>
    <w:rsid w:val="00E6090F"/>
    <w:rsid w:val="00E60AF7"/>
    <w:rsid w:val="00E615DE"/>
    <w:rsid w:val="00E61D87"/>
    <w:rsid w:val="00E61F7E"/>
    <w:rsid w:val="00E62D84"/>
    <w:rsid w:val="00E63C7B"/>
    <w:rsid w:val="00E64099"/>
    <w:rsid w:val="00E64120"/>
    <w:rsid w:val="00E64ED5"/>
    <w:rsid w:val="00E65C68"/>
    <w:rsid w:val="00E65F02"/>
    <w:rsid w:val="00E66BEB"/>
    <w:rsid w:val="00E7006B"/>
    <w:rsid w:val="00E700D9"/>
    <w:rsid w:val="00E70C63"/>
    <w:rsid w:val="00E72592"/>
    <w:rsid w:val="00E72680"/>
    <w:rsid w:val="00E72B34"/>
    <w:rsid w:val="00E736CD"/>
    <w:rsid w:val="00E7391A"/>
    <w:rsid w:val="00E745B7"/>
    <w:rsid w:val="00E750EC"/>
    <w:rsid w:val="00E75A44"/>
    <w:rsid w:val="00E76018"/>
    <w:rsid w:val="00E768C2"/>
    <w:rsid w:val="00E77470"/>
    <w:rsid w:val="00E805F3"/>
    <w:rsid w:val="00E82938"/>
    <w:rsid w:val="00E836D1"/>
    <w:rsid w:val="00E844D0"/>
    <w:rsid w:val="00E848C1"/>
    <w:rsid w:val="00E84DA3"/>
    <w:rsid w:val="00E85EF5"/>
    <w:rsid w:val="00E85F04"/>
    <w:rsid w:val="00E86C0D"/>
    <w:rsid w:val="00E871B1"/>
    <w:rsid w:val="00E874B3"/>
    <w:rsid w:val="00E876DE"/>
    <w:rsid w:val="00E877F8"/>
    <w:rsid w:val="00E8795E"/>
    <w:rsid w:val="00E87967"/>
    <w:rsid w:val="00E90059"/>
    <w:rsid w:val="00E90F34"/>
    <w:rsid w:val="00E9147D"/>
    <w:rsid w:val="00E918DD"/>
    <w:rsid w:val="00E91DF2"/>
    <w:rsid w:val="00E9258F"/>
    <w:rsid w:val="00E9398C"/>
    <w:rsid w:val="00E93BA0"/>
    <w:rsid w:val="00E9426D"/>
    <w:rsid w:val="00E9479E"/>
    <w:rsid w:val="00E94A47"/>
    <w:rsid w:val="00E95AC3"/>
    <w:rsid w:val="00E95CD4"/>
    <w:rsid w:val="00E96B47"/>
    <w:rsid w:val="00E9791F"/>
    <w:rsid w:val="00E97B6F"/>
    <w:rsid w:val="00E97DDD"/>
    <w:rsid w:val="00EA01FF"/>
    <w:rsid w:val="00EA0A9F"/>
    <w:rsid w:val="00EA1022"/>
    <w:rsid w:val="00EA104A"/>
    <w:rsid w:val="00EA1AA2"/>
    <w:rsid w:val="00EA1B94"/>
    <w:rsid w:val="00EA25B4"/>
    <w:rsid w:val="00EA2BE7"/>
    <w:rsid w:val="00EA2D62"/>
    <w:rsid w:val="00EA2D6F"/>
    <w:rsid w:val="00EA3B1C"/>
    <w:rsid w:val="00EA3D4E"/>
    <w:rsid w:val="00EA42F9"/>
    <w:rsid w:val="00EA55DA"/>
    <w:rsid w:val="00EA5FC2"/>
    <w:rsid w:val="00EA7863"/>
    <w:rsid w:val="00EA7928"/>
    <w:rsid w:val="00EA7C92"/>
    <w:rsid w:val="00EA7CA9"/>
    <w:rsid w:val="00EB01FC"/>
    <w:rsid w:val="00EB0B1F"/>
    <w:rsid w:val="00EB1CA9"/>
    <w:rsid w:val="00EB2648"/>
    <w:rsid w:val="00EB2703"/>
    <w:rsid w:val="00EB3AD2"/>
    <w:rsid w:val="00EB5466"/>
    <w:rsid w:val="00EB5FB8"/>
    <w:rsid w:val="00EB6655"/>
    <w:rsid w:val="00EB71F8"/>
    <w:rsid w:val="00EC0D96"/>
    <w:rsid w:val="00EC2575"/>
    <w:rsid w:val="00EC276B"/>
    <w:rsid w:val="00EC2805"/>
    <w:rsid w:val="00EC2B54"/>
    <w:rsid w:val="00EC2F3C"/>
    <w:rsid w:val="00EC38DD"/>
    <w:rsid w:val="00EC3C52"/>
    <w:rsid w:val="00EC44FB"/>
    <w:rsid w:val="00EC5495"/>
    <w:rsid w:val="00EC5882"/>
    <w:rsid w:val="00EC5AAE"/>
    <w:rsid w:val="00EC5D6D"/>
    <w:rsid w:val="00EC727F"/>
    <w:rsid w:val="00EC72E6"/>
    <w:rsid w:val="00EC78C3"/>
    <w:rsid w:val="00EC7EB9"/>
    <w:rsid w:val="00ED0B2F"/>
    <w:rsid w:val="00ED0B96"/>
    <w:rsid w:val="00ED0D10"/>
    <w:rsid w:val="00ED1A48"/>
    <w:rsid w:val="00ED1AC3"/>
    <w:rsid w:val="00ED323D"/>
    <w:rsid w:val="00ED4E0B"/>
    <w:rsid w:val="00ED550D"/>
    <w:rsid w:val="00ED61B9"/>
    <w:rsid w:val="00ED6303"/>
    <w:rsid w:val="00ED69D0"/>
    <w:rsid w:val="00ED7217"/>
    <w:rsid w:val="00ED7D2E"/>
    <w:rsid w:val="00EE0FA7"/>
    <w:rsid w:val="00EE15D7"/>
    <w:rsid w:val="00EE1D4E"/>
    <w:rsid w:val="00EE2830"/>
    <w:rsid w:val="00EE2F90"/>
    <w:rsid w:val="00EE3070"/>
    <w:rsid w:val="00EE322B"/>
    <w:rsid w:val="00EE3563"/>
    <w:rsid w:val="00EE3CA8"/>
    <w:rsid w:val="00EE3CDA"/>
    <w:rsid w:val="00EE6F77"/>
    <w:rsid w:val="00EE6FA6"/>
    <w:rsid w:val="00EE704A"/>
    <w:rsid w:val="00EE75CB"/>
    <w:rsid w:val="00EF1063"/>
    <w:rsid w:val="00EF164F"/>
    <w:rsid w:val="00EF2424"/>
    <w:rsid w:val="00EF37C6"/>
    <w:rsid w:val="00EF3ADB"/>
    <w:rsid w:val="00EF493A"/>
    <w:rsid w:val="00EF4A69"/>
    <w:rsid w:val="00EF56F5"/>
    <w:rsid w:val="00EF59A1"/>
    <w:rsid w:val="00EF5A5C"/>
    <w:rsid w:val="00EF616C"/>
    <w:rsid w:val="00EF7738"/>
    <w:rsid w:val="00EF78A5"/>
    <w:rsid w:val="00EF7FE0"/>
    <w:rsid w:val="00F00159"/>
    <w:rsid w:val="00F008DA"/>
    <w:rsid w:val="00F00DFD"/>
    <w:rsid w:val="00F03092"/>
    <w:rsid w:val="00F03530"/>
    <w:rsid w:val="00F04924"/>
    <w:rsid w:val="00F06CE3"/>
    <w:rsid w:val="00F071B9"/>
    <w:rsid w:val="00F110B3"/>
    <w:rsid w:val="00F11BEC"/>
    <w:rsid w:val="00F126D9"/>
    <w:rsid w:val="00F12760"/>
    <w:rsid w:val="00F12EA2"/>
    <w:rsid w:val="00F13E28"/>
    <w:rsid w:val="00F145D2"/>
    <w:rsid w:val="00F1477A"/>
    <w:rsid w:val="00F14897"/>
    <w:rsid w:val="00F165D1"/>
    <w:rsid w:val="00F16ECB"/>
    <w:rsid w:val="00F175FB"/>
    <w:rsid w:val="00F17F69"/>
    <w:rsid w:val="00F209DE"/>
    <w:rsid w:val="00F22529"/>
    <w:rsid w:val="00F227B3"/>
    <w:rsid w:val="00F22B98"/>
    <w:rsid w:val="00F232E9"/>
    <w:rsid w:val="00F23C3D"/>
    <w:rsid w:val="00F23ECB"/>
    <w:rsid w:val="00F249F7"/>
    <w:rsid w:val="00F24EDE"/>
    <w:rsid w:val="00F24F0D"/>
    <w:rsid w:val="00F2524B"/>
    <w:rsid w:val="00F26056"/>
    <w:rsid w:val="00F2657C"/>
    <w:rsid w:val="00F26807"/>
    <w:rsid w:val="00F26C10"/>
    <w:rsid w:val="00F26F67"/>
    <w:rsid w:val="00F304A5"/>
    <w:rsid w:val="00F30888"/>
    <w:rsid w:val="00F30ABD"/>
    <w:rsid w:val="00F30D6A"/>
    <w:rsid w:val="00F31FF4"/>
    <w:rsid w:val="00F322C3"/>
    <w:rsid w:val="00F32875"/>
    <w:rsid w:val="00F32BD9"/>
    <w:rsid w:val="00F334B7"/>
    <w:rsid w:val="00F3356D"/>
    <w:rsid w:val="00F33FCE"/>
    <w:rsid w:val="00F341F6"/>
    <w:rsid w:val="00F34483"/>
    <w:rsid w:val="00F347A4"/>
    <w:rsid w:val="00F3485F"/>
    <w:rsid w:val="00F35627"/>
    <w:rsid w:val="00F359B3"/>
    <w:rsid w:val="00F36E8C"/>
    <w:rsid w:val="00F37139"/>
    <w:rsid w:val="00F37832"/>
    <w:rsid w:val="00F401D5"/>
    <w:rsid w:val="00F40CD8"/>
    <w:rsid w:val="00F417F4"/>
    <w:rsid w:val="00F41AB2"/>
    <w:rsid w:val="00F41ADB"/>
    <w:rsid w:val="00F42A00"/>
    <w:rsid w:val="00F42F6A"/>
    <w:rsid w:val="00F42F9F"/>
    <w:rsid w:val="00F42FEE"/>
    <w:rsid w:val="00F438FE"/>
    <w:rsid w:val="00F43DE6"/>
    <w:rsid w:val="00F43E18"/>
    <w:rsid w:val="00F4473E"/>
    <w:rsid w:val="00F45065"/>
    <w:rsid w:val="00F5086A"/>
    <w:rsid w:val="00F51121"/>
    <w:rsid w:val="00F51405"/>
    <w:rsid w:val="00F521A4"/>
    <w:rsid w:val="00F52FB1"/>
    <w:rsid w:val="00F5342F"/>
    <w:rsid w:val="00F536BE"/>
    <w:rsid w:val="00F53CEE"/>
    <w:rsid w:val="00F5447B"/>
    <w:rsid w:val="00F54549"/>
    <w:rsid w:val="00F5626C"/>
    <w:rsid w:val="00F5628B"/>
    <w:rsid w:val="00F56A78"/>
    <w:rsid w:val="00F56D5F"/>
    <w:rsid w:val="00F6025D"/>
    <w:rsid w:val="00F6068B"/>
    <w:rsid w:val="00F61588"/>
    <w:rsid w:val="00F61591"/>
    <w:rsid w:val="00F61657"/>
    <w:rsid w:val="00F619E2"/>
    <w:rsid w:val="00F623CB"/>
    <w:rsid w:val="00F6268B"/>
    <w:rsid w:val="00F630C5"/>
    <w:rsid w:val="00F63502"/>
    <w:rsid w:val="00F63723"/>
    <w:rsid w:val="00F6386A"/>
    <w:rsid w:val="00F638BF"/>
    <w:rsid w:val="00F64150"/>
    <w:rsid w:val="00F648DD"/>
    <w:rsid w:val="00F65753"/>
    <w:rsid w:val="00F65FF2"/>
    <w:rsid w:val="00F6710C"/>
    <w:rsid w:val="00F6736B"/>
    <w:rsid w:val="00F678A7"/>
    <w:rsid w:val="00F678B6"/>
    <w:rsid w:val="00F67F82"/>
    <w:rsid w:val="00F7058B"/>
    <w:rsid w:val="00F71753"/>
    <w:rsid w:val="00F72872"/>
    <w:rsid w:val="00F72CD9"/>
    <w:rsid w:val="00F7303D"/>
    <w:rsid w:val="00F73773"/>
    <w:rsid w:val="00F751E0"/>
    <w:rsid w:val="00F753F8"/>
    <w:rsid w:val="00F75546"/>
    <w:rsid w:val="00F7598D"/>
    <w:rsid w:val="00F76364"/>
    <w:rsid w:val="00F77066"/>
    <w:rsid w:val="00F7755E"/>
    <w:rsid w:val="00F77DB4"/>
    <w:rsid w:val="00F83821"/>
    <w:rsid w:val="00F83854"/>
    <w:rsid w:val="00F838F8"/>
    <w:rsid w:val="00F83D74"/>
    <w:rsid w:val="00F83D8B"/>
    <w:rsid w:val="00F85057"/>
    <w:rsid w:val="00F86057"/>
    <w:rsid w:val="00F8646D"/>
    <w:rsid w:val="00F86C58"/>
    <w:rsid w:val="00F90583"/>
    <w:rsid w:val="00F90EA1"/>
    <w:rsid w:val="00F91893"/>
    <w:rsid w:val="00F91DF3"/>
    <w:rsid w:val="00F91E13"/>
    <w:rsid w:val="00F9213E"/>
    <w:rsid w:val="00F92E88"/>
    <w:rsid w:val="00F93D47"/>
    <w:rsid w:val="00F94293"/>
    <w:rsid w:val="00F971B5"/>
    <w:rsid w:val="00F9779A"/>
    <w:rsid w:val="00FA0B99"/>
    <w:rsid w:val="00FA1975"/>
    <w:rsid w:val="00FA1CB9"/>
    <w:rsid w:val="00FA1E20"/>
    <w:rsid w:val="00FA250B"/>
    <w:rsid w:val="00FA2B97"/>
    <w:rsid w:val="00FA2D3A"/>
    <w:rsid w:val="00FA3786"/>
    <w:rsid w:val="00FA3DB2"/>
    <w:rsid w:val="00FA3E39"/>
    <w:rsid w:val="00FA42FC"/>
    <w:rsid w:val="00FA4670"/>
    <w:rsid w:val="00FA48FD"/>
    <w:rsid w:val="00FA4BD8"/>
    <w:rsid w:val="00FA57C3"/>
    <w:rsid w:val="00FA6357"/>
    <w:rsid w:val="00FA67F4"/>
    <w:rsid w:val="00FA68E4"/>
    <w:rsid w:val="00FA7EC2"/>
    <w:rsid w:val="00FB11A7"/>
    <w:rsid w:val="00FB21EE"/>
    <w:rsid w:val="00FB2D84"/>
    <w:rsid w:val="00FB34AE"/>
    <w:rsid w:val="00FB3604"/>
    <w:rsid w:val="00FB3EE7"/>
    <w:rsid w:val="00FB40AE"/>
    <w:rsid w:val="00FB467E"/>
    <w:rsid w:val="00FB4F61"/>
    <w:rsid w:val="00FB59AE"/>
    <w:rsid w:val="00FB5DA8"/>
    <w:rsid w:val="00FB64A3"/>
    <w:rsid w:val="00FB65B6"/>
    <w:rsid w:val="00FB69AB"/>
    <w:rsid w:val="00FB70FC"/>
    <w:rsid w:val="00FB7BAA"/>
    <w:rsid w:val="00FC0267"/>
    <w:rsid w:val="00FC04C9"/>
    <w:rsid w:val="00FC17F7"/>
    <w:rsid w:val="00FC1E45"/>
    <w:rsid w:val="00FC21C7"/>
    <w:rsid w:val="00FC3428"/>
    <w:rsid w:val="00FC3592"/>
    <w:rsid w:val="00FC39DF"/>
    <w:rsid w:val="00FC3BE9"/>
    <w:rsid w:val="00FC3D55"/>
    <w:rsid w:val="00FC44A0"/>
    <w:rsid w:val="00FC44E2"/>
    <w:rsid w:val="00FC486F"/>
    <w:rsid w:val="00FC49BA"/>
    <w:rsid w:val="00FC4B99"/>
    <w:rsid w:val="00FC5119"/>
    <w:rsid w:val="00FC53C1"/>
    <w:rsid w:val="00FC54D0"/>
    <w:rsid w:val="00FC62EB"/>
    <w:rsid w:val="00FC6ADB"/>
    <w:rsid w:val="00FC75AC"/>
    <w:rsid w:val="00FC77CF"/>
    <w:rsid w:val="00FC77D1"/>
    <w:rsid w:val="00FD0575"/>
    <w:rsid w:val="00FD1000"/>
    <w:rsid w:val="00FD195E"/>
    <w:rsid w:val="00FD30FB"/>
    <w:rsid w:val="00FD326D"/>
    <w:rsid w:val="00FD5BC3"/>
    <w:rsid w:val="00FD5BF3"/>
    <w:rsid w:val="00FD657C"/>
    <w:rsid w:val="00FD691A"/>
    <w:rsid w:val="00FD7609"/>
    <w:rsid w:val="00FE0180"/>
    <w:rsid w:val="00FE0350"/>
    <w:rsid w:val="00FE088C"/>
    <w:rsid w:val="00FE08C4"/>
    <w:rsid w:val="00FE2A0B"/>
    <w:rsid w:val="00FE32FE"/>
    <w:rsid w:val="00FE3A56"/>
    <w:rsid w:val="00FE3BE9"/>
    <w:rsid w:val="00FE414F"/>
    <w:rsid w:val="00FE5321"/>
    <w:rsid w:val="00FE5B59"/>
    <w:rsid w:val="00FE60E9"/>
    <w:rsid w:val="00FE6404"/>
    <w:rsid w:val="00FE6651"/>
    <w:rsid w:val="00FE6F32"/>
    <w:rsid w:val="00FE7163"/>
    <w:rsid w:val="00FE71EF"/>
    <w:rsid w:val="00FE77C6"/>
    <w:rsid w:val="00FF0018"/>
    <w:rsid w:val="00FF03CA"/>
    <w:rsid w:val="00FF0528"/>
    <w:rsid w:val="00FF0DE2"/>
    <w:rsid w:val="00FF1D73"/>
    <w:rsid w:val="00FF2899"/>
    <w:rsid w:val="00FF356A"/>
    <w:rsid w:val="00FF3E2C"/>
    <w:rsid w:val="00FF3F3E"/>
    <w:rsid w:val="00FF4A69"/>
    <w:rsid w:val="00FF5283"/>
    <w:rsid w:val="00FF5CCC"/>
    <w:rsid w:val="00FF5E8C"/>
    <w:rsid w:val="00FF669C"/>
    <w:rsid w:val="00FF67C8"/>
    <w:rsid w:val="00FF6892"/>
    <w:rsid w:val="00FF73D8"/>
    <w:rsid w:val="00FF7D2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022A6C"/>
  <w15:docId w15:val="{6317C0E7-2C33-4045-9BCE-C6FBF542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803"/>
    <w:pPr>
      <w:spacing w:before="180" w:after="60" w:line="312" w:lineRule="auto"/>
    </w:pPr>
    <w:rPr>
      <w:rFonts w:asciiTheme="minorHAnsi" w:hAnsiTheme="minorHAnsi"/>
      <w:sz w:val="22"/>
      <w:szCs w:val="24"/>
    </w:rPr>
  </w:style>
  <w:style w:type="paragraph" w:styleId="Heading1">
    <w:name w:val="heading 1"/>
    <w:basedOn w:val="Normal"/>
    <w:next w:val="Normal"/>
    <w:qFormat/>
    <w:rsid w:val="00E2102F"/>
    <w:pPr>
      <w:keepNext/>
      <w:numPr>
        <w:numId w:val="6"/>
      </w:numPr>
      <w:spacing w:before="120" w:after="0"/>
      <w:ind w:left="567" w:hanging="567"/>
      <w:outlineLvl w:val="0"/>
    </w:pPr>
    <w:rPr>
      <w:rFonts w:eastAsiaTheme="minorHAnsi" w:cs="Arial"/>
      <w:b/>
      <w:bCs/>
      <w:color w:val="01653F"/>
      <w:kern w:val="32"/>
      <w:sz w:val="32"/>
      <w:szCs w:val="28"/>
      <w:lang w:val="en-US" w:eastAsia="en-US"/>
    </w:rPr>
  </w:style>
  <w:style w:type="paragraph" w:styleId="Heading2">
    <w:name w:val="heading 2"/>
    <w:basedOn w:val="Normal"/>
    <w:next w:val="Normal"/>
    <w:qFormat/>
    <w:rsid w:val="00D9570C"/>
    <w:pPr>
      <w:keepNext/>
      <w:numPr>
        <w:ilvl w:val="1"/>
        <w:numId w:val="6"/>
      </w:numPr>
      <w:spacing w:before="120" w:after="120"/>
      <w:ind w:left="578" w:hanging="578"/>
      <w:outlineLvl w:val="1"/>
    </w:pPr>
    <w:rPr>
      <w:rFonts w:eastAsiaTheme="minorHAnsi" w:cs="Arial"/>
      <w:b/>
      <w:bCs/>
      <w:iCs/>
      <w:color w:val="01653F"/>
      <w:sz w:val="26"/>
      <w:szCs w:val="22"/>
      <w:lang w:val="en-US" w:eastAsia="en-US"/>
    </w:rPr>
  </w:style>
  <w:style w:type="paragraph" w:styleId="Heading3">
    <w:name w:val="heading 3"/>
    <w:basedOn w:val="Normal"/>
    <w:next w:val="Normal"/>
    <w:link w:val="Heading3Char"/>
    <w:rsid w:val="003B1222"/>
    <w:pPr>
      <w:keepNext/>
      <w:spacing w:before="120"/>
      <w:outlineLvl w:val="2"/>
    </w:pPr>
    <w:rPr>
      <w:rFonts w:eastAsiaTheme="minorHAnsi" w:cs="Arial"/>
      <w:b/>
      <w:bCs/>
      <w:i/>
      <w:color w:val="B56012"/>
      <w:sz w:val="24"/>
      <w:szCs w:val="26"/>
      <w:lang w:val="en-US" w:eastAsia="en-US"/>
    </w:rPr>
  </w:style>
  <w:style w:type="paragraph" w:styleId="Heading4">
    <w:name w:val="heading 4"/>
    <w:basedOn w:val="Heading3"/>
    <w:next w:val="Normal"/>
    <w:uiPriority w:val="9"/>
    <w:qFormat/>
    <w:rsid w:val="004F50BA"/>
    <w:pPr>
      <w:spacing w:before="240" w:line="240" w:lineRule="auto"/>
      <w:outlineLvl w:val="3"/>
    </w:pPr>
    <w:rPr>
      <w:b w:val="0"/>
      <w:sz w:val="22"/>
    </w:rPr>
  </w:style>
  <w:style w:type="paragraph" w:styleId="Heading5">
    <w:name w:val="heading 5"/>
    <w:basedOn w:val="Normal"/>
    <w:next w:val="Normal"/>
    <w:uiPriority w:val="9"/>
    <w:qFormat/>
    <w:rsid w:val="00E2102F"/>
    <w:pPr>
      <w:numPr>
        <w:ilvl w:val="4"/>
        <w:numId w:val="6"/>
      </w:numPr>
      <w:spacing w:before="240"/>
      <w:outlineLvl w:val="4"/>
    </w:pPr>
    <w:rPr>
      <w:rFonts w:eastAsiaTheme="minorHAnsi" w:cs="Arial"/>
      <w:b/>
      <w:bCs/>
      <w:iCs/>
      <w:sz w:val="26"/>
      <w:szCs w:val="26"/>
      <w:lang w:val="en-US" w:eastAsia="en-US"/>
    </w:rPr>
  </w:style>
  <w:style w:type="paragraph" w:styleId="Heading6">
    <w:name w:val="heading 6"/>
    <w:basedOn w:val="Normal"/>
    <w:next w:val="Normal"/>
    <w:uiPriority w:val="9"/>
    <w:qFormat/>
    <w:rsid w:val="00E2102F"/>
    <w:pPr>
      <w:numPr>
        <w:ilvl w:val="5"/>
        <w:numId w:val="6"/>
      </w:numPr>
      <w:spacing w:before="240"/>
      <w:outlineLvl w:val="5"/>
    </w:pPr>
    <w:rPr>
      <w:rFonts w:eastAsiaTheme="minorHAnsi" w:cs="Arial"/>
      <w:b/>
      <w:bCs/>
      <w:i/>
      <w:szCs w:val="22"/>
      <w:lang w:val="en-US" w:eastAsia="en-US"/>
    </w:rPr>
  </w:style>
  <w:style w:type="paragraph" w:styleId="Heading7">
    <w:name w:val="heading 7"/>
    <w:basedOn w:val="Normal"/>
    <w:next w:val="Normal"/>
    <w:link w:val="Heading7Char"/>
    <w:uiPriority w:val="9"/>
    <w:unhideWhenUsed/>
    <w:qFormat/>
    <w:rsid w:val="00E2102F"/>
    <w:pPr>
      <w:keepNext/>
      <w:keepLines/>
      <w:numPr>
        <w:ilvl w:val="6"/>
        <w:numId w:val="6"/>
      </w:numPr>
      <w:spacing w:before="200"/>
      <w:outlineLvl w:val="6"/>
    </w:pPr>
    <w:rPr>
      <w:rFonts w:asciiTheme="majorHAnsi" w:eastAsiaTheme="majorEastAsia" w:hAnsiTheme="majorHAnsi" w:cstheme="majorBidi"/>
      <w:i/>
      <w:iCs/>
      <w:color w:val="404040" w:themeColor="text1" w:themeTint="BF"/>
      <w:szCs w:val="22"/>
      <w:lang w:val="en-US" w:eastAsia="en-US"/>
    </w:rPr>
  </w:style>
  <w:style w:type="paragraph" w:styleId="Heading8">
    <w:name w:val="heading 8"/>
    <w:basedOn w:val="Normal"/>
    <w:next w:val="Normal"/>
    <w:link w:val="Heading8Char"/>
    <w:uiPriority w:val="9"/>
    <w:unhideWhenUsed/>
    <w:qFormat/>
    <w:rsid w:val="00E2102F"/>
    <w:pPr>
      <w:keepNext/>
      <w:keepLines/>
      <w:numPr>
        <w:ilvl w:val="7"/>
        <w:numId w:val="6"/>
      </w:numPr>
      <w:spacing w:before="200"/>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E2102F"/>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F127F"/>
    <w:rPr>
      <w:i/>
      <w:iCs/>
    </w:rPr>
  </w:style>
  <w:style w:type="character" w:styleId="Strong">
    <w:name w:val="Strong"/>
    <w:aliases w:val="Table Heading"/>
    <w:basedOn w:val="DefaultParagraphFont"/>
    <w:uiPriority w:val="22"/>
    <w:qFormat/>
    <w:rsid w:val="00AF127F"/>
    <w:rPr>
      <w:b/>
      <w:bCs/>
    </w:rPr>
  </w:style>
  <w:style w:type="paragraph" w:styleId="Subtitle">
    <w:name w:val="Subtitle"/>
    <w:basedOn w:val="Normal"/>
    <w:next w:val="Normal"/>
    <w:link w:val="SubtitleChar"/>
    <w:rsid w:val="00F623CB"/>
    <w:pPr>
      <w:pBdr>
        <w:top w:val="double" w:sz="12" w:space="31" w:color="B66113"/>
        <w:bottom w:val="double" w:sz="12" w:space="1" w:color="B66113"/>
      </w:pBdr>
      <w:spacing w:before="120" w:after="120"/>
      <w:jc w:val="center"/>
    </w:pPr>
    <w:rPr>
      <w:rFonts w:cs="Arial"/>
      <w:b/>
      <w:color w:val="01653F"/>
      <w:spacing w:val="5"/>
      <w:sz w:val="48"/>
      <w:szCs w:val="48"/>
    </w:rPr>
  </w:style>
  <w:style w:type="character" w:customStyle="1" w:styleId="SubtitleChar">
    <w:name w:val="Subtitle Char"/>
    <w:basedOn w:val="DefaultParagraphFont"/>
    <w:link w:val="Subtitle"/>
    <w:rsid w:val="00F623CB"/>
    <w:rPr>
      <w:rFonts w:asciiTheme="minorHAnsi" w:hAnsiTheme="minorHAnsi" w:cs="Arial"/>
      <w:b/>
      <w:color w:val="01653F"/>
      <w:spacing w:val="5"/>
      <w:sz w:val="48"/>
      <w:szCs w:val="48"/>
    </w:rPr>
  </w:style>
  <w:style w:type="paragraph" w:styleId="Title">
    <w:name w:val="Title"/>
    <w:basedOn w:val="Normal"/>
    <w:next w:val="Normal"/>
    <w:link w:val="TitleChar"/>
    <w:rsid w:val="00F623CB"/>
    <w:pPr>
      <w:pBdr>
        <w:top w:val="double" w:sz="12" w:space="31" w:color="B66113"/>
        <w:bottom w:val="double" w:sz="12" w:space="1" w:color="B66113"/>
      </w:pBdr>
      <w:spacing w:before="840" w:after="360"/>
      <w:contextualSpacing/>
      <w:jc w:val="center"/>
    </w:pPr>
    <w:rPr>
      <w:rFonts w:cs="Arial"/>
      <w:b/>
      <w:spacing w:val="5"/>
      <w:sz w:val="72"/>
      <w:szCs w:val="72"/>
    </w:rPr>
  </w:style>
  <w:style w:type="character" w:customStyle="1" w:styleId="TitleChar">
    <w:name w:val="Title Char"/>
    <w:basedOn w:val="DefaultParagraphFont"/>
    <w:link w:val="Title"/>
    <w:rsid w:val="00F623CB"/>
    <w:rPr>
      <w:rFonts w:asciiTheme="minorHAnsi" w:hAnsiTheme="minorHAnsi" w:cs="Arial"/>
      <w:b/>
      <w:spacing w:val="5"/>
      <w:sz w:val="72"/>
      <w:szCs w:val="72"/>
    </w:rPr>
  </w:style>
  <w:style w:type="paragraph" w:styleId="NoSpacing">
    <w:name w:val="No Spacing"/>
    <w:uiPriority w:val="1"/>
    <w:rsid w:val="00AF127F"/>
    <w:rPr>
      <w:sz w:val="24"/>
      <w:szCs w:val="24"/>
      <w:lang w:eastAsia="en-US"/>
    </w:rPr>
  </w:style>
  <w:style w:type="character" w:styleId="SubtleEmphasis">
    <w:name w:val="Subtle Emphasis"/>
    <w:basedOn w:val="DefaultParagraphFont"/>
    <w:uiPriority w:val="19"/>
    <w:qFormat/>
    <w:rsid w:val="00AF127F"/>
    <w:rPr>
      <w:i/>
      <w:iCs/>
      <w:color w:val="808080" w:themeColor="text1" w:themeTint="7F"/>
    </w:rPr>
  </w:style>
  <w:style w:type="character" w:styleId="IntenseEmphasis">
    <w:name w:val="Intense Emphasis"/>
    <w:basedOn w:val="DefaultParagraphFont"/>
    <w:uiPriority w:val="21"/>
    <w:qFormat/>
    <w:rsid w:val="00AF127F"/>
    <w:rPr>
      <w:b/>
      <w:bCs/>
      <w:i/>
      <w:iCs/>
      <w:color w:val="4F81BD" w:themeColor="accent1"/>
    </w:rPr>
  </w:style>
  <w:style w:type="paragraph" w:styleId="Quote">
    <w:name w:val="Quote"/>
    <w:basedOn w:val="Normal"/>
    <w:next w:val="Normal"/>
    <w:link w:val="QuoteChar"/>
    <w:uiPriority w:val="29"/>
    <w:qFormat/>
    <w:rsid w:val="00AA7F29"/>
    <w:pPr>
      <w:ind w:left="567"/>
    </w:pPr>
    <w:rPr>
      <w:rFonts w:eastAsiaTheme="minorHAnsi" w:cs="Arial"/>
      <w:i/>
      <w:iCs/>
      <w:color w:val="000000" w:themeColor="text1"/>
      <w:szCs w:val="20"/>
      <w:lang w:val="en-US"/>
    </w:rPr>
  </w:style>
  <w:style w:type="character" w:customStyle="1" w:styleId="QuoteChar">
    <w:name w:val="Quote Char"/>
    <w:basedOn w:val="DefaultParagraphFont"/>
    <w:link w:val="Quote"/>
    <w:uiPriority w:val="29"/>
    <w:rsid w:val="00AA7F29"/>
    <w:rPr>
      <w:rFonts w:asciiTheme="minorHAnsi" w:eastAsiaTheme="minorHAnsi" w:hAnsiTheme="minorHAnsi" w:cs="Arial"/>
      <w:i/>
      <w:iCs/>
      <w:color w:val="000000" w:themeColor="text1"/>
      <w:sz w:val="22"/>
      <w:lang w:val="en-US"/>
    </w:rPr>
  </w:style>
  <w:style w:type="paragraph" w:styleId="IntenseQuote">
    <w:name w:val="Intense Quote"/>
    <w:basedOn w:val="Normal"/>
    <w:next w:val="Normal"/>
    <w:link w:val="IntenseQuoteChar"/>
    <w:uiPriority w:val="30"/>
    <w:qFormat/>
    <w:rsid w:val="00AF127F"/>
    <w:pPr>
      <w:pBdr>
        <w:bottom w:val="single" w:sz="4" w:space="4" w:color="4F81BD" w:themeColor="accent1"/>
      </w:pBdr>
      <w:spacing w:before="200" w:after="280"/>
      <w:ind w:left="936" w:right="936"/>
    </w:pPr>
    <w:rPr>
      <w:rFonts w:eastAsiaTheme="minorHAnsi" w:cs="Arial"/>
      <w:b/>
      <w:bCs/>
      <w:i/>
      <w:iCs/>
      <w:color w:val="4F81BD" w:themeColor="accent1"/>
      <w:szCs w:val="20"/>
    </w:rPr>
  </w:style>
  <w:style w:type="character" w:customStyle="1" w:styleId="IntenseQuoteChar">
    <w:name w:val="Intense Quote Char"/>
    <w:basedOn w:val="DefaultParagraphFont"/>
    <w:link w:val="IntenseQuote"/>
    <w:uiPriority w:val="30"/>
    <w:rsid w:val="00AF127F"/>
    <w:rPr>
      <w:rFonts w:ascii="Arial" w:hAnsi="Arial"/>
      <w:b/>
      <w:bCs/>
      <w:i/>
      <w:iCs/>
      <w:color w:val="4F81BD" w:themeColor="accent1"/>
      <w:sz w:val="24"/>
    </w:rPr>
  </w:style>
  <w:style w:type="character" w:styleId="SubtleReference">
    <w:name w:val="Subtle Reference"/>
    <w:basedOn w:val="DefaultParagraphFont"/>
    <w:uiPriority w:val="31"/>
    <w:qFormat/>
    <w:rsid w:val="00AF127F"/>
    <w:rPr>
      <w:smallCaps/>
      <w:color w:val="C0504D" w:themeColor="accent2"/>
      <w:u w:val="single"/>
    </w:rPr>
  </w:style>
  <w:style w:type="character" w:styleId="IntenseReference">
    <w:name w:val="Intense Reference"/>
    <w:basedOn w:val="DefaultParagraphFont"/>
    <w:uiPriority w:val="32"/>
    <w:qFormat/>
    <w:rsid w:val="00AF127F"/>
    <w:rPr>
      <w:b/>
      <w:bCs/>
      <w:i/>
      <w:smallCaps/>
      <w:color w:val="C0504D" w:themeColor="accent2"/>
      <w:spacing w:val="5"/>
      <w:u w:val="none"/>
    </w:rPr>
  </w:style>
  <w:style w:type="character" w:styleId="BookTitle">
    <w:name w:val="Book Title"/>
    <w:basedOn w:val="DefaultParagraphFont"/>
    <w:uiPriority w:val="33"/>
    <w:qFormat/>
    <w:rsid w:val="00AF127F"/>
    <w:rPr>
      <w:b/>
      <w:bCs/>
      <w:smallCaps/>
      <w:spacing w:val="5"/>
    </w:rPr>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0869E6"/>
    <w:pPr>
      <w:contextualSpacing/>
    </w:pPr>
    <w:rPr>
      <w:rFonts w:eastAsiaTheme="minorHAnsi" w:cs="Arial"/>
      <w:b/>
      <w:szCs w:val="22"/>
    </w:rPr>
  </w:style>
  <w:style w:type="table" w:styleId="TableGrid">
    <w:name w:val="Table Grid"/>
    <w:basedOn w:val="TableNormal"/>
    <w:uiPriority w:val="59"/>
    <w:rsid w:val="00AF1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AF127F"/>
    <w:rPr>
      <w:rFonts w:eastAsiaTheme="minorHAnsi" w:cs="Arial"/>
      <w:sz w:val="20"/>
      <w:szCs w:val="20"/>
    </w:rPr>
  </w:style>
  <w:style w:type="character" w:customStyle="1" w:styleId="FootnoteTextChar">
    <w:name w:val="Footnote Text Char"/>
    <w:basedOn w:val="DefaultParagraphFont"/>
    <w:link w:val="FootnoteText"/>
    <w:uiPriority w:val="99"/>
    <w:rsid w:val="00AF127F"/>
    <w:rPr>
      <w:rFonts w:ascii="Arial" w:hAnsi="Arial"/>
    </w:rPr>
  </w:style>
  <w:style w:type="character" w:styleId="FootnoteReference">
    <w:name w:val="footnote reference"/>
    <w:uiPriority w:val="99"/>
    <w:rsid w:val="00AF127F"/>
    <w:rPr>
      <w:vertAlign w:val="superscript"/>
    </w:rPr>
  </w:style>
  <w:style w:type="paragraph" w:styleId="TOCHeading">
    <w:name w:val="TOC Heading"/>
    <w:basedOn w:val="Heading1"/>
    <w:next w:val="Normal"/>
    <w:uiPriority w:val="39"/>
    <w:unhideWhenUsed/>
    <w:qFormat/>
    <w:rsid w:val="00E2102F"/>
    <w:pPr>
      <w:keepLines/>
      <w:pBdr>
        <w:bottom w:val="single" w:sz="4" w:space="1" w:color="auto"/>
      </w:pBdr>
      <w:spacing w:before="480" w:line="276" w:lineRule="auto"/>
      <w:outlineLvl w:val="9"/>
    </w:pPr>
    <w:rPr>
      <w:rFonts w:asciiTheme="majorHAnsi" w:eastAsiaTheme="majorEastAsia" w:hAnsiTheme="majorHAnsi" w:cstheme="majorBidi"/>
      <w:color w:val="365F91" w:themeColor="accent1" w:themeShade="BF"/>
      <w:kern w:val="0"/>
      <w:sz w:val="24"/>
      <w:lang w:eastAsia="ja-JP"/>
    </w:rPr>
  </w:style>
  <w:style w:type="paragraph" w:styleId="TOC1">
    <w:name w:val="toc 1"/>
    <w:basedOn w:val="Normal"/>
    <w:next w:val="Normal"/>
    <w:autoRedefine/>
    <w:uiPriority w:val="39"/>
    <w:qFormat/>
    <w:rsid w:val="002345FA"/>
    <w:pPr>
      <w:spacing w:before="120" w:after="0"/>
    </w:pPr>
    <w:rPr>
      <w:b/>
      <w:szCs w:val="22"/>
    </w:rPr>
  </w:style>
  <w:style w:type="paragraph" w:styleId="TOC2">
    <w:name w:val="toc 2"/>
    <w:basedOn w:val="Normal"/>
    <w:next w:val="Normal"/>
    <w:autoRedefine/>
    <w:uiPriority w:val="39"/>
    <w:qFormat/>
    <w:rsid w:val="002345FA"/>
    <w:pPr>
      <w:tabs>
        <w:tab w:val="left" w:pos="880"/>
        <w:tab w:val="right" w:leader="dot" w:pos="9016"/>
      </w:tabs>
      <w:spacing w:before="0" w:after="0"/>
      <w:ind w:left="220"/>
    </w:pPr>
    <w:rPr>
      <w:szCs w:val="22"/>
    </w:rPr>
  </w:style>
  <w:style w:type="character" w:styleId="Hyperlink">
    <w:name w:val="Hyperlink"/>
    <w:basedOn w:val="DefaultParagraphFont"/>
    <w:uiPriority w:val="99"/>
    <w:unhideWhenUsed/>
    <w:rsid w:val="00AF127F"/>
    <w:rPr>
      <w:color w:val="0000FF" w:themeColor="hyperlink"/>
      <w:u w:val="single"/>
    </w:rPr>
  </w:style>
  <w:style w:type="paragraph" w:styleId="BalloonText">
    <w:name w:val="Balloon Text"/>
    <w:basedOn w:val="Normal"/>
    <w:link w:val="BalloonTextChar"/>
    <w:rsid w:val="00AF127F"/>
    <w:rPr>
      <w:rFonts w:ascii="Tahoma" w:eastAsiaTheme="minorHAnsi" w:hAnsi="Tahoma" w:cs="Tahoma"/>
      <w:sz w:val="16"/>
      <w:szCs w:val="16"/>
    </w:rPr>
  </w:style>
  <w:style w:type="character" w:customStyle="1" w:styleId="BalloonTextChar">
    <w:name w:val="Balloon Text Char"/>
    <w:basedOn w:val="DefaultParagraphFont"/>
    <w:link w:val="BalloonText"/>
    <w:rsid w:val="00AF127F"/>
    <w:rPr>
      <w:rFonts w:ascii="Tahoma" w:hAnsi="Tahoma" w:cs="Tahoma"/>
      <w:sz w:val="16"/>
      <w:szCs w:val="16"/>
    </w:rPr>
  </w:style>
  <w:style w:type="paragraph" w:styleId="Header">
    <w:name w:val="header"/>
    <w:basedOn w:val="Normal"/>
    <w:link w:val="HeaderChar"/>
    <w:uiPriority w:val="99"/>
    <w:rsid w:val="00AF127F"/>
    <w:pPr>
      <w:tabs>
        <w:tab w:val="center" w:pos="4513"/>
        <w:tab w:val="right" w:pos="9026"/>
      </w:tabs>
    </w:pPr>
    <w:rPr>
      <w:rFonts w:eastAsiaTheme="minorHAnsi" w:cs="Arial"/>
      <w:szCs w:val="20"/>
    </w:rPr>
  </w:style>
  <w:style w:type="character" w:customStyle="1" w:styleId="HeaderChar">
    <w:name w:val="Header Char"/>
    <w:basedOn w:val="DefaultParagraphFont"/>
    <w:link w:val="Header"/>
    <w:uiPriority w:val="99"/>
    <w:rsid w:val="00AF127F"/>
    <w:rPr>
      <w:rFonts w:ascii="Arial" w:hAnsi="Arial"/>
      <w:sz w:val="24"/>
    </w:rPr>
  </w:style>
  <w:style w:type="paragraph" w:styleId="Footer">
    <w:name w:val="footer"/>
    <w:basedOn w:val="Normal"/>
    <w:link w:val="FooterChar"/>
    <w:uiPriority w:val="99"/>
    <w:rsid w:val="00AF127F"/>
    <w:pPr>
      <w:tabs>
        <w:tab w:val="center" w:pos="4513"/>
        <w:tab w:val="right" w:pos="9026"/>
      </w:tabs>
    </w:pPr>
    <w:rPr>
      <w:rFonts w:eastAsiaTheme="minorHAnsi" w:cs="Arial"/>
      <w:szCs w:val="20"/>
    </w:rPr>
  </w:style>
  <w:style w:type="character" w:customStyle="1" w:styleId="FooterChar">
    <w:name w:val="Footer Char"/>
    <w:basedOn w:val="DefaultParagraphFont"/>
    <w:link w:val="Footer"/>
    <w:uiPriority w:val="99"/>
    <w:rsid w:val="00AF127F"/>
    <w:rPr>
      <w:rFonts w:ascii="Arial" w:hAnsi="Arial"/>
      <w:sz w:val="24"/>
    </w:rPr>
  </w:style>
  <w:style w:type="paragraph" w:styleId="Caption">
    <w:name w:val="caption"/>
    <w:basedOn w:val="Normal"/>
    <w:next w:val="Normal"/>
    <w:unhideWhenUsed/>
    <w:qFormat/>
    <w:rsid w:val="00C96B34"/>
    <w:pPr>
      <w:keepNext/>
      <w:spacing w:before="120" w:after="0"/>
    </w:pPr>
    <w:rPr>
      <w:rFonts w:eastAsiaTheme="minorHAnsi" w:cs="Arial"/>
      <w:i/>
      <w:sz w:val="20"/>
      <w:szCs w:val="22"/>
      <w:lang w:eastAsia="en-US"/>
    </w:rPr>
  </w:style>
  <w:style w:type="paragraph" w:customStyle="1" w:styleId="Default">
    <w:name w:val="Default"/>
    <w:rsid w:val="00AF127F"/>
    <w:pPr>
      <w:autoSpaceDE w:val="0"/>
      <w:autoSpaceDN w:val="0"/>
      <w:adjustRightInd w:val="0"/>
    </w:pPr>
    <w:rPr>
      <w:rFonts w:ascii="Calibri" w:hAnsi="Calibri" w:cs="Calibri"/>
      <w:color w:val="000000"/>
      <w:sz w:val="24"/>
      <w:szCs w:val="24"/>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basedOn w:val="DefaultParagraphFont"/>
    <w:link w:val="ListParagraph"/>
    <w:uiPriority w:val="34"/>
    <w:rsid w:val="000869E6"/>
    <w:rPr>
      <w:rFonts w:asciiTheme="minorHAnsi" w:eastAsiaTheme="minorHAnsi" w:hAnsiTheme="minorHAnsi" w:cs="Arial"/>
      <w:b/>
      <w:sz w:val="22"/>
      <w:szCs w:val="22"/>
    </w:rPr>
  </w:style>
  <w:style w:type="paragraph" w:styleId="TableofFigures">
    <w:name w:val="table of figures"/>
    <w:basedOn w:val="Normal"/>
    <w:next w:val="Normal"/>
    <w:uiPriority w:val="99"/>
    <w:rsid w:val="002345FA"/>
    <w:pPr>
      <w:spacing w:before="0" w:after="0"/>
      <w:ind w:left="440" w:hanging="440"/>
    </w:pPr>
    <w:rPr>
      <w:sz w:val="20"/>
      <w:szCs w:val="20"/>
    </w:rPr>
  </w:style>
  <w:style w:type="paragraph" w:styleId="TOC3">
    <w:name w:val="toc 3"/>
    <w:basedOn w:val="Normal"/>
    <w:next w:val="Normal"/>
    <w:autoRedefine/>
    <w:uiPriority w:val="39"/>
    <w:qFormat/>
    <w:rsid w:val="00AF127F"/>
    <w:pPr>
      <w:spacing w:before="0" w:after="0"/>
      <w:ind w:left="440"/>
    </w:pPr>
    <w:rPr>
      <w:i/>
      <w:szCs w:val="22"/>
    </w:rPr>
  </w:style>
  <w:style w:type="character" w:styleId="PageNumber">
    <w:name w:val="page number"/>
    <w:basedOn w:val="DefaultParagraphFont"/>
    <w:rsid w:val="006C0049"/>
  </w:style>
  <w:style w:type="paragraph" w:styleId="BodyText">
    <w:name w:val="Body Text"/>
    <w:basedOn w:val="Normal"/>
    <w:link w:val="BodyTextChar"/>
    <w:rsid w:val="00692C6A"/>
    <w:pPr>
      <w:spacing w:before="240" w:after="240"/>
    </w:pPr>
    <w:rPr>
      <w:rFonts w:eastAsiaTheme="minorHAnsi" w:cs="Arial"/>
      <w:szCs w:val="20"/>
    </w:rPr>
  </w:style>
  <w:style w:type="character" w:customStyle="1" w:styleId="BodyTextChar">
    <w:name w:val="Body Text Char"/>
    <w:basedOn w:val="DefaultParagraphFont"/>
    <w:link w:val="BodyText"/>
    <w:rsid w:val="00692C6A"/>
    <w:rPr>
      <w:rFonts w:asciiTheme="minorHAnsi" w:eastAsiaTheme="minorHAnsi" w:hAnsiTheme="minorHAnsi" w:cs="Arial"/>
      <w:sz w:val="22"/>
    </w:rPr>
  </w:style>
  <w:style w:type="paragraph" w:customStyle="1" w:styleId="departmentalnormal">
    <w:name w:val="departmentalnormal"/>
    <w:basedOn w:val="Normal"/>
    <w:rsid w:val="006C0049"/>
    <w:pPr>
      <w:spacing w:before="100" w:beforeAutospacing="1" w:after="100" w:afterAutospacing="1"/>
    </w:pPr>
    <w:rPr>
      <w:rFonts w:eastAsiaTheme="minorHAnsi" w:cs="Arial"/>
      <w:szCs w:val="22"/>
    </w:rPr>
  </w:style>
  <w:style w:type="paragraph" w:styleId="BodyText3">
    <w:name w:val="Body Text 3"/>
    <w:basedOn w:val="Normal"/>
    <w:link w:val="BodyText3Char"/>
    <w:rsid w:val="006C0049"/>
    <w:pPr>
      <w:spacing w:after="120"/>
    </w:pPr>
    <w:rPr>
      <w:rFonts w:eastAsiaTheme="minorHAnsi" w:cs="Arial"/>
      <w:sz w:val="16"/>
      <w:szCs w:val="16"/>
    </w:rPr>
  </w:style>
  <w:style w:type="character" w:customStyle="1" w:styleId="BodyText3Char">
    <w:name w:val="Body Text 3 Char"/>
    <w:basedOn w:val="DefaultParagraphFont"/>
    <w:link w:val="BodyText3"/>
    <w:rsid w:val="006C0049"/>
    <w:rPr>
      <w:rFonts w:ascii="Arial" w:hAnsi="Arial"/>
      <w:sz w:val="16"/>
      <w:szCs w:val="16"/>
    </w:rPr>
  </w:style>
  <w:style w:type="paragraph" w:styleId="BodyTextIndent">
    <w:name w:val="Body Text Indent"/>
    <w:basedOn w:val="Normal"/>
    <w:link w:val="BodyTextIndentChar"/>
    <w:rsid w:val="006C0049"/>
    <w:pPr>
      <w:spacing w:after="120"/>
      <w:ind w:left="283"/>
    </w:pPr>
    <w:rPr>
      <w:rFonts w:eastAsiaTheme="minorHAnsi" w:cs="Arial"/>
      <w:szCs w:val="20"/>
    </w:rPr>
  </w:style>
  <w:style w:type="character" w:customStyle="1" w:styleId="BodyTextIndentChar">
    <w:name w:val="Body Text Indent Char"/>
    <w:basedOn w:val="DefaultParagraphFont"/>
    <w:link w:val="BodyTextIndent"/>
    <w:rsid w:val="006C0049"/>
    <w:rPr>
      <w:rFonts w:ascii="Arial" w:hAnsi="Arial"/>
      <w:sz w:val="24"/>
    </w:rPr>
  </w:style>
  <w:style w:type="paragraph" w:customStyle="1" w:styleId="DepartmentalNormal0">
    <w:name w:val="Departmental Normal"/>
    <w:basedOn w:val="Normal"/>
    <w:rsid w:val="006C0049"/>
    <w:rPr>
      <w:rFonts w:eastAsiaTheme="minorHAnsi" w:cs="Arial"/>
      <w:szCs w:val="20"/>
    </w:rPr>
  </w:style>
  <w:style w:type="paragraph" w:customStyle="1" w:styleId="CharCharChar">
    <w:name w:val="Char Char Char"/>
    <w:basedOn w:val="Normal"/>
    <w:rsid w:val="006C0049"/>
    <w:rPr>
      <w:rFonts w:eastAsiaTheme="minorHAnsi" w:cs="Arial"/>
      <w:szCs w:val="22"/>
      <w:lang w:eastAsia="en-US"/>
    </w:rPr>
  </w:style>
  <w:style w:type="character" w:customStyle="1" w:styleId="apple-converted-space">
    <w:name w:val="apple-converted-space"/>
    <w:basedOn w:val="DefaultParagraphFont"/>
    <w:rsid w:val="006C0049"/>
  </w:style>
  <w:style w:type="paragraph" w:styleId="NormalWeb">
    <w:name w:val="Normal (Web)"/>
    <w:basedOn w:val="Normal"/>
    <w:uiPriority w:val="99"/>
    <w:unhideWhenUsed/>
    <w:rsid w:val="006C0049"/>
    <w:pPr>
      <w:spacing w:before="100" w:beforeAutospacing="1" w:after="100" w:afterAutospacing="1"/>
    </w:pPr>
    <w:rPr>
      <w:rFonts w:eastAsiaTheme="minorHAnsi" w:cs="Arial"/>
      <w:szCs w:val="22"/>
    </w:rPr>
  </w:style>
  <w:style w:type="character" w:customStyle="1" w:styleId="source-copyright1">
    <w:name w:val="source-copyright1"/>
    <w:basedOn w:val="DefaultParagraphFont"/>
    <w:rsid w:val="006C0049"/>
    <w:rPr>
      <w:sz w:val="20"/>
      <w:szCs w:val="20"/>
    </w:rPr>
  </w:style>
  <w:style w:type="character" w:customStyle="1" w:styleId="lexicon-term">
    <w:name w:val="lexicon-term"/>
    <w:basedOn w:val="DefaultParagraphFont"/>
    <w:rsid w:val="006C0049"/>
  </w:style>
  <w:style w:type="paragraph" w:customStyle="1" w:styleId="NormalBulleted">
    <w:name w:val="Normal Bulleted"/>
    <w:basedOn w:val="ListContinue"/>
    <w:link w:val="NormalBulletedChar"/>
    <w:qFormat/>
    <w:rsid w:val="00E2102F"/>
    <w:pPr>
      <w:numPr>
        <w:numId w:val="7"/>
      </w:numPr>
    </w:pPr>
  </w:style>
  <w:style w:type="character" w:customStyle="1" w:styleId="NormalBulletedChar">
    <w:name w:val="Normal Bulleted Char"/>
    <w:basedOn w:val="DefaultParagraphFont"/>
    <w:link w:val="NormalBulleted"/>
    <w:rsid w:val="00E2102F"/>
    <w:rPr>
      <w:rFonts w:asciiTheme="minorHAnsi" w:hAnsiTheme="minorHAnsi"/>
      <w:sz w:val="22"/>
      <w:szCs w:val="24"/>
    </w:rPr>
  </w:style>
  <w:style w:type="character" w:customStyle="1" w:styleId="Heading7Char">
    <w:name w:val="Heading 7 Char"/>
    <w:basedOn w:val="DefaultParagraphFont"/>
    <w:link w:val="Heading7"/>
    <w:uiPriority w:val="9"/>
    <w:rsid w:val="00E2102F"/>
    <w:rPr>
      <w:rFonts w:asciiTheme="majorHAnsi" w:eastAsiaTheme="majorEastAsia" w:hAnsiTheme="majorHAnsi" w:cstheme="majorBidi"/>
      <w:i/>
      <w:iCs/>
      <w:color w:val="404040" w:themeColor="text1" w:themeTint="BF"/>
      <w:sz w:val="22"/>
      <w:szCs w:val="22"/>
      <w:lang w:val="en-US" w:eastAsia="en-US"/>
    </w:rPr>
  </w:style>
  <w:style w:type="character" w:customStyle="1" w:styleId="Heading8Char">
    <w:name w:val="Heading 8 Char"/>
    <w:basedOn w:val="DefaultParagraphFont"/>
    <w:link w:val="Heading8"/>
    <w:uiPriority w:val="9"/>
    <w:rsid w:val="00E2102F"/>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rsid w:val="00E2102F"/>
    <w:rPr>
      <w:rFonts w:asciiTheme="majorHAnsi" w:eastAsiaTheme="majorEastAsia" w:hAnsiTheme="majorHAnsi" w:cstheme="majorBidi"/>
      <w:i/>
      <w:iCs/>
      <w:color w:val="404040" w:themeColor="text1" w:themeTint="BF"/>
      <w:lang w:val="en-US" w:eastAsia="en-US"/>
    </w:rPr>
  </w:style>
  <w:style w:type="paragraph" w:styleId="z-BottomofForm">
    <w:name w:val="HTML Bottom of Form"/>
    <w:basedOn w:val="Normal"/>
    <w:next w:val="Normal"/>
    <w:link w:val="z-BottomofFormChar"/>
    <w:hidden/>
    <w:uiPriority w:val="99"/>
    <w:unhideWhenUsed/>
    <w:rsid w:val="002D6FCA"/>
    <w:pPr>
      <w:pBdr>
        <w:top w:val="single" w:sz="6" w:space="1" w:color="auto"/>
      </w:pBdr>
      <w:jc w:val="center"/>
    </w:pPr>
    <w:rPr>
      <w:rFonts w:eastAsiaTheme="minorHAnsi" w:cs="Arial"/>
      <w:vanish/>
      <w:sz w:val="16"/>
      <w:szCs w:val="16"/>
    </w:rPr>
  </w:style>
  <w:style w:type="character" w:customStyle="1" w:styleId="z-BottomofFormChar">
    <w:name w:val="z-Bottom of Form Char"/>
    <w:basedOn w:val="DefaultParagraphFont"/>
    <w:link w:val="z-BottomofForm"/>
    <w:uiPriority w:val="99"/>
    <w:rsid w:val="002D6FCA"/>
    <w:rPr>
      <w:rFonts w:ascii="Arial" w:hAnsi="Arial" w:cs="Arial"/>
      <w:vanish/>
      <w:sz w:val="16"/>
      <w:szCs w:val="16"/>
    </w:rPr>
  </w:style>
  <w:style w:type="paragraph" w:styleId="BodyTextIndent2">
    <w:name w:val="Body Text Indent 2"/>
    <w:basedOn w:val="Normal"/>
    <w:link w:val="BodyTextIndent2Char"/>
    <w:rsid w:val="003C2F8E"/>
    <w:pPr>
      <w:spacing w:after="120" w:line="480" w:lineRule="auto"/>
      <w:ind w:left="283"/>
    </w:pPr>
    <w:rPr>
      <w:rFonts w:eastAsiaTheme="minorHAnsi" w:cs="Arial"/>
      <w:szCs w:val="22"/>
      <w:lang w:val="en-US" w:eastAsia="en-US"/>
    </w:rPr>
  </w:style>
  <w:style w:type="character" w:customStyle="1" w:styleId="BodyTextIndent2Char">
    <w:name w:val="Body Text Indent 2 Char"/>
    <w:basedOn w:val="DefaultParagraphFont"/>
    <w:link w:val="BodyTextIndent2"/>
    <w:rsid w:val="003C2F8E"/>
    <w:rPr>
      <w:sz w:val="24"/>
      <w:szCs w:val="24"/>
      <w:lang w:val="en-US" w:eastAsia="en-US"/>
    </w:rPr>
  </w:style>
  <w:style w:type="paragraph" w:customStyle="1" w:styleId="02Tabletext">
    <w:name w:val="02. Table text"/>
    <w:basedOn w:val="Normal"/>
    <w:next w:val="Normal"/>
    <w:link w:val="02TabletextChar"/>
    <w:qFormat/>
    <w:rsid w:val="004D7CBA"/>
    <w:pPr>
      <w:spacing w:before="140" w:after="40"/>
    </w:pPr>
  </w:style>
  <w:style w:type="character" w:customStyle="1" w:styleId="02TabletextChar">
    <w:name w:val="02. Table text Char"/>
    <w:basedOn w:val="DefaultParagraphFont"/>
    <w:link w:val="02Tabletext"/>
    <w:rsid w:val="004D7CBA"/>
    <w:rPr>
      <w:rFonts w:asciiTheme="minorHAnsi" w:hAnsiTheme="minorHAnsi"/>
      <w:sz w:val="22"/>
      <w:szCs w:val="24"/>
    </w:rPr>
  </w:style>
  <w:style w:type="paragraph" w:customStyle="1" w:styleId="01Tableheaderrow">
    <w:name w:val="01. Table header row"/>
    <w:link w:val="01TableheaderrowChar"/>
    <w:rsid w:val="00386D66"/>
    <w:pPr>
      <w:keepNext/>
      <w:spacing w:before="40"/>
    </w:pPr>
    <w:rPr>
      <w:rFonts w:ascii="Arial" w:eastAsiaTheme="minorHAnsi" w:hAnsi="Arial"/>
      <w:b/>
      <w:sz w:val="18"/>
      <w:szCs w:val="22"/>
      <w:lang w:eastAsia="en-US"/>
    </w:rPr>
  </w:style>
  <w:style w:type="character" w:customStyle="1" w:styleId="01TableheaderrowChar">
    <w:name w:val="01. Table header row Char"/>
    <w:basedOn w:val="02TabletextChar"/>
    <w:link w:val="01Tableheaderrow"/>
    <w:rsid w:val="00386D66"/>
    <w:rPr>
      <w:rFonts w:ascii="Arial" w:eastAsiaTheme="minorHAnsi" w:hAnsi="Arial"/>
      <w:b/>
      <w:sz w:val="18"/>
      <w:szCs w:val="22"/>
      <w:lang w:eastAsia="en-US"/>
    </w:rPr>
  </w:style>
  <w:style w:type="character" w:styleId="FollowedHyperlink">
    <w:name w:val="FollowedHyperlink"/>
    <w:basedOn w:val="DefaultParagraphFont"/>
    <w:rsid w:val="009B5C97"/>
    <w:rPr>
      <w:color w:val="800080" w:themeColor="followedHyperlink"/>
      <w:u w:val="single"/>
    </w:rPr>
  </w:style>
  <w:style w:type="table" w:customStyle="1" w:styleId="TableGrid1">
    <w:name w:val="Table Grid1"/>
    <w:basedOn w:val="TableNormal"/>
    <w:next w:val="TableGrid"/>
    <w:uiPriority w:val="59"/>
    <w:rsid w:val="00BA07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Bulleted"/>
    <w:autoRedefine/>
    <w:qFormat/>
    <w:rsid w:val="00965AE3"/>
    <w:pPr>
      <w:spacing w:before="0" w:after="0"/>
      <w:ind w:left="714" w:hanging="357"/>
    </w:pPr>
  </w:style>
  <w:style w:type="paragraph" w:customStyle="1" w:styleId="Bullet2">
    <w:name w:val="Bullet 2"/>
    <w:basedOn w:val="ListParagraph"/>
    <w:rsid w:val="002345FA"/>
    <w:pPr>
      <w:numPr>
        <w:ilvl w:val="1"/>
        <w:numId w:val="2"/>
      </w:numPr>
      <w:spacing w:before="120"/>
      <w:contextualSpacing w:val="0"/>
    </w:pPr>
    <w:rPr>
      <w:b w:val="0"/>
    </w:rPr>
  </w:style>
  <w:style w:type="paragraph" w:customStyle="1" w:styleId="Bullet3">
    <w:name w:val="Bullet 3"/>
    <w:basedOn w:val="ListParagraph"/>
    <w:uiPriority w:val="74"/>
    <w:qFormat/>
    <w:rsid w:val="00E2102F"/>
    <w:pPr>
      <w:numPr>
        <w:ilvl w:val="2"/>
        <w:numId w:val="1"/>
      </w:numPr>
      <w:spacing w:before="120"/>
      <w:ind w:left="1797" w:hanging="357"/>
      <w:contextualSpacing w:val="0"/>
    </w:pPr>
  </w:style>
  <w:style w:type="paragraph" w:styleId="TOC4">
    <w:name w:val="toc 4"/>
    <w:basedOn w:val="Normal"/>
    <w:next w:val="Normal"/>
    <w:autoRedefine/>
    <w:uiPriority w:val="39"/>
    <w:unhideWhenUsed/>
    <w:rsid w:val="00C56DF9"/>
    <w:pPr>
      <w:spacing w:before="0" w:after="0"/>
      <w:ind w:left="660"/>
    </w:pPr>
    <w:rPr>
      <w:sz w:val="18"/>
      <w:szCs w:val="18"/>
    </w:rPr>
  </w:style>
  <w:style w:type="paragraph" w:styleId="TOC5">
    <w:name w:val="toc 5"/>
    <w:basedOn w:val="Normal"/>
    <w:next w:val="Normal"/>
    <w:autoRedefine/>
    <w:uiPriority w:val="39"/>
    <w:unhideWhenUsed/>
    <w:rsid w:val="00C56DF9"/>
    <w:pPr>
      <w:spacing w:before="0" w:after="0"/>
      <w:ind w:left="880"/>
    </w:pPr>
    <w:rPr>
      <w:sz w:val="18"/>
      <w:szCs w:val="18"/>
    </w:rPr>
  </w:style>
  <w:style w:type="paragraph" w:styleId="TOC6">
    <w:name w:val="toc 6"/>
    <w:basedOn w:val="Normal"/>
    <w:next w:val="Normal"/>
    <w:autoRedefine/>
    <w:uiPriority w:val="39"/>
    <w:unhideWhenUsed/>
    <w:rsid w:val="00C56DF9"/>
    <w:pPr>
      <w:spacing w:before="0" w:after="0"/>
      <w:ind w:left="1100"/>
    </w:pPr>
    <w:rPr>
      <w:sz w:val="18"/>
      <w:szCs w:val="18"/>
    </w:rPr>
  </w:style>
  <w:style w:type="paragraph" w:styleId="TOC7">
    <w:name w:val="toc 7"/>
    <w:basedOn w:val="Normal"/>
    <w:next w:val="Normal"/>
    <w:autoRedefine/>
    <w:uiPriority w:val="39"/>
    <w:unhideWhenUsed/>
    <w:rsid w:val="00C56DF9"/>
    <w:pPr>
      <w:spacing w:before="0" w:after="0"/>
      <w:ind w:left="1320"/>
    </w:pPr>
    <w:rPr>
      <w:sz w:val="18"/>
      <w:szCs w:val="18"/>
    </w:rPr>
  </w:style>
  <w:style w:type="paragraph" w:styleId="TOC8">
    <w:name w:val="toc 8"/>
    <w:basedOn w:val="Normal"/>
    <w:next w:val="Normal"/>
    <w:autoRedefine/>
    <w:uiPriority w:val="39"/>
    <w:unhideWhenUsed/>
    <w:rsid w:val="00C56DF9"/>
    <w:pPr>
      <w:spacing w:before="0" w:after="0"/>
      <w:ind w:left="1540"/>
    </w:pPr>
    <w:rPr>
      <w:sz w:val="18"/>
      <w:szCs w:val="18"/>
    </w:rPr>
  </w:style>
  <w:style w:type="paragraph" w:styleId="TOC9">
    <w:name w:val="toc 9"/>
    <w:basedOn w:val="Normal"/>
    <w:next w:val="Normal"/>
    <w:autoRedefine/>
    <w:uiPriority w:val="39"/>
    <w:unhideWhenUsed/>
    <w:rsid w:val="00C56DF9"/>
    <w:pPr>
      <w:spacing w:before="0" w:after="0"/>
      <w:ind w:left="1760"/>
    </w:pPr>
    <w:rPr>
      <w:sz w:val="18"/>
      <w:szCs w:val="18"/>
    </w:rPr>
  </w:style>
  <w:style w:type="character" w:styleId="CommentReference">
    <w:name w:val="annotation reference"/>
    <w:basedOn w:val="DefaultParagraphFont"/>
    <w:semiHidden/>
    <w:unhideWhenUsed/>
    <w:rsid w:val="000337EF"/>
    <w:rPr>
      <w:sz w:val="16"/>
      <w:szCs w:val="16"/>
    </w:rPr>
  </w:style>
  <w:style w:type="paragraph" w:styleId="CommentText">
    <w:name w:val="annotation text"/>
    <w:basedOn w:val="Normal"/>
    <w:link w:val="CommentTextChar"/>
    <w:semiHidden/>
    <w:unhideWhenUsed/>
    <w:rsid w:val="000337EF"/>
    <w:rPr>
      <w:sz w:val="20"/>
      <w:szCs w:val="20"/>
    </w:rPr>
  </w:style>
  <w:style w:type="character" w:customStyle="1" w:styleId="CommentTextChar">
    <w:name w:val="Comment Text Char"/>
    <w:basedOn w:val="DefaultParagraphFont"/>
    <w:link w:val="CommentText"/>
    <w:semiHidden/>
    <w:rsid w:val="000337EF"/>
    <w:rPr>
      <w:rFonts w:ascii="Arial" w:hAnsi="Arial"/>
    </w:rPr>
  </w:style>
  <w:style w:type="paragraph" w:styleId="CommentSubject">
    <w:name w:val="annotation subject"/>
    <w:basedOn w:val="CommentText"/>
    <w:next w:val="CommentText"/>
    <w:link w:val="CommentSubjectChar"/>
    <w:semiHidden/>
    <w:unhideWhenUsed/>
    <w:rsid w:val="000337EF"/>
    <w:rPr>
      <w:b/>
      <w:bCs/>
    </w:rPr>
  </w:style>
  <w:style w:type="character" w:customStyle="1" w:styleId="CommentSubjectChar">
    <w:name w:val="Comment Subject Char"/>
    <w:basedOn w:val="CommentTextChar"/>
    <w:link w:val="CommentSubject"/>
    <w:semiHidden/>
    <w:rsid w:val="000337EF"/>
    <w:rPr>
      <w:rFonts w:ascii="Arial" w:hAnsi="Arial"/>
      <w:b/>
      <w:bCs/>
    </w:rPr>
  </w:style>
  <w:style w:type="paragraph" w:customStyle="1" w:styleId="60exhnormal">
    <w:name w:val="60 exh normal"/>
    <w:basedOn w:val="Normal"/>
    <w:rsid w:val="00F26056"/>
    <w:pPr>
      <w:spacing w:before="0" w:after="0"/>
    </w:pPr>
    <w:rPr>
      <w:szCs w:val="20"/>
      <w:lang w:val="en-US" w:eastAsia="en-US"/>
    </w:rPr>
  </w:style>
  <w:style w:type="paragraph" w:customStyle="1" w:styleId="70exhtblnormal">
    <w:name w:val="70 exh tbl normal"/>
    <w:basedOn w:val="Normal"/>
    <w:rsid w:val="00F26056"/>
    <w:pPr>
      <w:spacing w:before="60"/>
      <w:ind w:left="144" w:right="289"/>
    </w:pPr>
    <w:rPr>
      <w:sz w:val="24"/>
      <w:szCs w:val="20"/>
      <w:lang w:val="en-US" w:eastAsia="en-US"/>
    </w:rPr>
  </w:style>
  <w:style w:type="table" w:customStyle="1" w:styleId="TableGrid2">
    <w:name w:val="Table Grid2"/>
    <w:basedOn w:val="TableNormal"/>
    <w:next w:val="TableGrid"/>
    <w:rsid w:val="00585C9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squarebullet">
    <w:name w:val="01 square bullet"/>
    <w:basedOn w:val="Normal"/>
    <w:link w:val="01squarebulletChar"/>
    <w:uiPriority w:val="3"/>
    <w:rsid w:val="00E2102F"/>
    <w:pPr>
      <w:numPr>
        <w:numId w:val="3"/>
      </w:numPr>
      <w:spacing w:before="120"/>
      <w:ind w:right="142"/>
    </w:pPr>
    <w:rPr>
      <w:szCs w:val="20"/>
      <w:lang w:val="en-US" w:eastAsia="en-US"/>
    </w:rPr>
  </w:style>
  <w:style w:type="paragraph" w:customStyle="1" w:styleId="02dash">
    <w:name w:val="02 dash"/>
    <w:basedOn w:val="01squarebullet"/>
    <w:link w:val="02dashChar"/>
    <w:uiPriority w:val="4"/>
    <w:rsid w:val="00E2102F"/>
    <w:pPr>
      <w:numPr>
        <w:ilvl w:val="1"/>
      </w:numPr>
    </w:pPr>
  </w:style>
  <w:style w:type="paragraph" w:customStyle="1" w:styleId="03opensquarebullet">
    <w:name w:val="03 open square bullet"/>
    <w:basedOn w:val="02dash"/>
    <w:uiPriority w:val="5"/>
    <w:rsid w:val="00E2102F"/>
    <w:pPr>
      <w:numPr>
        <w:ilvl w:val="2"/>
      </w:numPr>
    </w:pPr>
  </w:style>
  <w:style w:type="paragraph" w:customStyle="1" w:styleId="04shortdash">
    <w:name w:val="04 short dash"/>
    <w:basedOn w:val="03opensquarebullet"/>
    <w:uiPriority w:val="6"/>
    <w:rsid w:val="00E2102F"/>
    <w:pPr>
      <w:numPr>
        <w:ilvl w:val="3"/>
      </w:numPr>
    </w:pPr>
  </w:style>
  <w:style w:type="paragraph" w:styleId="Bibliography">
    <w:name w:val="Bibliography"/>
    <w:basedOn w:val="Normal"/>
    <w:next w:val="Normal"/>
    <w:uiPriority w:val="37"/>
    <w:unhideWhenUsed/>
    <w:rsid w:val="007D2992"/>
  </w:style>
  <w:style w:type="table" w:customStyle="1" w:styleId="PlainTable21">
    <w:name w:val="Plain Table 21"/>
    <w:basedOn w:val="TableNormal"/>
    <w:uiPriority w:val="42"/>
    <w:rsid w:val="0076349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tyle1">
    <w:name w:val="Style1"/>
    <w:basedOn w:val="TableNormal"/>
    <w:uiPriority w:val="99"/>
    <w:rsid w:val="0076349B"/>
    <w:rPr>
      <w:rFonts w:ascii="Arial" w:hAnsi="Arial"/>
      <w:sz w:val="18"/>
    </w:rPr>
    <w:tblPr>
      <w:tblBorders>
        <w:top w:val="single" w:sz="4" w:space="0" w:color="auto"/>
        <w:bottom w:val="single" w:sz="4" w:space="0" w:color="auto"/>
      </w:tblBorders>
    </w:tblPr>
  </w:style>
  <w:style w:type="table" w:customStyle="1" w:styleId="PlainTable41">
    <w:name w:val="Plain Table 41"/>
    <w:basedOn w:val="TableNormal"/>
    <w:uiPriority w:val="44"/>
    <w:rsid w:val="003C3E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2">
    <w:name w:val="Plain Table 22"/>
    <w:basedOn w:val="TableNormal"/>
    <w:uiPriority w:val="42"/>
    <w:rsid w:val="001043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Heading2Report">
    <w:name w:val="Heading 2 Report"/>
    <w:basedOn w:val="Heading2"/>
    <w:link w:val="Heading2ReportChar"/>
    <w:rsid w:val="00E2102F"/>
    <w:pPr>
      <w:spacing w:after="60"/>
    </w:pPr>
  </w:style>
  <w:style w:type="character" w:customStyle="1" w:styleId="Heading2ReportChar">
    <w:name w:val="Heading 2 Report Char"/>
    <w:basedOn w:val="DefaultParagraphFont"/>
    <w:link w:val="Heading2Report"/>
    <w:rsid w:val="00E2102F"/>
    <w:rPr>
      <w:rFonts w:asciiTheme="minorHAnsi" w:eastAsiaTheme="minorHAnsi" w:hAnsiTheme="minorHAnsi" w:cs="Arial"/>
      <w:b/>
      <w:bCs/>
      <w:iCs/>
      <w:color w:val="01653F"/>
      <w:sz w:val="26"/>
      <w:szCs w:val="22"/>
      <w:lang w:val="en-US" w:eastAsia="en-US"/>
    </w:rPr>
  </w:style>
  <w:style w:type="paragraph" w:customStyle="1" w:styleId="AppendixStyle1">
    <w:name w:val="Appendix Style 1"/>
    <w:basedOn w:val="Normal"/>
    <w:next w:val="Normal"/>
    <w:qFormat/>
    <w:rsid w:val="002345FA"/>
    <w:pPr>
      <w:numPr>
        <w:numId w:val="4"/>
      </w:numPr>
      <w:spacing w:before="0" w:after="0"/>
      <w:ind w:left="1210"/>
      <w:outlineLvl w:val="0"/>
    </w:pPr>
    <w:rPr>
      <w:rFonts w:cs="Arial"/>
      <w:b/>
      <w:color w:val="016500"/>
      <w:sz w:val="32"/>
      <w:lang w:val="en-US" w:eastAsia="en-US"/>
    </w:rPr>
  </w:style>
  <w:style w:type="table" w:customStyle="1" w:styleId="TableGrid3">
    <w:name w:val="Table Grid3"/>
    <w:basedOn w:val="TableNormal"/>
    <w:next w:val="TableGrid"/>
    <w:rsid w:val="00536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label">
    <w:name w:val="ref-label"/>
    <w:basedOn w:val="DefaultParagraphFont"/>
    <w:rsid w:val="00F417F4"/>
  </w:style>
  <w:style w:type="paragraph" w:customStyle="1" w:styleId="bulletindent1">
    <w:name w:val="bulletindent1"/>
    <w:basedOn w:val="Normal"/>
    <w:rsid w:val="00F417F4"/>
    <w:pPr>
      <w:spacing w:before="100" w:beforeAutospacing="1" w:after="100" w:afterAutospacing="1"/>
    </w:pPr>
    <w:rPr>
      <w:rFonts w:ascii="Times New Roman" w:hAnsi="Times New Roman"/>
      <w:sz w:val="24"/>
    </w:rPr>
  </w:style>
  <w:style w:type="paragraph" w:customStyle="1" w:styleId="Numbering">
    <w:name w:val="Numbering"/>
    <w:basedOn w:val="ListParagraph"/>
    <w:link w:val="NumberingChar"/>
    <w:rsid w:val="00E2102F"/>
    <w:pPr>
      <w:numPr>
        <w:numId w:val="5"/>
      </w:numPr>
      <w:spacing w:before="120" w:after="120"/>
    </w:pPr>
    <w:rPr>
      <w:lang w:val="en-US" w:eastAsia="en-US"/>
    </w:rPr>
  </w:style>
  <w:style w:type="character" w:customStyle="1" w:styleId="NumberingChar">
    <w:name w:val="Numbering Char"/>
    <w:basedOn w:val="ListParagraphChar"/>
    <w:link w:val="Numbering"/>
    <w:rsid w:val="00E2102F"/>
    <w:rPr>
      <w:rFonts w:asciiTheme="minorHAnsi" w:eastAsiaTheme="minorHAnsi" w:hAnsiTheme="minorHAnsi" w:cs="Arial"/>
      <w:b/>
      <w:sz w:val="22"/>
      <w:szCs w:val="22"/>
      <w:lang w:val="en-US" w:eastAsia="en-US"/>
    </w:rPr>
  </w:style>
  <w:style w:type="paragraph" w:styleId="DocumentMap">
    <w:name w:val="Document Map"/>
    <w:basedOn w:val="Normal"/>
    <w:link w:val="DocumentMapChar"/>
    <w:semiHidden/>
    <w:unhideWhenUsed/>
    <w:rsid w:val="0060697D"/>
    <w:pPr>
      <w:spacing w:before="0" w:after="0" w:line="240" w:lineRule="auto"/>
    </w:pPr>
    <w:rPr>
      <w:rFonts w:ascii="Times New Roman" w:hAnsi="Times New Roman"/>
      <w:sz w:val="24"/>
    </w:rPr>
  </w:style>
  <w:style w:type="character" w:customStyle="1" w:styleId="DocumentMapChar">
    <w:name w:val="Document Map Char"/>
    <w:basedOn w:val="DefaultParagraphFont"/>
    <w:link w:val="DocumentMap"/>
    <w:semiHidden/>
    <w:rsid w:val="0060697D"/>
    <w:rPr>
      <w:sz w:val="24"/>
      <w:szCs w:val="24"/>
    </w:rPr>
  </w:style>
  <w:style w:type="paragraph" w:styleId="EndnoteText">
    <w:name w:val="endnote text"/>
    <w:basedOn w:val="Normal"/>
    <w:link w:val="EndnoteTextChar"/>
    <w:unhideWhenUsed/>
    <w:rsid w:val="00303AE1"/>
    <w:pPr>
      <w:spacing w:before="0" w:after="0" w:line="240" w:lineRule="auto"/>
    </w:pPr>
    <w:rPr>
      <w:sz w:val="24"/>
    </w:rPr>
  </w:style>
  <w:style w:type="character" w:customStyle="1" w:styleId="EndnoteTextChar">
    <w:name w:val="Endnote Text Char"/>
    <w:basedOn w:val="DefaultParagraphFont"/>
    <w:link w:val="EndnoteText"/>
    <w:rsid w:val="00303AE1"/>
    <w:rPr>
      <w:rFonts w:asciiTheme="minorHAnsi" w:hAnsiTheme="minorHAnsi"/>
      <w:sz w:val="24"/>
      <w:szCs w:val="24"/>
    </w:rPr>
  </w:style>
  <w:style w:type="character" w:styleId="EndnoteReference">
    <w:name w:val="endnote reference"/>
    <w:basedOn w:val="DefaultParagraphFont"/>
    <w:unhideWhenUsed/>
    <w:rsid w:val="00303AE1"/>
    <w:rPr>
      <w:vertAlign w:val="superscript"/>
    </w:rPr>
  </w:style>
  <w:style w:type="paragraph" w:customStyle="1" w:styleId="Rec">
    <w:name w:val="Rec"/>
    <w:basedOn w:val="Heading3Numbered"/>
    <w:qFormat/>
    <w:rsid w:val="00692C6A"/>
    <w:pPr>
      <w:numPr>
        <w:ilvl w:val="0"/>
        <w:numId w:val="0"/>
      </w:numPr>
      <w:spacing w:before="240"/>
      <w:outlineLvl w:val="3"/>
    </w:pPr>
    <w:rPr>
      <w:color w:val="016500"/>
    </w:rPr>
  </w:style>
  <w:style w:type="paragraph" w:styleId="PlainText">
    <w:name w:val="Plain Text"/>
    <w:basedOn w:val="Normal"/>
    <w:link w:val="PlainTextChar"/>
    <w:uiPriority w:val="99"/>
    <w:unhideWhenUsed/>
    <w:rsid w:val="000869E6"/>
    <w:pPr>
      <w:spacing w:before="0"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0869E6"/>
    <w:rPr>
      <w:rFonts w:ascii="Calibri" w:eastAsiaTheme="minorHAnsi" w:hAnsi="Calibri"/>
      <w:sz w:val="22"/>
      <w:szCs w:val="21"/>
    </w:rPr>
  </w:style>
  <w:style w:type="paragraph" w:customStyle="1" w:styleId="Bulleted">
    <w:name w:val="Bulleted"/>
    <w:basedOn w:val="Normal"/>
    <w:link w:val="BulletedChar"/>
    <w:rsid w:val="00E2102F"/>
    <w:pPr>
      <w:numPr>
        <w:numId w:val="8"/>
      </w:numPr>
      <w:autoSpaceDE w:val="0"/>
      <w:autoSpaceDN w:val="0"/>
      <w:adjustRightInd w:val="0"/>
      <w:spacing w:after="200" w:line="300" w:lineRule="auto"/>
    </w:pPr>
    <w:rPr>
      <w:rFonts w:ascii="Arial" w:eastAsia="MS Mincho" w:hAnsi="Arial" w:cs="Arial"/>
      <w:szCs w:val="22"/>
      <w:lang w:eastAsia="en-US"/>
    </w:rPr>
  </w:style>
  <w:style w:type="character" w:customStyle="1" w:styleId="BulletedChar">
    <w:name w:val="Bulleted Char"/>
    <w:basedOn w:val="DefaultParagraphFont"/>
    <w:link w:val="Bulleted"/>
    <w:rsid w:val="00E2102F"/>
    <w:rPr>
      <w:rFonts w:ascii="Arial" w:eastAsia="MS Mincho" w:hAnsi="Arial" w:cs="Arial"/>
      <w:sz w:val="22"/>
      <w:szCs w:val="22"/>
      <w:lang w:eastAsia="en-US"/>
    </w:rPr>
  </w:style>
  <w:style w:type="paragraph" w:customStyle="1" w:styleId="tabletext">
    <w:name w:val="tabletext"/>
    <w:basedOn w:val="Normal"/>
    <w:rsid w:val="000869E6"/>
    <w:pPr>
      <w:spacing w:before="100" w:beforeAutospacing="1" w:after="100" w:afterAutospacing="1" w:line="240" w:lineRule="auto"/>
    </w:pPr>
    <w:rPr>
      <w:rFonts w:ascii="Times New Roman" w:hAnsi="Times New Roman"/>
      <w:sz w:val="24"/>
    </w:rPr>
  </w:style>
  <w:style w:type="character" w:customStyle="1" w:styleId="A3">
    <w:name w:val="A3"/>
    <w:uiPriority w:val="99"/>
    <w:rsid w:val="00A74C6B"/>
    <w:rPr>
      <w:rFonts w:cs="Myriad Pro"/>
      <w:color w:val="000000"/>
      <w:sz w:val="18"/>
      <w:szCs w:val="18"/>
      <w:u w:val="single"/>
    </w:rPr>
  </w:style>
  <w:style w:type="paragraph" w:styleId="ListContinue">
    <w:name w:val="List Continue"/>
    <w:basedOn w:val="Normal"/>
    <w:semiHidden/>
    <w:unhideWhenUsed/>
    <w:rsid w:val="000869E6"/>
    <w:pPr>
      <w:spacing w:after="120"/>
      <w:ind w:left="283"/>
      <w:contextualSpacing/>
    </w:pPr>
  </w:style>
  <w:style w:type="table" w:styleId="TableClassic1">
    <w:name w:val="Table Classic 1"/>
    <w:basedOn w:val="TableNormal"/>
    <w:rsid w:val="00A74C6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ubGroupHeader">
    <w:name w:val="SubGroupHeader"/>
    <w:basedOn w:val="Normal"/>
    <w:rsid w:val="00A74C6B"/>
    <w:pPr>
      <w:spacing w:before="0" w:after="0" w:line="240" w:lineRule="auto"/>
      <w:jc w:val="right"/>
    </w:pPr>
    <w:rPr>
      <w:rFonts w:ascii="Times New Roman" w:hAnsi="Times New Roman"/>
      <w:b/>
      <w:caps/>
      <w:sz w:val="18"/>
      <w:szCs w:val="20"/>
    </w:rPr>
  </w:style>
  <w:style w:type="paragraph" w:customStyle="1" w:styleId="GroupHeader">
    <w:name w:val="GroupHeader"/>
    <w:basedOn w:val="Normal"/>
    <w:rsid w:val="00A74C6B"/>
    <w:pPr>
      <w:spacing w:before="0" w:after="0" w:line="240" w:lineRule="auto"/>
    </w:pPr>
    <w:rPr>
      <w:rFonts w:ascii="Times New Roman" w:hAnsi="Times New Roman"/>
      <w:b/>
      <w:caps/>
      <w:sz w:val="18"/>
      <w:szCs w:val="20"/>
    </w:rPr>
  </w:style>
  <w:style w:type="paragraph" w:customStyle="1" w:styleId="GroupDescription">
    <w:name w:val="GroupDescription"/>
    <w:basedOn w:val="Heading1"/>
    <w:link w:val="GroupDescriptionChar"/>
    <w:autoRedefine/>
    <w:rsid w:val="00A74C6B"/>
    <w:pPr>
      <w:numPr>
        <w:numId w:val="0"/>
      </w:numPr>
      <w:spacing w:after="60" w:line="240" w:lineRule="auto"/>
    </w:pPr>
    <w:rPr>
      <w:rFonts w:ascii="Arial Bold" w:eastAsia="Times New Roman" w:hAnsi="Arial Bold"/>
      <w:smallCaps/>
      <w:color w:val="auto"/>
      <w:sz w:val="20"/>
      <w:szCs w:val="20"/>
      <w:lang w:val="en-AU" w:eastAsia="en-AU"/>
    </w:rPr>
  </w:style>
  <w:style w:type="character" w:customStyle="1" w:styleId="GroupDescriptionChar">
    <w:name w:val="GroupDescription Char"/>
    <w:link w:val="GroupDescription"/>
    <w:locked/>
    <w:rsid w:val="00A74C6B"/>
    <w:rPr>
      <w:rFonts w:ascii="Arial Bold" w:hAnsi="Arial Bold" w:cs="Arial"/>
      <w:b/>
      <w:bCs/>
      <w:smallCaps/>
      <w:kern w:val="32"/>
    </w:rPr>
  </w:style>
  <w:style w:type="paragraph" w:customStyle="1" w:styleId="SubGroupDescription">
    <w:name w:val="SubGroupDescription"/>
    <w:basedOn w:val="Heading2"/>
    <w:autoRedefine/>
    <w:rsid w:val="00A74C6B"/>
    <w:pPr>
      <w:numPr>
        <w:ilvl w:val="0"/>
        <w:numId w:val="0"/>
      </w:numPr>
      <w:spacing w:after="60" w:line="240" w:lineRule="auto"/>
      <w:jc w:val="center"/>
    </w:pPr>
    <w:rPr>
      <w:rFonts w:ascii="Arial" w:eastAsia="Times New Roman" w:hAnsi="Arial"/>
      <w:b w:val="0"/>
      <w:i/>
      <w:sz w:val="20"/>
      <w:szCs w:val="28"/>
      <w:lang w:val="en-AU" w:eastAsia="en-AU"/>
    </w:rPr>
  </w:style>
  <w:style w:type="character" w:customStyle="1" w:styleId="Heading3Char">
    <w:name w:val="Heading 3 Char"/>
    <w:basedOn w:val="DefaultParagraphFont"/>
    <w:link w:val="Heading3"/>
    <w:rsid w:val="00ED7D2E"/>
    <w:rPr>
      <w:rFonts w:asciiTheme="minorHAnsi" w:eastAsiaTheme="minorHAnsi" w:hAnsiTheme="minorHAnsi" w:cs="Arial"/>
      <w:b/>
      <w:bCs/>
      <w:i/>
      <w:color w:val="B56012"/>
      <w:sz w:val="24"/>
      <w:szCs w:val="26"/>
      <w:lang w:val="en-US" w:eastAsia="en-US"/>
    </w:rPr>
  </w:style>
  <w:style w:type="paragraph" w:customStyle="1" w:styleId="Heading3Numbered">
    <w:name w:val="Heading 3 Numbered"/>
    <w:basedOn w:val="Heading2"/>
    <w:qFormat/>
    <w:rsid w:val="00331ED5"/>
    <w:pPr>
      <w:numPr>
        <w:ilvl w:val="2"/>
      </w:numPr>
      <w:ind w:left="1004"/>
      <w:outlineLvl w:val="2"/>
    </w:pPr>
    <w:rPr>
      <w:i/>
      <w:color w:val="B56011"/>
      <w:sz w:val="24"/>
    </w:rPr>
  </w:style>
  <w:style w:type="paragraph" w:customStyle="1" w:styleId="03Tableundertext">
    <w:name w:val="03 Table under text"/>
    <w:basedOn w:val="Normal"/>
    <w:rsid w:val="00E2102F"/>
    <w:pPr>
      <w:spacing w:before="0"/>
    </w:pPr>
    <w:rPr>
      <w:bCs/>
      <w:sz w:val="18"/>
      <w:szCs w:val="16"/>
      <w:lang w:val="en-US"/>
    </w:rPr>
  </w:style>
  <w:style w:type="paragraph" w:customStyle="1" w:styleId="FigureCaption">
    <w:name w:val="Figure Caption"/>
    <w:basedOn w:val="Caption"/>
    <w:qFormat/>
    <w:rsid w:val="009662CD"/>
    <w:rPr>
      <w:noProof/>
      <w:lang w:val="en-US"/>
    </w:rPr>
  </w:style>
  <w:style w:type="paragraph" w:customStyle="1" w:styleId="Numbered">
    <w:name w:val="Numbered"/>
    <w:basedOn w:val="ListParagraph"/>
    <w:qFormat/>
    <w:rsid w:val="00A15C12"/>
    <w:pPr>
      <w:numPr>
        <w:numId w:val="12"/>
      </w:numPr>
    </w:pPr>
    <w:rPr>
      <w:b w:val="0"/>
      <w:lang w:val="en-US"/>
    </w:rPr>
  </w:style>
  <w:style w:type="paragraph" w:styleId="Revision">
    <w:name w:val="Revision"/>
    <w:hidden/>
    <w:uiPriority w:val="99"/>
    <w:semiHidden/>
    <w:rsid w:val="00A118D9"/>
    <w:rPr>
      <w:rFonts w:asciiTheme="minorHAnsi" w:hAnsiTheme="minorHAnsi"/>
      <w:sz w:val="22"/>
      <w:szCs w:val="24"/>
    </w:rPr>
  </w:style>
  <w:style w:type="paragraph" w:customStyle="1" w:styleId="BoxText">
    <w:name w:val="BoxText"/>
    <w:basedOn w:val="Normal"/>
    <w:qFormat/>
    <w:rsid w:val="00F623CB"/>
    <w:pPr>
      <w:pBdr>
        <w:top w:val="single" w:sz="12" w:space="4" w:color="C75F09"/>
        <w:left w:val="single" w:sz="12" w:space="4" w:color="C75F09"/>
        <w:bottom w:val="single" w:sz="12" w:space="4" w:color="C75F09"/>
        <w:right w:val="single" w:sz="12" w:space="4" w:color="C75F09"/>
      </w:pBdr>
      <w:spacing w:before="0" w:after="120" w:line="240" w:lineRule="auto"/>
    </w:pPr>
    <w:rPr>
      <w:rFonts w:ascii="Calibri" w:hAnsi="Calibri"/>
      <w:color w:val="000000"/>
      <w:szCs w:val="20"/>
    </w:rPr>
  </w:style>
  <w:style w:type="paragraph" w:customStyle="1" w:styleId="BoxBullet">
    <w:name w:val="BoxBullet"/>
    <w:basedOn w:val="BoxText"/>
    <w:rsid w:val="00F623CB"/>
    <w:pPr>
      <w:numPr>
        <w:numId w:val="23"/>
      </w:numPr>
    </w:pPr>
  </w:style>
  <w:style w:type="paragraph" w:customStyle="1" w:styleId="AppendixStyle2">
    <w:name w:val="Appendix Style2"/>
    <w:basedOn w:val="Heading2Report"/>
    <w:qFormat/>
    <w:rsid w:val="00C96B34"/>
    <w:pPr>
      <w:numPr>
        <w:ilvl w:val="0"/>
        <w:numId w:val="0"/>
      </w:numPr>
    </w:pPr>
    <w:rPr>
      <w:color w:val="auto"/>
    </w:rPr>
  </w:style>
  <w:style w:type="paragraph" w:customStyle="1" w:styleId="TableBullet">
    <w:name w:val="TableBullet"/>
    <w:basedOn w:val="NormalBulleted"/>
    <w:rsid w:val="00017563"/>
    <w:pPr>
      <w:spacing w:before="40" w:after="40" w:line="240" w:lineRule="auto"/>
    </w:pPr>
    <w:rPr>
      <w:rFonts w:cs="Arial"/>
      <w:color w:val="000000" w:themeColor="text1"/>
      <w:sz w:val="18"/>
      <w:szCs w:val="18"/>
    </w:rPr>
  </w:style>
  <w:style w:type="character" w:customStyle="1" w:styleId="Underline">
    <w:name w:val="Underline"/>
    <w:basedOn w:val="DefaultParagraphFont"/>
    <w:uiPriority w:val="1"/>
    <w:rsid w:val="00381125"/>
    <w:rPr>
      <w:bCs/>
      <w:color w:val="000000" w:themeColor="text1"/>
      <w:szCs w:val="22"/>
      <w:u w:val="single"/>
      <w:lang w:val="en-US"/>
    </w:rPr>
  </w:style>
  <w:style w:type="paragraph" w:customStyle="1" w:styleId="Tabletext9">
    <w:name w:val="Table text9"/>
    <w:basedOn w:val="NormalBulleted"/>
    <w:qFormat/>
    <w:rsid w:val="007712D0"/>
    <w:pPr>
      <w:tabs>
        <w:tab w:val="left" w:pos="576"/>
        <w:tab w:val="left" w:pos="1152"/>
        <w:tab w:val="left" w:pos="1728"/>
        <w:tab w:val="left" w:pos="2304"/>
        <w:tab w:val="left" w:pos="2880"/>
        <w:tab w:val="left" w:pos="3456"/>
        <w:tab w:val="left" w:pos="4032"/>
        <w:tab w:val="left" w:pos="4608"/>
        <w:tab w:val="left" w:pos="5040"/>
        <w:tab w:val="left" w:pos="5616"/>
        <w:tab w:val="left" w:pos="6192"/>
        <w:tab w:val="left" w:pos="6768"/>
        <w:tab w:val="left" w:pos="7344"/>
        <w:tab w:val="left" w:pos="7920"/>
        <w:tab w:val="left" w:pos="8496"/>
      </w:tabs>
      <w:autoSpaceDE w:val="0"/>
      <w:autoSpaceDN w:val="0"/>
      <w:adjustRightInd w:val="0"/>
      <w:spacing w:before="40" w:after="40"/>
    </w:pPr>
    <w:rPr>
      <w:color w:val="000000"/>
      <w:sz w:val="18"/>
      <w:szCs w:val="18"/>
    </w:rPr>
  </w:style>
  <w:style w:type="paragraph" w:customStyle="1" w:styleId="TableBulletrom">
    <w:name w:val="Table Bullet rom"/>
    <w:basedOn w:val="Tabletext9"/>
    <w:rsid w:val="00856FC4"/>
    <w:pPr>
      <w:numPr>
        <w:numId w:val="42"/>
      </w:numPr>
      <w:tabs>
        <w:tab w:val="clear" w:pos="576"/>
        <w:tab w:val="clear" w:pos="1152"/>
        <w:tab w:val="clear" w:pos="1728"/>
        <w:tab w:val="clear" w:pos="2304"/>
        <w:tab w:val="clear" w:pos="2880"/>
        <w:tab w:val="clear" w:pos="3456"/>
        <w:tab w:val="clear" w:pos="4032"/>
        <w:tab w:val="clear" w:pos="4608"/>
        <w:tab w:val="clear" w:pos="5040"/>
        <w:tab w:val="clear" w:pos="5616"/>
        <w:tab w:val="clear" w:pos="6192"/>
        <w:tab w:val="clear" w:pos="6768"/>
        <w:tab w:val="clear" w:pos="7344"/>
        <w:tab w:val="clear" w:pos="7920"/>
        <w:tab w:val="clear" w:pos="8496"/>
        <w:tab w:val="right" w:pos="432"/>
      </w:tabs>
      <w:spacing w:line="240" w:lineRule="auto"/>
    </w:pPr>
    <w:rPr>
      <w:rFonts w:cs="Arial"/>
      <w:sz w:val="17"/>
      <w:szCs w:val="17"/>
    </w:rPr>
  </w:style>
  <w:style w:type="paragraph" w:customStyle="1" w:styleId="TableTextDecimalAlign">
    <w:name w:val="TableTextDecimalAlign"/>
    <w:basedOn w:val="tabletext"/>
    <w:rsid w:val="00C54A35"/>
    <w:pPr>
      <w:keepNext/>
      <w:tabs>
        <w:tab w:val="decimal" w:pos="1119"/>
      </w:tabs>
      <w:spacing w:before="60" w:beforeAutospacing="0" w:after="60" w:afterAutospacing="0"/>
    </w:pPr>
    <w:rPr>
      <w:rFonts w:ascii="Calibri" w:hAnsi="Calibri"/>
      <w:color w:val="000000"/>
      <w:szCs w:val="21"/>
    </w:rPr>
  </w:style>
  <w:style w:type="paragraph" w:customStyle="1" w:styleId="EndNoteBibliographyTitle">
    <w:name w:val="EndNote Bibliography Title"/>
    <w:basedOn w:val="Normal"/>
    <w:link w:val="EndNoteBibliographyTitleChar"/>
    <w:rsid w:val="003744BA"/>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3744BA"/>
    <w:rPr>
      <w:rFonts w:ascii="Calibri" w:hAnsi="Calibri"/>
      <w:noProof/>
      <w:sz w:val="22"/>
      <w:szCs w:val="24"/>
    </w:rPr>
  </w:style>
  <w:style w:type="paragraph" w:customStyle="1" w:styleId="EndNoteBibliography">
    <w:name w:val="EndNote Bibliography"/>
    <w:basedOn w:val="Normal"/>
    <w:link w:val="EndNoteBibliographyChar"/>
    <w:rsid w:val="003744BA"/>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3744BA"/>
    <w:rPr>
      <w:rFonts w:ascii="Calibri" w:hAnsi="Calibri"/>
      <w:noProof/>
      <w:sz w:val="22"/>
      <w:szCs w:val="24"/>
    </w:rPr>
  </w:style>
  <w:style w:type="character" w:customStyle="1" w:styleId="01squarebulletChar">
    <w:name w:val="01 square bullet Char"/>
    <w:basedOn w:val="DefaultParagraphFont"/>
    <w:link w:val="01squarebullet"/>
    <w:uiPriority w:val="3"/>
    <w:locked/>
    <w:rsid w:val="00751666"/>
    <w:rPr>
      <w:rFonts w:asciiTheme="minorHAnsi" w:hAnsiTheme="minorHAnsi"/>
      <w:sz w:val="22"/>
      <w:lang w:val="en-US" w:eastAsia="en-US"/>
    </w:rPr>
  </w:style>
  <w:style w:type="character" w:customStyle="1" w:styleId="02dashChar">
    <w:name w:val="02 dash Char"/>
    <w:basedOn w:val="DefaultParagraphFont"/>
    <w:link w:val="02dash"/>
    <w:uiPriority w:val="4"/>
    <w:locked/>
    <w:rsid w:val="00751666"/>
    <w:rPr>
      <w:rFonts w:asciiTheme="minorHAnsi" w:hAnsiTheme="minorHAnsi"/>
      <w:sz w:val="22"/>
      <w:lang w:val="en-US" w:eastAsia="en-US"/>
    </w:rPr>
  </w:style>
  <w:style w:type="numbering" w:customStyle="1" w:styleId="Style2">
    <w:name w:val="Style2"/>
    <w:uiPriority w:val="99"/>
    <w:rsid w:val="00751666"/>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691">
      <w:bodyDiv w:val="1"/>
      <w:marLeft w:val="0"/>
      <w:marRight w:val="0"/>
      <w:marTop w:val="0"/>
      <w:marBottom w:val="0"/>
      <w:divBdr>
        <w:top w:val="none" w:sz="0" w:space="0" w:color="auto"/>
        <w:left w:val="none" w:sz="0" w:space="0" w:color="auto"/>
        <w:bottom w:val="none" w:sz="0" w:space="0" w:color="auto"/>
        <w:right w:val="none" w:sz="0" w:space="0" w:color="auto"/>
      </w:divBdr>
    </w:div>
    <w:div w:id="8067757">
      <w:bodyDiv w:val="1"/>
      <w:marLeft w:val="0"/>
      <w:marRight w:val="0"/>
      <w:marTop w:val="0"/>
      <w:marBottom w:val="0"/>
      <w:divBdr>
        <w:top w:val="none" w:sz="0" w:space="0" w:color="auto"/>
        <w:left w:val="none" w:sz="0" w:space="0" w:color="auto"/>
        <w:bottom w:val="none" w:sz="0" w:space="0" w:color="auto"/>
        <w:right w:val="none" w:sz="0" w:space="0" w:color="auto"/>
      </w:divBdr>
    </w:div>
    <w:div w:id="31732114">
      <w:bodyDiv w:val="1"/>
      <w:marLeft w:val="0"/>
      <w:marRight w:val="0"/>
      <w:marTop w:val="0"/>
      <w:marBottom w:val="0"/>
      <w:divBdr>
        <w:top w:val="none" w:sz="0" w:space="0" w:color="auto"/>
        <w:left w:val="none" w:sz="0" w:space="0" w:color="auto"/>
        <w:bottom w:val="none" w:sz="0" w:space="0" w:color="auto"/>
        <w:right w:val="none" w:sz="0" w:space="0" w:color="auto"/>
      </w:divBdr>
    </w:div>
    <w:div w:id="47270253">
      <w:bodyDiv w:val="1"/>
      <w:marLeft w:val="0"/>
      <w:marRight w:val="0"/>
      <w:marTop w:val="0"/>
      <w:marBottom w:val="0"/>
      <w:divBdr>
        <w:top w:val="none" w:sz="0" w:space="0" w:color="auto"/>
        <w:left w:val="none" w:sz="0" w:space="0" w:color="auto"/>
        <w:bottom w:val="none" w:sz="0" w:space="0" w:color="auto"/>
        <w:right w:val="none" w:sz="0" w:space="0" w:color="auto"/>
      </w:divBdr>
    </w:div>
    <w:div w:id="61104068">
      <w:bodyDiv w:val="1"/>
      <w:marLeft w:val="0"/>
      <w:marRight w:val="0"/>
      <w:marTop w:val="0"/>
      <w:marBottom w:val="0"/>
      <w:divBdr>
        <w:top w:val="none" w:sz="0" w:space="0" w:color="auto"/>
        <w:left w:val="none" w:sz="0" w:space="0" w:color="auto"/>
        <w:bottom w:val="none" w:sz="0" w:space="0" w:color="auto"/>
        <w:right w:val="none" w:sz="0" w:space="0" w:color="auto"/>
      </w:divBdr>
    </w:div>
    <w:div w:id="73670213">
      <w:bodyDiv w:val="1"/>
      <w:marLeft w:val="0"/>
      <w:marRight w:val="0"/>
      <w:marTop w:val="0"/>
      <w:marBottom w:val="0"/>
      <w:divBdr>
        <w:top w:val="none" w:sz="0" w:space="0" w:color="auto"/>
        <w:left w:val="none" w:sz="0" w:space="0" w:color="auto"/>
        <w:bottom w:val="none" w:sz="0" w:space="0" w:color="auto"/>
        <w:right w:val="none" w:sz="0" w:space="0" w:color="auto"/>
      </w:divBdr>
    </w:div>
    <w:div w:id="91897007">
      <w:bodyDiv w:val="1"/>
      <w:marLeft w:val="0"/>
      <w:marRight w:val="0"/>
      <w:marTop w:val="0"/>
      <w:marBottom w:val="0"/>
      <w:divBdr>
        <w:top w:val="none" w:sz="0" w:space="0" w:color="auto"/>
        <w:left w:val="none" w:sz="0" w:space="0" w:color="auto"/>
        <w:bottom w:val="none" w:sz="0" w:space="0" w:color="auto"/>
        <w:right w:val="none" w:sz="0" w:space="0" w:color="auto"/>
      </w:divBdr>
    </w:div>
    <w:div w:id="97255464">
      <w:bodyDiv w:val="1"/>
      <w:marLeft w:val="0"/>
      <w:marRight w:val="0"/>
      <w:marTop w:val="0"/>
      <w:marBottom w:val="0"/>
      <w:divBdr>
        <w:top w:val="none" w:sz="0" w:space="0" w:color="auto"/>
        <w:left w:val="none" w:sz="0" w:space="0" w:color="auto"/>
        <w:bottom w:val="none" w:sz="0" w:space="0" w:color="auto"/>
        <w:right w:val="none" w:sz="0" w:space="0" w:color="auto"/>
      </w:divBdr>
    </w:div>
    <w:div w:id="98375142">
      <w:bodyDiv w:val="1"/>
      <w:marLeft w:val="0"/>
      <w:marRight w:val="0"/>
      <w:marTop w:val="0"/>
      <w:marBottom w:val="0"/>
      <w:divBdr>
        <w:top w:val="none" w:sz="0" w:space="0" w:color="auto"/>
        <w:left w:val="none" w:sz="0" w:space="0" w:color="auto"/>
        <w:bottom w:val="none" w:sz="0" w:space="0" w:color="auto"/>
        <w:right w:val="none" w:sz="0" w:space="0" w:color="auto"/>
      </w:divBdr>
    </w:div>
    <w:div w:id="106852845">
      <w:bodyDiv w:val="1"/>
      <w:marLeft w:val="0"/>
      <w:marRight w:val="0"/>
      <w:marTop w:val="0"/>
      <w:marBottom w:val="0"/>
      <w:divBdr>
        <w:top w:val="none" w:sz="0" w:space="0" w:color="auto"/>
        <w:left w:val="none" w:sz="0" w:space="0" w:color="auto"/>
        <w:bottom w:val="none" w:sz="0" w:space="0" w:color="auto"/>
        <w:right w:val="none" w:sz="0" w:space="0" w:color="auto"/>
      </w:divBdr>
    </w:div>
    <w:div w:id="123546653">
      <w:bodyDiv w:val="1"/>
      <w:marLeft w:val="0"/>
      <w:marRight w:val="0"/>
      <w:marTop w:val="0"/>
      <w:marBottom w:val="0"/>
      <w:divBdr>
        <w:top w:val="none" w:sz="0" w:space="0" w:color="auto"/>
        <w:left w:val="none" w:sz="0" w:space="0" w:color="auto"/>
        <w:bottom w:val="none" w:sz="0" w:space="0" w:color="auto"/>
        <w:right w:val="none" w:sz="0" w:space="0" w:color="auto"/>
      </w:divBdr>
    </w:div>
    <w:div w:id="161243583">
      <w:bodyDiv w:val="1"/>
      <w:marLeft w:val="0"/>
      <w:marRight w:val="0"/>
      <w:marTop w:val="0"/>
      <w:marBottom w:val="0"/>
      <w:divBdr>
        <w:top w:val="none" w:sz="0" w:space="0" w:color="auto"/>
        <w:left w:val="none" w:sz="0" w:space="0" w:color="auto"/>
        <w:bottom w:val="none" w:sz="0" w:space="0" w:color="auto"/>
        <w:right w:val="none" w:sz="0" w:space="0" w:color="auto"/>
      </w:divBdr>
    </w:div>
    <w:div w:id="168180599">
      <w:bodyDiv w:val="1"/>
      <w:marLeft w:val="0"/>
      <w:marRight w:val="0"/>
      <w:marTop w:val="0"/>
      <w:marBottom w:val="0"/>
      <w:divBdr>
        <w:top w:val="none" w:sz="0" w:space="0" w:color="auto"/>
        <w:left w:val="none" w:sz="0" w:space="0" w:color="auto"/>
        <w:bottom w:val="none" w:sz="0" w:space="0" w:color="auto"/>
        <w:right w:val="none" w:sz="0" w:space="0" w:color="auto"/>
      </w:divBdr>
    </w:div>
    <w:div w:id="208881965">
      <w:bodyDiv w:val="1"/>
      <w:marLeft w:val="0"/>
      <w:marRight w:val="0"/>
      <w:marTop w:val="0"/>
      <w:marBottom w:val="0"/>
      <w:divBdr>
        <w:top w:val="none" w:sz="0" w:space="0" w:color="auto"/>
        <w:left w:val="none" w:sz="0" w:space="0" w:color="auto"/>
        <w:bottom w:val="none" w:sz="0" w:space="0" w:color="auto"/>
        <w:right w:val="none" w:sz="0" w:space="0" w:color="auto"/>
      </w:divBdr>
    </w:div>
    <w:div w:id="215121331">
      <w:bodyDiv w:val="1"/>
      <w:marLeft w:val="0"/>
      <w:marRight w:val="0"/>
      <w:marTop w:val="0"/>
      <w:marBottom w:val="0"/>
      <w:divBdr>
        <w:top w:val="none" w:sz="0" w:space="0" w:color="auto"/>
        <w:left w:val="none" w:sz="0" w:space="0" w:color="auto"/>
        <w:bottom w:val="none" w:sz="0" w:space="0" w:color="auto"/>
        <w:right w:val="none" w:sz="0" w:space="0" w:color="auto"/>
      </w:divBdr>
    </w:div>
    <w:div w:id="250895780">
      <w:bodyDiv w:val="1"/>
      <w:marLeft w:val="0"/>
      <w:marRight w:val="0"/>
      <w:marTop w:val="0"/>
      <w:marBottom w:val="0"/>
      <w:divBdr>
        <w:top w:val="none" w:sz="0" w:space="0" w:color="auto"/>
        <w:left w:val="none" w:sz="0" w:space="0" w:color="auto"/>
        <w:bottom w:val="none" w:sz="0" w:space="0" w:color="auto"/>
        <w:right w:val="none" w:sz="0" w:space="0" w:color="auto"/>
      </w:divBdr>
    </w:div>
    <w:div w:id="261955232">
      <w:bodyDiv w:val="1"/>
      <w:marLeft w:val="0"/>
      <w:marRight w:val="0"/>
      <w:marTop w:val="0"/>
      <w:marBottom w:val="0"/>
      <w:divBdr>
        <w:top w:val="none" w:sz="0" w:space="0" w:color="auto"/>
        <w:left w:val="none" w:sz="0" w:space="0" w:color="auto"/>
        <w:bottom w:val="none" w:sz="0" w:space="0" w:color="auto"/>
        <w:right w:val="none" w:sz="0" w:space="0" w:color="auto"/>
      </w:divBdr>
    </w:div>
    <w:div w:id="271909339">
      <w:bodyDiv w:val="1"/>
      <w:marLeft w:val="0"/>
      <w:marRight w:val="0"/>
      <w:marTop w:val="0"/>
      <w:marBottom w:val="0"/>
      <w:divBdr>
        <w:top w:val="none" w:sz="0" w:space="0" w:color="auto"/>
        <w:left w:val="none" w:sz="0" w:space="0" w:color="auto"/>
        <w:bottom w:val="none" w:sz="0" w:space="0" w:color="auto"/>
        <w:right w:val="none" w:sz="0" w:space="0" w:color="auto"/>
      </w:divBdr>
    </w:div>
    <w:div w:id="295456502">
      <w:bodyDiv w:val="1"/>
      <w:marLeft w:val="0"/>
      <w:marRight w:val="0"/>
      <w:marTop w:val="0"/>
      <w:marBottom w:val="0"/>
      <w:divBdr>
        <w:top w:val="none" w:sz="0" w:space="0" w:color="auto"/>
        <w:left w:val="none" w:sz="0" w:space="0" w:color="auto"/>
        <w:bottom w:val="none" w:sz="0" w:space="0" w:color="auto"/>
        <w:right w:val="none" w:sz="0" w:space="0" w:color="auto"/>
      </w:divBdr>
    </w:div>
    <w:div w:id="303774886">
      <w:bodyDiv w:val="1"/>
      <w:marLeft w:val="0"/>
      <w:marRight w:val="0"/>
      <w:marTop w:val="0"/>
      <w:marBottom w:val="0"/>
      <w:divBdr>
        <w:top w:val="none" w:sz="0" w:space="0" w:color="auto"/>
        <w:left w:val="none" w:sz="0" w:space="0" w:color="auto"/>
        <w:bottom w:val="none" w:sz="0" w:space="0" w:color="auto"/>
        <w:right w:val="none" w:sz="0" w:space="0" w:color="auto"/>
      </w:divBdr>
    </w:div>
    <w:div w:id="323556138">
      <w:bodyDiv w:val="1"/>
      <w:marLeft w:val="0"/>
      <w:marRight w:val="0"/>
      <w:marTop w:val="0"/>
      <w:marBottom w:val="0"/>
      <w:divBdr>
        <w:top w:val="none" w:sz="0" w:space="0" w:color="auto"/>
        <w:left w:val="none" w:sz="0" w:space="0" w:color="auto"/>
        <w:bottom w:val="none" w:sz="0" w:space="0" w:color="auto"/>
        <w:right w:val="none" w:sz="0" w:space="0" w:color="auto"/>
      </w:divBdr>
    </w:div>
    <w:div w:id="324207556">
      <w:bodyDiv w:val="1"/>
      <w:marLeft w:val="0"/>
      <w:marRight w:val="0"/>
      <w:marTop w:val="0"/>
      <w:marBottom w:val="0"/>
      <w:divBdr>
        <w:top w:val="none" w:sz="0" w:space="0" w:color="auto"/>
        <w:left w:val="none" w:sz="0" w:space="0" w:color="auto"/>
        <w:bottom w:val="none" w:sz="0" w:space="0" w:color="auto"/>
        <w:right w:val="none" w:sz="0" w:space="0" w:color="auto"/>
      </w:divBdr>
    </w:div>
    <w:div w:id="324359780">
      <w:bodyDiv w:val="1"/>
      <w:marLeft w:val="0"/>
      <w:marRight w:val="0"/>
      <w:marTop w:val="0"/>
      <w:marBottom w:val="0"/>
      <w:divBdr>
        <w:top w:val="none" w:sz="0" w:space="0" w:color="auto"/>
        <w:left w:val="none" w:sz="0" w:space="0" w:color="auto"/>
        <w:bottom w:val="none" w:sz="0" w:space="0" w:color="auto"/>
        <w:right w:val="none" w:sz="0" w:space="0" w:color="auto"/>
      </w:divBdr>
    </w:div>
    <w:div w:id="348141111">
      <w:bodyDiv w:val="1"/>
      <w:marLeft w:val="0"/>
      <w:marRight w:val="0"/>
      <w:marTop w:val="0"/>
      <w:marBottom w:val="0"/>
      <w:divBdr>
        <w:top w:val="none" w:sz="0" w:space="0" w:color="auto"/>
        <w:left w:val="none" w:sz="0" w:space="0" w:color="auto"/>
        <w:bottom w:val="none" w:sz="0" w:space="0" w:color="auto"/>
        <w:right w:val="none" w:sz="0" w:space="0" w:color="auto"/>
      </w:divBdr>
    </w:div>
    <w:div w:id="348529493">
      <w:bodyDiv w:val="1"/>
      <w:marLeft w:val="0"/>
      <w:marRight w:val="0"/>
      <w:marTop w:val="0"/>
      <w:marBottom w:val="0"/>
      <w:divBdr>
        <w:top w:val="none" w:sz="0" w:space="0" w:color="auto"/>
        <w:left w:val="none" w:sz="0" w:space="0" w:color="auto"/>
        <w:bottom w:val="none" w:sz="0" w:space="0" w:color="auto"/>
        <w:right w:val="none" w:sz="0" w:space="0" w:color="auto"/>
      </w:divBdr>
    </w:div>
    <w:div w:id="382414444">
      <w:bodyDiv w:val="1"/>
      <w:marLeft w:val="0"/>
      <w:marRight w:val="0"/>
      <w:marTop w:val="0"/>
      <w:marBottom w:val="0"/>
      <w:divBdr>
        <w:top w:val="none" w:sz="0" w:space="0" w:color="auto"/>
        <w:left w:val="none" w:sz="0" w:space="0" w:color="auto"/>
        <w:bottom w:val="none" w:sz="0" w:space="0" w:color="auto"/>
        <w:right w:val="none" w:sz="0" w:space="0" w:color="auto"/>
      </w:divBdr>
    </w:div>
    <w:div w:id="407075630">
      <w:bodyDiv w:val="1"/>
      <w:marLeft w:val="0"/>
      <w:marRight w:val="0"/>
      <w:marTop w:val="0"/>
      <w:marBottom w:val="0"/>
      <w:divBdr>
        <w:top w:val="none" w:sz="0" w:space="0" w:color="auto"/>
        <w:left w:val="none" w:sz="0" w:space="0" w:color="auto"/>
        <w:bottom w:val="none" w:sz="0" w:space="0" w:color="auto"/>
        <w:right w:val="none" w:sz="0" w:space="0" w:color="auto"/>
      </w:divBdr>
    </w:div>
    <w:div w:id="427238775">
      <w:bodyDiv w:val="1"/>
      <w:marLeft w:val="0"/>
      <w:marRight w:val="0"/>
      <w:marTop w:val="0"/>
      <w:marBottom w:val="0"/>
      <w:divBdr>
        <w:top w:val="none" w:sz="0" w:space="0" w:color="auto"/>
        <w:left w:val="none" w:sz="0" w:space="0" w:color="auto"/>
        <w:bottom w:val="none" w:sz="0" w:space="0" w:color="auto"/>
        <w:right w:val="none" w:sz="0" w:space="0" w:color="auto"/>
      </w:divBdr>
    </w:div>
    <w:div w:id="447310634">
      <w:bodyDiv w:val="1"/>
      <w:marLeft w:val="0"/>
      <w:marRight w:val="0"/>
      <w:marTop w:val="0"/>
      <w:marBottom w:val="0"/>
      <w:divBdr>
        <w:top w:val="none" w:sz="0" w:space="0" w:color="auto"/>
        <w:left w:val="none" w:sz="0" w:space="0" w:color="auto"/>
        <w:bottom w:val="none" w:sz="0" w:space="0" w:color="auto"/>
        <w:right w:val="none" w:sz="0" w:space="0" w:color="auto"/>
      </w:divBdr>
    </w:div>
    <w:div w:id="450051275">
      <w:bodyDiv w:val="1"/>
      <w:marLeft w:val="0"/>
      <w:marRight w:val="0"/>
      <w:marTop w:val="0"/>
      <w:marBottom w:val="0"/>
      <w:divBdr>
        <w:top w:val="none" w:sz="0" w:space="0" w:color="auto"/>
        <w:left w:val="none" w:sz="0" w:space="0" w:color="auto"/>
        <w:bottom w:val="none" w:sz="0" w:space="0" w:color="auto"/>
        <w:right w:val="none" w:sz="0" w:space="0" w:color="auto"/>
      </w:divBdr>
    </w:div>
    <w:div w:id="450131353">
      <w:bodyDiv w:val="1"/>
      <w:marLeft w:val="0"/>
      <w:marRight w:val="0"/>
      <w:marTop w:val="0"/>
      <w:marBottom w:val="0"/>
      <w:divBdr>
        <w:top w:val="none" w:sz="0" w:space="0" w:color="auto"/>
        <w:left w:val="none" w:sz="0" w:space="0" w:color="auto"/>
        <w:bottom w:val="none" w:sz="0" w:space="0" w:color="auto"/>
        <w:right w:val="none" w:sz="0" w:space="0" w:color="auto"/>
      </w:divBdr>
    </w:div>
    <w:div w:id="496655445">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56597761">
      <w:bodyDiv w:val="1"/>
      <w:marLeft w:val="0"/>
      <w:marRight w:val="0"/>
      <w:marTop w:val="0"/>
      <w:marBottom w:val="0"/>
      <w:divBdr>
        <w:top w:val="none" w:sz="0" w:space="0" w:color="auto"/>
        <w:left w:val="none" w:sz="0" w:space="0" w:color="auto"/>
        <w:bottom w:val="none" w:sz="0" w:space="0" w:color="auto"/>
        <w:right w:val="none" w:sz="0" w:space="0" w:color="auto"/>
      </w:divBdr>
    </w:div>
    <w:div w:id="557546890">
      <w:bodyDiv w:val="1"/>
      <w:marLeft w:val="0"/>
      <w:marRight w:val="0"/>
      <w:marTop w:val="0"/>
      <w:marBottom w:val="0"/>
      <w:divBdr>
        <w:top w:val="none" w:sz="0" w:space="0" w:color="auto"/>
        <w:left w:val="none" w:sz="0" w:space="0" w:color="auto"/>
        <w:bottom w:val="none" w:sz="0" w:space="0" w:color="auto"/>
        <w:right w:val="none" w:sz="0" w:space="0" w:color="auto"/>
      </w:divBdr>
    </w:div>
    <w:div w:id="586036538">
      <w:bodyDiv w:val="1"/>
      <w:marLeft w:val="0"/>
      <w:marRight w:val="0"/>
      <w:marTop w:val="0"/>
      <w:marBottom w:val="0"/>
      <w:divBdr>
        <w:top w:val="none" w:sz="0" w:space="0" w:color="auto"/>
        <w:left w:val="none" w:sz="0" w:space="0" w:color="auto"/>
        <w:bottom w:val="none" w:sz="0" w:space="0" w:color="auto"/>
        <w:right w:val="none" w:sz="0" w:space="0" w:color="auto"/>
      </w:divBdr>
    </w:div>
    <w:div w:id="603421191">
      <w:bodyDiv w:val="1"/>
      <w:marLeft w:val="0"/>
      <w:marRight w:val="0"/>
      <w:marTop w:val="0"/>
      <w:marBottom w:val="0"/>
      <w:divBdr>
        <w:top w:val="none" w:sz="0" w:space="0" w:color="auto"/>
        <w:left w:val="none" w:sz="0" w:space="0" w:color="auto"/>
        <w:bottom w:val="none" w:sz="0" w:space="0" w:color="auto"/>
        <w:right w:val="none" w:sz="0" w:space="0" w:color="auto"/>
      </w:divBdr>
    </w:div>
    <w:div w:id="605112079">
      <w:bodyDiv w:val="1"/>
      <w:marLeft w:val="0"/>
      <w:marRight w:val="0"/>
      <w:marTop w:val="0"/>
      <w:marBottom w:val="0"/>
      <w:divBdr>
        <w:top w:val="none" w:sz="0" w:space="0" w:color="auto"/>
        <w:left w:val="none" w:sz="0" w:space="0" w:color="auto"/>
        <w:bottom w:val="none" w:sz="0" w:space="0" w:color="auto"/>
        <w:right w:val="none" w:sz="0" w:space="0" w:color="auto"/>
      </w:divBdr>
    </w:div>
    <w:div w:id="644510575">
      <w:bodyDiv w:val="1"/>
      <w:marLeft w:val="0"/>
      <w:marRight w:val="0"/>
      <w:marTop w:val="0"/>
      <w:marBottom w:val="0"/>
      <w:divBdr>
        <w:top w:val="none" w:sz="0" w:space="0" w:color="auto"/>
        <w:left w:val="none" w:sz="0" w:space="0" w:color="auto"/>
        <w:bottom w:val="none" w:sz="0" w:space="0" w:color="auto"/>
        <w:right w:val="none" w:sz="0" w:space="0" w:color="auto"/>
      </w:divBdr>
    </w:div>
    <w:div w:id="655719887">
      <w:bodyDiv w:val="1"/>
      <w:marLeft w:val="0"/>
      <w:marRight w:val="0"/>
      <w:marTop w:val="0"/>
      <w:marBottom w:val="0"/>
      <w:divBdr>
        <w:top w:val="none" w:sz="0" w:space="0" w:color="auto"/>
        <w:left w:val="none" w:sz="0" w:space="0" w:color="auto"/>
        <w:bottom w:val="none" w:sz="0" w:space="0" w:color="auto"/>
        <w:right w:val="none" w:sz="0" w:space="0" w:color="auto"/>
      </w:divBdr>
    </w:div>
    <w:div w:id="681709713">
      <w:bodyDiv w:val="1"/>
      <w:marLeft w:val="0"/>
      <w:marRight w:val="0"/>
      <w:marTop w:val="0"/>
      <w:marBottom w:val="0"/>
      <w:divBdr>
        <w:top w:val="none" w:sz="0" w:space="0" w:color="auto"/>
        <w:left w:val="none" w:sz="0" w:space="0" w:color="auto"/>
        <w:bottom w:val="none" w:sz="0" w:space="0" w:color="auto"/>
        <w:right w:val="none" w:sz="0" w:space="0" w:color="auto"/>
      </w:divBdr>
    </w:div>
    <w:div w:id="683090741">
      <w:bodyDiv w:val="1"/>
      <w:marLeft w:val="0"/>
      <w:marRight w:val="0"/>
      <w:marTop w:val="0"/>
      <w:marBottom w:val="0"/>
      <w:divBdr>
        <w:top w:val="none" w:sz="0" w:space="0" w:color="auto"/>
        <w:left w:val="none" w:sz="0" w:space="0" w:color="auto"/>
        <w:bottom w:val="none" w:sz="0" w:space="0" w:color="auto"/>
        <w:right w:val="none" w:sz="0" w:space="0" w:color="auto"/>
      </w:divBdr>
    </w:div>
    <w:div w:id="698970073">
      <w:bodyDiv w:val="1"/>
      <w:marLeft w:val="0"/>
      <w:marRight w:val="0"/>
      <w:marTop w:val="0"/>
      <w:marBottom w:val="0"/>
      <w:divBdr>
        <w:top w:val="none" w:sz="0" w:space="0" w:color="auto"/>
        <w:left w:val="none" w:sz="0" w:space="0" w:color="auto"/>
        <w:bottom w:val="none" w:sz="0" w:space="0" w:color="auto"/>
        <w:right w:val="none" w:sz="0" w:space="0" w:color="auto"/>
      </w:divBdr>
    </w:div>
    <w:div w:id="705983148">
      <w:bodyDiv w:val="1"/>
      <w:marLeft w:val="0"/>
      <w:marRight w:val="0"/>
      <w:marTop w:val="0"/>
      <w:marBottom w:val="0"/>
      <w:divBdr>
        <w:top w:val="none" w:sz="0" w:space="0" w:color="auto"/>
        <w:left w:val="none" w:sz="0" w:space="0" w:color="auto"/>
        <w:bottom w:val="none" w:sz="0" w:space="0" w:color="auto"/>
        <w:right w:val="none" w:sz="0" w:space="0" w:color="auto"/>
      </w:divBdr>
    </w:div>
    <w:div w:id="719134470">
      <w:bodyDiv w:val="1"/>
      <w:marLeft w:val="0"/>
      <w:marRight w:val="0"/>
      <w:marTop w:val="0"/>
      <w:marBottom w:val="0"/>
      <w:divBdr>
        <w:top w:val="none" w:sz="0" w:space="0" w:color="auto"/>
        <w:left w:val="none" w:sz="0" w:space="0" w:color="auto"/>
        <w:bottom w:val="none" w:sz="0" w:space="0" w:color="auto"/>
        <w:right w:val="none" w:sz="0" w:space="0" w:color="auto"/>
      </w:divBdr>
    </w:div>
    <w:div w:id="721372298">
      <w:bodyDiv w:val="1"/>
      <w:marLeft w:val="0"/>
      <w:marRight w:val="0"/>
      <w:marTop w:val="0"/>
      <w:marBottom w:val="0"/>
      <w:divBdr>
        <w:top w:val="none" w:sz="0" w:space="0" w:color="auto"/>
        <w:left w:val="none" w:sz="0" w:space="0" w:color="auto"/>
        <w:bottom w:val="none" w:sz="0" w:space="0" w:color="auto"/>
        <w:right w:val="none" w:sz="0" w:space="0" w:color="auto"/>
      </w:divBdr>
    </w:div>
    <w:div w:id="735322854">
      <w:bodyDiv w:val="1"/>
      <w:marLeft w:val="0"/>
      <w:marRight w:val="0"/>
      <w:marTop w:val="0"/>
      <w:marBottom w:val="0"/>
      <w:divBdr>
        <w:top w:val="none" w:sz="0" w:space="0" w:color="auto"/>
        <w:left w:val="none" w:sz="0" w:space="0" w:color="auto"/>
        <w:bottom w:val="none" w:sz="0" w:space="0" w:color="auto"/>
        <w:right w:val="none" w:sz="0" w:space="0" w:color="auto"/>
      </w:divBdr>
    </w:div>
    <w:div w:id="740716157">
      <w:bodyDiv w:val="1"/>
      <w:marLeft w:val="0"/>
      <w:marRight w:val="0"/>
      <w:marTop w:val="0"/>
      <w:marBottom w:val="0"/>
      <w:divBdr>
        <w:top w:val="none" w:sz="0" w:space="0" w:color="auto"/>
        <w:left w:val="none" w:sz="0" w:space="0" w:color="auto"/>
        <w:bottom w:val="none" w:sz="0" w:space="0" w:color="auto"/>
        <w:right w:val="none" w:sz="0" w:space="0" w:color="auto"/>
      </w:divBdr>
    </w:div>
    <w:div w:id="811210938">
      <w:bodyDiv w:val="1"/>
      <w:marLeft w:val="0"/>
      <w:marRight w:val="0"/>
      <w:marTop w:val="0"/>
      <w:marBottom w:val="0"/>
      <w:divBdr>
        <w:top w:val="none" w:sz="0" w:space="0" w:color="auto"/>
        <w:left w:val="none" w:sz="0" w:space="0" w:color="auto"/>
        <w:bottom w:val="none" w:sz="0" w:space="0" w:color="auto"/>
        <w:right w:val="none" w:sz="0" w:space="0" w:color="auto"/>
      </w:divBdr>
    </w:div>
    <w:div w:id="841823400">
      <w:bodyDiv w:val="1"/>
      <w:marLeft w:val="0"/>
      <w:marRight w:val="0"/>
      <w:marTop w:val="0"/>
      <w:marBottom w:val="0"/>
      <w:divBdr>
        <w:top w:val="none" w:sz="0" w:space="0" w:color="auto"/>
        <w:left w:val="none" w:sz="0" w:space="0" w:color="auto"/>
        <w:bottom w:val="none" w:sz="0" w:space="0" w:color="auto"/>
        <w:right w:val="none" w:sz="0" w:space="0" w:color="auto"/>
      </w:divBdr>
    </w:div>
    <w:div w:id="868030096">
      <w:bodyDiv w:val="1"/>
      <w:marLeft w:val="0"/>
      <w:marRight w:val="0"/>
      <w:marTop w:val="0"/>
      <w:marBottom w:val="0"/>
      <w:divBdr>
        <w:top w:val="none" w:sz="0" w:space="0" w:color="auto"/>
        <w:left w:val="none" w:sz="0" w:space="0" w:color="auto"/>
        <w:bottom w:val="none" w:sz="0" w:space="0" w:color="auto"/>
        <w:right w:val="none" w:sz="0" w:space="0" w:color="auto"/>
      </w:divBdr>
    </w:div>
    <w:div w:id="901524996">
      <w:bodyDiv w:val="1"/>
      <w:marLeft w:val="0"/>
      <w:marRight w:val="0"/>
      <w:marTop w:val="0"/>
      <w:marBottom w:val="0"/>
      <w:divBdr>
        <w:top w:val="none" w:sz="0" w:space="0" w:color="auto"/>
        <w:left w:val="none" w:sz="0" w:space="0" w:color="auto"/>
        <w:bottom w:val="none" w:sz="0" w:space="0" w:color="auto"/>
        <w:right w:val="none" w:sz="0" w:space="0" w:color="auto"/>
      </w:divBdr>
    </w:div>
    <w:div w:id="902835136">
      <w:bodyDiv w:val="1"/>
      <w:marLeft w:val="0"/>
      <w:marRight w:val="0"/>
      <w:marTop w:val="0"/>
      <w:marBottom w:val="0"/>
      <w:divBdr>
        <w:top w:val="none" w:sz="0" w:space="0" w:color="auto"/>
        <w:left w:val="none" w:sz="0" w:space="0" w:color="auto"/>
        <w:bottom w:val="none" w:sz="0" w:space="0" w:color="auto"/>
        <w:right w:val="none" w:sz="0" w:space="0" w:color="auto"/>
      </w:divBdr>
    </w:div>
    <w:div w:id="907544114">
      <w:bodyDiv w:val="1"/>
      <w:marLeft w:val="0"/>
      <w:marRight w:val="0"/>
      <w:marTop w:val="0"/>
      <w:marBottom w:val="0"/>
      <w:divBdr>
        <w:top w:val="none" w:sz="0" w:space="0" w:color="auto"/>
        <w:left w:val="none" w:sz="0" w:space="0" w:color="auto"/>
        <w:bottom w:val="none" w:sz="0" w:space="0" w:color="auto"/>
        <w:right w:val="none" w:sz="0" w:space="0" w:color="auto"/>
      </w:divBdr>
    </w:div>
    <w:div w:id="942147021">
      <w:bodyDiv w:val="1"/>
      <w:marLeft w:val="0"/>
      <w:marRight w:val="0"/>
      <w:marTop w:val="0"/>
      <w:marBottom w:val="0"/>
      <w:divBdr>
        <w:top w:val="none" w:sz="0" w:space="0" w:color="auto"/>
        <w:left w:val="none" w:sz="0" w:space="0" w:color="auto"/>
        <w:bottom w:val="none" w:sz="0" w:space="0" w:color="auto"/>
        <w:right w:val="none" w:sz="0" w:space="0" w:color="auto"/>
      </w:divBdr>
    </w:div>
    <w:div w:id="975255940">
      <w:bodyDiv w:val="1"/>
      <w:marLeft w:val="0"/>
      <w:marRight w:val="0"/>
      <w:marTop w:val="0"/>
      <w:marBottom w:val="0"/>
      <w:divBdr>
        <w:top w:val="none" w:sz="0" w:space="0" w:color="auto"/>
        <w:left w:val="none" w:sz="0" w:space="0" w:color="auto"/>
        <w:bottom w:val="none" w:sz="0" w:space="0" w:color="auto"/>
        <w:right w:val="none" w:sz="0" w:space="0" w:color="auto"/>
      </w:divBdr>
    </w:div>
    <w:div w:id="1015496147">
      <w:bodyDiv w:val="1"/>
      <w:marLeft w:val="0"/>
      <w:marRight w:val="0"/>
      <w:marTop w:val="0"/>
      <w:marBottom w:val="0"/>
      <w:divBdr>
        <w:top w:val="none" w:sz="0" w:space="0" w:color="auto"/>
        <w:left w:val="none" w:sz="0" w:space="0" w:color="auto"/>
        <w:bottom w:val="none" w:sz="0" w:space="0" w:color="auto"/>
        <w:right w:val="none" w:sz="0" w:space="0" w:color="auto"/>
      </w:divBdr>
    </w:div>
    <w:div w:id="1019282994">
      <w:bodyDiv w:val="1"/>
      <w:marLeft w:val="0"/>
      <w:marRight w:val="0"/>
      <w:marTop w:val="0"/>
      <w:marBottom w:val="0"/>
      <w:divBdr>
        <w:top w:val="none" w:sz="0" w:space="0" w:color="auto"/>
        <w:left w:val="none" w:sz="0" w:space="0" w:color="auto"/>
        <w:bottom w:val="none" w:sz="0" w:space="0" w:color="auto"/>
        <w:right w:val="none" w:sz="0" w:space="0" w:color="auto"/>
      </w:divBdr>
    </w:div>
    <w:div w:id="1022322433">
      <w:bodyDiv w:val="1"/>
      <w:marLeft w:val="0"/>
      <w:marRight w:val="0"/>
      <w:marTop w:val="0"/>
      <w:marBottom w:val="0"/>
      <w:divBdr>
        <w:top w:val="none" w:sz="0" w:space="0" w:color="auto"/>
        <w:left w:val="none" w:sz="0" w:space="0" w:color="auto"/>
        <w:bottom w:val="none" w:sz="0" w:space="0" w:color="auto"/>
        <w:right w:val="none" w:sz="0" w:space="0" w:color="auto"/>
      </w:divBdr>
    </w:div>
    <w:div w:id="1033264943">
      <w:bodyDiv w:val="1"/>
      <w:marLeft w:val="0"/>
      <w:marRight w:val="0"/>
      <w:marTop w:val="0"/>
      <w:marBottom w:val="0"/>
      <w:divBdr>
        <w:top w:val="none" w:sz="0" w:space="0" w:color="auto"/>
        <w:left w:val="none" w:sz="0" w:space="0" w:color="auto"/>
        <w:bottom w:val="none" w:sz="0" w:space="0" w:color="auto"/>
        <w:right w:val="none" w:sz="0" w:space="0" w:color="auto"/>
      </w:divBdr>
    </w:div>
    <w:div w:id="1039401304">
      <w:bodyDiv w:val="1"/>
      <w:marLeft w:val="0"/>
      <w:marRight w:val="0"/>
      <w:marTop w:val="0"/>
      <w:marBottom w:val="0"/>
      <w:divBdr>
        <w:top w:val="none" w:sz="0" w:space="0" w:color="auto"/>
        <w:left w:val="none" w:sz="0" w:space="0" w:color="auto"/>
        <w:bottom w:val="none" w:sz="0" w:space="0" w:color="auto"/>
        <w:right w:val="none" w:sz="0" w:space="0" w:color="auto"/>
      </w:divBdr>
    </w:div>
    <w:div w:id="1042906393">
      <w:bodyDiv w:val="1"/>
      <w:marLeft w:val="0"/>
      <w:marRight w:val="0"/>
      <w:marTop w:val="0"/>
      <w:marBottom w:val="0"/>
      <w:divBdr>
        <w:top w:val="none" w:sz="0" w:space="0" w:color="auto"/>
        <w:left w:val="none" w:sz="0" w:space="0" w:color="auto"/>
        <w:bottom w:val="none" w:sz="0" w:space="0" w:color="auto"/>
        <w:right w:val="none" w:sz="0" w:space="0" w:color="auto"/>
      </w:divBdr>
    </w:div>
    <w:div w:id="1046833436">
      <w:bodyDiv w:val="1"/>
      <w:marLeft w:val="0"/>
      <w:marRight w:val="0"/>
      <w:marTop w:val="0"/>
      <w:marBottom w:val="0"/>
      <w:divBdr>
        <w:top w:val="none" w:sz="0" w:space="0" w:color="auto"/>
        <w:left w:val="none" w:sz="0" w:space="0" w:color="auto"/>
        <w:bottom w:val="none" w:sz="0" w:space="0" w:color="auto"/>
        <w:right w:val="none" w:sz="0" w:space="0" w:color="auto"/>
      </w:divBdr>
    </w:div>
    <w:div w:id="1058939625">
      <w:bodyDiv w:val="1"/>
      <w:marLeft w:val="0"/>
      <w:marRight w:val="0"/>
      <w:marTop w:val="0"/>
      <w:marBottom w:val="0"/>
      <w:divBdr>
        <w:top w:val="none" w:sz="0" w:space="0" w:color="auto"/>
        <w:left w:val="none" w:sz="0" w:space="0" w:color="auto"/>
        <w:bottom w:val="none" w:sz="0" w:space="0" w:color="auto"/>
        <w:right w:val="none" w:sz="0" w:space="0" w:color="auto"/>
      </w:divBdr>
    </w:div>
    <w:div w:id="1062216264">
      <w:bodyDiv w:val="1"/>
      <w:marLeft w:val="0"/>
      <w:marRight w:val="0"/>
      <w:marTop w:val="0"/>
      <w:marBottom w:val="0"/>
      <w:divBdr>
        <w:top w:val="none" w:sz="0" w:space="0" w:color="auto"/>
        <w:left w:val="none" w:sz="0" w:space="0" w:color="auto"/>
        <w:bottom w:val="none" w:sz="0" w:space="0" w:color="auto"/>
        <w:right w:val="none" w:sz="0" w:space="0" w:color="auto"/>
      </w:divBdr>
    </w:div>
    <w:div w:id="1067070068">
      <w:bodyDiv w:val="1"/>
      <w:marLeft w:val="0"/>
      <w:marRight w:val="0"/>
      <w:marTop w:val="0"/>
      <w:marBottom w:val="0"/>
      <w:divBdr>
        <w:top w:val="none" w:sz="0" w:space="0" w:color="auto"/>
        <w:left w:val="none" w:sz="0" w:space="0" w:color="auto"/>
        <w:bottom w:val="none" w:sz="0" w:space="0" w:color="auto"/>
        <w:right w:val="none" w:sz="0" w:space="0" w:color="auto"/>
      </w:divBdr>
    </w:div>
    <w:div w:id="1106653859">
      <w:bodyDiv w:val="1"/>
      <w:marLeft w:val="0"/>
      <w:marRight w:val="0"/>
      <w:marTop w:val="0"/>
      <w:marBottom w:val="0"/>
      <w:divBdr>
        <w:top w:val="none" w:sz="0" w:space="0" w:color="auto"/>
        <w:left w:val="none" w:sz="0" w:space="0" w:color="auto"/>
        <w:bottom w:val="none" w:sz="0" w:space="0" w:color="auto"/>
        <w:right w:val="none" w:sz="0" w:space="0" w:color="auto"/>
      </w:divBdr>
    </w:div>
    <w:div w:id="1118526074">
      <w:bodyDiv w:val="1"/>
      <w:marLeft w:val="0"/>
      <w:marRight w:val="0"/>
      <w:marTop w:val="0"/>
      <w:marBottom w:val="0"/>
      <w:divBdr>
        <w:top w:val="none" w:sz="0" w:space="0" w:color="auto"/>
        <w:left w:val="none" w:sz="0" w:space="0" w:color="auto"/>
        <w:bottom w:val="none" w:sz="0" w:space="0" w:color="auto"/>
        <w:right w:val="none" w:sz="0" w:space="0" w:color="auto"/>
      </w:divBdr>
    </w:div>
    <w:div w:id="1134635492">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05867088">
      <w:bodyDiv w:val="1"/>
      <w:marLeft w:val="0"/>
      <w:marRight w:val="0"/>
      <w:marTop w:val="0"/>
      <w:marBottom w:val="0"/>
      <w:divBdr>
        <w:top w:val="none" w:sz="0" w:space="0" w:color="auto"/>
        <w:left w:val="none" w:sz="0" w:space="0" w:color="auto"/>
        <w:bottom w:val="none" w:sz="0" w:space="0" w:color="auto"/>
        <w:right w:val="none" w:sz="0" w:space="0" w:color="auto"/>
      </w:divBdr>
    </w:div>
    <w:div w:id="1210655295">
      <w:bodyDiv w:val="1"/>
      <w:marLeft w:val="0"/>
      <w:marRight w:val="0"/>
      <w:marTop w:val="0"/>
      <w:marBottom w:val="0"/>
      <w:divBdr>
        <w:top w:val="none" w:sz="0" w:space="0" w:color="auto"/>
        <w:left w:val="none" w:sz="0" w:space="0" w:color="auto"/>
        <w:bottom w:val="none" w:sz="0" w:space="0" w:color="auto"/>
        <w:right w:val="none" w:sz="0" w:space="0" w:color="auto"/>
      </w:divBdr>
    </w:div>
    <w:div w:id="1231425233">
      <w:bodyDiv w:val="1"/>
      <w:marLeft w:val="0"/>
      <w:marRight w:val="0"/>
      <w:marTop w:val="0"/>
      <w:marBottom w:val="0"/>
      <w:divBdr>
        <w:top w:val="none" w:sz="0" w:space="0" w:color="auto"/>
        <w:left w:val="none" w:sz="0" w:space="0" w:color="auto"/>
        <w:bottom w:val="none" w:sz="0" w:space="0" w:color="auto"/>
        <w:right w:val="none" w:sz="0" w:space="0" w:color="auto"/>
      </w:divBdr>
    </w:div>
    <w:div w:id="1244025958">
      <w:bodyDiv w:val="1"/>
      <w:marLeft w:val="0"/>
      <w:marRight w:val="0"/>
      <w:marTop w:val="0"/>
      <w:marBottom w:val="0"/>
      <w:divBdr>
        <w:top w:val="none" w:sz="0" w:space="0" w:color="auto"/>
        <w:left w:val="none" w:sz="0" w:space="0" w:color="auto"/>
        <w:bottom w:val="none" w:sz="0" w:space="0" w:color="auto"/>
        <w:right w:val="none" w:sz="0" w:space="0" w:color="auto"/>
      </w:divBdr>
    </w:div>
    <w:div w:id="1279751669">
      <w:bodyDiv w:val="1"/>
      <w:marLeft w:val="0"/>
      <w:marRight w:val="0"/>
      <w:marTop w:val="0"/>
      <w:marBottom w:val="0"/>
      <w:divBdr>
        <w:top w:val="none" w:sz="0" w:space="0" w:color="auto"/>
        <w:left w:val="none" w:sz="0" w:space="0" w:color="auto"/>
        <w:bottom w:val="none" w:sz="0" w:space="0" w:color="auto"/>
        <w:right w:val="none" w:sz="0" w:space="0" w:color="auto"/>
      </w:divBdr>
    </w:div>
    <w:div w:id="1285842014">
      <w:marLeft w:val="0"/>
      <w:marRight w:val="0"/>
      <w:marTop w:val="0"/>
      <w:marBottom w:val="0"/>
      <w:divBdr>
        <w:top w:val="none" w:sz="0" w:space="0" w:color="auto"/>
        <w:left w:val="none" w:sz="0" w:space="0" w:color="auto"/>
        <w:bottom w:val="none" w:sz="0" w:space="0" w:color="auto"/>
        <w:right w:val="none" w:sz="0" w:space="0" w:color="auto"/>
      </w:divBdr>
      <w:divsChild>
        <w:div w:id="463083437">
          <w:marLeft w:val="0"/>
          <w:marRight w:val="0"/>
          <w:marTop w:val="0"/>
          <w:marBottom w:val="0"/>
          <w:divBdr>
            <w:top w:val="none" w:sz="0" w:space="0" w:color="auto"/>
            <w:left w:val="none" w:sz="0" w:space="0" w:color="auto"/>
            <w:bottom w:val="none" w:sz="0" w:space="0" w:color="auto"/>
            <w:right w:val="none" w:sz="0" w:space="0" w:color="auto"/>
          </w:divBdr>
        </w:div>
      </w:divsChild>
    </w:div>
    <w:div w:id="1300300974">
      <w:bodyDiv w:val="1"/>
      <w:marLeft w:val="0"/>
      <w:marRight w:val="0"/>
      <w:marTop w:val="0"/>
      <w:marBottom w:val="0"/>
      <w:divBdr>
        <w:top w:val="none" w:sz="0" w:space="0" w:color="auto"/>
        <w:left w:val="none" w:sz="0" w:space="0" w:color="auto"/>
        <w:bottom w:val="none" w:sz="0" w:space="0" w:color="auto"/>
        <w:right w:val="none" w:sz="0" w:space="0" w:color="auto"/>
      </w:divBdr>
    </w:div>
    <w:div w:id="1313750116">
      <w:bodyDiv w:val="1"/>
      <w:marLeft w:val="0"/>
      <w:marRight w:val="0"/>
      <w:marTop w:val="0"/>
      <w:marBottom w:val="0"/>
      <w:divBdr>
        <w:top w:val="none" w:sz="0" w:space="0" w:color="auto"/>
        <w:left w:val="none" w:sz="0" w:space="0" w:color="auto"/>
        <w:bottom w:val="none" w:sz="0" w:space="0" w:color="auto"/>
        <w:right w:val="none" w:sz="0" w:space="0" w:color="auto"/>
      </w:divBdr>
    </w:div>
    <w:div w:id="1330017236">
      <w:bodyDiv w:val="1"/>
      <w:marLeft w:val="0"/>
      <w:marRight w:val="0"/>
      <w:marTop w:val="0"/>
      <w:marBottom w:val="0"/>
      <w:divBdr>
        <w:top w:val="none" w:sz="0" w:space="0" w:color="auto"/>
        <w:left w:val="none" w:sz="0" w:space="0" w:color="auto"/>
        <w:bottom w:val="none" w:sz="0" w:space="0" w:color="auto"/>
        <w:right w:val="none" w:sz="0" w:space="0" w:color="auto"/>
      </w:divBdr>
    </w:div>
    <w:div w:id="1335953819">
      <w:bodyDiv w:val="1"/>
      <w:marLeft w:val="0"/>
      <w:marRight w:val="0"/>
      <w:marTop w:val="0"/>
      <w:marBottom w:val="0"/>
      <w:divBdr>
        <w:top w:val="none" w:sz="0" w:space="0" w:color="auto"/>
        <w:left w:val="none" w:sz="0" w:space="0" w:color="auto"/>
        <w:bottom w:val="none" w:sz="0" w:space="0" w:color="auto"/>
        <w:right w:val="none" w:sz="0" w:space="0" w:color="auto"/>
      </w:divBdr>
    </w:div>
    <w:div w:id="1338651502">
      <w:bodyDiv w:val="1"/>
      <w:marLeft w:val="0"/>
      <w:marRight w:val="0"/>
      <w:marTop w:val="0"/>
      <w:marBottom w:val="0"/>
      <w:divBdr>
        <w:top w:val="none" w:sz="0" w:space="0" w:color="auto"/>
        <w:left w:val="none" w:sz="0" w:space="0" w:color="auto"/>
        <w:bottom w:val="none" w:sz="0" w:space="0" w:color="auto"/>
        <w:right w:val="none" w:sz="0" w:space="0" w:color="auto"/>
      </w:divBdr>
    </w:div>
    <w:div w:id="1365015797">
      <w:bodyDiv w:val="1"/>
      <w:marLeft w:val="0"/>
      <w:marRight w:val="0"/>
      <w:marTop w:val="0"/>
      <w:marBottom w:val="0"/>
      <w:divBdr>
        <w:top w:val="none" w:sz="0" w:space="0" w:color="auto"/>
        <w:left w:val="none" w:sz="0" w:space="0" w:color="auto"/>
        <w:bottom w:val="none" w:sz="0" w:space="0" w:color="auto"/>
        <w:right w:val="none" w:sz="0" w:space="0" w:color="auto"/>
      </w:divBdr>
    </w:div>
    <w:div w:id="1378581469">
      <w:bodyDiv w:val="1"/>
      <w:marLeft w:val="0"/>
      <w:marRight w:val="0"/>
      <w:marTop w:val="0"/>
      <w:marBottom w:val="0"/>
      <w:divBdr>
        <w:top w:val="none" w:sz="0" w:space="0" w:color="auto"/>
        <w:left w:val="none" w:sz="0" w:space="0" w:color="auto"/>
        <w:bottom w:val="none" w:sz="0" w:space="0" w:color="auto"/>
        <w:right w:val="none" w:sz="0" w:space="0" w:color="auto"/>
      </w:divBdr>
    </w:div>
    <w:div w:id="1394547568">
      <w:bodyDiv w:val="1"/>
      <w:marLeft w:val="0"/>
      <w:marRight w:val="0"/>
      <w:marTop w:val="0"/>
      <w:marBottom w:val="0"/>
      <w:divBdr>
        <w:top w:val="none" w:sz="0" w:space="0" w:color="auto"/>
        <w:left w:val="none" w:sz="0" w:space="0" w:color="auto"/>
        <w:bottom w:val="none" w:sz="0" w:space="0" w:color="auto"/>
        <w:right w:val="none" w:sz="0" w:space="0" w:color="auto"/>
      </w:divBdr>
    </w:div>
    <w:div w:id="1432820587">
      <w:bodyDiv w:val="1"/>
      <w:marLeft w:val="0"/>
      <w:marRight w:val="0"/>
      <w:marTop w:val="0"/>
      <w:marBottom w:val="0"/>
      <w:divBdr>
        <w:top w:val="none" w:sz="0" w:space="0" w:color="auto"/>
        <w:left w:val="none" w:sz="0" w:space="0" w:color="auto"/>
        <w:bottom w:val="none" w:sz="0" w:space="0" w:color="auto"/>
        <w:right w:val="none" w:sz="0" w:space="0" w:color="auto"/>
      </w:divBdr>
    </w:div>
    <w:div w:id="1479496191">
      <w:bodyDiv w:val="1"/>
      <w:marLeft w:val="0"/>
      <w:marRight w:val="0"/>
      <w:marTop w:val="0"/>
      <w:marBottom w:val="0"/>
      <w:divBdr>
        <w:top w:val="none" w:sz="0" w:space="0" w:color="auto"/>
        <w:left w:val="none" w:sz="0" w:space="0" w:color="auto"/>
        <w:bottom w:val="none" w:sz="0" w:space="0" w:color="auto"/>
        <w:right w:val="none" w:sz="0" w:space="0" w:color="auto"/>
      </w:divBdr>
    </w:div>
    <w:div w:id="1517189983">
      <w:bodyDiv w:val="1"/>
      <w:marLeft w:val="0"/>
      <w:marRight w:val="0"/>
      <w:marTop w:val="0"/>
      <w:marBottom w:val="0"/>
      <w:divBdr>
        <w:top w:val="none" w:sz="0" w:space="0" w:color="auto"/>
        <w:left w:val="none" w:sz="0" w:space="0" w:color="auto"/>
        <w:bottom w:val="none" w:sz="0" w:space="0" w:color="auto"/>
        <w:right w:val="none" w:sz="0" w:space="0" w:color="auto"/>
      </w:divBdr>
    </w:div>
    <w:div w:id="1532955109">
      <w:bodyDiv w:val="1"/>
      <w:marLeft w:val="0"/>
      <w:marRight w:val="0"/>
      <w:marTop w:val="0"/>
      <w:marBottom w:val="0"/>
      <w:divBdr>
        <w:top w:val="none" w:sz="0" w:space="0" w:color="auto"/>
        <w:left w:val="none" w:sz="0" w:space="0" w:color="auto"/>
        <w:bottom w:val="none" w:sz="0" w:space="0" w:color="auto"/>
        <w:right w:val="none" w:sz="0" w:space="0" w:color="auto"/>
      </w:divBdr>
    </w:div>
    <w:div w:id="1545824877">
      <w:bodyDiv w:val="1"/>
      <w:marLeft w:val="0"/>
      <w:marRight w:val="0"/>
      <w:marTop w:val="0"/>
      <w:marBottom w:val="0"/>
      <w:divBdr>
        <w:top w:val="none" w:sz="0" w:space="0" w:color="auto"/>
        <w:left w:val="none" w:sz="0" w:space="0" w:color="auto"/>
        <w:bottom w:val="none" w:sz="0" w:space="0" w:color="auto"/>
        <w:right w:val="none" w:sz="0" w:space="0" w:color="auto"/>
      </w:divBdr>
    </w:div>
    <w:div w:id="1575816168">
      <w:bodyDiv w:val="1"/>
      <w:marLeft w:val="0"/>
      <w:marRight w:val="0"/>
      <w:marTop w:val="0"/>
      <w:marBottom w:val="0"/>
      <w:divBdr>
        <w:top w:val="none" w:sz="0" w:space="0" w:color="auto"/>
        <w:left w:val="none" w:sz="0" w:space="0" w:color="auto"/>
        <w:bottom w:val="none" w:sz="0" w:space="0" w:color="auto"/>
        <w:right w:val="none" w:sz="0" w:space="0" w:color="auto"/>
      </w:divBdr>
    </w:div>
    <w:div w:id="1577519992">
      <w:bodyDiv w:val="1"/>
      <w:marLeft w:val="0"/>
      <w:marRight w:val="0"/>
      <w:marTop w:val="0"/>
      <w:marBottom w:val="0"/>
      <w:divBdr>
        <w:top w:val="none" w:sz="0" w:space="0" w:color="auto"/>
        <w:left w:val="none" w:sz="0" w:space="0" w:color="auto"/>
        <w:bottom w:val="none" w:sz="0" w:space="0" w:color="auto"/>
        <w:right w:val="none" w:sz="0" w:space="0" w:color="auto"/>
      </w:divBdr>
    </w:div>
    <w:div w:id="1580670494">
      <w:bodyDiv w:val="1"/>
      <w:marLeft w:val="0"/>
      <w:marRight w:val="0"/>
      <w:marTop w:val="0"/>
      <w:marBottom w:val="0"/>
      <w:divBdr>
        <w:top w:val="none" w:sz="0" w:space="0" w:color="auto"/>
        <w:left w:val="none" w:sz="0" w:space="0" w:color="auto"/>
        <w:bottom w:val="none" w:sz="0" w:space="0" w:color="auto"/>
        <w:right w:val="none" w:sz="0" w:space="0" w:color="auto"/>
      </w:divBdr>
    </w:div>
    <w:div w:id="1589651827">
      <w:bodyDiv w:val="1"/>
      <w:marLeft w:val="0"/>
      <w:marRight w:val="0"/>
      <w:marTop w:val="0"/>
      <w:marBottom w:val="0"/>
      <w:divBdr>
        <w:top w:val="none" w:sz="0" w:space="0" w:color="auto"/>
        <w:left w:val="none" w:sz="0" w:space="0" w:color="auto"/>
        <w:bottom w:val="none" w:sz="0" w:space="0" w:color="auto"/>
        <w:right w:val="none" w:sz="0" w:space="0" w:color="auto"/>
      </w:divBdr>
    </w:div>
    <w:div w:id="1596286245">
      <w:bodyDiv w:val="1"/>
      <w:marLeft w:val="0"/>
      <w:marRight w:val="0"/>
      <w:marTop w:val="0"/>
      <w:marBottom w:val="0"/>
      <w:divBdr>
        <w:top w:val="none" w:sz="0" w:space="0" w:color="auto"/>
        <w:left w:val="none" w:sz="0" w:space="0" w:color="auto"/>
        <w:bottom w:val="none" w:sz="0" w:space="0" w:color="auto"/>
        <w:right w:val="none" w:sz="0" w:space="0" w:color="auto"/>
      </w:divBdr>
    </w:div>
    <w:div w:id="1599630398">
      <w:bodyDiv w:val="1"/>
      <w:marLeft w:val="0"/>
      <w:marRight w:val="0"/>
      <w:marTop w:val="0"/>
      <w:marBottom w:val="0"/>
      <w:divBdr>
        <w:top w:val="none" w:sz="0" w:space="0" w:color="auto"/>
        <w:left w:val="none" w:sz="0" w:space="0" w:color="auto"/>
        <w:bottom w:val="none" w:sz="0" w:space="0" w:color="auto"/>
        <w:right w:val="none" w:sz="0" w:space="0" w:color="auto"/>
      </w:divBdr>
    </w:div>
    <w:div w:id="1607536975">
      <w:bodyDiv w:val="1"/>
      <w:marLeft w:val="0"/>
      <w:marRight w:val="0"/>
      <w:marTop w:val="0"/>
      <w:marBottom w:val="0"/>
      <w:divBdr>
        <w:top w:val="none" w:sz="0" w:space="0" w:color="auto"/>
        <w:left w:val="none" w:sz="0" w:space="0" w:color="auto"/>
        <w:bottom w:val="none" w:sz="0" w:space="0" w:color="auto"/>
        <w:right w:val="none" w:sz="0" w:space="0" w:color="auto"/>
      </w:divBdr>
    </w:div>
    <w:div w:id="1608002085">
      <w:bodyDiv w:val="1"/>
      <w:marLeft w:val="0"/>
      <w:marRight w:val="0"/>
      <w:marTop w:val="0"/>
      <w:marBottom w:val="0"/>
      <w:divBdr>
        <w:top w:val="none" w:sz="0" w:space="0" w:color="auto"/>
        <w:left w:val="none" w:sz="0" w:space="0" w:color="auto"/>
        <w:bottom w:val="none" w:sz="0" w:space="0" w:color="auto"/>
        <w:right w:val="none" w:sz="0" w:space="0" w:color="auto"/>
      </w:divBdr>
    </w:div>
    <w:div w:id="1622880641">
      <w:bodyDiv w:val="1"/>
      <w:marLeft w:val="0"/>
      <w:marRight w:val="0"/>
      <w:marTop w:val="0"/>
      <w:marBottom w:val="0"/>
      <w:divBdr>
        <w:top w:val="none" w:sz="0" w:space="0" w:color="auto"/>
        <w:left w:val="none" w:sz="0" w:space="0" w:color="auto"/>
        <w:bottom w:val="none" w:sz="0" w:space="0" w:color="auto"/>
        <w:right w:val="none" w:sz="0" w:space="0" w:color="auto"/>
      </w:divBdr>
    </w:div>
    <w:div w:id="1661621683">
      <w:bodyDiv w:val="1"/>
      <w:marLeft w:val="0"/>
      <w:marRight w:val="0"/>
      <w:marTop w:val="0"/>
      <w:marBottom w:val="0"/>
      <w:divBdr>
        <w:top w:val="none" w:sz="0" w:space="0" w:color="auto"/>
        <w:left w:val="none" w:sz="0" w:space="0" w:color="auto"/>
        <w:bottom w:val="none" w:sz="0" w:space="0" w:color="auto"/>
        <w:right w:val="none" w:sz="0" w:space="0" w:color="auto"/>
      </w:divBdr>
    </w:div>
    <w:div w:id="1662614243">
      <w:bodyDiv w:val="1"/>
      <w:marLeft w:val="0"/>
      <w:marRight w:val="0"/>
      <w:marTop w:val="0"/>
      <w:marBottom w:val="0"/>
      <w:divBdr>
        <w:top w:val="none" w:sz="0" w:space="0" w:color="auto"/>
        <w:left w:val="none" w:sz="0" w:space="0" w:color="auto"/>
        <w:bottom w:val="none" w:sz="0" w:space="0" w:color="auto"/>
        <w:right w:val="none" w:sz="0" w:space="0" w:color="auto"/>
      </w:divBdr>
    </w:div>
    <w:div w:id="1671788531">
      <w:bodyDiv w:val="1"/>
      <w:marLeft w:val="0"/>
      <w:marRight w:val="0"/>
      <w:marTop w:val="0"/>
      <w:marBottom w:val="0"/>
      <w:divBdr>
        <w:top w:val="none" w:sz="0" w:space="0" w:color="auto"/>
        <w:left w:val="none" w:sz="0" w:space="0" w:color="auto"/>
        <w:bottom w:val="none" w:sz="0" w:space="0" w:color="auto"/>
        <w:right w:val="none" w:sz="0" w:space="0" w:color="auto"/>
      </w:divBdr>
    </w:div>
    <w:div w:id="1678845332">
      <w:bodyDiv w:val="1"/>
      <w:marLeft w:val="0"/>
      <w:marRight w:val="0"/>
      <w:marTop w:val="0"/>
      <w:marBottom w:val="0"/>
      <w:divBdr>
        <w:top w:val="none" w:sz="0" w:space="0" w:color="auto"/>
        <w:left w:val="none" w:sz="0" w:space="0" w:color="auto"/>
        <w:bottom w:val="none" w:sz="0" w:space="0" w:color="auto"/>
        <w:right w:val="none" w:sz="0" w:space="0" w:color="auto"/>
      </w:divBdr>
    </w:div>
    <w:div w:id="1686397619">
      <w:bodyDiv w:val="1"/>
      <w:marLeft w:val="0"/>
      <w:marRight w:val="0"/>
      <w:marTop w:val="0"/>
      <w:marBottom w:val="0"/>
      <w:divBdr>
        <w:top w:val="none" w:sz="0" w:space="0" w:color="auto"/>
        <w:left w:val="none" w:sz="0" w:space="0" w:color="auto"/>
        <w:bottom w:val="none" w:sz="0" w:space="0" w:color="auto"/>
        <w:right w:val="none" w:sz="0" w:space="0" w:color="auto"/>
      </w:divBdr>
    </w:div>
    <w:div w:id="1705708612">
      <w:bodyDiv w:val="1"/>
      <w:marLeft w:val="0"/>
      <w:marRight w:val="0"/>
      <w:marTop w:val="0"/>
      <w:marBottom w:val="0"/>
      <w:divBdr>
        <w:top w:val="none" w:sz="0" w:space="0" w:color="auto"/>
        <w:left w:val="none" w:sz="0" w:space="0" w:color="auto"/>
        <w:bottom w:val="none" w:sz="0" w:space="0" w:color="auto"/>
        <w:right w:val="none" w:sz="0" w:space="0" w:color="auto"/>
      </w:divBdr>
    </w:div>
    <w:div w:id="1712874645">
      <w:bodyDiv w:val="1"/>
      <w:marLeft w:val="0"/>
      <w:marRight w:val="0"/>
      <w:marTop w:val="0"/>
      <w:marBottom w:val="0"/>
      <w:divBdr>
        <w:top w:val="none" w:sz="0" w:space="0" w:color="auto"/>
        <w:left w:val="none" w:sz="0" w:space="0" w:color="auto"/>
        <w:bottom w:val="none" w:sz="0" w:space="0" w:color="auto"/>
        <w:right w:val="none" w:sz="0" w:space="0" w:color="auto"/>
      </w:divBdr>
    </w:div>
    <w:div w:id="1718159631">
      <w:bodyDiv w:val="1"/>
      <w:marLeft w:val="0"/>
      <w:marRight w:val="0"/>
      <w:marTop w:val="0"/>
      <w:marBottom w:val="0"/>
      <w:divBdr>
        <w:top w:val="none" w:sz="0" w:space="0" w:color="auto"/>
        <w:left w:val="none" w:sz="0" w:space="0" w:color="auto"/>
        <w:bottom w:val="none" w:sz="0" w:space="0" w:color="auto"/>
        <w:right w:val="none" w:sz="0" w:space="0" w:color="auto"/>
      </w:divBdr>
    </w:div>
    <w:div w:id="1792281014">
      <w:bodyDiv w:val="1"/>
      <w:marLeft w:val="0"/>
      <w:marRight w:val="0"/>
      <w:marTop w:val="0"/>
      <w:marBottom w:val="0"/>
      <w:divBdr>
        <w:top w:val="none" w:sz="0" w:space="0" w:color="auto"/>
        <w:left w:val="none" w:sz="0" w:space="0" w:color="auto"/>
        <w:bottom w:val="none" w:sz="0" w:space="0" w:color="auto"/>
        <w:right w:val="none" w:sz="0" w:space="0" w:color="auto"/>
      </w:divBdr>
    </w:div>
    <w:div w:id="1821114450">
      <w:bodyDiv w:val="1"/>
      <w:marLeft w:val="0"/>
      <w:marRight w:val="0"/>
      <w:marTop w:val="0"/>
      <w:marBottom w:val="0"/>
      <w:divBdr>
        <w:top w:val="none" w:sz="0" w:space="0" w:color="auto"/>
        <w:left w:val="none" w:sz="0" w:space="0" w:color="auto"/>
        <w:bottom w:val="none" w:sz="0" w:space="0" w:color="auto"/>
        <w:right w:val="none" w:sz="0" w:space="0" w:color="auto"/>
      </w:divBdr>
    </w:div>
    <w:div w:id="1824008762">
      <w:bodyDiv w:val="1"/>
      <w:marLeft w:val="0"/>
      <w:marRight w:val="0"/>
      <w:marTop w:val="0"/>
      <w:marBottom w:val="0"/>
      <w:divBdr>
        <w:top w:val="none" w:sz="0" w:space="0" w:color="auto"/>
        <w:left w:val="none" w:sz="0" w:space="0" w:color="auto"/>
        <w:bottom w:val="none" w:sz="0" w:space="0" w:color="auto"/>
        <w:right w:val="none" w:sz="0" w:space="0" w:color="auto"/>
      </w:divBdr>
    </w:div>
    <w:div w:id="1826435821">
      <w:bodyDiv w:val="1"/>
      <w:marLeft w:val="0"/>
      <w:marRight w:val="0"/>
      <w:marTop w:val="0"/>
      <w:marBottom w:val="0"/>
      <w:divBdr>
        <w:top w:val="none" w:sz="0" w:space="0" w:color="auto"/>
        <w:left w:val="none" w:sz="0" w:space="0" w:color="auto"/>
        <w:bottom w:val="none" w:sz="0" w:space="0" w:color="auto"/>
        <w:right w:val="none" w:sz="0" w:space="0" w:color="auto"/>
      </w:divBdr>
    </w:div>
    <w:div w:id="1868247752">
      <w:bodyDiv w:val="1"/>
      <w:marLeft w:val="0"/>
      <w:marRight w:val="0"/>
      <w:marTop w:val="0"/>
      <w:marBottom w:val="0"/>
      <w:divBdr>
        <w:top w:val="none" w:sz="0" w:space="0" w:color="auto"/>
        <w:left w:val="none" w:sz="0" w:space="0" w:color="auto"/>
        <w:bottom w:val="none" w:sz="0" w:space="0" w:color="auto"/>
        <w:right w:val="none" w:sz="0" w:space="0" w:color="auto"/>
      </w:divBdr>
    </w:div>
    <w:div w:id="1870215295">
      <w:bodyDiv w:val="1"/>
      <w:marLeft w:val="0"/>
      <w:marRight w:val="0"/>
      <w:marTop w:val="0"/>
      <w:marBottom w:val="0"/>
      <w:divBdr>
        <w:top w:val="none" w:sz="0" w:space="0" w:color="auto"/>
        <w:left w:val="none" w:sz="0" w:space="0" w:color="auto"/>
        <w:bottom w:val="none" w:sz="0" w:space="0" w:color="auto"/>
        <w:right w:val="none" w:sz="0" w:space="0" w:color="auto"/>
      </w:divBdr>
    </w:div>
    <w:div w:id="1915241799">
      <w:bodyDiv w:val="1"/>
      <w:marLeft w:val="0"/>
      <w:marRight w:val="0"/>
      <w:marTop w:val="0"/>
      <w:marBottom w:val="0"/>
      <w:divBdr>
        <w:top w:val="none" w:sz="0" w:space="0" w:color="auto"/>
        <w:left w:val="none" w:sz="0" w:space="0" w:color="auto"/>
        <w:bottom w:val="none" w:sz="0" w:space="0" w:color="auto"/>
        <w:right w:val="none" w:sz="0" w:space="0" w:color="auto"/>
      </w:divBdr>
    </w:div>
    <w:div w:id="1931548291">
      <w:bodyDiv w:val="1"/>
      <w:marLeft w:val="0"/>
      <w:marRight w:val="0"/>
      <w:marTop w:val="0"/>
      <w:marBottom w:val="0"/>
      <w:divBdr>
        <w:top w:val="none" w:sz="0" w:space="0" w:color="auto"/>
        <w:left w:val="none" w:sz="0" w:space="0" w:color="auto"/>
        <w:bottom w:val="none" w:sz="0" w:space="0" w:color="auto"/>
        <w:right w:val="none" w:sz="0" w:space="0" w:color="auto"/>
      </w:divBdr>
    </w:div>
    <w:div w:id="1961184936">
      <w:bodyDiv w:val="1"/>
      <w:marLeft w:val="0"/>
      <w:marRight w:val="0"/>
      <w:marTop w:val="0"/>
      <w:marBottom w:val="0"/>
      <w:divBdr>
        <w:top w:val="none" w:sz="0" w:space="0" w:color="auto"/>
        <w:left w:val="none" w:sz="0" w:space="0" w:color="auto"/>
        <w:bottom w:val="none" w:sz="0" w:space="0" w:color="auto"/>
        <w:right w:val="none" w:sz="0" w:space="0" w:color="auto"/>
      </w:divBdr>
    </w:div>
    <w:div w:id="1986082330">
      <w:bodyDiv w:val="1"/>
      <w:marLeft w:val="0"/>
      <w:marRight w:val="0"/>
      <w:marTop w:val="0"/>
      <w:marBottom w:val="0"/>
      <w:divBdr>
        <w:top w:val="none" w:sz="0" w:space="0" w:color="auto"/>
        <w:left w:val="none" w:sz="0" w:space="0" w:color="auto"/>
        <w:bottom w:val="none" w:sz="0" w:space="0" w:color="auto"/>
        <w:right w:val="none" w:sz="0" w:space="0" w:color="auto"/>
      </w:divBdr>
    </w:div>
    <w:div w:id="1997760970">
      <w:bodyDiv w:val="1"/>
      <w:marLeft w:val="0"/>
      <w:marRight w:val="0"/>
      <w:marTop w:val="0"/>
      <w:marBottom w:val="0"/>
      <w:divBdr>
        <w:top w:val="none" w:sz="0" w:space="0" w:color="auto"/>
        <w:left w:val="none" w:sz="0" w:space="0" w:color="auto"/>
        <w:bottom w:val="none" w:sz="0" w:space="0" w:color="auto"/>
        <w:right w:val="none" w:sz="0" w:space="0" w:color="auto"/>
      </w:divBdr>
    </w:div>
    <w:div w:id="2039426917">
      <w:bodyDiv w:val="1"/>
      <w:marLeft w:val="0"/>
      <w:marRight w:val="0"/>
      <w:marTop w:val="0"/>
      <w:marBottom w:val="0"/>
      <w:divBdr>
        <w:top w:val="none" w:sz="0" w:space="0" w:color="auto"/>
        <w:left w:val="none" w:sz="0" w:space="0" w:color="auto"/>
        <w:bottom w:val="none" w:sz="0" w:space="0" w:color="auto"/>
        <w:right w:val="none" w:sz="0" w:space="0" w:color="auto"/>
      </w:divBdr>
    </w:div>
    <w:div w:id="2049257308">
      <w:bodyDiv w:val="1"/>
      <w:marLeft w:val="0"/>
      <w:marRight w:val="0"/>
      <w:marTop w:val="0"/>
      <w:marBottom w:val="0"/>
      <w:divBdr>
        <w:top w:val="none" w:sz="0" w:space="0" w:color="auto"/>
        <w:left w:val="none" w:sz="0" w:space="0" w:color="auto"/>
        <w:bottom w:val="none" w:sz="0" w:space="0" w:color="auto"/>
        <w:right w:val="none" w:sz="0" w:space="0" w:color="auto"/>
      </w:divBdr>
    </w:div>
    <w:div w:id="2060549197">
      <w:bodyDiv w:val="1"/>
      <w:marLeft w:val="0"/>
      <w:marRight w:val="0"/>
      <w:marTop w:val="0"/>
      <w:marBottom w:val="0"/>
      <w:divBdr>
        <w:top w:val="none" w:sz="0" w:space="0" w:color="auto"/>
        <w:left w:val="none" w:sz="0" w:space="0" w:color="auto"/>
        <w:bottom w:val="none" w:sz="0" w:space="0" w:color="auto"/>
        <w:right w:val="none" w:sz="0" w:space="0" w:color="auto"/>
      </w:divBdr>
    </w:div>
    <w:div w:id="2094661831">
      <w:bodyDiv w:val="1"/>
      <w:marLeft w:val="0"/>
      <w:marRight w:val="0"/>
      <w:marTop w:val="0"/>
      <w:marBottom w:val="0"/>
      <w:divBdr>
        <w:top w:val="none" w:sz="0" w:space="0" w:color="auto"/>
        <w:left w:val="none" w:sz="0" w:space="0" w:color="auto"/>
        <w:bottom w:val="none" w:sz="0" w:space="0" w:color="auto"/>
        <w:right w:val="none" w:sz="0" w:space="0" w:color="auto"/>
      </w:divBdr>
    </w:div>
    <w:div w:id="2112582399">
      <w:bodyDiv w:val="1"/>
      <w:marLeft w:val="0"/>
      <w:marRight w:val="0"/>
      <w:marTop w:val="0"/>
      <w:marBottom w:val="0"/>
      <w:divBdr>
        <w:top w:val="none" w:sz="0" w:space="0" w:color="auto"/>
        <w:left w:val="none" w:sz="0" w:space="0" w:color="auto"/>
        <w:bottom w:val="none" w:sz="0" w:space="0" w:color="auto"/>
        <w:right w:val="none" w:sz="0" w:space="0" w:color="auto"/>
      </w:divBdr>
    </w:div>
    <w:div w:id="2116635320">
      <w:bodyDiv w:val="1"/>
      <w:marLeft w:val="0"/>
      <w:marRight w:val="0"/>
      <w:marTop w:val="0"/>
      <w:marBottom w:val="0"/>
      <w:divBdr>
        <w:top w:val="none" w:sz="0" w:space="0" w:color="auto"/>
        <w:left w:val="none" w:sz="0" w:space="0" w:color="auto"/>
        <w:bottom w:val="none" w:sz="0" w:space="0" w:color="auto"/>
        <w:right w:val="none" w:sz="0" w:space="0" w:color="auto"/>
      </w:divBdr>
    </w:div>
    <w:div w:id="213759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hoosingwisely.org/doctor-patient-lists/" TargetMode="External"/><Relationship Id="rId18" Type="http://schemas.openxmlformats.org/officeDocument/2006/relationships/hyperlink" Target="http://www.ncbi.nlm.nih.gov/pmc/articles/PMC2647704/" TargetMode="External"/><Relationship Id="rId26" Type="http://schemas.openxmlformats.org/officeDocument/2006/relationships/hyperlink" Target="http://care.diabetesjournals.org/content/diacare/38/Supplement_1/S58.full.pdf" TargetMode="External"/><Relationship Id="rId3" Type="http://schemas.openxmlformats.org/officeDocument/2006/relationships/styles" Target="styles.xml"/><Relationship Id="rId21" Type="http://schemas.openxmlformats.org/officeDocument/2006/relationships/hyperlink" Target="http://www.ncbi.nlm.nih.gov/pubmed/26175248" TargetMode="External"/><Relationship Id="rId7" Type="http://schemas.openxmlformats.org/officeDocument/2006/relationships/endnotes" Target="endnotes.xml"/><Relationship Id="rId12" Type="http://schemas.openxmlformats.org/officeDocument/2006/relationships/hyperlink" Target="http://www.choosingwiselycanada.org/wp-content/uploads/2014/01/Choosing-Wisely-Canada-collection-of-lists.pdf" TargetMode="External"/><Relationship Id="rId17" Type="http://schemas.openxmlformats.org/officeDocument/2006/relationships/hyperlink" Target="http://www.abs.gov.au/ausstats/abs@.nsf/Previousproducts/3101.0Main%20Features1Jun%202015?opendocument&amp;tabname=Summary&amp;prodno=3101.0&amp;issue=Jun%202015&amp;num=&amp;view=" TargetMode="External"/><Relationship Id="rId25" Type="http://schemas.openxmlformats.org/officeDocument/2006/relationships/hyperlink" Target="http://www.ncbi.nlm.nih.gov/pubmed/254953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atlas/" TargetMode="External"/><Relationship Id="rId20" Type="http://schemas.openxmlformats.org/officeDocument/2006/relationships/hyperlink" Target="http://www.ncbi.nlm.nih.gov/pubmed/22900870" TargetMode="External"/><Relationship Id="rId29" Type="http://schemas.openxmlformats.org/officeDocument/2006/relationships/hyperlink" Target="https://www.ncbi.nlm.nih.gov/pubmed/270263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oosingwisely.org.au/recommendations?displayby=MedicalTest" TargetMode="External"/><Relationship Id="rId24" Type="http://schemas.openxmlformats.org/officeDocument/2006/relationships/hyperlink" Target="http://care.diabetesjournals.org/content/diacare/39/Supplement_1/S94.full.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pubmed/23163685" TargetMode="External"/><Relationship Id="rId23" Type="http://schemas.openxmlformats.org/officeDocument/2006/relationships/hyperlink" Target="http://www.who.int/diabetes/publications/report-hba1c_2011.pdf" TargetMode="External"/><Relationship Id="rId28" Type="http://schemas.openxmlformats.org/officeDocument/2006/relationships/hyperlink" Target="http://dx.doi.org/10.1007/s12020-016-0900-2" TargetMode="External"/><Relationship Id="rId10" Type="http://schemas.openxmlformats.org/officeDocument/2006/relationships/image" Target="media/image3.png"/><Relationship Id="rId19" Type="http://schemas.openxmlformats.org/officeDocument/2006/relationships/hyperlink" Target="http://www.ncbi.nlm.nih.gov/pubmed/2612655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nice.org.uk/savingsandproductivity/collection" TargetMode="External"/><Relationship Id="rId22" Type="http://schemas.openxmlformats.org/officeDocument/2006/relationships/hyperlink" Target="http://www.racgp.org.au/afp/2013/august/gestational-diabetes-mellitus/" TargetMode="External"/><Relationship Id="rId27" Type="http://schemas.openxmlformats.org/officeDocument/2006/relationships/hyperlink" Target="http://www.sciencedirect.com/science/article/pii/S0168822707001076"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NIC16</b:Tag>
    <b:SourceType>InternetSite</b:SourceType>
    <b:Guid>{8071DF23-72EB-4714-87A9-258035AE728B}</b:Guid>
    <b:Author>
      <b:Author>
        <b:NameList>
          <b:Person>
            <b:Last>NICE</b:Last>
          </b:Person>
        </b:NameList>
      </b:Author>
    </b:Author>
    <b:Title>Phototherapy for Psoriasis</b:Title>
    <b:Year>2016</b:Year>
    <b:InternetSiteTitle>NICE</b:InternetSiteTitle>
    <b:Month>n/a</b:Month>
    <b:Day>n/a</b:Day>
    <b:URL>http://pathways.nice.org.uk/pathways/psoriasis#path=view%3A/pathways/psoriasis/phototherapy-for-psoriasis.xml&amp;content=view-index</b:URL>
    <b:RefOrder>2</b:RefOrder>
  </b:Source>
  <b:Source>
    <b:Tag>Els12</b:Tag>
    <b:SourceType>JournalArticle</b:SourceType>
    <b:Guid>{FB4A0FA1-A159-41FB-A146-018DBE1723D2}</b:Guid>
    <b:Title>Over 150 potentially low-value health care practices: an Australian study</b:Title>
    <b:Year>2012</b:Year>
    <b:Author>
      <b:Author>
        <b:NameList>
          <b:Person>
            <b:Last>Elshaug</b:Last>
            <b:First>Adam </b:First>
          </b:Person>
          <b:Person>
            <b:Last>Watt</b:Last>
            <b:First>Amber</b:First>
          </b:Person>
          <b:Person>
            <b:Last>Mundy</b:Last>
            <b:First>Linder</b:First>
          </b:Person>
          <b:Person>
            <b:Last>Willis </b:Last>
            <b:First>Cameron</b:First>
          </b:Person>
        </b:NameList>
      </b:Author>
    </b:Author>
    <b:JournalName>The Medical Journal of Australia</b:JournalName>
    <b:Pages>556-560</b:Pages>
    <b:RefOrder>1</b:RefOrder>
  </b:Source>
</b:Sources>
</file>

<file path=customXml/itemProps1.xml><?xml version="1.0" encoding="utf-8"?>
<ds:datastoreItem xmlns:ds="http://schemas.openxmlformats.org/officeDocument/2006/customXml" ds:itemID="{629548F8-05A1-4BDF-A330-A400D12E2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23903</Words>
  <Characters>136250</Characters>
  <Application>Microsoft Office Word</Application>
  <DocSecurity>0</DocSecurity>
  <Lines>1135</Lines>
  <Paragraphs>319</Paragraphs>
  <ScaleCrop>false</ScaleCrop>
  <HeadingPairs>
    <vt:vector size="2" baseType="variant">
      <vt:variant>
        <vt:lpstr>Title</vt:lpstr>
      </vt:variant>
      <vt:variant>
        <vt:i4>1</vt:i4>
      </vt:variant>
    </vt:vector>
  </HeadingPairs>
  <TitlesOfParts>
    <vt:vector size="1" baseType="lpstr">
      <vt:lpstr>Medicare Benefits Schedule Review Taskforce Report from the Obstetrics Clinical Committee</vt:lpstr>
    </vt:vector>
  </TitlesOfParts>
  <Company/>
  <LinksUpToDate>false</LinksUpToDate>
  <CharactersWithSpaces>159834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Medicare Benefits Schedule Review Taskforce First Report from the Pathology Clinical Committee – Endocrine Tests</dc:title>
  <dc:subject>Medicare Benefits Schedule </dc:subject>
  <dc:creator>Australian Government Department of Health</dc:creator>
  <cp:keywords/>
  <dc:description/>
  <cp:lastModifiedBy>SMEDLEY, Tyne</cp:lastModifiedBy>
  <cp:revision>2</cp:revision>
  <cp:lastPrinted>2017-06-14T03:41:00Z</cp:lastPrinted>
  <dcterms:created xsi:type="dcterms:W3CDTF">2021-06-29T01:47:00Z</dcterms:created>
  <dcterms:modified xsi:type="dcterms:W3CDTF">2021-06-29T01:47:00Z</dcterms:modified>
  <cp:category/>
  <cp:contentStatus>Final</cp:contentStatus>
</cp:coreProperties>
</file>