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b/>
          <w:color w:val="C45911" w:themeColor="accent2" w:themeShade="BF"/>
          <w:sz w:val="48"/>
          <w:szCs w:val="32"/>
          <w:lang w:eastAsia="en-AU"/>
        </w:rPr>
        <w:id w:val="862170912"/>
        <w:docPartObj>
          <w:docPartGallery w:val="Cover Pages"/>
          <w:docPartUnique/>
        </w:docPartObj>
      </w:sdtPr>
      <w:sdtEndPr/>
      <w:sdtContent>
        <w:p w14:paraId="63579EE4" w14:textId="45F32475" w:rsidR="009D0B3C" w:rsidRPr="00677823" w:rsidRDefault="009D0B3C" w:rsidP="00677823">
          <w:r w:rsidRPr="00677823">
            <w:rPr>
              <w:noProof/>
              <w:lang w:eastAsia="en-AU"/>
            </w:rPr>
            <w:drawing>
              <wp:anchor distT="0" distB="0" distL="114300" distR="114300" simplePos="0" relativeHeight="251657220" behindDoc="1" locked="0" layoutInCell="1" allowOverlap="1" wp14:anchorId="50649D4C" wp14:editId="4AC37955">
                <wp:simplePos x="0" y="0"/>
                <wp:positionH relativeFrom="column">
                  <wp:posOffset>4455208</wp:posOffset>
                </wp:positionH>
                <wp:positionV relativeFrom="paragraph">
                  <wp:posOffset>-913765</wp:posOffset>
                </wp:positionV>
                <wp:extent cx="2072640" cy="990600"/>
                <wp:effectExtent l="0" t="0" r="0" b="0"/>
                <wp:wrapNone/>
                <wp:docPr id="2" name="Picture 2" descr="Menzi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Menzies logo"/>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0726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823">
            <w:rPr>
              <w:noProof/>
              <w:lang w:eastAsia="en-AU"/>
            </w:rPr>
            <w:drawing>
              <wp:anchor distT="0" distB="0" distL="114300" distR="114300" simplePos="0" relativeHeight="251657216" behindDoc="1" locked="0" layoutInCell="1" allowOverlap="1" wp14:anchorId="541957D1" wp14:editId="7C4B6330">
                <wp:simplePos x="0" y="0"/>
                <wp:positionH relativeFrom="column">
                  <wp:posOffset>-1139483</wp:posOffset>
                </wp:positionH>
                <wp:positionV relativeFrom="paragraph">
                  <wp:posOffset>-914400</wp:posOffset>
                </wp:positionV>
                <wp:extent cx="8117058" cy="10692130"/>
                <wp:effectExtent l="0" t="0" r="0"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8118383" cy="106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C6817" w14:textId="51678CFD" w:rsidR="00677823" w:rsidRDefault="00FD7BF7" w:rsidP="00510A67">
          <w:pPr>
            <w:pStyle w:val="Heading1"/>
          </w:pPr>
          <w:bookmarkStart w:id="0" w:name="_Toc44404349"/>
          <w:bookmarkStart w:id="1" w:name="_Toc44509342"/>
          <w:bookmarkStart w:id="2" w:name="_Toc45539154"/>
          <w:bookmarkStart w:id="3" w:name="_Toc45539240"/>
          <w:bookmarkStart w:id="4" w:name="_Toc50449599"/>
          <w:bookmarkStart w:id="5" w:name="_Toc54954826"/>
          <w:bookmarkStart w:id="6" w:name="_Toc38540000"/>
          <w:bookmarkStart w:id="7" w:name="_Toc38540055"/>
          <w:bookmarkStart w:id="8" w:name="_Toc44279050"/>
          <w:bookmarkStart w:id="9" w:name="_Toc44339167"/>
          <w:bookmarkStart w:id="10" w:name="_Toc44361532"/>
          <w:bookmarkStart w:id="11" w:name="_Toc44362882"/>
          <w:bookmarkStart w:id="12" w:name="_Toc44402310"/>
          <w:r w:rsidRPr="00677823">
            <w:rPr>
              <w:noProof/>
            </w:rPr>
            <w:drawing>
              <wp:anchor distT="0" distB="0" distL="114300" distR="114300" simplePos="0" relativeHeight="251657221" behindDoc="1" locked="0" layoutInCell="1" allowOverlap="1" wp14:anchorId="34242000" wp14:editId="6A50A405">
                <wp:simplePos x="0" y="0"/>
                <wp:positionH relativeFrom="column">
                  <wp:posOffset>-788831</wp:posOffset>
                </wp:positionH>
                <wp:positionV relativeFrom="paragraph">
                  <wp:posOffset>308745</wp:posOffset>
                </wp:positionV>
                <wp:extent cx="7891145" cy="367198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893692" cy="3673171"/>
                        </a:xfrm>
                        <a:prstGeom prst="rect">
                          <a:avLst/>
                        </a:prstGeom>
                        <a:noFill/>
                        <a:ln>
                          <a:noFill/>
                        </a:ln>
                      </pic:spPr>
                    </pic:pic>
                  </a:graphicData>
                </a:graphic>
                <wp14:sizeRelH relativeFrom="page">
                  <wp14:pctWidth>0</wp14:pctWidth>
                </wp14:sizeRelH>
                <wp14:sizeRelV relativeFrom="page">
                  <wp14:pctHeight>0</wp14:pctHeight>
                </wp14:sizeRelV>
              </wp:anchor>
            </w:drawing>
          </w:r>
          <w:r w:rsidR="009D0B3C" w:rsidRPr="00677823">
            <w:rPr>
              <w:noProof/>
            </w:rPr>
            <w:drawing>
              <wp:anchor distT="0" distB="0" distL="114300" distR="114300" simplePos="0" relativeHeight="251657222" behindDoc="1" locked="0" layoutInCell="1" allowOverlap="1" wp14:anchorId="0BB64C0C" wp14:editId="2E7684B3">
                <wp:simplePos x="0" y="0"/>
                <wp:positionH relativeFrom="column">
                  <wp:posOffset>3207776</wp:posOffset>
                </wp:positionH>
                <wp:positionV relativeFrom="paragraph">
                  <wp:posOffset>6351856</wp:posOffset>
                </wp:positionV>
                <wp:extent cx="2513882" cy="2313194"/>
                <wp:effectExtent l="101600" t="0" r="64770" b="74930"/>
                <wp:wrapNone/>
                <wp:docPr id="1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0">
                          <a:extLst>
                            <a:ext uri="{C183D7F6-B498-43B3-948B-1728B52AA6E4}">
                              <adec:decorative xmlns:adec="http://schemas.microsoft.com/office/drawing/2017/decorative" val="1"/>
                            </a:ext>
                          </a:extLst>
                        </pic:cNvPr>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rot="-619219">
                          <a:off x="0" y="0"/>
                          <a:ext cx="2513882" cy="2313194"/>
                        </a:xfrm>
                        <a:prstGeom prst="rect">
                          <a:avLst/>
                        </a:prstGeom>
                        <a:noFill/>
                        <a:ln>
                          <a:noFill/>
                        </a:ln>
                      </pic:spPr>
                    </pic:pic>
                  </a:graphicData>
                </a:graphic>
                <wp14:sizeRelH relativeFrom="page">
                  <wp14:pctWidth>0</wp14:pctWidth>
                </wp14:sizeRelH>
                <wp14:sizeRelV relativeFrom="page">
                  <wp14:pctHeight>0</wp14:pctHeight>
                </wp14:sizeRelV>
              </wp:anchor>
            </w:drawing>
          </w:r>
          <w:r w:rsidR="009D0B3C" w:rsidRPr="00677823">
            <w:rPr>
              <w:noProof/>
            </w:rPr>
            <w:drawing>
              <wp:anchor distT="0" distB="0" distL="114300" distR="114300" simplePos="0" relativeHeight="251657223" behindDoc="1" locked="0" layoutInCell="1" allowOverlap="1" wp14:anchorId="13EA4283" wp14:editId="1FA59181">
                <wp:simplePos x="0" y="0"/>
                <wp:positionH relativeFrom="column">
                  <wp:posOffset>2637644</wp:posOffset>
                </wp:positionH>
                <wp:positionV relativeFrom="paragraph">
                  <wp:posOffset>5902325</wp:posOffset>
                </wp:positionV>
                <wp:extent cx="3853815" cy="3750310"/>
                <wp:effectExtent l="0" t="0" r="0" b="0"/>
                <wp:wrapNone/>
                <wp:docPr id="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9">
                          <a:extLst>
                            <a:ext uri="{C183D7F6-B498-43B3-948B-1728B52AA6E4}">
                              <adec:decorative xmlns:adec="http://schemas.microsoft.com/office/drawing/2017/decorative" val="1"/>
                            </a:ext>
                          </a:extLst>
                        </pic:cNvPr>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853815" cy="3750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p>
        <w:p w14:paraId="243058C1" w14:textId="1655B3E0" w:rsidR="00677823" w:rsidRDefault="00A77AA0">
          <w:pPr>
            <w:spacing w:before="0" w:after="0" w:line="240" w:lineRule="auto"/>
            <w:rPr>
              <w:rFonts w:asciiTheme="majorHAnsi" w:eastAsiaTheme="majorEastAsia" w:hAnsiTheme="majorHAnsi" w:cstheme="majorBidi"/>
              <w:b/>
              <w:color w:val="C45911" w:themeColor="accent2" w:themeShade="BF"/>
              <w:sz w:val="48"/>
              <w:szCs w:val="32"/>
              <w:lang w:eastAsia="en-AU"/>
            </w:rPr>
          </w:pPr>
          <w:r w:rsidRPr="00677823">
            <w:rPr>
              <w:noProof/>
              <w:lang w:eastAsia="en-AU"/>
            </w:rPr>
            <mc:AlternateContent>
              <mc:Choice Requires="wps">
                <w:drawing>
                  <wp:anchor distT="0" distB="0" distL="114300" distR="114300" simplePos="0" relativeHeight="251668487" behindDoc="0" locked="0" layoutInCell="1" allowOverlap="1" wp14:anchorId="14CC5F98" wp14:editId="48312A1D">
                    <wp:simplePos x="0" y="0"/>
                    <wp:positionH relativeFrom="column">
                      <wp:posOffset>403225</wp:posOffset>
                    </wp:positionH>
                    <wp:positionV relativeFrom="paragraph">
                      <wp:posOffset>215265</wp:posOffset>
                    </wp:positionV>
                    <wp:extent cx="5372100" cy="2743200"/>
                    <wp:effectExtent l="0" t="0" r="0" b="0"/>
                    <wp:wrapThrough wrapText="bothSides">
                      <wp:wrapPolygon edited="0">
                        <wp:start x="255" y="500"/>
                        <wp:lineTo x="255" y="21000"/>
                        <wp:lineTo x="21294" y="21000"/>
                        <wp:lineTo x="21294" y="500"/>
                        <wp:lineTo x="255" y="500"/>
                      </wp:wrapPolygon>
                    </wp:wrapThrough>
                    <wp:docPr id="1" name="Text Box 8" descr="National Indigenous Bowel Screening Pilot final report, October 20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4025" w14:textId="381FDB52" w:rsidR="007F0CCE" w:rsidRPr="00773DF5" w:rsidRDefault="007F0CCE" w:rsidP="000D5C5B">
                                <w:pPr>
                                  <w:pStyle w:val="TitlePageHeading"/>
                                </w:pPr>
                                <w:r w:rsidRPr="00773DF5">
                                  <w:t>National Indigenous Bowel Screening Pilot</w:t>
                                </w:r>
                              </w:p>
                              <w:p w14:paraId="263CAD60" w14:textId="0B02822C" w:rsidR="007F0CCE" w:rsidRPr="00773DF5" w:rsidRDefault="007F0CCE" w:rsidP="000D5C5B">
                                <w:pPr>
                                  <w:pStyle w:val="TitlePageHeading"/>
                                </w:pPr>
                                <w:r>
                                  <w:t>FINAL</w:t>
                                </w:r>
                                <w:r w:rsidRPr="00773DF5">
                                  <w:t xml:space="preserve"> REPORT</w:t>
                                </w:r>
                              </w:p>
                              <w:p w14:paraId="00D415DE" w14:textId="7F7E9F7E" w:rsidR="007F0CCE" w:rsidRPr="00773DF5" w:rsidRDefault="007F0CCE" w:rsidP="000D5C5B">
                                <w:pPr>
                                  <w:pStyle w:val="TitlePageHeading"/>
                                  <w:rPr>
                                    <w:rFonts w:ascii="Arial" w:hAnsi="Arial"/>
                                    <w:sz w:val="28"/>
                                  </w:rPr>
                                </w:pPr>
                                <w:r>
                                  <w:t>October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C5F98" id="_x0000_t202" coordsize="21600,21600" o:spt="202" path="m,l,21600r21600,l21600,xe">
                    <v:stroke joinstyle="miter"/>
                    <v:path gradientshapeok="t" o:connecttype="rect"/>
                  </v:shapetype>
                  <v:shape id="Text Box 8" o:spid="_x0000_s1026" type="#_x0000_t202" alt="National Indigenous Bowel Screening Pilot final report, October 2020&#10;" style="position:absolute;margin-left:31.75pt;margin-top:16.95pt;width:423pt;height:3in;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" filled="f" stroked="f">
                    <v:path arrowok="t"/>
                    <v:textbox inset=",7.2pt,,7.2pt">
                      <w:txbxContent>
                        <w:p w14:paraId="68AF4025" w14:textId="381FDB52" w:rsidR="007F0CCE" w:rsidRPr="00773DF5" w:rsidRDefault="007F0CCE" w:rsidP="000D5C5B">
                          <w:pPr>
                            <w:pStyle w:val="TitlePageHeading"/>
                          </w:pPr>
                          <w:r w:rsidRPr="00773DF5">
                            <w:t>National Indigenous Bowel Screening Pilot</w:t>
                          </w:r>
                        </w:p>
                        <w:p w14:paraId="263CAD60" w14:textId="0B02822C" w:rsidR="007F0CCE" w:rsidRPr="00773DF5" w:rsidRDefault="007F0CCE" w:rsidP="000D5C5B">
                          <w:pPr>
                            <w:pStyle w:val="TitlePageHeading"/>
                          </w:pPr>
                          <w:r>
                            <w:t>FINAL</w:t>
                          </w:r>
                          <w:r w:rsidRPr="00773DF5">
                            <w:t xml:space="preserve"> REPORT</w:t>
                          </w:r>
                        </w:p>
                        <w:p w14:paraId="00D415DE" w14:textId="7F7E9F7E" w:rsidR="007F0CCE" w:rsidRPr="00773DF5" w:rsidRDefault="007F0CCE" w:rsidP="000D5C5B">
                          <w:pPr>
                            <w:pStyle w:val="TitlePageHeading"/>
                            <w:rPr>
                              <w:rFonts w:ascii="Arial" w:hAnsi="Arial"/>
                              <w:sz w:val="28"/>
                            </w:rPr>
                          </w:pPr>
                          <w:r>
                            <w:t>October 2020</w:t>
                          </w:r>
                        </w:p>
                      </w:txbxContent>
                    </v:textbox>
                    <w10:wrap type="through"/>
                  </v:shape>
                </w:pict>
              </mc:Fallback>
            </mc:AlternateContent>
          </w:r>
          <w:r w:rsidR="00FD7BF7" w:rsidRPr="00677823">
            <w:rPr>
              <w:noProof/>
              <w:lang w:eastAsia="en-AU"/>
            </w:rPr>
            <w:drawing>
              <wp:anchor distT="0" distB="0" distL="114300" distR="114300" simplePos="0" relativeHeight="251657217" behindDoc="1" locked="0" layoutInCell="1" allowOverlap="1" wp14:anchorId="2F4D9827" wp14:editId="6CBA2000">
                <wp:simplePos x="0" y="0"/>
                <wp:positionH relativeFrom="column">
                  <wp:posOffset>-659881</wp:posOffset>
                </wp:positionH>
                <wp:positionV relativeFrom="paragraph">
                  <wp:posOffset>3078399</wp:posOffset>
                </wp:positionV>
                <wp:extent cx="7456331" cy="5828147"/>
                <wp:effectExtent l="0" t="0" r="0"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456331" cy="5828147"/>
                        </a:xfrm>
                        <a:prstGeom prst="rect">
                          <a:avLst/>
                        </a:prstGeom>
                        <a:noFill/>
                        <a:ln>
                          <a:noFill/>
                        </a:ln>
                      </pic:spPr>
                    </pic:pic>
                  </a:graphicData>
                </a:graphic>
                <wp14:sizeRelH relativeFrom="page">
                  <wp14:pctWidth>0</wp14:pctWidth>
                </wp14:sizeRelH>
                <wp14:sizeRelV relativeFrom="page">
                  <wp14:pctHeight>0</wp14:pctHeight>
                </wp14:sizeRelV>
              </wp:anchor>
            </w:drawing>
          </w:r>
          <w:r w:rsidR="00677823">
            <w:br w:type="page"/>
          </w:r>
        </w:p>
        <w:p w14:paraId="3B8DD4D6" w14:textId="64121158" w:rsidR="009D0B3C" w:rsidRPr="003F42CA" w:rsidRDefault="00B7221C" w:rsidP="00510A67">
          <w:pPr>
            <w:pStyle w:val="Heading1"/>
          </w:pPr>
        </w:p>
      </w:sdtContent>
    </w:sdt>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p w14:paraId="6DB283BA" w14:textId="339B53AD" w:rsidR="000A1CA4" w:rsidRPr="00874345" w:rsidRDefault="00284483" w:rsidP="00700D85">
      <w:pPr>
        <w:rPr>
          <w:rFonts w:cstheme="minorHAnsi"/>
        </w:rPr>
      </w:pPr>
      <w:r w:rsidRPr="00874345">
        <w:rPr>
          <w:rFonts w:cstheme="minorHAnsi"/>
        </w:rPr>
        <w:t>Report prepared by Menzies School of Health Research</w:t>
      </w:r>
    </w:p>
    <w:p w14:paraId="68E5DF26" w14:textId="36FD450C" w:rsidR="00284483" w:rsidRPr="00874345" w:rsidRDefault="00284483" w:rsidP="00700D85">
      <w:pPr>
        <w:rPr>
          <w:rFonts w:cstheme="minorHAnsi"/>
        </w:rPr>
      </w:pPr>
      <w:r w:rsidRPr="00874345">
        <w:rPr>
          <w:rFonts w:cstheme="minorHAnsi"/>
        </w:rPr>
        <w:t>National Indigenous Bowel Screening Pilot</w:t>
      </w:r>
    </w:p>
    <w:p w14:paraId="2D4EB853" w14:textId="5E3EC0AE" w:rsidR="00284483" w:rsidRPr="00874345" w:rsidRDefault="00F001C4" w:rsidP="00700D85">
      <w:pPr>
        <w:rPr>
          <w:rFonts w:cstheme="minorHAnsi"/>
        </w:rPr>
      </w:pPr>
      <w:r>
        <w:rPr>
          <w:rFonts w:cstheme="minorHAnsi"/>
        </w:rPr>
        <w:t>October</w:t>
      </w:r>
      <w:r w:rsidR="00284483" w:rsidRPr="00874345">
        <w:rPr>
          <w:rFonts w:cstheme="minorHAnsi"/>
        </w:rPr>
        <w:t xml:space="preserve"> 2020</w:t>
      </w:r>
    </w:p>
    <w:p w14:paraId="5C2E8BAA" w14:textId="00B0EC14" w:rsidR="008C066E" w:rsidRPr="00874345" w:rsidRDefault="008C066E" w:rsidP="00700D85">
      <w:pPr>
        <w:rPr>
          <w:rFonts w:cstheme="minorHAnsi"/>
        </w:rPr>
      </w:pPr>
    </w:p>
    <w:p w14:paraId="1E5D5D49" w14:textId="72D99D5A" w:rsidR="008C066E" w:rsidRPr="00874345" w:rsidRDefault="008C066E" w:rsidP="00700D85">
      <w:pPr>
        <w:rPr>
          <w:rFonts w:cstheme="minorHAnsi"/>
        </w:rPr>
      </w:pPr>
      <w:r w:rsidRPr="00874345">
        <w:rPr>
          <w:rFonts w:cstheme="minorHAnsi"/>
        </w:rPr>
        <w:t>Project team members who contributed to this report included:</w:t>
      </w:r>
    </w:p>
    <w:p w14:paraId="21767EF8" w14:textId="77E1AC87" w:rsidR="008C066E" w:rsidRPr="00874345" w:rsidRDefault="008C066E" w:rsidP="00700D85">
      <w:pPr>
        <w:rPr>
          <w:rFonts w:cstheme="minorHAnsi"/>
        </w:rPr>
      </w:pPr>
      <w:r w:rsidRPr="00874345">
        <w:rPr>
          <w:rFonts w:cstheme="minorHAnsi"/>
        </w:rPr>
        <w:t xml:space="preserve">Gail Garvey, Jenny Brands, Boden Tighe, Mark Westby, Brian </w:t>
      </w:r>
      <w:proofErr w:type="spellStart"/>
      <w:r w:rsidRPr="00874345">
        <w:rPr>
          <w:rFonts w:cstheme="minorHAnsi"/>
        </w:rPr>
        <w:t>Arley</w:t>
      </w:r>
      <w:proofErr w:type="spellEnd"/>
      <w:r w:rsidR="007E02AC" w:rsidRPr="00874345">
        <w:rPr>
          <w:rFonts w:cstheme="minorHAnsi"/>
        </w:rPr>
        <w:t>.</w:t>
      </w:r>
    </w:p>
    <w:p w14:paraId="1673A5E3" w14:textId="6DAFAEDC" w:rsidR="008C066E" w:rsidRPr="00874345" w:rsidRDefault="008C066E" w:rsidP="00700D85">
      <w:pPr>
        <w:rPr>
          <w:rFonts w:cstheme="minorHAnsi"/>
        </w:rPr>
      </w:pPr>
    </w:p>
    <w:p w14:paraId="07D40D02" w14:textId="6FC67E12" w:rsidR="008C066E" w:rsidRPr="00874345" w:rsidRDefault="008C066E" w:rsidP="00700D85">
      <w:pPr>
        <w:rPr>
          <w:rFonts w:cstheme="minorHAnsi"/>
        </w:rPr>
      </w:pPr>
      <w:r w:rsidRPr="00874345">
        <w:rPr>
          <w:rFonts w:cstheme="minorHAnsi"/>
        </w:rPr>
        <w:t xml:space="preserve">The National Indigenous Bowel Screening Pilot </w:t>
      </w:r>
      <w:r w:rsidR="0031173B">
        <w:rPr>
          <w:rFonts w:cstheme="minorHAnsi"/>
        </w:rPr>
        <w:t>wa</w:t>
      </w:r>
      <w:r w:rsidRPr="00874345">
        <w:rPr>
          <w:rFonts w:cstheme="minorHAnsi"/>
        </w:rPr>
        <w:t>s a combined effort of many individuals and organisations. We would like to acknowledge:</w:t>
      </w:r>
    </w:p>
    <w:p w14:paraId="03AA5081" w14:textId="3471C01B" w:rsidR="008C066E" w:rsidRPr="00874345" w:rsidRDefault="008C066E" w:rsidP="009C5544">
      <w:pPr>
        <w:pStyle w:val="ListParagraph"/>
        <w:numPr>
          <w:ilvl w:val="0"/>
          <w:numId w:val="1"/>
        </w:numPr>
        <w:rPr>
          <w:rFonts w:cstheme="minorHAnsi"/>
        </w:rPr>
      </w:pPr>
      <w:r w:rsidRPr="00874345">
        <w:rPr>
          <w:rFonts w:cstheme="minorHAnsi"/>
        </w:rPr>
        <w:t xml:space="preserve">Other current and </w:t>
      </w:r>
      <w:r w:rsidR="00842FF9">
        <w:rPr>
          <w:rFonts w:cstheme="minorHAnsi"/>
        </w:rPr>
        <w:t>form</w:t>
      </w:r>
      <w:r w:rsidRPr="00874345">
        <w:rPr>
          <w:rFonts w:cstheme="minorHAnsi"/>
        </w:rPr>
        <w:t>er Menzies team members:</w:t>
      </w:r>
      <w:r w:rsidRPr="00874345">
        <w:rPr>
          <w:rFonts w:cstheme="minorHAnsi"/>
        </w:rPr>
        <w:br/>
      </w:r>
      <w:r w:rsidR="2547FC6C" w:rsidRPr="00874345">
        <w:rPr>
          <w:rFonts w:cstheme="minorHAnsi"/>
        </w:rPr>
        <w:t xml:space="preserve">Tamara Butler, </w:t>
      </w:r>
      <w:r w:rsidRPr="00874345">
        <w:rPr>
          <w:rFonts w:cstheme="minorHAnsi"/>
        </w:rPr>
        <w:t>Christine Long, Georgina Smart, Anne-Marie Dewar,</w:t>
      </w:r>
      <w:r w:rsidR="007E02AC" w:rsidRPr="00874345">
        <w:rPr>
          <w:rFonts w:cstheme="minorHAnsi"/>
        </w:rPr>
        <w:t xml:space="preserve"> Bronwyn Morrison,</w:t>
      </w:r>
      <w:r w:rsidRPr="00874345">
        <w:rPr>
          <w:rFonts w:cstheme="minorHAnsi"/>
        </w:rPr>
        <w:t xml:space="preserve"> Bridget Kehoe, Nicole Hewlett, Matt Plant, Sheree </w:t>
      </w:r>
      <w:proofErr w:type="spellStart"/>
      <w:r w:rsidRPr="00874345">
        <w:rPr>
          <w:rFonts w:cstheme="minorHAnsi"/>
        </w:rPr>
        <w:t>Rablin</w:t>
      </w:r>
      <w:proofErr w:type="spellEnd"/>
      <w:r w:rsidR="0031173B">
        <w:rPr>
          <w:rFonts w:cstheme="minorHAnsi"/>
        </w:rPr>
        <w:t xml:space="preserve">, </w:t>
      </w:r>
      <w:proofErr w:type="spellStart"/>
      <w:r w:rsidR="0031173B" w:rsidRPr="00874345">
        <w:rPr>
          <w:rFonts w:cstheme="minorHAnsi"/>
        </w:rPr>
        <w:t>Cylence</w:t>
      </w:r>
      <w:proofErr w:type="spellEnd"/>
      <w:r w:rsidR="0031173B" w:rsidRPr="00874345">
        <w:rPr>
          <w:rFonts w:cstheme="minorHAnsi"/>
        </w:rPr>
        <w:t xml:space="preserve"> </w:t>
      </w:r>
      <w:proofErr w:type="spellStart"/>
      <w:r w:rsidR="0031173B" w:rsidRPr="00874345">
        <w:rPr>
          <w:rFonts w:cstheme="minorHAnsi"/>
        </w:rPr>
        <w:t>Fewquandie</w:t>
      </w:r>
      <w:proofErr w:type="spellEnd"/>
      <w:r w:rsidR="0031173B">
        <w:rPr>
          <w:rFonts w:cstheme="minorHAnsi"/>
        </w:rPr>
        <w:t xml:space="preserve">, Bonnie </w:t>
      </w:r>
      <w:proofErr w:type="spellStart"/>
      <w:r w:rsidR="0031173B">
        <w:rPr>
          <w:rFonts w:cstheme="minorHAnsi"/>
        </w:rPr>
        <w:t>Laxton-Blinkhorn</w:t>
      </w:r>
      <w:proofErr w:type="spellEnd"/>
      <w:r w:rsidRPr="00874345">
        <w:rPr>
          <w:rFonts w:cstheme="minorHAnsi"/>
        </w:rPr>
        <w:t>.</w:t>
      </w:r>
    </w:p>
    <w:p w14:paraId="7E18148E" w14:textId="0386FC50" w:rsidR="008C066E" w:rsidRPr="00874345" w:rsidRDefault="00197349" w:rsidP="009C5544">
      <w:pPr>
        <w:pStyle w:val="ListParagraph"/>
        <w:numPr>
          <w:ilvl w:val="0"/>
          <w:numId w:val="1"/>
        </w:numPr>
        <w:rPr>
          <w:rFonts w:cstheme="minorHAnsi"/>
        </w:rPr>
      </w:pPr>
      <w:r w:rsidRPr="00874345">
        <w:rPr>
          <w:rFonts w:cstheme="minorHAnsi"/>
        </w:rPr>
        <w:t xml:space="preserve">Members of the Project Advisory Board; Education and Training Reference Group; Implementation Planning Group; and the </w:t>
      </w:r>
      <w:r w:rsidR="00474A0A">
        <w:rPr>
          <w:rFonts w:cstheme="minorHAnsi"/>
        </w:rPr>
        <w:t>P</w:t>
      </w:r>
      <w:r w:rsidRPr="00874345">
        <w:rPr>
          <w:rFonts w:cstheme="minorHAnsi"/>
        </w:rPr>
        <w:t>roject Scientific Committee.</w:t>
      </w:r>
    </w:p>
    <w:p w14:paraId="1B1EAF50" w14:textId="4FD09BEC" w:rsidR="00197349" w:rsidRPr="00874345" w:rsidRDefault="00197349" w:rsidP="009C5544">
      <w:pPr>
        <w:pStyle w:val="ListParagraph"/>
        <w:numPr>
          <w:ilvl w:val="0"/>
          <w:numId w:val="1"/>
        </w:numPr>
        <w:rPr>
          <w:rFonts w:cstheme="minorHAnsi"/>
        </w:rPr>
      </w:pPr>
      <w:r w:rsidRPr="00874345">
        <w:rPr>
          <w:rFonts w:cstheme="minorHAnsi"/>
        </w:rPr>
        <w:t>Enthusiastic supporters of the Pilot all around the country, including Supporting Agencies such as State and Territory Health Departments, Cancer Councils, Aboriginal and Torres Strait Islander peak bodies and Primary Health Networks.</w:t>
      </w:r>
    </w:p>
    <w:p w14:paraId="10FA8946" w14:textId="353D0E3B" w:rsidR="0011067D" w:rsidRDefault="00197349" w:rsidP="009C5544">
      <w:pPr>
        <w:pStyle w:val="ListParagraph"/>
        <w:numPr>
          <w:ilvl w:val="0"/>
          <w:numId w:val="1"/>
        </w:numPr>
        <w:rPr>
          <w:rFonts w:cstheme="minorHAnsi"/>
        </w:rPr>
      </w:pPr>
      <w:r w:rsidRPr="00874345">
        <w:rPr>
          <w:rFonts w:cstheme="minorHAnsi"/>
        </w:rPr>
        <w:t>All of the Aboriginal and Torres Strait Islander Primary Healthcare Centres who have been involved with the Pilot</w:t>
      </w:r>
      <w:r w:rsidR="0084612E">
        <w:rPr>
          <w:rFonts w:cstheme="minorHAnsi"/>
        </w:rPr>
        <w:t>, and all the individual health professionals and patients who gave their time to take part in the Pilot and its evaluation.</w:t>
      </w:r>
    </w:p>
    <w:p w14:paraId="3327CF30" w14:textId="3442BF73" w:rsidR="00E2609B" w:rsidRDefault="00E2609B">
      <w:pPr>
        <w:spacing w:before="0" w:after="0" w:line="240" w:lineRule="auto"/>
        <w:rPr>
          <w:rFonts w:cstheme="minorHAnsi"/>
        </w:rPr>
      </w:pPr>
      <w:r>
        <w:rPr>
          <w:rFonts w:cstheme="minorHAnsi"/>
        </w:rPr>
        <w:br w:type="page"/>
      </w:r>
    </w:p>
    <w:p w14:paraId="5418D12A" w14:textId="1200FA6B" w:rsidR="00E2609B" w:rsidRPr="00E2609B" w:rsidRDefault="00E2609B" w:rsidP="00E2609B">
      <w:r w:rsidRPr="005D663A">
        <w:rPr>
          <w:rFonts w:cstheme="minorHAnsi"/>
          <w:b/>
          <w:bCs/>
        </w:rPr>
        <w:lastRenderedPageBreak/>
        <w:t>Table of Contents</w:t>
      </w:r>
    </w:p>
    <w:p w14:paraId="488B09D1" w14:textId="75999578" w:rsidR="00602E6D" w:rsidRDefault="00E2609B">
      <w:pPr>
        <w:pStyle w:val="TOC1"/>
        <w:rPr>
          <w:rFonts w:asciiTheme="minorHAnsi" w:hAnsiTheme="minorHAnsi"/>
          <w:b w:val="0"/>
          <w:sz w:val="24"/>
          <w:szCs w:val="24"/>
        </w:rPr>
      </w:pPr>
      <w:r>
        <w:fldChar w:fldCharType="begin"/>
      </w:r>
      <w:r>
        <w:instrText xml:space="preserve"> TOC \o "1-2" \h \z \u </w:instrText>
      </w:r>
      <w:r>
        <w:fldChar w:fldCharType="separate"/>
      </w:r>
    </w:p>
    <w:p w14:paraId="1904787C" w14:textId="4CFC1429" w:rsidR="00602E6D" w:rsidRDefault="00B7221C">
      <w:pPr>
        <w:pStyle w:val="TOC1"/>
        <w:rPr>
          <w:rFonts w:asciiTheme="minorHAnsi" w:hAnsiTheme="minorHAnsi"/>
          <w:b w:val="0"/>
          <w:sz w:val="24"/>
          <w:szCs w:val="24"/>
        </w:rPr>
      </w:pPr>
      <w:hyperlink w:anchor="_Toc54954827" w:history="1">
        <w:r w:rsidR="00602E6D" w:rsidRPr="00350816">
          <w:rPr>
            <w:rStyle w:val="Hyperlink"/>
          </w:rPr>
          <w:t>1. EXECUTIVE SUMMARY</w:t>
        </w:r>
        <w:r w:rsidR="00602E6D">
          <w:rPr>
            <w:webHidden/>
          </w:rPr>
          <w:tab/>
        </w:r>
        <w:r w:rsidR="00602E6D">
          <w:rPr>
            <w:webHidden/>
          </w:rPr>
          <w:fldChar w:fldCharType="begin"/>
        </w:r>
        <w:r w:rsidR="00602E6D">
          <w:rPr>
            <w:webHidden/>
          </w:rPr>
          <w:instrText xml:space="preserve"> PAGEREF _Toc54954827 \h </w:instrText>
        </w:r>
        <w:r w:rsidR="00602E6D">
          <w:rPr>
            <w:webHidden/>
          </w:rPr>
        </w:r>
        <w:r w:rsidR="00602E6D">
          <w:rPr>
            <w:webHidden/>
          </w:rPr>
          <w:fldChar w:fldCharType="separate"/>
        </w:r>
        <w:r w:rsidR="00C47D05">
          <w:rPr>
            <w:webHidden/>
          </w:rPr>
          <w:t>5</w:t>
        </w:r>
        <w:r w:rsidR="00602E6D">
          <w:rPr>
            <w:webHidden/>
          </w:rPr>
          <w:fldChar w:fldCharType="end"/>
        </w:r>
      </w:hyperlink>
    </w:p>
    <w:p w14:paraId="5B8EF38E" w14:textId="29BD2C80" w:rsidR="00602E6D" w:rsidRPr="00602E6D" w:rsidRDefault="00B7221C">
      <w:pPr>
        <w:pStyle w:val="TOC1"/>
        <w:rPr>
          <w:rFonts w:asciiTheme="minorHAnsi" w:hAnsiTheme="minorHAnsi"/>
          <w:b w:val="0"/>
          <w:bCs/>
          <w:sz w:val="24"/>
          <w:szCs w:val="24"/>
        </w:rPr>
      </w:pPr>
      <w:hyperlink w:anchor="_Toc54954828" w:history="1">
        <w:r w:rsidR="00602E6D" w:rsidRPr="00602E6D">
          <w:rPr>
            <w:rStyle w:val="Hyperlink"/>
            <w:b w:val="0"/>
            <w:bCs/>
          </w:rPr>
          <w:t>1.1 Recommendations</w:t>
        </w:r>
        <w:r w:rsidR="00602E6D" w:rsidRPr="00602E6D">
          <w:rPr>
            <w:b w:val="0"/>
            <w:bCs/>
            <w:webHidden/>
          </w:rPr>
          <w:tab/>
        </w:r>
        <w:r w:rsidR="00602E6D" w:rsidRPr="00602E6D">
          <w:rPr>
            <w:b w:val="0"/>
            <w:bCs/>
            <w:webHidden/>
          </w:rPr>
          <w:fldChar w:fldCharType="begin"/>
        </w:r>
        <w:r w:rsidR="00602E6D" w:rsidRPr="00602E6D">
          <w:rPr>
            <w:b w:val="0"/>
            <w:bCs/>
            <w:webHidden/>
          </w:rPr>
          <w:instrText xml:space="preserve"> PAGEREF _Toc54954828 \h </w:instrText>
        </w:r>
        <w:r w:rsidR="00602E6D" w:rsidRPr="00602E6D">
          <w:rPr>
            <w:b w:val="0"/>
            <w:bCs/>
            <w:webHidden/>
          </w:rPr>
        </w:r>
        <w:r w:rsidR="00602E6D" w:rsidRPr="00602E6D">
          <w:rPr>
            <w:b w:val="0"/>
            <w:bCs/>
            <w:webHidden/>
          </w:rPr>
          <w:fldChar w:fldCharType="separate"/>
        </w:r>
        <w:r w:rsidR="00C47D05">
          <w:rPr>
            <w:b w:val="0"/>
            <w:bCs/>
            <w:webHidden/>
          </w:rPr>
          <w:t>7</w:t>
        </w:r>
        <w:r w:rsidR="00602E6D" w:rsidRPr="00602E6D">
          <w:rPr>
            <w:b w:val="0"/>
            <w:bCs/>
            <w:webHidden/>
          </w:rPr>
          <w:fldChar w:fldCharType="end"/>
        </w:r>
      </w:hyperlink>
    </w:p>
    <w:p w14:paraId="16226581" w14:textId="781324BE" w:rsidR="00602E6D" w:rsidRPr="00602E6D" w:rsidRDefault="00B7221C">
      <w:pPr>
        <w:pStyle w:val="TOC1"/>
        <w:rPr>
          <w:rFonts w:asciiTheme="minorHAnsi" w:hAnsiTheme="minorHAnsi"/>
          <w:b w:val="0"/>
          <w:bCs/>
          <w:sz w:val="24"/>
          <w:szCs w:val="24"/>
        </w:rPr>
      </w:pPr>
      <w:hyperlink w:anchor="_Toc54954829" w:history="1">
        <w:r w:rsidR="00602E6D" w:rsidRPr="00602E6D">
          <w:rPr>
            <w:rStyle w:val="Hyperlink"/>
            <w:b w:val="0"/>
            <w:bCs/>
          </w:rPr>
          <w:t>1.2 Evaluation questions</w:t>
        </w:r>
        <w:r w:rsidR="00602E6D" w:rsidRPr="00602E6D">
          <w:rPr>
            <w:b w:val="0"/>
            <w:bCs/>
            <w:webHidden/>
          </w:rPr>
          <w:tab/>
        </w:r>
        <w:r w:rsidR="00602E6D" w:rsidRPr="00602E6D">
          <w:rPr>
            <w:b w:val="0"/>
            <w:bCs/>
            <w:webHidden/>
          </w:rPr>
          <w:fldChar w:fldCharType="begin"/>
        </w:r>
        <w:r w:rsidR="00602E6D" w:rsidRPr="00602E6D">
          <w:rPr>
            <w:b w:val="0"/>
            <w:bCs/>
            <w:webHidden/>
          </w:rPr>
          <w:instrText xml:space="preserve"> PAGEREF _Toc54954829 \h </w:instrText>
        </w:r>
        <w:r w:rsidR="00602E6D" w:rsidRPr="00602E6D">
          <w:rPr>
            <w:b w:val="0"/>
            <w:bCs/>
            <w:webHidden/>
          </w:rPr>
        </w:r>
        <w:r w:rsidR="00602E6D" w:rsidRPr="00602E6D">
          <w:rPr>
            <w:b w:val="0"/>
            <w:bCs/>
            <w:webHidden/>
          </w:rPr>
          <w:fldChar w:fldCharType="separate"/>
        </w:r>
        <w:r w:rsidR="00C47D05">
          <w:rPr>
            <w:b w:val="0"/>
            <w:bCs/>
            <w:webHidden/>
          </w:rPr>
          <w:t>9</w:t>
        </w:r>
        <w:r w:rsidR="00602E6D" w:rsidRPr="00602E6D">
          <w:rPr>
            <w:b w:val="0"/>
            <w:bCs/>
            <w:webHidden/>
          </w:rPr>
          <w:fldChar w:fldCharType="end"/>
        </w:r>
      </w:hyperlink>
    </w:p>
    <w:p w14:paraId="409CD450" w14:textId="64AF47B7" w:rsidR="00602E6D" w:rsidRDefault="00B7221C">
      <w:pPr>
        <w:pStyle w:val="TOC1"/>
        <w:rPr>
          <w:rFonts w:asciiTheme="minorHAnsi" w:hAnsiTheme="minorHAnsi"/>
          <w:b w:val="0"/>
          <w:sz w:val="24"/>
          <w:szCs w:val="24"/>
        </w:rPr>
      </w:pPr>
      <w:hyperlink w:anchor="_Toc54954830" w:history="1">
        <w:r w:rsidR="00602E6D" w:rsidRPr="00350816">
          <w:rPr>
            <w:rStyle w:val="Hyperlink"/>
          </w:rPr>
          <w:t>2. BACKGROUND</w:t>
        </w:r>
        <w:r w:rsidR="00602E6D">
          <w:rPr>
            <w:webHidden/>
          </w:rPr>
          <w:tab/>
        </w:r>
        <w:r w:rsidR="00602E6D">
          <w:rPr>
            <w:webHidden/>
          </w:rPr>
          <w:fldChar w:fldCharType="begin"/>
        </w:r>
        <w:r w:rsidR="00602E6D">
          <w:rPr>
            <w:webHidden/>
          </w:rPr>
          <w:instrText xml:space="preserve"> PAGEREF _Toc54954830 \h </w:instrText>
        </w:r>
        <w:r w:rsidR="00602E6D">
          <w:rPr>
            <w:webHidden/>
          </w:rPr>
        </w:r>
        <w:r w:rsidR="00602E6D">
          <w:rPr>
            <w:webHidden/>
          </w:rPr>
          <w:fldChar w:fldCharType="separate"/>
        </w:r>
        <w:r w:rsidR="00C47D05">
          <w:rPr>
            <w:webHidden/>
          </w:rPr>
          <w:t>12</w:t>
        </w:r>
        <w:r w:rsidR="00602E6D">
          <w:rPr>
            <w:webHidden/>
          </w:rPr>
          <w:fldChar w:fldCharType="end"/>
        </w:r>
      </w:hyperlink>
    </w:p>
    <w:p w14:paraId="5B89E1B8" w14:textId="6175E4F8" w:rsidR="00602E6D" w:rsidRDefault="00B7221C">
      <w:pPr>
        <w:pStyle w:val="TOC2"/>
        <w:rPr>
          <w:noProof/>
          <w:sz w:val="24"/>
          <w:szCs w:val="24"/>
        </w:rPr>
      </w:pPr>
      <w:hyperlink w:anchor="_Toc54954831" w:history="1">
        <w:r w:rsidR="00602E6D" w:rsidRPr="00350816">
          <w:rPr>
            <w:rStyle w:val="Hyperlink"/>
            <w:noProof/>
          </w:rPr>
          <w:t>2.1 Bowel cancer in Australia</w:t>
        </w:r>
        <w:r w:rsidR="00602E6D">
          <w:rPr>
            <w:noProof/>
            <w:webHidden/>
          </w:rPr>
          <w:tab/>
        </w:r>
        <w:r w:rsidR="00602E6D">
          <w:rPr>
            <w:noProof/>
            <w:webHidden/>
          </w:rPr>
          <w:fldChar w:fldCharType="begin"/>
        </w:r>
        <w:r w:rsidR="00602E6D">
          <w:rPr>
            <w:noProof/>
            <w:webHidden/>
          </w:rPr>
          <w:instrText xml:space="preserve"> PAGEREF _Toc54954831 \h </w:instrText>
        </w:r>
        <w:r w:rsidR="00602E6D">
          <w:rPr>
            <w:noProof/>
            <w:webHidden/>
          </w:rPr>
        </w:r>
        <w:r w:rsidR="00602E6D">
          <w:rPr>
            <w:noProof/>
            <w:webHidden/>
          </w:rPr>
          <w:fldChar w:fldCharType="separate"/>
        </w:r>
        <w:r w:rsidR="00C47D05">
          <w:rPr>
            <w:noProof/>
            <w:webHidden/>
          </w:rPr>
          <w:t>12</w:t>
        </w:r>
        <w:r w:rsidR="00602E6D">
          <w:rPr>
            <w:noProof/>
            <w:webHidden/>
          </w:rPr>
          <w:fldChar w:fldCharType="end"/>
        </w:r>
      </w:hyperlink>
    </w:p>
    <w:p w14:paraId="53A535D2" w14:textId="143317AE" w:rsidR="00602E6D" w:rsidRDefault="00B7221C">
      <w:pPr>
        <w:pStyle w:val="TOC2"/>
        <w:rPr>
          <w:noProof/>
          <w:sz w:val="24"/>
          <w:szCs w:val="24"/>
        </w:rPr>
      </w:pPr>
      <w:hyperlink w:anchor="_Toc54954832" w:history="1">
        <w:r w:rsidR="00602E6D" w:rsidRPr="00350816">
          <w:rPr>
            <w:rStyle w:val="Hyperlink"/>
            <w:noProof/>
          </w:rPr>
          <w:t>2.2 Bowel screening and Indigenous Australians</w:t>
        </w:r>
        <w:r w:rsidR="00602E6D">
          <w:rPr>
            <w:noProof/>
            <w:webHidden/>
          </w:rPr>
          <w:tab/>
        </w:r>
        <w:r w:rsidR="00602E6D">
          <w:rPr>
            <w:noProof/>
            <w:webHidden/>
          </w:rPr>
          <w:fldChar w:fldCharType="begin"/>
        </w:r>
        <w:r w:rsidR="00602E6D">
          <w:rPr>
            <w:noProof/>
            <w:webHidden/>
          </w:rPr>
          <w:instrText xml:space="preserve"> PAGEREF _Toc54954832 \h </w:instrText>
        </w:r>
        <w:r w:rsidR="00602E6D">
          <w:rPr>
            <w:noProof/>
            <w:webHidden/>
          </w:rPr>
        </w:r>
        <w:r w:rsidR="00602E6D">
          <w:rPr>
            <w:noProof/>
            <w:webHidden/>
          </w:rPr>
          <w:fldChar w:fldCharType="separate"/>
        </w:r>
        <w:r w:rsidR="00C47D05">
          <w:rPr>
            <w:noProof/>
            <w:webHidden/>
          </w:rPr>
          <w:t>12</w:t>
        </w:r>
        <w:r w:rsidR="00602E6D">
          <w:rPr>
            <w:noProof/>
            <w:webHidden/>
          </w:rPr>
          <w:fldChar w:fldCharType="end"/>
        </w:r>
      </w:hyperlink>
    </w:p>
    <w:p w14:paraId="040E9B4D" w14:textId="779C5B64" w:rsidR="00602E6D" w:rsidRDefault="00B7221C">
      <w:pPr>
        <w:pStyle w:val="TOC2"/>
        <w:rPr>
          <w:noProof/>
          <w:sz w:val="24"/>
          <w:szCs w:val="24"/>
        </w:rPr>
      </w:pPr>
      <w:hyperlink w:anchor="_Toc54954833" w:history="1">
        <w:r w:rsidR="00602E6D" w:rsidRPr="00350816">
          <w:rPr>
            <w:rStyle w:val="Hyperlink"/>
            <w:noProof/>
          </w:rPr>
          <w:t>2.3 The National Indigenous Bowel Screening Project</w:t>
        </w:r>
        <w:r w:rsidR="00602E6D">
          <w:rPr>
            <w:noProof/>
            <w:webHidden/>
          </w:rPr>
          <w:tab/>
        </w:r>
        <w:r w:rsidR="00602E6D">
          <w:rPr>
            <w:noProof/>
            <w:webHidden/>
          </w:rPr>
          <w:fldChar w:fldCharType="begin"/>
        </w:r>
        <w:r w:rsidR="00602E6D">
          <w:rPr>
            <w:noProof/>
            <w:webHidden/>
          </w:rPr>
          <w:instrText xml:space="preserve"> PAGEREF _Toc54954833 \h </w:instrText>
        </w:r>
        <w:r w:rsidR="00602E6D">
          <w:rPr>
            <w:noProof/>
            <w:webHidden/>
          </w:rPr>
        </w:r>
        <w:r w:rsidR="00602E6D">
          <w:rPr>
            <w:noProof/>
            <w:webHidden/>
          </w:rPr>
          <w:fldChar w:fldCharType="separate"/>
        </w:r>
        <w:r w:rsidR="00C47D05">
          <w:rPr>
            <w:noProof/>
            <w:webHidden/>
          </w:rPr>
          <w:t>13</w:t>
        </w:r>
        <w:r w:rsidR="00602E6D">
          <w:rPr>
            <w:noProof/>
            <w:webHidden/>
          </w:rPr>
          <w:fldChar w:fldCharType="end"/>
        </w:r>
      </w:hyperlink>
    </w:p>
    <w:p w14:paraId="3F687C90" w14:textId="5B2D2090" w:rsidR="00602E6D" w:rsidRDefault="00B7221C">
      <w:pPr>
        <w:pStyle w:val="TOC1"/>
        <w:rPr>
          <w:rFonts w:asciiTheme="minorHAnsi" w:hAnsiTheme="minorHAnsi"/>
          <w:b w:val="0"/>
          <w:sz w:val="24"/>
          <w:szCs w:val="24"/>
        </w:rPr>
      </w:pPr>
      <w:hyperlink w:anchor="_Toc54954834" w:history="1">
        <w:r w:rsidR="00602E6D" w:rsidRPr="00350816">
          <w:rPr>
            <w:rStyle w:val="Hyperlink"/>
          </w:rPr>
          <w:t>3. THE NATIONAL INDIGENOUS BOWEL SCREENING PILOT</w:t>
        </w:r>
        <w:r w:rsidR="00602E6D">
          <w:rPr>
            <w:webHidden/>
          </w:rPr>
          <w:tab/>
        </w:r>
        <w:r w:rsidR="00602E6D">
          <w:rPr>
            <w:webHidden/>
          </w:rPr>
          <w:fldChar w:fldCharType="begin"/>
        </w:r>
        <w:r w:rsidR="00602E6D">
          <w:rPr>
            <w:webHidden/>
          </w:rPr>
          <w:instrText xml:space="preserve"> PAGEREF _Toc54954834 \h </w:instrText>
        </w:r>
        <w:r w:rsidR="00602E6D">
          <w:rPr>
            <w:webHidden/>
          </w:rPr>
        </w:r>
        <w:r w:rsidR="00602E6D">
          <w:rPr>
            <w:webHidden/>
          </w:rPr>
          <w:fldChar w:fldCharType="separate"/>
        </w:r>
        <w:r w:rsidR="00C47D05">
          <w:rPr>
            <w:webHidden/>
          </w:rPr>
          <w:t>19</w:t>
        </w:r>
        <w:r w:rsidR="00602E6D">
          <w:rPr>
            <w:webHidden/>
          </w:rPr>
          <w:fldChar w:fldCharType="end"/>
        </w:r>
      </w:hyperlink>
    </w:p>
    <w:p w14:paraId="267F84DE" w14:textId="5D2FBAB9" w:rsidR="00602E6D" w:rsidRDefault="00B7221C">
      <w:pPr>
        <w:pStyle w:val="TOC2"/>
        <w:rPr>
          <w:noProof/>
          <w:sz w:val="24"/>
          <w:szCs w:val="24"/>
        </w:rPr>
      </w:pPr>
      <w:hyperlink w:anchor="_Toc54954835" w:history="1">
        <w:r w:rsidR="00602E6D" w:rsidRPr="00350816">
          <w:rPr>
            <w:rStyle w:val="Hyperlink"/>
            <w:noProof/>
          </w:rPr>
          <w:t>3.1 Pilot aims</w:t>
        </w:r>
        <w:r w:rsidR="00602E6D">
          <w:rPr>
            <w:noProof/>
            <w:webHidden/>
          </w:rPr>
          <w:tab/>
        </w:r>
        <w:r w:rsidR="00602E6D">
          <w:rPr>
            <w:noProof/>
            <w:webHidden/>
          </w:rPr>
          <w:fldChar w:fldCharType="begin"/>
        </w:r>
        <w:r w:rsidR="00602E6D">
          <w:rPr>
            <w:noProof/>
            <w:webHidden/>
          </w:rPr>
          <w:instrText xml:space="preserve"> PAGEREF _Toc54954835 \h </w:instrText>
        </w:r>
        <w:r w:rsidR="00602E6D">
          <w:rPr>
            <w:noProof/>
            <w:webHidden/>
          </w:rPr>
        </w:r>
        <w:r w:rsidR="00602E6D">
          <w:rPr>
            <w:noProof/>
            <w:webHidden/>
          </w:rPr>
          <w:fldChar w:fldCharType="separate"/>
        </w:r>
        <w:r w:rsidR="00C47D05">
          <w:rPr>
            <w:noProof/>
            <w:webHidden/>
          </w:rPr>
          <w:t>19</w:t>
        </w:r>
        <w:r w:rsidR="00602E6D">
          <w:rPr>
            <w:noProof/>
            <w:webHidden/>
          </w:rPr>
          <w:fldChar w:fldCharType="end"/>
        </w:r>
      </w:hyperlink>
    </w:p>
    <w:p w14:paraId="0519095A" w14:textId="2C54C46E" w:rsidR="00602E6D" w:rsidRDefault="00B7221C">
      <w:pPr>
        <w:pStyle w:val="TOC2"/>
        <w:rPr>
          <w:noProof/>
          <w:sz w:val="24"/>
          <w:szCs w:val="24"/>
        </w:rPr>
      </w:pPr>
      <w:hyperlink w:anchor="_Toc54954836" w:history="1">
        <w:r w:rsidR="00602E6D" w:rsidRPr="00350816">
          <w:rPr>
            <w:rStyle w:val="Hyperlink"/>
            <w:noProof/>
          </w:rPr>
          <w:t>3.2 The Alternative Pathway</w:t>
        </w:r>
        <w:r w:rsidR="00602E6D">
          <w:rPr>
            <w:noProof/>
            <w:webHidden/>
          </w:rPr>
          <w:tab/>
        </w:r>
        <w:r w:rsidR="00602E6D">
          <w:rPr>
            <w:noProof/>
            <w:webHidden/>
          </w:rPr>
          <w:fldChar w:fldCharType="begin"/>
        </w:r>
        <w:r w:rsidR="00602E6D">
          <w:rPr>
            <w:noProof/>
            <w:webHidden/>
          </w:rPr>
          <w:instrText xml:space="preserve"> PAGEREF _Toc54954836 \h </w:instrText>
        </w:r>
        <w:r w:rsidR="00602E6D">
          <w:rPr>
            <w:noProof/>
            <w:webHidden/>
          </w:rPr>
        </w:r>
        <w:r w:rsidR="00602E6D">
          <w:rPr>
            <w:noProof/>
            <w:webHidden/>
          </w:rPr>
          <w:fldChar w:fldCharType="separate"/>
        </w:r>
        <w:r w:rsidR="00C47D05">
          <w:rPr>
            <w:noProof/>
            <w:webHidden/>
          </w:rPr>
          <w:t>19</w:t>
        </w:r>
        <w:r w:rsidR="00602E6D">
          <w:rPr>
            <w:noProof/>
            <w:webHidden/>
          </w:rPr>
          <w:fldChar w:fldCharType="end"/>
        </w:r>
      </w:hyperlink>
    </w:p>
    <w:p w14:paraId="2C8866DC" w14:textId="69FC0576" w:rsidR="00602E6D" w:rsidRDefault="00B7221C">
      <w:pPr>
        <w:pStyle w:val="TOC2"/>
        <w:rPr>
          <w:noProof/>
          <w:sz w:val="24"/>
          <w:szCs w:val="24"/>
        </w:rPr>
      </w:pPr>
      <w:hyperlink w:anchor="_Toc54954837" w:history="1">
        <w:r w:rsidR="00602E6D" w:rsidRPr="00350816">
          <w:rPr>
            <w:rStyle w:val="Hyperlink"/>
            <w:noProof/>
          </w:rPr>
          <w:t>3.3 Administration of the Alternative Pathway</w:t>
        </w:r>
        <w:r w:rsidR="00602E6D">
          <w:rPr>
            <w:noProof/>
            <w:webHidden/>
          </w:rPr>
          <w:tab/>
        </w:r>
        <w:r w:rsidR="00602E6D">
          <w:rPr>
            <w:noProof/>
            <w:webHidden/>
          </w:rPr>
          <w:fldChar w:fldCharType="begin"/>
        </w:r>
        <w:r w:rsidR="00602E6D">
          <w:rPr>
            <w:noProof/>
            <w:webHidden/>
          </w:rPr>
          <w:instrText xml:space="preserve"> PAGEREF _Toc54954837 \h </w:instrText>
        </w:r>
        <w:r w:rsidR="00602E6D">
          <w:rPr>
            <w:noProof/>
            <w:webHidden/>
          </w:rPr>
        </w:r>
        <w:r w:rsidR="00602E6D">
          <w:rPr>
            <w:noProof/>
            <w:webHidden/>
          </w:rPr>
          <w:fldChar w:fldCharType="separate"/>
        </w:r>
        <w:r w:rsidR="00C47D05">
          <w:rPr>
            <w:noProof/>
            <w:webHidden/>
          </w:rPr>
          <w:t>19</w:t>
        </w:r>
        <w:r w:rsidR="00602E6D">
          <w:rPr>
            <w:noProof/>
            <w:webHidden/>
          </w:rPr>
          <w:fldChar w:fldCharType="end"/>
        </w:r>
      </w:hyperlink>
    </w:p>
    <w:p w14:paraId="07DEE35C" w14:textId="7F9B7F70" w:rsidR="00602E6D" w:rsidRDefault="00B7221C">
      <w:pPr>
        <w:pStyle w:val="TOC2"/>
        <w:rPr>
          <w:noProof/>
          <w:sz w:val="24"/>
          <w:szCs w:val="24"/>
        </w:rPr>
      </w:pPr>
      <w:hyperlink w:anchor="_Toc54954838" w:history="1">
        <w:r w:rsidR="00602E6D" w:rsidRPr="00350816">
          <w:rPr>
            <w:rStyle w:val="Hyperlink"/>
            <w:noProof/>
          </w:rPr>
          <w:t>3.4 Support for health centres to offer the Alternative Pathway</w:t>
        </w:r>
        <w:r w:rsidR="00602E6D">
          <w:rPr>
            <w:noProof/>
            <w:webHidden/>
          </w:rPr>
          <w:tab/>
        </w:r>
        <w:r w:rsidR="00602E6D">
          <w:rPr>
            <w:noProof/>
            <w:webHidden/>
          </w:rPr>
          <w:fldChar w:fldCharType="begin"/>
        </w:r>
        <w:r w:rsidR="00602E6D">
          <w:rPr>
            <w:noProof/>
            <w:webHidden/>
          </w:rPr>
          <w:instrText xml:space="preserve"> PAGEREF _Toc54954838 \h </w:instrText>
        </w:r>
        <w:r w:rsidR="00602E6D">
          <w:rPr>
            <w:noProof/>
            <w:webHidden/>
          </w:rPr>
        </w:r>
        <w:r w:rsidR="00602E6D">
          <w:rPr>
            <w:noProof/>
            <w:webHidden/>
          </w:rPr>
          <w:fldChar w:fldCharType="separate"/>
        </w:r>
        <w:r w:rsidR="00C47D05">
          <w:rPr>
            <w:noProof/>
            <w:webHidden/>
          </w:rPr>
          <w:t>21</w:t>
        </w:r>
        <w:r w:rsidR="00602E6D">
          <w:rPr>
            <w:noProof/>
            <w:webHidden/>
          </w:rPr>
          <w:fldChar w:fldCharType="end"/>
        </w:r>
      </w:hyperlink>
    </w:p>
    <w:p w14:paraId="0CC5074F" w14:textId="209E4F29" w:rsidR="00602E6D" w:rsidRDefault="00B7221C">
      <w:pPr>
        <w:pStyle w:val="TOC2"/>
        <w:rPr>
          <w:noProof/>
          <w:sz w:val="24"/>
          <w:szCs w:val="24"/>
        </w:rPr>
      </w:pPr>
      <w:hyperlink w:anchor="_Toc54954839" w:history="1">
        <w:r w:rsidR="00602E6D" w:rsidRPr="00350816">
          <w:rPr>
            <w:rStyle w:val="Hyperlink"/>
            <w:noProof/>
          </w:rPr>
          <w:t>3.5 Evaluation</w:t>
        </w:r>
        <w:r w:rsidR="00602E6D">
          <w:rPr>
            <w:noProof/>
            <w:webHidden/>
          </w:rPr>
          <w:tab/>
        </w:r>
        <w:r w:rsidR="00602E6D">
          <w:rPr>
            <w:noProof/>
            <w:webHidden/>
          </w:rPr>
          <w:fldChar w:fldCharType="begin"/>
        </w:r>
        <w:r w:rsidR="00602E6D">
          <w:rPr>
            <w:noProof/>
            <w:webHidden/>
          </w:rPr>
          <w:instrText xml:space="preserve"> PAGEREF _Toc54954839 \h </w:instrText>
        </w:r>
        <w:r w:rsidR="00602E6D">
          <w:rPr>
            <w:noProof/>
            <w:webHidden/>
          </w:rPr>
        </w:r>
        <w:r w:rsidR="00602E6D">
          <w:rPr>
            <w:noProof/>
            <w:webHidden/>
          </w:rPr>
          <w:fldChar w:fldCharType="separate"/>
        </w:r>
        <w:r w:rsidR="00C47D05">
          <w:rPr>
            <w:noProof/>
            <w:webHidden/>
          </w:rPr>
          <w:t>22</w:t>
        </w:r>
        <w:r w:rsidR="00602E6D">
          <w:rPr>
            <w:noProof/>
            <w:webHidden/>
          </w:rPr>
          <w:fldChar w:fldCharType="end"/>
        </w:r>
      </w:hyperlink>
    </w:p>
    <w:p w14:paraId="7DB60EBA" w14:textId="2F907469" w:rsidR="00602E6D" w:rsidRDefault="00B7221C">
      <w:pPr>
        <w:pStyle w:val="TOC1"/>
        <w:rPr>
          <w:rFonts w:asciiTheme="minorHAnsi" w:hAnsiTheme="minorHAnsi"/>
          <w:b w:val="0"/>
          <w:sz w:val="24"/>
          <w:szCs w:val="24"/>
        </w:rPr>
      </w:pPr>
      <w:hyperlink w:anchor="_Toc54954840" w:history="1">
        <w:r w:rsidR="00602E6D" w:rsidRPr="00350816">
          <w:rPr>
            <w:rStyle w:val="Hyperlink"/>
          </w:rPr>
          <w:t>4. IMPLEMENTING THE PILOT</w:t>
        </w:r>
        <w:r w:rsidR="00602E6D">
          <w:rPr>
            <w:webHidden/>
          </w:rPr>
          <w:tab/>
        </w:r>
        <w:r w:rsidR="00602E6D">
          <w:rPr>
            <w:webHidden/>
          </w:rPr>
          <w:fldChar w:fldCharType="begin"/>
        </w:r>
        <w:r w:rsidR="00602E6D">
          <w:rPr>
            <w:webHidden/>
          </w:rPr>
          <w:instrText xml:space="preserve"> PAGEREF _Toc54954840 \h </w:instrText>
        </w:r>
        <w:r w:rsidR="00602E6D">
          <w:rPr>
            <w:webHidden/>
          </w:rPr>
        </w:r>
        <w:r w:rsidR="00602E6D">
          <w:rPr>
            <w:webHidden/>
          </w:rPr>
          <w:fldChar w:fldCharType="separate"/>
        </w:r>
        <w:r w:rsidR="00C47D05">
          <w:rPr>
            <w:webHidden/>
          </w:rPr>
          <w:t>24</w:t>
        </w:r>
        <w:r w:rsidR="00602E6D">
          <w:rPr>
            <w:webHidden/>
          </w:rPr>
          <w:fldChar w:fldCharType="end"/>
        </w:r>
      </w:hyperlink>
    </w:p>
    <w:p w14:paraId="4C5FFC24" w14:textId="3BCA9557" w:rsidR="00602E6D" w:rsidRDefault="00B7221C">
      <w:pPr>
        <w:pStyle w:val="TOC2"/>
        <w:rPr>
          <w:noProof/>
          <w:sz w:val="24"/>
          <w:szCs w:val="24"/>
        </w:rPr>
      </w:pPr>
      <w:hyperlink w:anchor="_Toc54954841" w:history="1">
        <w:r w:rsidR="00602E6D" w:rsidRPr="00350816">
          <w:rPr>
            <w:rStyle w:val="Hyperlink"/>
            <w:noProof/>
          </w:rPr>
          <w:t>4.1 Recruitment of health centres</w:t>
        </w:r>
        <w:r w:rsidR="00602E6D">
          <w:rPr>
            <w:noProof/>
            <w:webHidden/>
          </w:rPr>
          <w:tab/>
        </w:r>
        <w:r w:rsidR="00602E6D">
          <w:rPr>
            <w:noProof/>
            <w:webHidden/>
          </w:rPr>
          <w:fldChar w:fldCharType="begin"/>
        </w:r>
        <w:r w:rsidR="00602E6D">
          <w:rPr>
            <w:noProof/>
            <w:webHidden/>
          </w:rPr>
          <w:instrText xml:space="preserve"> PAGEREF _Toc54954841 \h </w:instrText>
        </w:r>
        <w:r w:rsidR="00602E6D">
          <w:rPr>
            <w:noProof/>
            <w:webHidden/>
          </w:rPr>
        </w:r>
        <w:r w:rsidR="00602E6D">
          <w:rPr>
            <w:noProof/>
            <w:webHidden/>
          </w:rPr>
          <w:fldChar w:fldCharType="separate"/>
        </w:r>
        <w:r w:rsidR="00C47D05">
          <w:rPr>
            <w:noProof/>
            <w:webHidden/>
          </w:rPr>
          <w:t>24</w:t>
        </w:r>
        <w:r w:rsidR="00602E6D">
          <w:rPr>
            <w:noProof/>
            <w:webHidden/>
          </w:rPr>
          <w:fldChar w:fldCharType="end"/>
        </w:r>
      </w:hyperlink>
    </w:p>
    <w:p w14:paraId="1958D39D" w14:textId="7994CC15" w:rsidR="00602E6D" w:rsidRDefault="00B7221C">
      <w:pPr>
        <w:pStyle w:val="TOC2"/>
        <w:rPr>
          <w:noProof/>
          <w:sz w:val="24"/>
          <w:szCs w:val="24"/>
        </w:rPr>
      </w:pPr>
      <w:hyperlink w:anchor="_Toc54954842" w:history="1">
        <w:r w:rsidR="00602E6D" w:rsidRPr="00350816">
          <w:rPr>
            <w:rStyle w:val="Hyperlink"/>
            <w:noProof/>
          </w:rPr>
          <w:t>4.2 Formal enrolment of health centres</w:t>
        </w:r>
        <w:r w:rsidR="00602E6D">
          <w:rPr>
            <w:noProof/>
            <w:webHidden/>
          </w:rPr>
          <w:tab/>
        </w:r>
        <w:r w:rsidR="00602E6D">
          <w:rPr>
            <w:noProof/>
            <w:webHidden/>
          </w:rPr>
          <w:fldChar w:fldCharType="begin"/>
        </w:r>
        <w:r w:rsidR="00602E6D">
          <w:rPr>
            <w:noProof/>
            <w:webHidden/>
          </w:rPr>
          <w:instrText xml:space="preserve"> PAGEREF _Toc54954842 \h </w:instrText>
        </w:r>
        <w:r w:rsidR="00602E6D">
          <w:rPr>
            <w:noProof/>
            <w:webHidden/>
          </w:rPr>
        </w:r>
        <w:r w:rsidR="00602E6D">
          <w:rPr>
            <w:noProof/>
            <w:webHidden/>
          </w:rPr>
          <w:fldChar w:fldCharType="separate"/>
        </w:r>
        <w:r w:rsidR="00C47D05">
          <w:rPr>
            <w:noProof/>
            <w:webHidden/>
          </w:rPr>
          <w:t>25</w:t>
        </w:r>
        <w:r w:rsidR="00602E6D">
          <w:rPr>
            <w:noProof/>
            <w:webHidden/>
          </w:rPr>
          <w:fldChar w:fldCharType="end"/>
        </w:r>
      </w:hyperlink>
    </w:p>
    <w:p w14:paraId="7FBADC0A" w14:textId="5740B96C" w:rsidR="00602E6D" w:rsidRDefault="00B7221C">
      <w:pPr>
        <w:pStyle w:val="TOC2"/>
        <w:rPr>
          <w:noProof/>
          <w:sz w:val="24"/>
          <w:szCs w:val="24"/>
        </w:rPr>
      </w:pPr>
      <w:hyperlink w:anchor="_Toc54954843" w:history="1">
        <w:r w:rsidR="00602E6D" w:rsidRPr="00350816">
          <w:rPr>
            <w:rStyle w:val="Hyperlink"/>
            <w:noProof/>
          </w:rPr>
          <w:t>4.3 Implementation support and training made available to health centres</w:t>
        </w:r>
        <w:r w:rsidR="00602E6D">
          <w:rPr>
            <w:noProof/>
            <w:webHidden/>
          </w:rPr>
          <w:tab/>
        </w:r>
        <w:r w:rsidR="00602E6D">
          <w:rPr>
            <w:noProof/>
            <w:webHidden/>
          </w:rPr>
          <w:fldChar w:fldCharType="begin"/>
        </w:r>
        <w:r w:rsidR="00602E6D">
          <w:rPr>
            <w:noProof/>
            <w:webHidden/>
          </w:rPr>
          <w:instrText xml:space="preserve"> PAGEREF _Toc54954843 \h </w:instrText>
        </w:r>
        <w:r w:rsidR="00602E6D">
          <w:rPr>
            <w:noProof/>
            <w:webHidden/>
          </w:rPr>
        </w:r>
        <w:r w:rsidR="00602E6D">
          <w:rPr>
            <w:noProof/>
            <w:webHidden/>
          </w:rPr>
          <w:fldChar w:fldCharType="separate"/>
        </w:r>
        <w:r w:rsidR="00C47D05">
          <w:rPr>
            <w:noProof/>
            <w:webHidden/>
          </w:rPr>
          <w:t>27</w:t>
        </w:r>
        <w:r w:rsidR="00602E6D">
          <w:rPr>
            <w:noProof/>
            <w:webHidden/>
          </w:rPr>
          <w:fldChar w:fldCharType="end"/>
        </w:r>
      </w:hyperlink>
    </w:p>
    <w:p w14:paraId="3E9859B4" w14:textId="164C8596" w:rsidR="00602E6D" w:rsidRDefault="00B7221C">
      <w:pPr>
        <w:pStyle w:val="TOC1"/>
        <w:rPr>
          <w:rFonts w:asciiTheme="minorHAnsi" w:hAnsiTheme="minorHAnsi"/>
          <w:b w:val="0"/>
          <w:sz w:val="24"/>
          <w:szCs w:val="24"/>
        </w:rPr>
      </w:pPr>
      <w:hyperlink w:anchor="_Toc54954844" w:history="1">
        <w:r w:rsidR="00602E6D" w:rsidRPr="00350816">
          <w:rPr>
            <w:rStyle w:val="Hyperlink"/>
          </w:rPr>
          <w:t>5. RESULTS: CHARACTERISTICS OF PARTICIPATING HEALTH CENTRES</w:t>
        </w:r>
        <w:r w:rsidR="00602E6D">
          <w:rPr>
            <w:webHidden/>
          </w:rPr>
          <w:tab/>
        </w:r>
        <w:r w:rsidR="00602E6D">
          <w:rPr>
            <w:webHidden/>
          </w:rPr>
          <w:fldChar w:fldCharType="begin"/>
        </w:r>
        <w:r w:rsidR="00602E6D">
          <w:rPr>
            <w:webHidden/>
          </w:rPr>
          <w:instrText xml:space="preserve"> PAGEREF _Toc54954844 \h </w:instrText>
        </w:r>
        <w:r w:rsidR="00602E6D">
          <w:rPr>
            <w:webHidden/>
          </w:rPr>
        </w:r>
        <w:r w:rsidR="00602E6D">
          <w:rPr>
            <w:webHidden/>
          </w:rPr>
          <w:fldChar w:fldCharType="separate"/>
        </w:r>
        <w:r w:rsidR="00C47D05">
          <w:rPr>
            <w:webHidden/>
          </w:rPr>
          <w:t>34</w:t>
        </w:r>
        <w:r w:rsidR="00602E6D">
          <w:rPr>
            <w:webHidden/>
          </w:rPr>
          <w:fldChar w:fldCharType="end"/>
        </w:r>
      </w:hyperlink>
    </w:p>
    <w:p w14:paraId="75B621C8" w14:textId="6A1AEB34" w:rsidR="00602E6D" w:rsidRDefault="00B7221C">
      <w:pPr>
        <w:pStyle w:val="TOC2"/>
        <w:rPr>
          <w:noProof/>
          <w:sz w:val="24"/>
          <w:szCs w:val="24"/>
        </w:rPr>
      </w:pPr>
      <w:hyperlink w:anchor="_Toc54954845" w:history="1">
        <w:r w:rsidR="00602E6D" w:rsidRPr="00350816">
          <w:rPr>
            <w:rStyle w:val="Hyperlink"/>
            <w:noProof/>
          </w:rPr>
          <w:t>5.1 Overview</w:t>
        </w:r>
        <w:r w:rsidR="00602E6D">
          <w:rPr>
            <w:noProof/>
            <w:webHidden/>
          </w:rPr>
          <w:tab/>
        </w:r>
        <w:r w:rsidR="00602E6D">
          <w:rPr>
            <w:noProof/>
            <w:webHidden/>
          </w:rPr>
          <w:fldChar w:fldCharType="begin"/>
        </w:r>
        <w:r w:rsidR="00602E6D">
          <w:rPr>
            <w:noProof/>
            <w:webHidden/>
          </w:rPr>
          <w:instrText xml:space="preserve"> PAGEREF _Toc54954845 \h </w:instrText>
        </w:r>
        <w:r w:rsidR="00602E6D">
          <w:rPr>
            <w:noProof/>
            <w:webHidden/>
          </w:rPr>
        </w:r>
        <w:r w:rsidR="00602E6D">
          <w:rPr>
            <w:noProof/>
            <w:webHidden/>
          </w:rPr>
          <w:fldChar w:fldCharType="separate"/>
        </w:r>
        <w:r w:rsidR="00C47D05">
          <w:rPr>
            <w:noProof/>
            <w:webHidden/>
          </w:rPr>
          <w:t>34</w:t>
        </w:r>
        <w:r w:rsidR="00602E6D">
          <w:rPr>
            <w:noProof/>
            <w:webHidden/>
          </w:rPr>
          <w:fldChar w:fldCharType="end"/>
        </w:r>
      </w:hyperlink>
    </w:p>
    <w:p w14:paraId="673AFC3A" w14:textId="0A6797A5" w:rsidR="00602E6D" w:rsidRDefault="00B7221C">
      <w:pPr>
        <w:pStyle w:val="TOC1"/>
        <w:rPr>
          <w:rFonts w:asciiTheme="minorHAnsi" w:hAnsiTheme="minorHAnsi"/>
          <w:b w:val="0"/>
          <w:sz w:val="24"/>
          <w:szCs w:val="24"/>
        </w:rPr>
      </w:pPr>
      <w:hyperlink w:anchor="_Toc54954846" w:history="1">
        <w:r w:rsidR="00602E6D" w:rsidRPr="00350816">
          <w:rPr>
            <w:rStyle w:val="Hyperlink"/>
          </w:rPr>
          <w:t>6. RESULTS: IMPACT OF IMPLEMENTATION SUPPORT AND TRAINING</w:t>
        </w:r>
        <w:r w:rsidR="00602E6D">
          <w:rPr>
            <w:webHidden/>
          </w:rPr>
          <w:tab/>
        </w:r>
        <w:r w:rsidR="00602E6D">
          <w:rPr>
            <w:webHidden/>
          </w:rPr>
          <w:fldChar w:fldCharType="begin"/>
        </w:r>
        <w:r w:rsidR="00602E6D">
          <w:rPr>
            <w:webHidden/>
          </w:rPr>
          <w:instrText xml:space="preserve"> PAGEREF _Toc54954846 \h </w:instrText>
        </w:r>
        <w:r w:rsidR="00602E6D">
          <w:rPr>
            <w:webHidden/>
          </w:rPr>
        </w:r>
        <w:r w:rsidR="00602E6D">
          <w:rPr>
            <w:webHidden/>
          </w:rPr>
          <w:fldChar w:fldCharType="separate"/>
        </w:r>
        <w:r w:rsidR="00C47D05">
          <w:rPr>
            <w:webHidden/>
          </w:rPr>
          <w:t>42</w:t>
        </w:r>
        <w:r w:rsidR="00602E6D">
          <w:rPr>
            <w:webHidden/>
          </w:rPr>
          <w:fldChar w:fldCharType="end"/>
        </w:r>
      </w:hyperlink>
    </w:p>
    <w:p w14:paraId="5CEB1F99" w14:textId="569F8C6D" w:rsidR="00602E6D" w:rsidRDefault="00B7221C">
      <w:pPr>
        <w:pStyle w:val="TOC2"/>
        <w:rPr>
          <w:noProof/>
          <w:sz w:val="24"/>
          <w:szCs w:val="24"/>
        </w:rPr>
      </w:pPr>
      <w:hyperlink w:anchor="_Toc54954847" w:history="1">
        <w:r w:rsidR="00602E6D" w:rsidRPr="00350816">
          <w:rPr>
            <w:rStyle w:val="Hyperlink"/>
            <w:noProof/>
          </w:rPr>
          <w:t>6.1 Overview</w:t>
        </w:r>
        <w:r w:rsidR="00602E6D">
          <w:rPr>
            <w:noProof/>
            <w:webHidden/>
          </w:rPr>
          <w:tab/>
        </w:r>
        <w:r w:rsidR="00602E6D">
          <w:rPr>
            <w:noProof/>
            <w:webHidden/>
          </w:rPr>
          <w:fldChar w:fldCharType="begin"/>
        </w:r>
        <w:r w:rsidR="00602E6D">
          <w:rPr>
            <w:noProof/>
            <w:webHidden/>
          </w:rPr>
          <w:instrText xml:space="preserve"> PAGEREF _Toc54954847 \h </w:instrText>
        </w:r>
        <w:r w:rsidR="00602E6D">
          <w:rPr>
            <w:noProof/>
            <w:webHidden/>
          </w:rPr>
        </w:r>
        <w:r w:rsidR="00602E6D">
          <w:rPr>
            <w:noProof/>
            <w:webHidden/>
          </w:rPr>
          <w:fldChar w:fldCharType="separate"/>
        </w:r>
        <w:r w:rsidR="00C47D05">
          <w:rPr>
            <w:noProof/>
            <w:webHidden/>
          </w:rPr>
          <w:t>42</w:t>
        </w:r>
        <w:r w:rsidR="00602E6D">
          <w:rPr>
            <w:noProof/>
            <w:webHidden/>
          </w:rPr>
          <w:fldChar w:fldCharType="end"/>
        </w:r>
      </w:hyperlink>
    </w:p>
    <w:p w14:paraId="43282B51" w14:textId="0EE1D05E" w:rsidR="00602E6D" w:rsidRDefault="00B7221C">
      <w:pPr>
        <w:pStyle w:val="TOC2"/>
        <w:rPr>
          <w:noProof/>
          <w:sz w:val="24"/>
          <w:szCs w:val="24"/>
        </w:rPr>
      </w:pPr>
      <w:hyperlink w:anchor="_Toc54954848" w:history="1">
        <w:r w:rsidR="00602E6D" w:rsidRPr="00350816">
          <w:rPr>
            <w:rStyle w:val="Hyperlink"/>
            <w:noProof/>
          </w:rPr>
          <w:t>6.2 Uptake of implementation and training support</w:t>
        </w:r>
        <w:r w:rsidR="00602E6D">
          <w:rPr>
            <w:noProof/>
            <w:webHidden/>
          </w:rPr>
          <w:tab/>
        </w:r>
        <w:r w:rsidR="00602E6D">
          <w:rPr>
            <w:noProof/>
            <w:webHidden/>
          </w:rPr>
          <w:fldChar w:fldCharType="begin"/>
        </w:r>
        <w:r w:rsidR="00602E6D">
          <w:rPr>
            <w:noProof/>
            <w:webHidden/>
          </w:rPr>
          <w:instrText xml:space="preserve"> PAGEREF _Toc54954848 \h </w:instrText>
        </w:r>
        <w:r w:rsidR="00602E6D">
          <w:rPr>
            <w:noProof/>
            <w:webHidden/>
          </w:rPr>
        </w:r>
        <w:r w:rsidR="00602E6D">
          <w:rPr>
            <w:noProof/>
            <w:webHidden/>
          </w:rPr>
          <w:fldChar w:fldCharType="separate"/>
        </w:r>
        <w:r w:rsidR="00C47D05">
          <w:rPr>
            <w:noProof/>
            <w:webHidden/>
          </w:rPr>
          <w:t>43</w:t>
        </w:r>
        <w:r w:rsidR="00602E6D">
          <w:rPr>
            <w:noProof/>
            <w:webHidden/>
          </w:rPr>
          <w:fldChar w:fldCharType="end"/>
        </w:r>
      </w:hyperlink>
    </w:p>
    <w:p w14:paraId="77128A21" w14:textId="03334512" w:rsidR="00602E6D" w:rsidRDefault="00B7221C">
      <w:pPr>
        <w:pStyle w:val="TOC2"/>
        <w:rPr>
          <w:noProof/>
          <w:sz w:val="24"/>
          <w:szCs w:val="24"/>
        </w:rPr>
      </w:pPr>
      <w:hyperlink w:anchor="_Toc54954849" w:history="1">
        <w:r w:rsidR="00602E6D" w:rsidRPr="00350816">
          <w:rPr>
            <w:rStyle w:val="Hyperlink"/>
            <w:noProof/>
          </w:rPr>
          <w:t>6.3 Pre- and post-training survey</w:t>
        </w:r>
        <w:r w:rsidR="00602E6D">
          <w:rPr>
            <w:noProof/>
            <w:webHidden/>
          </w:rPr>
          <w:tab/>
        </w:r>
        <w:r w:rsidR="00602E6D">
          <w:rPr>
            <w:noProof/>
            <w:webHidden/>
          </w:rPr>
          <w:fldChar w:fldCharType="begin"/>
        </w:r>
        <w:r w:rsidR="00602E6D">
          <w:rPr>
            <w:noProof/>
            <w:webHidden/>
          </w:rPr>
          <w:instrText xml:space="preserve"> PAGEREF _Toc54954849 \h </w:instrText>
        </w:r>
        <w:r w:rsidR="00602E6D">
          <w:rPr>
            <w:noProof/>
            <w:webHidden/>
          </w:rPr>
        </w:r>
        <w:r w:rsidR="00602E6D">
          <w:rPr>
            <w:noProof/>
            <w:webHidden/>
          </w:rPr>
          <w:fldChar w:fldCharType="separate"/>
        </w:r>
        <w:r w:rsidR="00C47D05">
          <w:rPr>
            <w:noProof/>
            <w:webHidden/>
          </w:rPr>
          <w:t>51</w:t>
        </w:r>
        <w:r w:rsidR="00602E6D">
          <w:rPr>
            <w:noProof/>
            <w:webHidden/>
          </w:rPr>
          <w:fldChar w:fldCharType="end"/>
        </w:r>
      </w:hyperlink>
    </w:p>
    <w:p w14:paraId="1D4A0DAD" w14:textId="0E4CA50A" w:rsidR="00602E6D" w:rsidRDefault="00B7221C">
      <w:pPr>
        <w:pStyle w:val="TOC2"/>
        <w:rPr>
          <w:noProof/>
          <w:sz w:val="24"/>
          <w:szCs w:val="24"/>
        </w:rPr>
      </w:pPr>
      <w:hyperlink w:anchor="_Toc54954850" w:history="1">
        <w:r w:rsidR="00602E6D" w:rsidRPr="00350816">
          <w:rPr>
            <w:rStyle w:val="Hyperlink"/>
            <w:noProof/>
          </w:rPr>
          <w:t>6.4 Health centre staff perspectives on training</w:t>
        </w:r>
        <w:r w:rsidR="00602E6D">
          <w:rPr>
            <w:noProof/>
            <w:webHidden/>
          </w:rPr>
          <w:tab/>
        </w:r>
        <w:r w:rsidR="00602E6D">
          <w:rPr>
            <w:noProof/>
            <w:webHidden/>
          </w:rPr>
          <w:fldChar w:fldCharType="begin"/>
        </w:r>
        <w:r w:rsidR="00602E6D">
          <w:rPr>
            <w:noProof/>
            <w:webHidden/>
          </w:rPr>
          <w:instrText xml:space="preserve"> PAGEREF _Toc54954850 \h </w:instrText>
        </w:r>
        <w:r w:rsidR="00602E6D">
          <w:rPr>
            <w:noProof/>
            <w:webHidden/>
          </w:rPr>
        </w:r>
        <w:r w:rsidR="00602E6D">
          <w:rPr>
            <w:noProof/>
            <w:webHidden/>
          </w:rPr>
          <w:fldChar w:fldCharType="separate"/>
        </w:r>
        <w:r w:rsidR="00C47D05">
          <w:rPr>
            <w:noProof/>
            <w:webHidden/>
          </w:rPr>
          <w:t>55</w:t>
        </w:r>
        <w:r w:rsidR="00602E6D">
          <w:rPr>
            <w:noProof/>
            <w:webHidden/>
          </w:rPr>
          <w:fldChar w:fldCharType="end"/>
        </w:r>
      </w:hyperlink>
    </w:p>
    <w:p w14:paraId="3CFB58B9" w14:textId="774B4683" w:rsidR="00602E6D" w:rsidRDefault="00B7221C">
      <w:pPr>
        <w:pStyle w:val="TOC1"/>
        <w:rPr>
          <w:rFonts w:asciiTheme="minorHAnsi" w:hAnsiTheme="minorHAnsi"/>
          <w:b w:val="0"/>
          <w:sz w:val="24"/>
          <w:szCs w:val="24"/>
        </w:rPr>
      </w:pPr>
      <w:hyperlink w:anchor="_Toc54954851" w:history="1">
        <w:r w:rsidR="00602E6D" w:rsidRPr="00350816">
          <w:rPr>
            <w:rStyle w:val="Hyperlink"/>
          </w:rPr>
          <w:t>7. RESULTS: HOW HEALTH CENTRES OFFERED THE ALTERNATIVE PATHWAY</w:t>
        </w:r>
        <w:r w:rsidR="00602E6D">
          <w:rPr>
            <w:webHidden/>
          </w:rPr>
          <w:tab/>
        </w:r>
        <w:r w:rsidR="00602E6D">
          <w:rPr>
            <w:webHidden/>
          </w:rPr>
          <w:fldChar w:fldCharType="begin"/>
        </w:r>
        <w:r w:rsidR="00602E6D">
          <w:rPr>
            <w:webHidden/>
          </w:rPr>
          <w:instrText xml:space="preserve"> PAGEREF _Toc54954851 \h </w:instrText>
        </w:r>
        <w:r w:rsidR="00602E6D">
          <w:rPr>
            <w:webHidden/>
          </w:rPr>
        </w:r>
        <w:r w:rsidR="00602E6D">
          <w:rPr>
            <w:webHidden/>
          </w:rPr>
          <w:fldChar w:fldCharType="separate"/>
        </w:r>
        <w:r w:rsidR="00C47D05">
          <w:rPr>
            <w:webHidden/>
          </w:rPr>
          <w:t>62</w:t>
        </w:r>
        <w:r w:rsidR="00602E6D">
          <w:rPr>
            <w:webHidden/>
          </w:rPr>
          <w:fldChar w:fldCharType="end"/>
        </w:r>
      </w:hyperlink>
    </w:p>
    <w:p w14:paraId="118797DD" w14:textId="425DCB65" w:rsidR="00602E6D" w:rsidRDefault="00B7221C">
      <w:pPr>
        <w:pStyle w:val="TOC2"/>
        <w:rPr>
          <w:noProof/>
          <w:sz w:val="24"/>
          <w:szCs w:val="24"/>
        </w:rPr>
      </w:pPr>
      <w:hyperlink w:anchor="_Toc54954852" w:history="1">
        <w:r w:rsidR="00602E6D" w:rsidRPr="00350816">
          <w:rPr>
            <w:rStyle w:val="Hyperlink"/>
            <w:noProof/>
          </w:rPr>
          <w:t>7.1 Differences between health centres that gave out kits and those that did not</w:t>
        </w:r>
        <w:r w:rsidR="00602E6D">
          <w:rPr>
            <w:noProof/>
            <w:webHidden/>
          </w:rPr>
          <w:tab/>
        </w:r>
        <w:r w:rsidR="00602E6D">
          <w:rPr>
            <w:noProof/>
            <w:webHidden/>
          </w:rPr>
          <w:fldChar w:fldCharType="begin"/>
        </w:r>
        <w:r w:rsidR="00602E6D">
          <w:rPr>
            <w:noProof/>
            <w:webHidden/>
          </w:rPr>
          <w:instrText xml:space="preserve"> PAGEREF _Toc54954852 \h </w:instrText>
        </w:r>
        <w:r w:rsidR="00602E6D">
          <w:rPr>
            <w:noProof/>
            <w:webHidden/>
          </w:rPr>
        </w:r>
        <w:r w:rsidR="00602E6D">
          <w:rPr>
            <w:noProof/>
            <w:webHidden/>
          </w:rPr>
          <w:fldChar w:fldCharType="separate"/>
        </w:r>
        <w:r w:rsidR="00C47D05">
          <w:rPr>
            <w:noProof/>
            <w:webHidden/>
          </w:rPr>
          <w:t>62</w:t>
        </w:r>
        <w:r w:rsidR="00602E6D">
          <w:rPr>
            <w:noProof/>
            <w:webHidden/>
          </w:rPr>
          <w:fldChar w:fldCharType="end"/>
        </w:r>
      </w:hyperlink>
    </w:p>
    <w:p w14:paraId="19D9A6EB" w14:textId="686B6247" w:rsidR="00602E6D" w:rsidRDefault="00B7221C">
      <w:pPr>
        <w:pStyle w:val="TOC2"/>
        <w:rPr>
          <w:noProof/>
          <w:sz w:val="24"/>
          <w:szCs w:val="24"/>
        </w:rPr>
      </w:pPr>
      <w:hyperlink w:anchor="_Toc54954853" w:history="1">
        <w:r w:rsidR="00602E6D" w:rsidRPr="00350816">
          <w:rPr>
            <w:rStyle w:val="Hyperlink"/>
            <w:noProof/>
          </w:rPr>
          <w:t>7.2 Differences in health centre screening activity (kits given out by time available)</w:t>
        </w:r>
        <w:r w:rsidR="00602E6D">
          <w:rPr>
            <w:noProof/>
            <w:webHidden/>
          </w:rPr>
          <w:tab/>
        </w:r>
        <w:r w:rsidR="00602E6D">
          <w:rPr>
            <w:noProof/>
            <w:webHidden/>
          </w:rPr>
          <w:fldChar w:fldCharType="begin"/>
        </w:r>
        <w:r w:rsidR="00602E6D">
          <w:rPr>
            <w:noProof/>
            <w:webHidden/>
          </w:rPr>
          <w:instrText xml:space="preserve"> PAGEREF _Toc54954853 \h </w:instrText>
        </w:r>
        <w:r w:rsidR="00602E6D">
          <w:rPr>
            <w:noProof/>
            <w:webHidden/>
          </w:rPr>
        </w:r>
        <w:r w:rsidR="00602E6D">
          <w:rPr>
            <w:noProof/>
            <w:webHidden/>
          </w:rPr>
          <w:fldChar w:fldCharType="separate"/>
        </w:r>
        <w:r w:rsidR="00C47D05">
          <w:rPr>
            <w:noProof/>
            <w:webHidden/>
          </w:rPr>
          <w:t>69</w:t>
        </w:r>
        <w:r w:rsidR="00602E6D">
          <w:rPr>
            <w:noProof/>
            <w:webHidden/>
          </w:rPr>
          <w:fldChar w:fldCharType="end"/>
        </w:r>
      </w:hyperlink>
    </w:p>
    <w:p w14:paraId="4DE55099" w14:textId="552122C4" w:rsidR="00602E6D" w:rsidRDefault="00B7221C">
      <w:pPr>
        <w:pStyle w:val="TOC2"/>
        <w:rPr>
          <w:noProof/>
          <w:sz w:val="24"/>
          <w:szCs w:val="24"/>
        </w:rPr>
      </w:pPr>
      <w:hyperlink w:anchor="_Toc54954854" w:history="1">
        <w:r w:rsidR="00602E6D" w:rsidRPr="00350816">
          <w:rPr>
            <w:rStyle w:val="Hyperlink"/>
            <w:noProof/>
          </w:rPr>
          <w:t>7.3 Differences in health centre compliance with NBCSP requirements</w:t>
        </w:r>
        <w:r w:rsidR="00602E6D">
          <w:rPr>
            <w:noProof/>
            <w:webHidden/>
          </w:rPr>
          <w:tab/>
        </w:r>
        <w:r w:rsidR="00602E6D">
          <w:rPr>
            <w:noProof/>
            <w:webHidden/>
          </w:rPr>
          <w:fldChar w:fldCharType="begin"/>
        </w:r>
        <w:r w:rsidR="00602E6D">
          <w:rPr>
            <w:noProof/>
            <w:webHidden/>
          </w:rPr>
          <w:instrText xml:space="preserve"> PAGEREF _Toc54954854 \h </w:instrText>
        </w:r>
        <w:r w:rsidR="00602E6D">
          <w:rPr>
            <w:noProof/>
            <w:webHidden/>
          </w:rPr>
        </w:r>
        <w:r w:rsidR="00602E6D">
          <w:rPr>
            <w:noProof/>
            <w:webHidden/>
          </w:rPr>
          <w:fldChar w:fldCharType="separate"/>
        </w:r>
        <w:r w:rsidR="00C47D05">
          <w:rPr>
            <w:noProof/>
            <w:webHidden/>
          </w:rPr>
          <w:t>70</w:t>
        </w:r>
        <w:r w:rsidR="00602E6D">
          <w:rPr>
            <w:noProof/>
            <w:webHidden/>
          </w:rPr>
          <w:fldChar w:fldCharType="end"/>
        </w:r>
      </w:hyperlink>
    </w:p>
    <w:p w14:paraId="7151E581" w14:textId="6BCD3E13" w:rsidR="00602E6D" w:rsidRDefault="00B7221C">
      <w:pPr>
        <w:pStyle w:val="TOC1"/>
        <w:rPr>
          <w:rFonts w:asciiTheme="minorHAnsi" w:hAnsiTheme="minorHAnsi"/>
          <w:b w:val="0"/>
          <w:sz w:val="24"/>
          <w:szCs w:val="24"/>
        </w:rPr>
      </w:pPr>
      <w:hyperlink w:anchor="_Toc54954855" w:history="1">
        <w:r w:rsidR="00602E6D" w:rsidRPr="00350816">
          <w:rPr>
            <w:rStyle w:val="Hyperlink"/>
          </w:rPr>
          <w:t xml:space="preserve">8. RESULTS: SCREENING </w:t>
        </w:r>
        <w:r w:rsidR="00602E6D" w:rsidRPr="00350816">
          <w:rPr>
            <w:rStyle w:val="Hyperlink"/>
            <w:rFonts w:cs="Angsana New (Headings CS)"/>
          </w:rPr>
          <w:t>ACTIVITY</w:t>
        </w:r>
        <w:r w:rsidR="00602E6D" w:rsidRPr="00350816">
          <w:rPr>
            <w:rStyle w:val="Hyperlink"/>
          </w:rPr>
          <w:t xml:space="preserve"> </w:t>
        </w:r>
        <w:r w:rsidR="00602E6D" w:rsidRPr="00350816">
          <w:rPr>
            <w:rStyle w:val="Hyperlink"/>
            <w:rFonts w:cs="Angsana New (Headings CS)"/>
            <w:w w:val="97"/>
          </w:rPr>
          <w:t>AND</w:t>
        </w:r>
        <w:r w:rsidR="00602E6D" w:rsidRPr="00350816">
          <w:rPr>
            <w:rStyle w:val="Hyperlink"/>
          </w:rPr>
          <w:t xml:space="preserve"> OUTCOMES</w:t>
        </w:r>
        <w:r w:rsidR="00602E6D">
          <w:rPr>
            <w:webHidden/>
          </w:rPr>
          <w:tab/>
        </w:r>
        <w:r w:rsidR="00602E6D">
          <w:rPr>
            <w:webHidden/>
          </w:rPr>
          <w:fldChar w:fldCharType="begin"/>
        </w:r>
        <w:r w:rsidR="00602E6D">
          <w:rPr>
            <w:webHidden/>
          </w:rPr>
          <w:instrText xml:space="preserve"> PAGEREF _Toc54954855 \h </w:instrText>
        </w:r>
        <w:r w:rsidR="00602E6D">
          <w:rPr>
            <w:webHidden/>
          </w:rPr>
        </w:r>
        <w:r w:rsidR="00602E6D">
          <w:rPr>
            <w:webHidden/>
          </w:rPr>
          <w:fldChar w:fldCharType="separate"/>
        </w:r>
        <w:r w:rsidR="00C47D05">
          <w:rPr>
            <w:webHidden/>
          </w:rPr>
          <w:t>72</w:t>
        </w:r>
        <w:r w:rsidR="00602E6D">
          <w:rPr>
            <w:webHidden/>
          </w:rPr>
          <w:fldChar w:fldCharType="end"/>
        </w:r>
      </w:hyperlink>
    </w:p>
    <w:p w14:paraId="6DDE8397" w14:textId="368165BB" w:rsidR="00602E6D" w:rsidRDefault="00B7221C">
      <w:pPr>
        <w:pStyle w:val="TOC2"/>
        <w:rPr>
          <w:noProof/>
          <w:sz w:val="24"/>
          <w:szCs w:val="24"/>
        </w:rPr>
      </w:pPr>
      <w:hyperlink w:anchor="_Toc54954856" w:history="1">
        <w:r w:rsidR="00602E6D" w:rsidRPr="00350816">
          <w:rPr>
            <w:rStyle w:val="Hyperlink"/>
            <w:noProof/>
          </w:rPr>
          <w:t>8.1 Key results</w:t>
        </w:r>
        <w:r w:rsidR="00602E6D">
          <w:rPr>
            <w:noProof/>
            <w:webHidden/>
          </w:rPr>
          <w:tab/>
        </w:r>
        <w:r w:rsidR="00602E6D">
          <w:rPr>
            <w:noProof/>
            <w:webHidden/>
          </w:rPr>
          <w:fldChar w:fldCharType="begin"/>
        </w:r>
        <w:r w:rsidR="00602E6D">
          <w:rPr>
            <w:noProof/>
            <w:webHidden/>
          </w:rPr>
          <w:instrText xml:space="preserve"> PAGEREF _Toc54954856 \h </w:instrText>
        </w:r>
        <w:r w:rsidR="00602E6D">
          <w:rPr>
            <w:noProof/>
            <w:webHidden/>
          </w:rPr>
        </w:r>
        <w:r w:rsidR="00602E6D">
          <w:rPr>
            <w:noProof/>
            <w:webHidden/>
          </w:rPr>
          <w:fldChar w:fldCharType="separate"/>
        </w:r>
        <w:r w:rsidR="00C47D05">
          <w:rPr>
            <w:noProof/>
            <w:webHidden/>
          </w:rPr>
          <w:t>72</w:t>
        </w:r>
        <w:r w:rsidR="00602E6D">
          <w:rPr>
            <w:noProof/>
            <w:webHidden/>
          </w:rPr>
          <w:fldChar w:fldCharType="end"/>
        </w:r>
      </w:hyperlink>
    </w:p>
    <w:p w14:paraId="0C6B3045" w14:textId="353610E9" w:rsidR="00602E6D" w:rsidRDefault="00B7221C">
      <w:pPr>
        <w:pStyle w:val="TOC2"/>
        <w:rPr>
          <w:noProof/>
          <w:sz w:val="24"/>
          <w:szCs w:val="24"/>
        </w:rPr>
      </w:pPr>
      <w:hyperlink w:anchor="_Toc54954857" w:history="1">
        <w:r w:rsidR="00602E6D" w:rsidRPr="00350816">
          <w:rPr>
            <w:rStyle w:val="Hyperlink"/>
            <w:noProof/>
          </w:rPr>
          <w:t>8.3 Invitation rate, Alternative Pathway</w:t>
        </w:r>
        <w:r w:rsidR="00602E6D">
          <w:rPr>
            <w:noProof/>
            <w:webHidden/>
          </w:rPr>
          <w:tab/>
        </w:r>
        <w:r w:rsidR="00602E6D">
          <w:rPr>
            <w:noProof/>
            <w:webHidden/>
          </w:rPr>
          <w:fldChar w:fldCharType="begin"/>
        </w:r>
        <w:r w:rsidR="00602E6D">
          <w:rPr>
            <w:noProof/>
            <w:webHidden/>
          </w:rPr>
          <w:instrText xml:space="preserve"> PAGEREF _Toc54954857 \h </w:instrText>
        </w:r>
        <w:r w:rsidR="00602E6D">
          <w:rPr>
            <w:noProof/>
            <w:webHidden/>
          </w:rPr>
        </w:r>
        <w:r w:rsidR="00602E6D">
          <w:rPr>
            <w:noProof/>
            <w:webHidden/>
          </w:rPr>
          <w:fldChar w:fldCharType="separate"/>
        </w:r>
        <w:r w:rsidR="00C47D05">
          <w:rPr>
            <w:noProof/>
            <w:webHidden/>
          </w:rPr>
          <w:t>85</w:t>
        </w:r>
        <w:r w:rsidR="00602E6D">
          <w:rPr>
            <w:noProof/>
            <w:webHidden/>
          </w:rPr>
          <w:fldChar w:fldCharType="end"/>
        </w:r>
      </w:hyperlink>
    </w:p>
    <w:p w14:paraId="072776A6" w14:textId="2FE3381D" w:rsidR="00602E6D" w:rsidRDefault="00B7221C">
      <w:pPr>
        <w:pStyle w:val="TOC2"/>
        <w:rPr>
          <w:noProof/>
          <w:sz w:val="24"/>
          <w:szCs w:val="24"/>
        </w:rPr>
      </w:pPr>
      <w:hyperlink w:anchor="_Toc54954858" w:history="1">
        <w:r w:rsidR="00602E6D" w:rsidRPr="00350816">
          <w:rPr>
            <w:rStyle w:val="Hyperlink"/>
            <w:noProof/>
          </w:rPr>
          <w:t>8.4 Screening outcomes</w:t>
        </w:r>
        <w:r w:rsidR="00602E6D">
          <w:rPr>
            <w:noProof/>
            <w:webHidden/>
          </w:rPr>
          <w:tab/>
        </w:r>
        <w:r w:rsidR="00602E6D">
          <w:rPr>
            <w:noProof/>
            <w:webHidden/>
          </w:rPr>
          <w:fldChar w:fldCharType="begin"/>
        </w:r>
        <w:r w:rsidR="00602E6D">
          <w:rPr>
            <w:noProof/>
            <w:webHidden/>
          </w:rPr>
          <w:instrText xml:space="preserve"> PAGEREF _Toc54954858 \h </w:instrText>
        </w:r>
        <w:r w:rsidR="00602E6D">
          <w:rPr>
            <w:noProof/>
            <w:webHidden/>
          </w:rPr>
        </w:r>
        <w:r w:rsidR="00602E6D">
          <w:rPr>
            <w:noProof/>
            <w:webHidden/>
          </w:rPr>
          <w:fldChar w:fldCharType="separate"/>
        </w:r>
        <w:r w:rsidR="00C47D05">
          <w:rPr>
            <w:noProof/>
            <w:webHidden/>
          </w:rPr>
          <w:t>86</w:t>
        </w:r>
        <w:r w:rsidR="00602E6D">
          <w:rPr>
            <w:noProof/>
            <w:webHidden/>
          </w:rPr>
          <w:fldChar w:fldCharType="end"/>
        </w:r>
      </w:hyperlink>
    </w:p>
    <w:p w14:paraId="0FFF7EE5" w14:textId="1DC4EAB9" w:rsidR="00602E6D" w:rsidRDefault="00B7221C">
      <w:pPr>
        <w:pStyle w:val="TOC1"/>
        <w:rPr>
          <w:rFonts w:asciiTheme="minorHAnsi" w:hAnsiTheme="minorHAnsi"/>
          <w:b w:val="0"/>
          <w:sz w:val="24"/>
          <w:szCs w:val="24"/>
        </w:rPr>
      </w:pPr>
      <w:hyperlink w:anchor="_Toc54954859" w:history="1">
        <w:r w:rsidR="00602E6D" w:rsidRPr="00350816">
          <w:rPr>
            <w:rStyle w:val="Hyperlink"/>
          </w:rPr>
          <w:t>9. RESULTS: PERSPECTIVES OF INDIGENOUS PATIENTS</w:t>
        </w:r>
        <w:r w:rsidR="00602E6D">
          <w:rPr>
            <w:webHidden/>
          </w:rPr>
          <w:tab/>
        </w:r>
        <w:r w:rsidR="00602E6D">
          <w:rPr>
            <w:webHidden/>
          </w:rPr>
          <w:fldChar w:fldCharType="begin"/>
        </w:r>
        <w:r w:rsidR="00602E6D">
          <w:rPr>
            <w:webHidden/>
          </w:rPr>
          <w:instrText xml:space="preserve"> PAGEREF _Toc54954859 \h </w:instrText>
        </w:r>
        <w:r w:rsidR="00602E6D">
          <w:rPr>
            <w:webHidden/>
          </w:rPr>
        </w:r>
        <w:r w:rsidR="00602E6D">
          <w:rPr>
            <w:webHidden/>
          </w:rPr>
          <w:fldChar w:fldCharType="separate"/>
        </w:r>
        <w:r w:rsidR="00C47D05">
          <w:rPr>
            <w:webHidden/>
          </w:rPr>
          <w:t>89</w:t>
        </w:r>
        <w:r w:rsidR="00602E6D">
          <w:rPr>
            <w:webHidden/>
          </w:rPr>
          <w:fldChar w:fldCharType="end"/>
        </w:r>
      </w:hyperlink>
    </w:p>
    <w:p w14:paraId="57B3E0B2" w14:textId="53860FD8" w:rsidR="00602E6D" w:rsidRDefault="00B7221C">
      <w:pPr>
        <w:pStyle w:val="TOC2"/>
        <w:rPr>
          <w:noProof/>
          <w:sz w:val="24"/>
          <w:szCs w:val="24"/>
        </w:rPr>
      </w:pPr>
      <w:hyperlink w:anchor="_Toc54954860" w:history="1">
        <w:r w:rsidR="00602E6D" w:rsidRPr="00350816">
          <w:rPr>
            <w:rStyle w:val="Hyperlink"/>
            <w:noProof/>
          </w:rPr>
          <w:t>Perspectives of Indigenous patients who screened through the Alternative Pathway</w:t>
        </w:r>
        <w:r w:rsidR="00602E6D">
          <w:rPr>
            <w:noProof/>
            <w:webHidden/>
          </w:rPr>
          <w:tab/>
        </w:r>
        <w:r w:rsidR="00602E6D">
          <w:rPr>
            <w:noProof/>
            <w:webHidden/>
          </w:rPr>
          <w:fldChar w:fldCharType="begin"/>
        </w:r>
        <w:r w:rsidR="00602E6D">
          <w:rPr>
            <w:noProof/>
            <w:webHidden/>
          </w:rPr>
          <w:instrText xml:space="preserve"> PAGEREF _Toc54954860 \h </w:instrText>
        </w:r>
        <w:r w:rsidR="00602E6D">
          <w:rPr>
            <w:noProof/>
            <w:webHidden/>
          </w:rPr>
        </w:r>
        <w:r w:rsidR="00602E6D">
          <w:rPr>
            <w:noProof/>
            <w:webHidden/>
          </w:rPr>
          <w:fldChar w:fldCharType="separate"/>
        </w:r>
        <w:r w:rsidR="00C47D05">
          <w:rPr>
            <w:noProof/>
            <w:webHidden/>
          </w:rPr>
          <w:t>89</w:t>
        </w:r>
        <w:r w:rsidR="00602E6D">
          <w:rPr>
            <w:noProof/>
            <w:webHidden/>
          </w:rPr>
          <w:fldChar w:fldCharType="end"/>
        </w:r>
      </w:hyperlink>
    </w:p>
    <w:p w14:paraId="2ABFEDC6" w14:textId="6EE5CA79" w:rsidR="00602E6D" w:rsidRDefault="00B7221C">
      <w:pPr>
        <w:pStyle w:val="TOC1"/>
        <w:rPr>
          <w:rFonts w:asciiTheme="minorHAnsi" w:hAnsiTheme="minorHAnsi"/>
          <w:b w:val="0"/>
          <w:sz w:val="24"/>
          <w:szCs w:val="24"/>
        </w:rPr>
      </w:pPr>
      <w:hyperlink w:anchor="_Toc54954861" w:history="1">
        <w:r w:rsidR="00602E6D" w:rsidRPr="00350816">
          <w:rPr>
            <w:rStyle w:val="Hyperlink"/>
          </w:rPr>
          <w:t>10. FINDINGS</w:t>
        </w:r>
        <w:r w:rsidR="00602E6D">
          <w:rPr>
            <w:webHidden/>
          </w:rPr>
          <w:tab/>
        </w:r>
        <w:r w:rsidR="00602E6D">
          <w:rPr>
            <w:webHidden/>
          </w:rPr>
          <w:fldChar w:fldCharType="begin"/>
        </w:r>
        <w:r w:rsidR="00602E6D">
          <w:rPr>
            <w:webHidden/>
          </w:rPr>
          <w:instrText xml:space="preserve"> PAGEREF _Toc54954861 \h </w:instrText>
        </w:r>
        <w:r w:rsidR="00602E6D">
          <w:rPr>
            <w:webHidden/>
          </w:rPr>
        </w:r>
        <w:r w:rsidR="00602E6D">
          <w:rPr>
            <w:webHidden/>
          </w:rPr>
          <w:fldChar w:fldCharType="separate"/>
        </w:r>
        <w:r w:rsidR="00C47D05">
          <w:rPr>
            <w:webHidden/>
          </w:rPr>
          <w:t>95</w:t>
        </w:r>
        <w:r w:rsidR="00602E6D">
          <w:rPr>
            <w:webHidden/>
          </w:rPr>
          <w:fldChar w:fldCharType="end"/>
        </w:r>
      </w:hyperlink>
    </w:p>
    <w:p w14:paraId="201187FE" w14:textId="007DC75B" w:rsidR="00602E6D" w:rsidRDefault="00B7221C">
      <w:pPr>
        <w:pStyle w:val="TOC2"/>
        <w:rPr>
          <w:noProof/>
          <w:sz w:val="24"/>
          <w:szCs w:val="24"/>
        </w:rPr>
      </w:pPr>
      <w:hyperlink w:anchor="_Toc54954862" w:history="1">
        <w:r w:rsidR="00602E6D" w:rsidRPr="00350816">
          <w:rPr>
            <w:rStyle w:val="Hyperlink"/>
            <w:noProof/>
          </w:rPr>
          <w:t>10.1 What support did health centres require to offer the Alternative Pathway?</w:t>
        </w:r>
        <w:r w:rsidR="00602E6D">
          <w:rPr>
            <w:noProof/>
            <w:webHidden/>
          </w:rPr>
          <w:tab/>
        </w:r>
        <w:r w:rsidR="00602E6D">
          <w:rPr>
            <w:noProof/>
            <w:webHidden/>
          </w:rPr>
          <w:fldChar w:fldCharType="begin"/>
        </w:r>
        <w:r w:rsidR="00602E6D">
          <w:rPr>
            <w:noProof/>
            <w:webHidden/>
          </w:rPr>
          <w:instrText xml:space="preserve"> PAGEREF _Toc54954862 \h </w:instrText>
        </w:r>
        <w:r w:rsidR="00602E6D">
          <w:rPr>
            <w:noProof/>
            <w:webHidden/>
          </w:rPr>
        </w:r>
        <w:r w:rsidR="00602E6D">
          <w:rPr>
            <w:noProof/>
            <w:webHidden/>
          </w:rPr>
          <w:fldChar w:fldCharType="separate"/>
        </w:r>
        <w:r w:rsidR="00C47D05">
          <w:rPr>
            <w:noProof/>
            <w:webHidden/>
          </w:rPr>
          <w:t>95</w:t>
        </w:r>
        <w:r w:rsidR="00602E6D">
          <w:rPr>
            <w:noProof/>
            <w:webHidden/>
          </w:rPr>
          <w:fldChar w:fldCharType="end"/>
        </w:r>
      </w:hyperlink>
    </w:p>
    <w:p w14:paraId="5B9AE48D" w14:textId="143CC0C8" w:rsidR="00602E6D" w:rsidRDefault="00B7221C">
      <w:pPr>
        <w:pStyle w:val="TOC2"/>
        <w:rPr>
          <w:noProof/>
          <w:sz w:val="24"/>
          <w:szCs w:val="24"/>
        </w:rPr>
      </w:pPr>
      <w:hyperlink w:anchor="_Toc54954863" w:history="1">
        <w:r w:rsidR="00602E6D" w:rsidRPr="00350816">
          <w:rPr>
            <w:rStyle w:val="Hyperlink"/>
            <w:noProof/>
          </w:rPr>
          <w:t>10.2 Did the Alternative Pathway increase screening participation?</w:t>
        </w:r>
        <w:r w:rsidR="00602E6D">
          <w:rPr>
            <w:noProof/>
            <w:webHidden/>
          </w:rPr>
          <w:tab/>
        </w:r>
        <w:r w:rsidR="00602E6D">
          <w:rPr>
            <w:noProof/>
            <w:webHidden/>
          </w:rPr>
          <w:fldChar w:fldCharType="begin"/>
        </w:r>
        <w:r w:rsidR="00602E6D">
          <w:rPr>
            <w:noProof/>
            <w:webHidden/>
          </w:rPr>
          <w:instrText xml:space="preserve"> PAGEREF _Toc54954863 \h </w:instrText>
        </w:r>
        <w:r w:rsidR="00602E6D">
          <w:rPr>
            <w:noProof/>
            <w:webHidden/>
          </w:rPr>
        </w:r>
        <w:r w:rsidR="00602E6D">
          <w:rPr>
            <w:noProof/>
            <w:webHidden/>
          </w:rPr>
          <w:fldChar w:fldCharType="separate"/>
        </w:r>
        <w:r w:rsidR="00C47D05">
          <w:rPr>
            <w:noProof/>
            <w:webHidden/>
          </w:rPr>
          <w:t>102</w:t>
        </w:r>
        <w:r w:rsidR="00602E6D">
          <w:rPr>
            <w:noProof/>
            <w:webHidden/>
          </w:rPr>
          <w:fldChar w:fldCharType="end"/>
        </w:r>
      </w:hyperlink>
    </w:p>
    <w:p w14:paraId="603EE7C9" w14:textId="4B6DB2F5" w:rsidR="00602E6D" w:rsidRDefault="00B7221C">
      <w:pPr>
        <w:pStyle w:val="TOC2"/>
        <w:rPr>
          <w:noProof/>
          <w:sz w:val="24"/>
          <w:szCs w:val="24"/>
        </w:rPr>
      </w:pPr>
      <w:hyperlink w:anchor="_Toc54954864" w:history="1">
        <w:r w:rsidR="00602E6D" w:rsidRPr="00350816">
          <w:rPr>
            <w:rStyle w:val="Hyperlink"/>
            <w:noProof/>
          </w:rPr>
          <w:t>10.3 Delivery of the Alternative Pathway by Pilot health centres</w:t>
        </w:r>
        <w:r w:rsidR="00602E6D">
          <w:rPr>
            <w:noProof/>
            <w:webHidden/>
          </w:rPr>
          <w:tab/>
        </w:r>
        <w:r w:rsidR="00602E6D">
          <w:rPr>
            <w:noProof/>
            <w:webHidden/>
          </w:rPr>
          <w:fldChar w:fldCharType="begin"/>
        </w:r>
        <w:r w:rsidR="00602E6D">
          <w:rPr>
            <w:noProof/>
            <w:webHidden/>
          </w:rPr>
          <w:instrText xml:space="preserve"> PAGEREF _Toc54954864 \h </w:instrText>
        </w:r>
        <w:r w:rsidR="00602E6D">
          <w:rPr>
            <w:noProof/>
            <w:webHidden/>
          </w:rPr>
        </w:r>
        <w:r w:rsidR="00602E6D">
          <w:rPr>
            <w:noProof/>
            <w:webHidden/>
          </w:rPr>
          <w:fldChar w:fldCharType="separate"/>
        </w:r>
        <w:r w:rsidR="00C47D05">
          <w:rPr>
            <w:noProof/>
            <w:webHidden/>
          </w:rPr>
          <w:t>105</w:t>
        </w:r>
        <w:r w:rsidR="00602E6D">
          <w:rPr>
            <w:noProof/>
            <w:webHidden/>
          </w:rPr>
          <w:fldChar w:fldCharType="end"/>
        </w:r>
      </w:hyperlink>
    </w:p>
    <w:p w14:paraId="684EFFCE" w14:textId="599253BA" w:rsidR="00602E6D" w:rsidRDefault="00B7221C">
      <w:pPr>
        <w:pStyle w:val="TOC2"/>
        <w:rPr>
          <w:noProof/>
          <w:sz w:val="24"/>
          <w:szCs w:val="24"/>
        </w:rPr>
      </w:pPr>
      <w:hyperlink w:anchor="_Toc54954865" w:history="1">
        <w:r w:rsidR="00602E6D" w:rsidRPr="00350816">
          <w:rPr>
            <w:rStyle w:val="Hyperlink"/>
            <w:noProof/>
          </w:rPr>
          <w:t>10.4 Cost-effectiveness of support</w:t>
        </w:r>
        <w:r w:rsidR="00602E6D">
          <w:rPr>
            <w:noProof/>
            <w:webHidden/>
          </w:rPr>
          <w:tab/>
        </w:r>
        <w:r w:rsidR="00602E6D">
          <w:rPr>
            <w:noProof/>
            <w:webHidden/>
          </w:rPr>
          <w:fldChar w:fldCharType="begin"/>
        </w:r>
        <w:r w:rsidR="00602E6D">
          <w:rPr>
            <w:noProof/>
            <w:webHidden/>
          </w:rPr>
          <w:instrText xml:space="preserve"> PAGEREF _Toc54954865 \h </w:instrText>
        </w:r>
        <w:r w:rsidR="00602E6D">
          <w:rPr>
            <w:noProof/>
            <w:webHidden/>
          </w:rPr>
        </w:r>
        <w:r w:rsidR="00602E6D">
          <w:rPr>
            <w:noProof/>
            <w:webHidden/>
          </w:rPr>
          <w:fldChar w:fldCharType="separate"/>
        </w:r>
        <w:r w:rsidR="00C47D05">
          <w:rPr>
            <w:noProof/>
            <w:webHidden/>
          </w:rPr>
          <w:t>106</w:t>
        </w:r>
        <w:r w:rsidR="00602E6D">
          <w:rPr>
            <w:noProof/>
            <w:webHidden/>
          </w:rPr>
          <w:fldChar w:fldCharType="end"/>
        </w:r>
      </w:hyperlink>
    </w:p>
    <w:p w14:paraId="39B8705B" w14:textId="4FF7863E" w:rsidR="00602E6D" w:rsidRDefault="00B7221C">
      <w:pPr>
        <w:pStyle w:val="TOC2"/>
        <w:rPr>
          <w:noProof/>
          <w:sz w:val="24"/>
          <w:szCs w:val="24"/>
        </w:rPr>
      </w:pPr>
      <w:hyperlink w:anchor="_Toc54954866" w:history="1">
        <w:r w:rsidR="00602E6D" w:rsidRPr="00350816">
          <w:rPr>
            <w:rStyle w:val="Hyperlink"/>
            <w:noProof/>
          </w:rPr>
          <w:t>10.5 Considerations for further rollout</w:t>
        </w:r>
        <w:r w:rsidR="00602E6D">
          <w:rPr>
            <w:noProof/>
            <w:webHidden/>
          </w:rPr>
          <w:tab/>
        </w:r>
        <w:r w:rsidR="00602E6D">
          <w:rPr>
            <w:noProof/>
            <w:webHidden/>
          </w:rPr>
          <w:fldChar w:fldCharType="begin"/>
        </w:r>
        <w:r w:rsidR="00602E6D">
          <w:rPr>
            <w:noProof/>
            <w:webHidden/>
          </w:rPr>
          <w:instrText xml:space="preserve"> PAGEREF _Toc54954866 \h </w:instrText>
        </w:r>
        <w:r w:rsidR="00602E6D">
          <w:rPr>
            <w:noProof/>
            <w:webHidden/>
          </w:rPr>
        </w:r>
        <w:r w:rsidR="00602E6D">
          <w:rPr>
            <w:noProof/>
            <w:webHidden/>
          </w:rPr>
          <w:fldChar w:fldCharType="separate"/>
        </w:r>
        <w:r w:rsidR="00C47D05">
          <w:rPr>
            <w:noProof/>
            <w:webHidden/>
          </w:rPr>
          <w:t>108</w:t>
        </w:r>
        <w:r w:rsidR="00602E6D">
          <w:rPr>
            <w:noProof/>
            <w:webHidden/>
          </w:rPr>
          <w:fldChar w:fldCharType="end"/>
        </w:r>
      </w:hyperlink>
    </w:p>
    <w:p w14:paraId="73BB29D3" w14:textId="3D7083B3" w:rsidR="00602E6D" w:rsidRDefault="00B7221C">
      <w:pPr>
        <w:pStyle w:val="TOC1"/>
        <w:rPr>
          <w:rFonts w:asciiTheme="minorHAnsi" w:hAnsiTheme="minorHAnsi"/>
          <w:b w:val="0"/>
          <w:sz w:val="24"/>
          <w:szCs w:val="24"/>
        </w:rPr>
      </w:pPr>
      <w:hyperlink w:anchor="_Toc54954867" w:history="1">
        <w:r w:rsidR="00602E6D" w:rsidRPr="00350816">
          <w:rPr>
            <w:rStyle w:val="Hyperlink"/>
          </w:rPr>
          <w:t>Appendix A</w:t>
        </w:r>
        <w:r w:rsidR="00602E6D">
          <w:rPr>
            <w:webHidden/>
          </w:rPr>
          <w:tab/>
        </w:r>
        <w:r w:rsidR="00602E6D">
          <w:rPr>
            <w:webHidden/>
          </w:rPr>
          <w:fldChar w:fldCharType="begin"/>
        </w:r>
        <w:r w:rsidR="00602E6D">
          <w:rPr>
            <w:webHidden/>
          </w:rPr>
          <w:instrText xml:space="preserve"> PAGEREF _Toc54954867 \h </w:instrText>
        </w:r>
        <w:r w:rsidR="00602E6D">
          <w:rPr>
            <w:webHidden/>
          </w:rPr>
        </w:r>
        <w:r w:rsidR="00602E6D">
          <w:rPr>
            <w:webHidden/>
          </w:rPr>
          <w:fldChar w:fldCharType="separate"/>
        </w:r>
        <w:r w:rsidR="00C47D05">
          <w:rPr>
            <w:webHidden/>
          </w:rPr>
          <w:t>111</w:t>
        </w:r>
        <w:r w:rsidR="00602E6D">
          <w:rPr>
            <w:webHidden/>
          </w:rPr>
          <w:fldChar w:fldCharType="end"/>
        </w:r>
      </w:hyperlink>
    </w:p>
    <w:p w14:paraId="6E406A87" w14:textId="648CCB95" w:rsidR="00602E6D" w:rsidRDefault="00B7221C">
      <w:pPr>
        <w:pStyle w:val="TOC2"/>
        <w:rPr>
          <w:noProof/>
          <w:sz w:val="24"/>
          <w:szCs w:val="24"/>
        </w:rPr>
      </w:pPr>
      <w:hyperlink w:anchor="_Toc54954868" w:history="1">
        <w:r w:rsidR="00602E6D" w:rsidRPr="00350816">
          <w:rPr>
            <w:rStyle w:val="Hyperlink"/>
            <w:noProof/>
          </w:rPr>
          <w:t>Stakeholder engagement</w:t>
        </w:r>
        <w:r w:rsidR="00602E6D">
          <w:rPr>
            <w:noProof/>
            <w:webHidden/>
          </w:rPr>
          <w:tab/>
        </w:r>
        <w:r w:rsidR="00602E6D">
          <w:rPr>
            <w:noProof/>
            <w:webHidden/>
          </w:rPr>
          <w:fldChar w:fldCharType="begin"/>
        </w:r>
        <w:r w:rsidR="00602E6D">
          <w:rPr>
            <w:noProof/>
            <w:webHidden/>
          </w:rPr>
          <w:instrText xml:space="preserve"> PAGEREF _Toc54954868 \h </w:instrText>
        </w:r>
        <w:r w:rsidR="00602E6D">
          <w:rPr>
            <w:noProof/>
            <w:webHidden/>
          </w:rPr>
        </w:r>
        <w:r w:rsidR="00602E6D">
          <w:rPr>
            <w:noProof/>
            <w:webHidden/>
          </w:rPr>
          <w:fldChar w:fldCharType="separate"/>
        </w:r>
        <w:r w:rsidR="00C47D05">
          <w:rPr>
            <w:noProof/>
            <w:webHidden/>
          </w:rPr>
          <w:t>111</w:t>
        </w:r>
        <w:r w:rsidR="00602E6D">
          <w:rPr>
            <w:noProof/>
            <w:webHidden/>
          </w:rPr>
          <w:fldChar w:fldCharType="end"/>
        </w:r>
      </w:hyperlink>
    </w:p>
    <w:p w14:paraId="3843A605" w14:textId="09C9AF7E" w:rsidR="00602E6D" w:rsidRDefault="00B7221C">
      <w:pPr>
        <w:pStyle w:val="TOC1"/>
        <w:rPr>
          <w:rFonts w:asciiTheme="minorHAnsi" w:hAnsiTheme="minorHAnsi"/>
          <w:b w:val="0"/>
          <w:sz w:val="24"/>
          <w:szCs w:val="24"/>
        </w:rPr>
      </w:pPr>
      <w:hyperlink w:anchor="_Toc54954869" w:history="1">
        <w:r w:rsidR="00602E6D" w:rsidRPr="00350816">
          <w:rPr>
            <w:rStyle w:val="Hyperlink"/>
          </w:rPr>
          <w:t>Appendix B</w:t>
        </w:r>
        <w:r w:rsidR="00602E6D">
          <w:rPr>
            <w:webHidden/>
          </w:rPr>
          <w:tab/>
        </w:r>
        <w:r w:rsidR="00602E6D">
          <w:rPr>
            <w:webHidden/>
          </w:rPr>
          <w:fldChar w:fldCharType="begin"/>
        </w:r>
        <w:r w:rsidR="00602E6D">
          <w:rPr>
            <w:webHidden/>
          </w:rPr>
          <w:instrText xml:space="preserve"> PAGEREF _Toc54954869 \h </w:instrText>
        </w:r>
        <w:r w:rsidR="00602E6D">
          <w:rPr>
            <w:webHidden/>
          </w:rPr>
        </w:r>
        <w:r w:rsidR="00602E6D">
          <w:rPr>
            <w:webHidden/>
          </w:rPr>
          <w:fldChar w:fldCharType="separate"/>
        </w:r>
        <w:r w:rsidR="00C47D05">
          <w:rPr>
            <w:webHidden/>
          </w:rPr>
          <w:t>113</w:t>
        </w:r>
        <w:r w:rsidR="00602E6D">
          <w:rPr>
            <w:webHidden/>
          </w:rPr>
          <w:fldChar w:fldCharType="end"/>
        </w:r>
      </w:hyperlink>
    </w:p>
    <w:p w14:paraId="1644D3BA" w14:textId="4CE1A96C" w:rsidR="00602E6D" w:rsidRDefault="00B7221C">
      <w:pPr>
        <w:pStyle w:val="TOC2"/>
        <w:rPr>
          <w:noProof/>
          <w:sz w:val="24"/>
          <w:szCs w:val="24"/>
        </w:rPr>
      </w:pPr>
      <w:hyperlink w:anchor="_Toc54954870" w:history="1">
        <w:r w:rsidR="00602E6D" w:rsidRPr="00350816">
          <w:rPr>
            <w:rStyle w:val="Hyperlink"/>
            <w:noProof/>
          </w:rPr>
          <w:t>Evaluation questions</w:t>
        </w:r>
        <w:r w:rsidR="00602E6D">
          <w:rPr>
            <w:noProof/>
            <w:webHidden/>
          </w:rPr>
          <w:tab/>
        </w:r>
        <w:r w:rsidR="00602E6D">
          <w:rPr>
            <w:noProof/>
            <w:webHidden/>
          </w:rPr>
          <w:fldChar w:fldCharType="begin"/>
        </w:r>
        <w:r w:rsidR="00602E6D">
          <w:rPr>
            <w:noProof/>
            <w:webHidden/>
          </w:rPr>
          <w:instrText xml:space="preserve"> PAGEREF _Toc54954870 \h </w:instrText>
        </w:r>
        <w:r w:rsidR="00602E6D">
          <w:rPr>
            <w:noProof/>
            <w:webHidden/>
          </w:rPr>
        </w:r>
        <w:r w:rsidR="00602E6D">
          <w:rPr>
            <w:noProof/>
            <w:webHidden/>
          </w:rPr>
          <w:fldChar w:fldCharType="separate"/>
        </w:r>
        <w:r w:rsidR="00C47D05">
          <w:rPr>
            <w:noProof/>
            <w:webHidden/>
          </w:rPr>
          <w:t>113</w:t>
        </w:r>
        <w:r w:rsidR="00602E6D">
          <w:rPr>
            <w:noProof/>
            <w:webHidden/>
          </w:rPr>
          <w:fldChar w:fldCharType="end"/>
        </w:r>
      </w:hyperlink>
    </w:p>
    <w:p w14:paraId="697B4C1A" w14:textId="5080309C" w:rsidR="00602E6D" w:rsidRDefault="00B7221C">
      <w:pPr>
        <w:pStyle w:val="TOC1"/>
        <w:rPr>
          <w:rFonts w:asciiTheme="minorHAnsi" w:hAnsiTheme="minorHAnsi"/>
          <w:b w:val="0"/>
          <w:sz w:val="24"/>
          <w:szCs w:val="24"/>
        </w:rPr>
      </w:pPr>
      <w:hyperlink w:anchor="_Toc54954871" w:history="1">
        <w:r w:rsidR="00602E6D" w:rsidRPr="00350816">
          <w:rPr>
            <w:rStyle w:val="Hyperlink"/>
          </w:rPr>
          <w:t>Appendix C</w:t>
        </w:r>
        <w:r w:rsidR="00602E6D">
          <w:rPr>
            <w:webHidden/>
          </w:rPr>
          <w:tab/>
        </w:r>
        <w:r w:rsidR="00602E6D">
          <w:rPr>
            <w:webHidden/>
          </w:rPr>
          <w:fldChar w:fldCharType="begin"/>
        </w:r>
        <w:r w:rsidR="00602E6D">
          <w:rPr>
            <w:webHidden/>
          </w:rPr>
          <w:instrText xml:space="preserve"> PAGEREF _Toc54954871 \h </w:instrText>
        </w:r>
        <w:r w:rsidR="00602E6D">
          <w:rPr>
            <w:webHidden/>
          </w:rPr>
        </w:r>
        <w:r w:rsidR="00602E6D">
          <w:rPr>
            <w:webHidden/>
          </w:rPr>
          <w:fldChar w:fldCharType="separate"/>
        </w:r>
        <w:r w:rsidR="00C47D05">
          <w:rPr>
            <w:webHidden/>
          </w:rPr>
          <w:t>115</w:t>
        </w:r>
        <w:r w:rsidR="00602E6D">
          <w:rPr>
            <w:webHidden/>
          </w:rPr>
          <w:fldChar w:fldCharType="end"/>
        </w:r>
      </w:hyperlink>
    </w:p>
    <w:p w14:paraId="3A2370DD" w14:textId="01C160D5" w:rsidR="00602E6D" w:rsidRDefault="00B7221C">
      <w:pPr>
        <w:pStyle w:val="TOC2"/>
        <w:rPr>
          <w:noProof/>
          <w:sz w:val="24"/>
          <w:szCs w:val="24"/>
        </w:rPr>
      </w:pPr>
      <w:hyperlink w:anchor="_Toc54954872" w:history="1">
        <w:r w:rsidR="00602E6D" w:rsidRPr="00350816">
          <w:rPr>
            <w:rStyle w:val="Hyperlink"/>
            <w:noProof/>
          </w:rPr>
          <w:t>Training needs analysis: Indigenous Health Workers</w:t>
        </w:r>
        <w:r w:rsidR="00602E6D">
          <w:rPr>
            <w:noProof/>
            <w:webHidden/>
          </w:rPr>
          <w:tab/>
        </w:r>
        <w:r w:rsidR="00602E6D">
          <w:rPr>
            <w:noProof/>
            <w:webHidden/>
          </w:rPr>
          <w:fldChar w:fldCharType="begin"/>
        </w:r>
        <w:r w:rsidR="00602E6D">
          <w:rPr>
            <w:noProof/>
            <w:webHidden/>
          </w:rPr>
          <w:instrText xml:space="preserve"> PAGEREF _Toc54954872 \h </w:instrText>
        </w:r>
        <w:r w:rsidR="00602E6D">
          <w:rPr>
            <w:noProof/>
            <w:webHidden/>
          </w:rPr>
        </w:r>
        <w:r w:rsidR="00602E6D">
          <w:rPr>
            <w:noProof/>
            <w:webHidden/>
          </w:rPr>
          <w:fldChar w:fldCharType="separate"/>
        </w:r>
        <w:r w:rsidR="00C47D05">
          <w:rPr>
            <w:noProof/>
            <w:webHidden/>
          </w:rPr>
          <w:t>115</w:t>
        </w:r>
        <w:r w:rsidR="00602E6D">
          <w:rPr>
            <w:noProof/>
            <w:webHidden/>
          </w:rPr>
          <w:fldChar w:fldCharType="end"/>
        </w:r>
      </w:hyperlink>
    </w:p>
    <w:p w14:paraId="7CADABF1" w14:textId="5EA26832" w:rsidR="00602E6D" w:rsidRDefault="00B7221C">
      <w:pPr>
        <w:pStyle w:val="TOC1"/>
        <w:rPr>
          <w:rFonts w:asciiTheme="minorHAnsi" w:hAnsiTheme="minorHAnsi"/>
          <w:b w:val="0"/>
          <w:sz w:val="24"/>
          <w:szCs w:val="24"/>
        </w:rPr>
      </w:pPr>
      <w:hyperlink w:anchor="_Toc54954873" w:history="1">
        <w:r w:rsidR="00602E6D" w:rsidRPr="00350816">
          <w:rPr>
            <w:rStyle w:val="Hyperlink"/>
          </w:rPr>
          <w:t>Appendix D</w:t>
        </w:r>
        <w:r w:rsidR="00602E6D">
          <w:rPr>
            <w:webHidden/>
          </w:rPr>
          <w:tab/>
        </w:r>
        <w:r w:rsidR="00602E6D">
          <w:rPr>
            <w:webHidden/>
          </w:rPr>
          <w:fldChar w:fldCharType="begin"/>
        </w:r>
        <w:r w:rsidR="00602E6D">
          <w:rPr>
            <w:webHidden/>
          </w:rPr>
          <w:instrText xml:space="preserve"> PAGEREF _Toc54954873 \h </w:instrText>
        </w:r>
        <w:r w:rsidR="00602E6D">
          <w:rPr>
            <w:webHidden/>
          </w:rPr>
        </w:r>
        <w:r w:rsidR="00602E6D">
          <w:rPr>
            <w:webHidden/>
          </w:rPr>
          <w:fldChar w:fldCharType="separate"/>
        </w:r>
        <w:r w:rsidR="00C47D05">
          <w:rPr>
            <w:webHidden/>
          </w:rPr>
          <w:t>119</w:t>
        </w:r>
        <w:r w:rsidR="00602E6D">
          <w:rPr>
            <w:webHidden/>
          </w:rPr>
          <w:fldChar w:fldCharType="end"/>
        </w:r>
      </w:hyperlink>
    </w:p>
    <w:p w14:paraId="2DAA3EB4" w14:textId="46FFA7AB" w:rsidR="00602E6D" w:rsidRDefault="00B7221C">
      <w:pPr>
        <w:pStyle w:val="TOC2"/>
        <w:rPr>
          <w:noProof/>
          <w:sz w:val="24"/>
          <w:szCs w:val="24"/>
        </w:rPr>
      </w:pPr>
      <w:hyperlink w:anchor="_Toc54954874" w:history="1">
        <w:r w:rsidR="00602E6D" w:rsidRPr="00350816">
          <w:rPr>
            <w:rStyle w:val="Hyperlink"/>
            <w:noProof/>
          </w:rPr>
          <w:t>Quality and Safety Checklist process</w:t>
        </w:r>
        <w:r w:rsidR="00602E6D">
          <w:rPr>
            <w:noProof/>
            <w:webHidden/>
          </w:rPr>
          <w:tab/>
        </w:r>
        <w:r w:rsidR="00602E6D">
          <w:rPr>
            <w:noProof/>
            <w:webHidden/>
          </w:rPr>
          <w:fldChar w:fldCharType="begin"/>
        </w:r>
        <w:r w:rsidR="00602E6D">
          <w:rPr>
            <w:noProof/>
            <w:webHidden/>
          </w:rPr>
          <w:instrText xml:space="preserve"> PAGEREF _Toc54954874 \h </w:instrText>
        </w:r>
        <w:r w:rsidR="00602E6D">
          <w:rPr>
            <w:noProof/>
            <w:webHidden/>
          </w:rPr>
        </w:r>
        <w:r w:rsidR="00602E6D">
          <w:rPr>
            <w:noProof/>
            <w:webHidden/>
          </w:rPr>
          <w:fldChar w:fldCharType="separate"/>
        </w:r>
        <w:r w:rsidR="00C47D05">
          <w:rPr>
            <w:noProof/>
            <w:webHidden/>
          </w:rPr>
          <w:t>119</w:t>
        </w:r>
        <w:r w:rsidR="00602E6D">
          <w:rPr>
            <w:noProof/>
            <w:webHidden/>
          </w:rPr>
          <w:fldChar w:fldCharType="end"/>
        </w:r>
      </w:hyperlink>
    </w:p>
    <w:p w14:paraId="7734467F" w14:textId="4312CF74" w:rsidR="00602E6D" w:rsidRDefault="00B7221C">
      <w:pPr>
        <w:pStyle w:val="TOC1"/>
        <w:rPr>
          <w:rFonts w:asciiTheme="minorHAnsi" w:hAnsiTheme="minorHAnsi"/>
          <w:b w:val="0"/>
          <w:sz w:val="24"/>
          <w:szCs w:val="24"/>
        </w:rPr>
      </w:pPr>
      <w:hyperlink w:anchor="_Toc54954875" w:history="1">
        <w:r w:rsidR="00602E6D" w:rsidRPr="00350816">
          <w:rPr>
            <w:rStyle w:val="Hyperlink"/>
          </w:rPr>
          <w:t>Appendix E</w:t>
        </w:r>
        <w:r w:rsidR="00602E6D">
          <w:rPr>
            <w:webHidden/>
          </w:rPr>
          <w:tab/>
        </w:r>
        <w:r w:rsidR="00602E6D">
          <w:rPr>
            <w:webHidden/>
          </w:rPr>
          <w:fldChar w:fldCharType="begin"/>
        </w:r>
        <w:r w:rsidR="00602E6D">
          <w:rPr>
            <w:webHidden/>
          </w:rPr>
          <w:instrText xml:space="preserve"> PAGEREF _Toc54954875 \h </w:instrText>
        </w:r>
        <w:r w:rsidR="00602E6D">
          <w:rPr>
            <w:webHidden/>
          </w:rPr>
        </w:r>
        <w:r w:rsidR="00602E6D">
          <w:rPr>
            <w:webHidden/>
          </w:rPr>
          <w:fldChar w:fldCharType="separate"/>
        </w:r>
        <w:r w:rsidR="00C47D05">
          <w:rPr>
            <w:webHidden/>
          </w:rPr>
          <w:t>121</w:t>
        </w:r>
        <w:r w:rsidR="00602E6D">
          <w:rPr>
            <w:webHidden/>
          </w:rPr>
          <w:fldChar w:fldCharType="end"/>
        </w:r>
      </w:hyperlink>
    </w:p>
    <w:p w14:paraId="2B815E70" w14:textId="714210F0" w:rsidR="00602E6D" w:rsidRDefault="00B7221C">
      <w:pPr>
        <w:pStyle w:val="TOC2"/>
        <w:rPr>
          <w:noProof/>
          <w:sz w:val="24"/>
          <w:szCs w:val="24"/>
        </w:rPr>
      </w:pPr>
      <w:hyperlink w:anchor="_Toc54954876" w:history="1">
        <w:r w:rsidR="00602E6D" w:rsidRPr="00350816">
          <w:rPr>
            <w:rStyle w:val="Hyperlink"/>
            <w:noProof/>
          </w:rPr>
          <w:t>Methods for pre- and post-training survey development and analysis</w:t>
        </w:r>
        <w:r w:rsidR="00602E6D">
          <w:rPr>
            <w:noProof/>
            <w:webHidden/>
          </w:rPr>
          <w:tab/>
        </w:r>
        <w:r w:rsidR="00602E6D">
          <w:rPr>
            <w:noProof/>
            <w:webHidden/>
          </w:rPr>
          <w:fldChar w:fldCharType="begin"/>
        </w:r>
        <w:r w:rsidR="00602E6D">
          <w:rPr>
            <w:noProof/>
            <w:webHidden/>
          </w:rPr>
          <w:instrText xml:space="preserve"> PAGEREF _Toc54954876 \h </w:instrText>
        </w:r>
        <w:r w:rsidR="00602E6D">
          <w:rPr>
            <w:noProof/>
            <w:webHidden/>
          </w:rPr>
        </w:r>
        <w:r w:rsidR="00602E6D">
          <w:rPr>
            <w:noProof/>
            <w:webHidden/>
          </w:rPr>
          <w:fldChar w:fldCharType="separate"/>
        </w:r>
        <w:r w:rsidR="00C47D05">
          <w:rPr>
            <w:noProof/>
            <w:webHidden/>
          </w:rPr>
          <w:t>121</w:t>
        </w:r>
        <w:r w:rsidR="00602E6D">
          <w:rPr>
            <w:noProof/>
            <w:webHidden/>
          </w:rPr>
          <w:fldChar w:fldCharType="end"/>
        </w:r>
      </w:hyperlink>
    </w:p>
    <w:p w14:paraId="1D10C289" w14:textId="600DBDCD" w:rsidR="00602E6D" w:rsidRDefault="00B7221C">
      <w:pPr>
        <w:pStyle w:val="TOC2"/>
        <w:rPr>
          <w:noProof/>
          <w:sz w:val="24"/>
          <w:szCs w:val="24"/>
        </w:rPr>
      </w:pPr>
      <w:hyperlink w:anchor="_Toc54954877" w:history="1">
        <w:r w:rsidR="00602E6D" w:rsidRPr="00350816">
          <w:rPr>
            <w:rStyle w:val="Hyperlink"/>
            <w:noProof/>
          </w:rPr>
          <w:t>Online vs face-to-face training</w:t>
        </w:r>
        <w:r w:rsidR="00602E6D">
          <w:rPr>
            <w:noProof/>
            <w:webHidden/>
          </w:rPr>
          <w:tab/>
        </w:r>
        <w:r w:rsidR="00602E6D">
          <w:rPr>
            <w:noProof/>
            <w:webHidden/>
          </w:rPr>
          <w:fldChar w:fldCharType="begin"/>
        </w:r>
        <w:r w:rsidR="00602E6D">
          <w:rPr>
            <w:noProof/>
            <w:webHidden/>
          </w:rPr>
          <w:instrText xml:space="preserve"> PAGEREF _Toc54954877 \h </w:instrText>
        </w:r>
        <w:r w:rsidR="00602E6D">
          <w:rPr>
            <w:noProof/>
            <w:webHidden/>
          </w:rPr>
        </w:r>
        <w:r w:rsidR="00602E6D">
          <w:rPr>
            <w:noProof/>
            <w:webHidden/>
          </w:rPr>
          <w:fldChar w:fldCharType="separate"/>
        </w:r>
        <w:r w:rsidR="00C47D05">
          <w:rPr>
            <w:noProof/>
            <w:webHidden/>
          </w:rPr>
          <w:t>125</w:t>
        </w:r>
        <w:r w:rsidR="00602E6D">
          <w:rPr>
            <w:noProof/>
            <w:webHidden/>
          </w:rPr>
          <w:fldChar w:fldCharType="end"/>
        </w:r>
      </w:hyperlink>
    </w:p>
    <w:p w14:paraId="2703BF10" w14:textId="07D0B0DD" w:rsidR="00602E6D" w:rsidRDefault="00B7221C">
      <w:pPr>
        <w:pStyle w:val="TOC2"/>
        <w:rPr>
          <w:noProof/>
          <w:sz w:val="24"/>
          <w:szCs w:val="24"/>
        </w:rPr>
      </w:pPr>
      <w:hyperlink w:anchor="_Toc54954878" w:history="1">
        <w:r w:rsidR="00602E6D" w:rsidRPr="00350816">
          <w:rPr>
            <w:rStyle w:val="Hyperlink"/>
            <w:noProof/>
          </w:rPr>
          <w:t>Training influence on professional group attitudes towards promoting bowel screening</w:t>
        </w:r>
        <w:r w:rsidR="00602E6D">
          <w:rPr>
            <w:noProof/>
            <w:webHidden/>
          </w:rPr>
          <w:tab/>
        </w:r>
        <w:r w:rsidR="00602E6D">
          <w:rPr>
            <w:noProof/>
            <w:webHidden/>
          </w:rPr>
          <w:fldChar w:fldCharType="begin"/>
        </w:r>
        <w:r w:rsidR="00602E6D">
          <w:rPr>
            <w:noProof/>
            <w:webHidden/>
          </w:rPr>
          <w:instrText xml:space="preserve"> PAGEREF _Toc54954878 \h </w:instrText>
        </w:r>
        <w:r w:rsidR="00602E6D">
          <w:rPr>
            <w:noProof/>
            <w:webHidden/>
          </w:rPr>
        </w:r>
        <w:r w:rsidR="00602E6D">
          <w:rPr>
            <w:noProof/>
            <w:webHidden/>
          </w:rPr>
          <w:fldChar w:fldCharType="separate"/>
        </w:r>
        <w:r w:rsidR="00C47D05">
          <w:rPr>
            <w:noProof/>
            <w:webHidden/>
          </w:rPr>
          <w:t>125</w:t>
        </w:r>
        <w:r w:rsidR="00602E6D">
          <w:rPr>
            <w:noProof/>
            <w:webHidden/>
          </w:rPr>
          <w:fldChar w:fldCharType="end"/>
        </w:r>
      </w:hyperlink>
    </w:p>
    <w:p w14:paraId="55C5929E" w14:textId="4AF89A86" w:rsidR="00602E6D" w:rsidRDefault="00B7221C">
      <w:pPr>
        <w:pStyle w:val="TOC2"/>
        <w:rPr>
          <w:noProof/>
          <w:sz w:val="24"/>
          <w:szCs w:val="24"/>
        </w:rPr>
      </w:pPr>
      <w:hyperlink w:anchor="_Toc54954879" w:history="1">
        <w:r w:rsidR="00602E6D" w:rsidRPr="00350816">
          <w:rPr>
            <w:rStyle w:val="Hyperlink"/>
            <w:noProof/>
          </w:rPr>
          <w:t>Training influence in different geographic regions</w:t>
        </w:r>
        <w:r w:rsidR="00602E6D">
          <w:rPr>
            <w:noProof/>
            <w:webHidden/>
          </w:rPr>
          <w:tab/>
        </w:r>
        <w:r w:rsidR="00602E6D">
          <w:rPr>
            <w:noProof/>
            <w:webHidden/>
          </w:rPr>
          <w:fldChar w:fldCharType="begin"/>
        </w:r>
        <w:r w:rsidR="00602E6D">
          <w:rPr>
            <w:noProof/>
            <w:webHidden/>
          </w:rPr>
          <w:instrText xml:space="preserve"> PAGEREF _Toc54954879 \h </w:instrText>
        </w:r>
        <w:r w:rsidR="00602E6D">
          <w:rPr>
            <w:noProof/>
            <w:webHidden/>
          </w:rPr>
        </w:r>
        <w:r w:rsidR="00602E6D">
          <w:rPr>
            <w:noProof/>
            <w:webHidden/>
          </w:rPr>
          <w:fldChar w:fldCharType="separate"/>
        </w:r>
        <w:r w:rsidR="00C47D05">
          <w:rPr>
            <w:noProof/>
            <w:webHidden/>
          </w:rPr>
          <w:t>128</w:t>
        </w:r>
        <w:r w:rsidR="00602E6D">
          <w:rPr>
            <w:noProof/>
            <w:webHidden/>
          </w:rPr>
          <w:fldChar w:fldCharType="end"/>
        </w:r>
      </w:hyperlink>
    </w:p>
    <w:p w14:paraId="17968E05" w14:textId="250C2E7A" w:rsidR="00602E6D" w:rsidRDefault="00B7221C">
      <w:pPr>
        <w:pStyle w:val="TOC1"/>
        <w:rPr>
          <w:rFonts w:asciiTheme="minorHAnsi" w:hAnsiTheme="minorHAnsi"/>
          <w:b w:val="0"/>
          <w:sz w:val="24"/>
          <w:szCs w:val="24"/>
        </w:rPr>
      </w:pPr>
      <w:hyperlink w:anchor="_Toc54954880" w:history="1">
        <w:r w:rsidR="00602E6D" w:rsidRPr="00350816">
          <w:rPr>
            <w:rStyle w:val="Hyperlink"/>
          </w:rPr>
          <w:t>Appendix F</w:t>
        </w:r>
        <w:r w:rsidR="00602E6D">
          <w:rPr>
            <w:webHidden/>
          </w:rPr>
          <w:tab/>
        </w:r>
        <w:r w:rsidR="00602E6D">
          <w:rPr>
            <w:webHidden/>
          </w:rPr>
          <w:fldChar w:fldCharType="begin"/>
        </w:r>
        <w:r w:rsidR="00602E6D">
          <w:rPr>
            <w:webHidden/>
          </w:rPr>
          <w:instrText xml:space="preserve"> PAGEREF _Toc54954880 \h </w:instrText>
        </w:r>
        <w:r w:rsidR="00602E6D">
          <w:rPr>
            <w:webHidden/>
          </w:rPr>
        </w:r>
        <w:r w:rsidR="00602E6D">
          <w:rPr>
            <w:webHidden/>
          </w:rPr>
          <w:fldChar w:fldCharType="separate"/>
        </w:r>
        <w:r w:rsidR="00C47D05">
          <w:rPr>
            <w:webHidden/>
          </w:rPr>
          <w:t>131</w:t>
        </w:r>
        <w:r w:rsidR="00602E6D">
          <w:rPr>
            <w:webHidden/>
          </w:rPr>
          <w:fldChar w:fldCharType="end"/>
        </w:r>
      </w:hyperlink>
    </w:p>
    <w:p w14:paraId="05D30866" w14:textId="75516F7C" w:rsidR="00602E6D" w:rsidRDefault="00B7221C">
      <w:pPr>
        <w:pStyle w:val="TOC2"/>
        <w:rPr>
          <w:noProof/>
          <w:sz w:val="24"/>
          <w:szCs w:val="24"/>
        </w:rPr>
      </w:pPr>
      <w:hyperlink w:anchor="_Toc54954881" w:history="1">
        <w:r w:rsidR="00602E6D" w:rsidRPr="00350816">
          <w:rPr>
            <w:rStyle w:val="Hyperlink"/>
            <w:noProof/>
          </w:rPr>
          <w:t>Methods used to describe and classify how health centres delivered the Alternative Pathway</w:t>
        </w:r>
        <w:r w:rsidR="00602E6D">
          <w:rPr>
            <w:noProof/>
            <w:webHidden/>
          </w:rPr>
          <w:tab/>
        </w:r>
        <w:r w:rsidR="00602E6D">
          <w:rPr>
            <w:noProof/>
            <w:webHidden/>
          </w:rPr>
          <w:fldChar w:fldCharType="begin"/>
        </w:r>
        <w:r w:rsidR="00602E6D">
          <w:rPr>
            <w:noProof/>
            <w:webHidden/>
          </w:rPr>
          <w:instrText xml:space="preserve"> PAGEREF _Toc54954881 \h </w:instrText>
        </w:r>
        <w:r w:rsidR="00602E6D">
          <w:rPr>
            <w:noProof/>
            <w:webHidden/>
          </w:rPr>
        </w:r>
        <w:r w:rsidR="00602E6D">
          <w:rPr>
            <w:noProof/>
            <w:webHidden/>
          </w:rPr>
          <w:fldChar w:fldCharType="separate"/>
        </w:r>
        <w:r w:rsidR="00C47D05">
          <w:rPr>
            <w:noProof/>
            <w:webHidden/>
          </w:rPr>
          <w:t>131</w:t>
        </w:r>
        <w:r w:rsidR="00602E6D">
          <w:rPr>
            <w:noProof/>
            <w:webHidden/>
          </w:rPr>
          <w:fldChar w:fldCharType="end"/>
        </w:r>
      </w:hyperlink>
    </w:p>
    <w:p w14:paraId="0BF5D579" w14:textId="321236B0" w:rsidR="00602E6D" w:rsidRDefault="00B7221C">
      <w:pPr>
        <w:pStyle w:val="TOC1"/>
        <w:rPr>
          <w:rFonts w:asciiTheme="minorHAnsi" w:hAnsiTheme="minorHAnsi"/>
          <w:b w:val="0"/>
          <w:sz w:val="24"/>
          <w:szCs w:val="24"/>
        </w:rPr>
      </w:pPr>
      <w:hyperlink w:anchor="_Toc54954882" w:history="1">
        <w:r w:rsidR="00602E6D" w:rsidRPr="00350816">
          <w:rPr>
            <w:rStyle w:val="Hyperlink"/>
          </w:rPr>
          <w:t>Appendix G</w:t>
        </w:r>
        <w:r w:rsidR="00602E6D">
          <w:rPr>
            <w:webHidden/>
          </w:rPr>
          <w:tab/>
        </w:r>
        <w:r w:rsidR="00602E6D">
          <w:rPr>
            <w:webHidden/>
          </w:rPr>
          <w:fldChar w:fldCharType="begin"/>
        </w:r>
        <w:r w:rsidR="00602E6D">
          <w:rPr>
            <w:webHidden/>
          </w:rPr>
          <w:instrText xml:space="preserve"> PAGEREF _Toc54954882 \h </w:instrText>
        </w:r>
        <w:r w:rsidR="00602E6D">
          <w:rPr>
            <w:webHidden/>
          </w:rPr>
        </w:r>
        <w:r w:rsidR="00602E6D">
          <w:rPr>
            <w:webHidden/>
          </w:rPr>
          <w:fldChar w:fldCharType="separate"/>
        </w:r>
        <w:r w:rsidR="00C47D05">
          <w:rPr>
            <w:webHidden/>
          </w:rPr>
          <w:t>137</w:t>
        </w:r>
        <w:r w:rsidR="00602E6D">
          <w:rPr>
            <w:webHidden/>
          </w:rPr>
          <w:fldChar w:fldCharType="end"/>
        </w:r>
      </w:hyperlink>
    </w:p>
    <w:p w14:paraId="710B4112" w14:textId="567265D1" w:rsidR="00602E6D" w:rsidRDefault="00B7221C">
      <w:pPr>
        <w:pStyle w:val="TOC2"/>
        <w:rPr>
          <w:noProof/>
          <w:sz w:val="24"/>
          <w:szCs w:val="24"/>
        </w:rPr>
      </w:pPr>
      <w:hyperlink w:anchor="_Toc54954883" w:history="1">
        <w:r w:rsidR="00602E6D" w:rsidRPr="00350816">
          <w:rPr>
            <w:rStyle w:val="Hyperlink"/>
            <w:noProof/>
          </w:rPr>
          <w:t>Supporting Agencies Activity Report</w:t>
        </w:r>
        <w:r w:rsidR="00602E6D">
          <w:rPr>
            <w:noProof/>
            <w:webHidden/>
          </w:rPr>
          <w:tab/>
        </w:r>
        <w:r w:rsidR="00602E6D">
          <w:rPr>
            <w:noProof/>
            <w:webHidden/>
          </w:rPr>
          <w:fldChar w:fldCharType="begin"/>
        </w:r>
        <w:r w:rsidR="00602E6D">
          <w:rPr>
            <w:noProof/>
            <w:webHidden/>
          </w:rPr>
          <w:instrText xml:space="preserve"> PAGEREF _Toc54954883 \h </w:instrText>
        </w:r>
        <w:r w:rsidR="00602E6D">
          <w:rPr>
            <w:noProof/>
            <w:webHidden/>
          </w:rPr>
        </w:r>
        <w:r w:rsidR="00602E6D">
          <w:rPr>
            <w:noProof/>
            <w:webHidden/>
          </w:rPr>
          <w:fldChar w:fldCharType="separate"/>
        </w:r>
        <w:r w:rsidR="00C47D05">
          <w:rPr>
            <w:noProof/>
            <w:webHidden/>
          </w:rPr>
          <w:t>137</w:t>
        </w:r>
        <w:r w:rsidR="00602E6D">
          <w:rPr>
            <w:noProof/>
            <w:webHidden/>
          </w:rPr>
          <w:fldChar w:fldCharType="end"/>
        </w:r>
      </w:hyperlink>
    </w:p>
    <w:p w14:paraId="57CC3FA1" w14:textId="3BE82F9D" w:rsidR="00602E6D" w:rsidRDefault="00B7221C">
      <w:pPr>
        <w:pStyle w:val="TOC1"/>
        <w:rPr>
          <w:rFonts w:asciiTheme="minorHAnsi" w:hAnsiTheme="minorHAnsi"/>
          <w:b w:val="0"/>
          <w:sz w:val="24"/>
          <w:szCs w:val="24"/>
        </w:rPr>
      </w:pPr>
      <w:hyperlink w:anchor="_Toc54954884" w:history="1">
        <w:r w:rsidR="00602E6D" w:rsidRPr="00350816">
          <w:rPr>
            <w:rStyle w:val="Hyperlink"/>
          </w:rPr>
          <w:t>Abbreviations</w:t>
        </w:r>
        <w:r w:rsidR="00602E6D">
          <w:rPr>
            <w:webHidden/>
          </w:rPr>
          <w:tab/>
        </w:r>
        <w:r w:rsidR="00602E6D">
          <w:rPr>
            <w:webHidden/>
          </w:rPr>
          <w:fldChar w:fldCharType="begin"/>
        </w:r>
        <w:r w:rsidR="00602E6D">
          <w:rPr>
            <w:webHidden/>
          </w:rPr>
          <w:instrText xml:space="preserve"> PAGEREF _Toc54954884 \h </w:instrText>
        </w:r>
        <w:r w:rsidR="00602E6D">
          <w:rPr>
            <w:webHidden/>
          </w:rPr>
        </w:r>
        <w:r w:rsidR="00602E6D">
          <w:rPr>
            <w:webHidden/>
          </w:rPr>
          <w:fldChar w:fldCharType="separate"/>
        </w:r>
        <w:r w:rsidR="00C47D05">
          <w:rPr>
            <w:webHidden/>
          </w:rPr>
          <w:t>143</w:t>
        </w:r>
        <w:r w:rsidR="00602E6D">
          <w:rPr>
            <w:webHidden/>
          </w:rPr>
          <w:fldChar w:fldCharType="end"/>
        </w:r>
      </w:hyperlink>
    </w:p>
    <w:p w14:paraId="3F6D1349" w14:textId="51B1F980" w:rsidR="00EF0D3A" w:rsidRDefault="00E2609B">
      <w:pPr>
        <w:spacing w:before="0" w:after="0" w:line="240" w:lineRule="auto"/>
        <w:rPr>
          <w:rFonts w:cstheme="minorHAnsi"/>
        </w:rPr>
      </w:pPr>
      <w:r>
        <w:rPr>
          <w:rFonts w:cstheme="minorHAnsi"/>
        </w:rPr>
        <w:fldChar w:fldCharType="end"/>
      </w:r>
    </w:p>
    <w:p w14:paraId="4E41D8D4" w14:textId="77777777" w:rsidR="00371A5B" w:rsidRPr="00874345" w:rsidRDefault="00371A5B" w:rsidP="00700D85">
      <w:pPr>
        <w:rPr>
          <w:rFonts w:cstheme="minorHAnsi"/>
        </w:rPr>
      </w:pPr>
    </w:p>
    <w:p w14:paraId="4C93A875" w14:textId="77777777" w:rsidR="00E2609B" w:rsidRPr="00CA0599" w:rsidRDefault="00E2609B" w:rsidP="00CA0599">
      <w:bookmarkStart w:id="13" w:name="_Toc38539066"/>
      <w:bookmarkStart w:id="14" w:name="_Toc38540001"/>
      <w:bookmarkStart w:id="15" w:name="_Toc38540056"/>
      <w:bookmarkStart w:id="16" w:name="_Toc44339168"/>
      <w:r w:rsidRPr="00CA0599">
        <w:br w:type="page"/>
      </w:r>
    </w:p>
    <w:p w14:paraId="3BB70255" w14:textId="18D1F9C7" w:rsidR="00197349" w:rsidRPr="003F42CA" w:rsidRDefault="00D25CAC" w:rsidP="00510A67">
      <w:pPr>
        <w:pStyle w:val="Heading1"/>
      </w:pPr>
      <w:bookmarkStart w:id="17" w:name="_Toc45539241"/>
      <w:bookmarkStart w:id="18" w:name="_Toc54954827"/>
      <w:r>
        <w:lastRenderedPageBreak/>
        <w:t xml:space="preserve">1. </w:t>
      </w:r>
      <w:r w:rsidR="00773DF5" w:rsidRPr="003F42CA">
        <w:t>EXECUTIVE SUMMAR</w:t>
      </w:r>
      <w:r w:rsidR="008719FC" w:rsidRPr="003F42CA">
        <w:t>Y</w:t>
      </w:r>
      <w:bookmarkEnd w:id="13"/>
      <w:bookmarkEnd w:id="14"/>
      <w:bookmarkEnd w:id="15"/>
      <w:bookmarkEnd w:id="16"/>
      <w:bookmarkEnd w:id="17"/>
      <w:bookmarkEnd w:id="18"/>
      <w:r w:rsidR="008719FC" w:rsidRPr="003F42CA">
        <w:t xml:space="preserve"> </w:t>
      </w:r>
    </w:p>
    <w:p w14:paraId="15CC9B09" w14:textId="70480F38" w:rsidR="0055756B" w:rsidRPr="00874345" w:rsidRDefault="0055756B" w:rsidP="00700D85">
      <w:pPr>
        <w:rPr>
          <w:rFonts w:cstheme="minorHAnsi"/>
        </w:rPr>
      </w:pPr>
    </w:p>
    <w:p w14:paraId="6B6FD725" w14:textId="70E5B868" w:rsidR="002066AA" w:rsidRPr="002066AA" w:rsidRDefault="00176845" w:rsidP="002066AA">
      <w:pPr>
        <w:rPr>
          <w:rFonts w:cstheme="minorHAnsi"/>
        </w:rPr>
      </w:pPr>
      <w:r>
        <w:rPr>
          <w:rFonts w:cstheme="minorHAnsi"/>
        </w:rPr>
        <w:t>P</w:t>
      </w:r>
      <w:r w:rsidR="002066AA" w:rsidRPr="002066AA">
        <w:rPr>
          <w:rFonts w:cstheme="minorHAnsi"/>
        </w:rPr>
        <w:t xml:space="preserve">articipation in the National Bowel Cancer Screening </w:t>
      </w:r>
      <w:r>
        <w:rPr>
          <w:rFonts w:cstheme="minorHAnsi"/>
        </w:rPr>
        <w:t>Program</w:t>
      </w:r>
      <w:r w:rsidR="002066AA" w:rsidRPr="002066AA">
        <w:rPr>
          <w:rFonts w:cstheme="minorHAnsi"/>
        </w:rPr>
        <w:t xml:space="preserve"> (NBCSP) by </w:t>
      </w:r>
      <w:r w:rsidR="00252AE7">
        <w:t>Aboriginal and Torres Strait Islander peoples</w:t>
      </w:r>
      <w:r w:rsidR="00AB074A">
        <w:rPr>
          <w:rStyle w:val="FootnoteReference"/>
          <w:rFonts w:cstheme="minorHAnsi"/>
        </w:rPr>
        <w:footnoteReference w:id="2"/>
      </w:r>
      <w:r w:rsidR="002066AA" w:rsidRPr="002066AA">
        <w:rPr>
          <w:rFonts w:cstheme="minorHAnsi"/>
        </w:rPr>
        <w:t xml:space="preserve"> </w:t>
      </w:r>
      <w:r w:rsidR="001F4C91">
        <w:rPr>
          <w:rFonts w:cstheme="minorHAnsi"/>
        </w:rPr>
        <w:t>is</w:t>
      </w:r>
      <w:r w:rsidR="002066AA" w:rsidRPr="002066AA">
        <w:rPr>
          <w:rFonts w:cstheme="minorHAnsi"/>
        </w:rPr>
        <w:t xml:space="preserve"> significantly lower </w:t>
      </w:r>
      <w:r w:rsidR="001F4C91">
        <w:rPr>
          <w:rFonts w:cstheme="minorHAnsi"/>
        </w:rPr>
        <w:t>tha</w:t>
      </w:r>
      <w:r w:rsidR="000D485D">
        <w:rPr>
          <w:rFonts w:cstheme="minorHAnsi"/>
        </w:rPr>
        <w:t>n</w:t>
      </w:r>
      <w:r w:rsidR="002066AA" w:rsidRPr="002066AA">
        <w:rPr>
          <w:rFonts w:cstheme="minorHAnsi"/>
        </w:rPr>
        <w:t xml:space="preserve"> </w:t>
      </w:r>
      <w:r w:rsidR="000D485D">
        <w:rPr>
          <w:rFonts w:cstheme="minorHAnsi"/>
        </w:rPr>
        <w:t xml:space="preserve">that </w:t>
      </w:r>
      <w:r w:rsidR="002066AA" w:rsidRPr="002066AA">
        <w:rPr>
          <w:rFonts w:cstheme="minorHAnsi"/>
        </w:rPr>
        <w:t>of other Australians</w:t>
      </w:r>
      <w:r w:rsidR="00252AE7">
        <w:rPr>
          <w:rFonts w:cstheme="minorHAnsi"/>
        </w:rPr>
        <w:t xml:space="preserve"> (2</w:t>
      </w:r>
      <w:r w:rsidR="00EA436C">
        <w:rPr>
          <w:rFonts w:cstheme="minorHAnsi"/>
        </w:rPr>
        <w:t>3</w:t>
      </w:r>
      <w:r w:rsidR="00252AE7">
        <w:rPr>
          <w:rFonts w:cstheme="minorHAnsi"/>
        </w:rPr>
        <w:t>% versus 42% respectively</w:t>
      </w:r>
      <w:r w:rsidR="00DF1974">
        <w:rPr>
          <w:rFonts w:cstheme="minorHAnsi"/>
        </w:rPr>
        <w:t>)</w:t>
      </w:r>
      <w:r w:rsidR="002066AA" w:rsidRPr="002066AA">
        <w:rPr>
          <w:rFonts w:cstheme="minorHAnsi"/>
        </w:rPr>
        <w:t>.</w:t>
      </w:r>
      <w:r w:rsidR="002066AA" w:rsidRPr="002066AA">
        <w:rPr>
          <w:rFonts w:cstheme="minorHAnsi"/>
          <w:vertAlign w:val="superscript"/>
        </w:rPr>
        <w:footnoteReference w:id="3"/>
      </w:r>
      <w:r w:rsidR="00252AE7">
        <w:rPr>
          <w:rFonts w:cstheme="minorHAnsi"/>
        </w:rPr>
        <w:t xml:space="preserve"> </w:t>
      </w:r>
      <w:r w:rsidR="001F4C91">
        <w:rPr>
          <w:rFonts w:cstheme="minorHAnsi"/>
        </w:rPr>
        <w:t xml:space="preserve"> </w:t>
      </w:r>
      <w:r w:rsidR="007C474E">
        <w:rPr>
          <w:rFonts w:cstheme="minorHAnsi"/>
        </w:rPr>
        <w:t>Small scale p</w:t>
      </w:r>
      <w:r w:rsidR="002066AA" w:rsidRPr="002066AA">
        <w:rPr>
          <w:rFonts w:cstheme="minorHAnsi"/>
        </w:rPr>
        <w:t>ilot projects conducted between 2008 and 2011 showed an Alternative Pathway</w:t>
      </w:r>
      <w:r w:rsidR="001F4C91">
        <w:rPr>
          <w:rFonts w:cstheme="minorHAnsi"/>
        </w:rPr>
        <w:t xml:space="preserve">, through </w:t>
      </w:r>
      <w:r w:rsidR="002066AA" w:rsidRPr="002066AA">
        <w:rPr>
          <w:rFonts w:cstheme="minorHAnsi"/>
        </w:rPr>
        <w:t>Indigenous Primary Health Care Centres</w:t>
      </w:r>
      <w:r w:rsidR="001F4C91">
        <w:rPr>
          <w:rFonts w:cstheme="minorHAnsi"/>
        </w:rPr>
        <w:t>,</w:t>
      </w:r>
      <w:r w:rsidR="002066AA" w:rsidRPr="002066AA">
        <w:rPr>
          <w:rFonts w:cstheme="minorHAnsi"/>
        </w:rPr>
        <w:t xml:space="preserve"> might increase Indigenous participation</w:t>
      </w:r>
      <w:r w:rsidR="00717380">
        <w:rPr>
          <w:rFonts w:cstheme="minorHAnsi"/>
        </w:rPr>
        <w:t>.</w:t>
      </w:r>
    </w:p>
    <w:p w14:paraId="3C9D8EF8" w14:textId="6C7A47DA" w:rsidR="002066AA" w:rsidRPr="002066AA" w:rsidRDefault="002066AA" w:rsidP="002066AA">
      <w:pPr>
        <w:rPr>
          <w:rFonts w:cstheme="minorHAnsi"/>
        </w:rPr>
      </w:pPr>
      <w:r w:rsidRPr="002066AA">
        <w:rPr>
          <w:rFonts w:cstheme="minorHAnsi"/>
        </w:rPr>
        <w:t xml:space="preserve">In 2015, the Australian Government funded Menzies School of Health Research (Menzies) to </w:t>
      </w:r>
      <w:r w:rsidR="00252AE7">
        <w:rPr>
          <w:rFonts w:cstheme="minorHAnsi"/>
        </w:rPr>
        <w:t>conduct</w:t>
      </w:r>
      <w:r w:rsidRPr="002066AA">
        <w:rPr>
          <w:rFonts w:cstheme="minorHAnsi"/>
        </w:rPr>
        <w:t xml:space="preserve"> an evidence review and </w:t>
      </w:r>
      <w:r w:rsidR="0013582D">
        <w:rPr>
          <w:rFonts w:cstheme="minorHAnsi"/>
        </w:rPr>
        <w:t xml:space="preserve">undertake </w:t>
      </w:r>
      <w:r w:rsidRPr="002066AA">
        <w:rPr>
          <w:rFonts w:cstheme="minorHAnsi"/>
        </w:rPr>
        <w:t>consultations</w:t>
      </w:r>
      <w:r w:rsidR="0013582D">
        <w:rPr>
          <w:rFonts w:cstheme="minorHAnsi"/>
        </w:rPr>
        <w:t xml:space="preserve"> with key stakeholders</w:t>
      </w:r>
      <w:r w:rsidRPr="002066AA">
        <w:rPr>
          <w:rFonts w:cstheme="minorHAnsi"/>
        </w:rPr>
        <w:t xml:space="preserve"> to develop resources and draft </w:t>
      </w:r>
      <w:r w:rsidR="0013582D">
        <w:rPr>
          <w:rFonts w:cstheme="minorHAnsi"/>
        </w:rPr>
        <w:t xml:space="preserve">an </w:t>
      </w:r>
      <w:r w:rsidRPr="002066AA">
        <w:rPr>
          <w:rFonts w:cstheme="minorHAnsi"/>
        </w:rPr>
        <w:t xml:space="preserve">implementation plan for a national pilot of an Alternative Pathway to bowel screening for Indigenous Australians. </w:t>
      </w:r>
    </w:p>
    <w:p w14:paraId="0382828F" w14:textId="711773A2" w:rsidR="002066AA" w:rsidRDefault="002066AA" w:rsidP="002066AA">
      <w:pPr>
        <w:rPr>
          <w:rFonts w:cstheme="minorHAnsi"/>
        </w:rPr>
      </w:pPr>
      <w:r w:rsidRPr="002066AA">
        <w:rPr>
          <w:rFonts w:cstheme="minorHAnsi"/>
        </w:rPr>
        <w:t xml:space="preserve">The </w:t>
      </w:r>
      <w:r w:rsidRPr="002066AA">
        <w:rPr>
          <w:rFonts w:cstheme="minorHAnsi"/>
          <w:i/>
          <w:iCs/>
        </w:rPr>
        <w:t>National Indigenous Bowel Screening Pilot</w:t>
      </w:r>
      <w:r w:rsidRPr="002066AA">
        <w:rPr>
          <w:rFonts w:cstheme="minorHAnsi"/>
        </w:rPr>
        <w:t xml:space="preserve"> (the Pilot) </w:t>
      </w:r>
      <w:r w:rsidR="0013582D">
        <w:rPr>
          <w:rFonts w:cstheme="minorHAnsi"/>
        </w:rPr>
        <w:t>was conducted</w:t>
      </w:r>
      <w:r w:rsidR="0013582D" w:rsidRPr="002066AA">
        <w:rPr>
          <w:rFonts w:cstheme="minorHAnsi"/>
        </w:rPr>
        <w:t xml:space="preserve"> </w:t>
      </w:r>
      <w:r w:rsidRPr="002066AA">
        <w:rPr>
          <w:rFonts w:cstheme="minorHAnsi"/>
        </w:rPr>
        <w:t>from 1 November 2018 to 31 October 2019. Forty-seven primary health care centres were enrolled in the Pilot</w:t>
      </w:r>
      <w:r w:rsidR="00302CB1">
        <w:rPr>
          <w:rFonts w:cstheme="minorHAnsi"/>
        </w:rPr>
        <w:t xml:space="preserve">. Forty-four were approved </w:t>
      </w:r>
      <w:r w:rsidR="00B22AF0">
        <w:rPr>
          <w:rFonts w:cstheme="minorHAnsi"/>
        </w:rPr>
        <w:t xml:space="preserve">to give out NBCSP kits to their Indigenous clients; </w:t>
      </w:r>
      <w:r w:rsidRPr="002066AA">
        <w:rPr>
          <w:rFonts w:cstheme="minorHAnsi"/>
        </w:rPr>
        <w:t xml:space="preserve">36 </w:t>
      </w:r>
      <w:r w:rsidR="00F200F3">
        <w:rPr>
          <w:rFonts w:cstheme="minorHAnsi"/>
        </w:rPr>
        <w:t>gave</w:t>
      </w:r>
      <w:r w:rsidR="00B22AF0">
        <w:rPr>
          <w:rFonts w:cstheme="minorHAnsi"/>
        </w:rPr>
        <w:t xml:space="preserve"> out kits</w:t>
      </w:r>
      <w:r w:rsidRPr="002066AA">
        <w:rPr>
          <w:rFonts w:cstheme="minorHAnsi"/>
        </w:rPr>
        <w:t xml:space="preserve">. </w:t>
      </w:r>
    </w:p>
    <w:p w14:paraId="4CACB39E" w14:textId="670BF482" w:rsidR="002C0A1E" w:rsidRDefault="002C0A1E" w:rsidP="009D3B20">
      <w:pPr>
        <w:spacing w:before="60" w:after="120"/>
        <w:rPr>
          <w:rFonts w:cstheme="minorHAnsi"/>
        </w:rPr>
      </w:pPr>
      <w:r w:rsidRPr="00C94D22">
        <w:rPr>
          <w:rFonts w:cstheme="minorHAnsi"/>
        </w:rPr>
        <w:t xml:space="preserve">More than 1000 Indigenous adults in the eligible age range (50 to 74) were assessed for screening through the Alternative Pathway; 865 accepted a kit, and 390 completed the test. Fifteen of the completed tests were not valid; 53 tests were positive. </w:t>
      </w:r>
    </w:p>
    <w:p w14:paraId="4842ECBD" w14:textId="02073181" w:rsidR="009D3B20" w:rsidRDefault="009D3B20" w:rsidP="009D3B20">
      <w:pPr>
        <w:spacing w:before="60" w:after="120"/>
        <w:rPr>
          <w:rFonts w:cstheme="minorHAnsi"/>
        </w:rPr>
      </w:pPr>
      <w:r>
        <w:rPr>
          <w:rFonts w:cstheme="minorHAnsi"/>
        </w:rPr>
        <w:t xml:space="preserve">Screening </w:t>
      </w:r>
      <w:r w:rsidRPr="00454FA4">
        <w:rPr>
          <w:rFonts w:cstheme="minorHAnsi"/>
        </w:rPr>
        <w:t>participation through the Alternative Pathway (39.8%) was significantly higher than that of Indigenous people in the usual pathway (23.3%), and at a similar rate to that of non-Indigenous Australians (40.6%).</w:t>
      </w:r>
      <w:r w:rsidRPr="00454FA4">
        <w:rPr>
          <w:rFonts w:cstheme="minorHAnsi"/>
          <w:vertAlign w:val="superscript"/>
        </w:rPr>
        <w:t xml:space="preserve"> </w:t>
      </w:r>
      <w:r w:rsidRPr="00454FA4">
        <w:rPr>
          <w:rFonts w:cstheme="minorHAnsi"/>
        </w:rPr>
        <w:t xml:space="preserve"> Similar screening patterns </w:t>
      </w:r>
      <w:r w:rsidR="00AD55A8">
        <w:rPr>
          <w:rFonts w:cstheme="minorHAnsi"/>
        </w:rPr>
        <w:t xml:space="preserve">for the Alternative Pathway </w:t>
      </w:r>
      <w:r w:rsidRPr="00454FA4">
        <w:rPr>
          <w:rFonts w:cstheme="minorHAnsi"/>
        </w:rPr>
        <w:t xml:space="preserve">were found even in remote areas, where barriers to </w:t>
      </w:r>
      <w:r w:rsidR="00AD55A8">
        <w:rPr>
          <w:rFonts w:cstheme="minorHAnsi"/>
        </w:rPr>
        <w:t>screening are</w:t>
      </w:r>
      <w:r w:rsidRPr="00454FA4">
        <w:rPr>
          <w:rFonts w:cstheme="minorHAnsi"/>
        </w:rPr>
        <w:t xml:space="preserve"> </w:t>
      </w:r>
      <w:r w:rsidR="00AD55A8">
        <w:rPr>
          <w:rFonts w:cstheme="minorHAnsi"/>
        </w:rPr>
        <w:t>particularly challenging.</w:t>
      </w:r>
    </w:p>
    <w:p w14:paraId="5F0ABB65" w14:textId="02D77AAE" w:rsidR="00717380" w:rsidRPr="00454FA4" w:rsidRDefault="0020492D" w:rsidP="00454FA4">
      <w:pPr>
        <w:spacing w:before="60" w:after="120"/>
        <w:rPr>
          <w:rFonts w:cstheme="minorHAnsi"/>
        </w:rPr>
      </w:pPr>
      <w:r>
        <w:rPr>
          <w:rFonts w:cstheme="minorHAnsi"/>
        </w:rPr>
        <w:t>The Alternative Pathway also revealed greater</w:t>
      </w:r>
      <w:r w:rsidR="00717380" w:rsidRPr="00454FA4">
        <w:rPr>
          <w:rFonts w:cstheme="minorHAnsi"/>
        </w:rPr>
        <w:t xml:space="preserve"> reach into under-screened sections of the population (those who had been invited previously but not screened; those who live in areas of low socio-economic status</w:t>
      </w:r>
      <w:r w:rsidR="00717380">
        <w:rPr>
          <w:rFonts w:cstheme="minorHAnsi"/>
        </w:rPr>
        <w:t xml:space="preserve"> or remote areas</w:t>
      </w:r>
      <w:r w:rsidR="00717380" w:rsidRPr="00454FA4">
        <w:rPr>
          <w:rFonts w:cstheme="minorHAnsi"/>
        </w:rPr>
        <w:t>)</w:t>
      </w:r>
      <w:r w:rsidR="00F43C85">
        <w:rPr>
          <w:rFonts w:cstheme="minorHAnsi"/>
        </w:rPr>
        <w:t xml:space="preserve"> than through the usual pathway. </w:t>
      </w:r>
    </w:p>
    <w:p w14:paraId="2BDC2545" w14:textId="2BC0ABF8" w:rsidR="00AD55A8" w:rsidRPr="00454FA4" w:rsidRDefault="009B2C4C" w:rsidP="00454FA4">
      <w:pPr>
        <w:spacing w:before="60" w:after="120"/>
        <w:rPr>
          <w:rFonts w:cstheme="minorHAnsi"/>
        </w:rPr>
      </w:pPr>
      <w:r w:rsidRPr="00CC0A05">
        <w:rPr>
          <w:rFonts w:cstheme="minorHAnsi"/>
        </w:rPr>
        <w:t>O</w:t>
      </w:r>
      <w:r w:rsidR="00B12577" w:rsidRPr="00CC0A05">
        <w:rPr>
          <w:rFonts w:cstheme="minorHAnsi"/>
        </w:rPr>
        <w:t>f those who screened through the Alternative Pathway</w:t>
      </w:r>
      <w:r w:rsidRPr="00CC0A05">
        <w:rPr>
          <w:rFonts w:cstheme="minorHAnsi"/>
        </w:rPr>
        <w:t xml:space="preserve">, 70% of those who screened had been invited at least once before through the usual pathway but had never screened. </w:t>
      </w:r>
      <w:r w:rsidR="00615CB6" w:rsidRPr="00CC0A05">
        <w:rPr>
          <w:rFonts w:cstheme="minorHAnsi"/>
        </w:rPr>
        <w:t xml:space="preserve">The rate of return of kits for this group (previously invited but never screened) was 42% for Alternative Pathway participants, compared to 18% for </w:t>
      </w:r>
      <w:r w:rsidR="00CC0A05">
        <w:rPr>
          <w:rFonts w:cstheme="minorHAnsi"/>
        </w:rPr>
        <w:t>all Australians through the</w:t>
      </w:r>
      <w:r w:rsidR="00CC0A05" w:rsidRPr="00CC0A05">
        <w:rPr>
          <w:rFonts w:cstheme="minorHAnsi"/>
        </w:rPr>
        <w:t xml:space="preserve"> </w:t>
      </w:r>
      <w:r w:rsidR="00615CB6" w:rsidRPr="00CC0A05">
        <w:rPr>
          <w:rFonts w:cstheme="minorHAnsi"/>
        </w:rPr>
        <w:t>usual pathway.</w:t>
      </w:r>
      <w:r w:rsidR="00615CB6" w:rsidRPr="00454FA4">
        <w:rPr>
          <w:rFonts w:cstheme="minorHAnsi"/>
        </w:rPr>
        <w:t xml:space="preserve"> </w:t>
      </w:r>
    </w:p>
    <w:p w14:paraId="67F322EE" w14:textId="217C999E" w:rsidR="00AD55A8" w:rsidRDefault="00CC0A05" w:rsidP="002C0A1E">
      <w:pPr>
        <w:spacing w:before="60" w:after="120"/>
        <w:rPr>
          <w:rFonts w:cstheme="minorHAnsi"/>
        </w:rPr>
      </w:pPr>
      <w:r>
        <w:rPr>
          <w:rFonts w:cstheme="minorHAnsi"/>
        </w:rPr>
        <w:t xml:space="preserve">Participation by those in the lowest socio-economic group (SEG) was 47% for the Alternative Pathway compared to 37% for all Australians for the usual pathway. </w:t>
      </w:r>
      <w:r w:rsidR="00717380" w:rsidRPr="00F263FB">
        <w:rPr>
          <w:rFonts w:cstheme="minorHAnsi"/>
        </w:rPr>
        <w:t xml:space="preserve">Amongst those from the lowest socio-economic group (SEG), those who received their kits through the </w:t>
      </w:r>
      <w:r w:rsidR="00717380" w:rsidRPr="0020492D">
        <w:rPr>
          <w:rFonts w:cstheme="minorHAnsi"/>
        </w:rPr>
        <w:t>Alternative Pathway screened at a significantly higher rate than those who received kits through the usual pathway</w:t>
      </w:r>
      <w:r w:rsidR="00AD55A8">
        <w:rPr>
          <w:rFonts w:cstheme="minorHAnsi"/>
        </w:rPr>
        <w:t xml:space="preserve">. </w:t>
      </w:r>
    </w:p>
    <w:p w14:paraId="47793D61" w14:textId="3F2BDB82" w:rsidR="00717380" w:rsidRDefault="002C0A1E" w:rsidP="002C0A1E">
      <w:pPr>
        <w:spacing w:before="60" w:after="120"/>
        <w:rPr>
          <w:lang w:eastAsia="en-AU"/>
        </w:rPr>
      </w:pPr>
      <w:r>
        <w:rPr>
          <w:lang w:eastAsia="en-AU"/>
        </w:rPr>
        <w:lastRenderedPageBreak/>
        <w:t xml:space="preserve">The Pilot </w:t>
      </w:r>
      <w:r w:rsidR="00E31C73">
        <w:rPr>
          <w:lang w:eastAsia="en-AU"/>
        </w:rPr>
        <w:t xml:space="preserve">evaluation </w:t>
      </w:r>
      <w:r w:rsidR="00574A0E">
        <w:rPr>
          <w:lang w:eastAsia="en-AU"/>
        </w:rPr>
        <w:t>revealed</w:t>
      </w:r>
      <w:r>
        <w:rPr>
          <w:lang w:eastAsia="en-AU"/>
        </w:rPr>
        <w:t xml:space="preserve"> an unexpectedly high </w:t>
      </w:r>
      <w:r w:rsidR="00574A0E">
        <w:rPr>
          <w:lang w:eastAsia="en-AU"/>
        </w:rPr>
        <w:t xml:space="preserve">rate of </w:t>
      </w:r>
      <w:r>
        <w:rPr>
          <w:lang w:eastAsia="en-AU"/>
        </w:rPr>
        <w:t xml:space="preserve">positive </w:t>
      </w:r>
      <w:r w:rsidR="00574A0E">
        <w:rPr>
          <w:lang w:eastAsia="en-AU"/>
        </w:rPr>
        <w:t xml:space="preserve">results among </w:t>
      </w:r>
      <w:r w:rsidR="00717380">
        <w:rPr>
          <w:lang w:eastAsia="en-AU"/>
        </w:rPr>
        <w:t xml:space="preserve">Indigenous men who screened through the Alternative Pathway (19.6%), compared to Indigenous and non-Indigenous men in the usual pathway (10.6% </w:t>
      </w:r>
      <w:r w:rsidR="00F001C4">
        <w:rPr>
          <w:lang w:eastAsia="en-AU"/>
        </w:rPr>
        <w:t>and eight</w:t>
      </w:r>
      <w:r w:rsidR="00717380">
        <w:rPr>
          <w:lang w:eastAsia="en-AU"/>
        </w:rPr>
        <w:t xml:space="preserve"> per cent </w:t>
      </w:r>
      <w:r w:rsidR="00F001C4">
        <w:rPr>
          <w:lang w:eastAsia="en-AU"/>
        </w:rPr>
        <w:t>respectively</w:t>
      </w:r>
      <w:r w:rsidR="00717380">
        <w:rPr>
          <w:lang w:eastAsia="en-AU"/>
        </w:rPr>
        <w:t>).</w:t>
      </w:r>
      <w:r w:rsidR="00F001C4">
        <w:rPr>
          <w:rStyle w:val="FootnoteReference"/>
          <w:lang w:eastAsia="en-AU"/>
        </w:rPr>
        <w:footnoteReference w:id="4"/>
      </w:r>
      <w:r w:rsidR="00717380">
        <w:rPr>
          <w:lang w:eastAsia="en-AU"/>
        </w:rPr>
        <w:t xml:space="preserve"> Indigenous women had similar positivity rates across both pathways (10.1% for the Alternative Pathway and 9.1% in the usual pathway), with positivity rates for Australian women overall at 5.6%.  </w:t>
      </w:r>
    </w:p>
    <w:p w14:paraId="1134954C" w14:textId="37B995C4" w:rsidR="00717380" w:rsidRDefault="00AD55A8" w:rsidP="002C0A1E">
      <w:pPr>
        <w:spacing w:before="60" w:after="120"/>
        <w:rPr>
          <w:rFonts w:cstheme="minorHAnsi"/>
        </w:rPr>
      </w:pPr>
      <w:r>
        <w:rPr>
          <w:rFonts w:cstheme="minorHAnsi"/>
        </w:rPr>
        <w:t xml:space="preserve">Interviews with </w:t>
      </w:r>
      <w:r w:rsidR="000F2412">
        <w:rPr>
          <w:rFonts w:cstheme="minorHAnsi"/>
        </w:rPr>
        <w:t xml:space="preserve">health centre staff and their </w:t>
      </w:r>
      <w:r w:rsidR="003E738B">
        <w:rPr>
          <w:rFonts w:cstheme="minorHAnsi"/>
        </w:rPr>
        <w:t xml:space="preserve">Indigenous </w:t>
      </w:r>
      <w:r w:rsidR="000F2412">
        <w:rPr>
          <w:rFonts w:cstheme="minorHAnsi"/>
        </w:rPr>
        <w:t>patients who screened</w:t>
      </w:r>
      <w:r w:rsidR="003E738B">
        <w:rPr>
          <w:rFonts w:cstheme="minorHAnsi"/>
        </w:rPr>
        <w:t xml:space="preserve"> showed, </w:t>
      </w:r>
      <w:r w:rsidR="000F2412">
        <w:rPr>
          <w:rFonts w:cstheme="minorHAnsi"/>
        </w:rPr>
        <w:t xml:space="preserve">in combination with the screening data, </w:t>
      </w:r>
      <w:r w:rsidR="003E738B">
        <w:rPr>
          <w:rFonts w:cstheme="minorHAnsi"/>
        </w:rPr>
        <w:t xml:space="preserve">that </w:t>
      </w:r>
      <w:r w:rsidR="000F2412">
        <w:rPr>
          <w:rFonts w:cstheme="minorHAnsi"/>
        </w:rPr>
        <w:t xml:space="preserve">receiving a kit from a trusted health professional was a </w:t>
      </w:r>
      <w:r w:rsidR="003E738B">
        <w:rPr>
          <w:rFonts w:cstheme="minorHAnsi"/>
        </w:rPr>
        <w:t>much more positive</w:t>
      </w:r>
      <w:r w:rsidR="000F2412">
        <w:rPr>
          <w:rFonts w:cstheme="minorHAnsi"/>
        </w:rPr>
        <w:t xml:space="preserve"> experience to receiving it through the mail</w:t>
      </w:r>
      <w:r w:rsidR="003E738B">
        <w:rPr>
          <w:rFonts w:cstheme="minorHAnsi"/>
        </w:rPr>
        <w:t xml:space="preserve"> and removed many of the identified barriers to screening. </w:t>
      </w:r>
      <w:r w:rsidR="00E31C73">
        <w:rPr>
          <w:rFonts w:cstheme="minorHAnsi"/>
        </w:rPr>
        <w:t xml:space="preserve">Patients understood </w:t>
      </w:r>
      <w:r w:rsidR="000F2412">
        <w:rPr>
          <w:rFonts w:cstheme="minorHAnsi"/>
        </w:rPr>
        <w:t>why the test was important</w:t>
      </w:r>
      <w:r w:rsidR="00E31C73">
        <w:rPr>
          <w:rFonts w:cstheme="minorHAnsi"/>
        </w:rPr>
        <w:t xml:space="preserve"> and</w:t>
      </w:r>
      <w:r w:rsidR="000F2412">
        <w:rPr>
          <w:rFonts w:cstheme="minorHAnsi"/>
        </w:rPr>
        <w:t xml:space="preserve"> how to </w:t>
      </w:r>
      <w:r w:rsidR="00E31C73">
        <w:rPr>
          <w:rFonts w:cstheme="minorHAnsi"/>
        </w:rPr>
        <w:t>collect</w:t>
      </w:r>
      <w:r w:rsidR="000F2412">
        <w:rPr>
          <w:rFonts w:cstheme="minorHAnsi"/>
        </w:rPr>
        <w:t xml:space="preserve"> the samples and </w:t>
      </w:r>
      <w:r w:rsidR="00E31C73">
        <w:rPr>
          <w:rFonts w:cstheme="minorHAnsi"/>
        </w:rPr>
        <w:t xml:space="preserve">were keen to do so.  </w:t>
      </w:r>
      <w:r w:rsidR="0020492D">
        <w:rPr>
          <w:rFonts w:cstheme="minorHAnsi"/>
        </w:rPr>
        <w:t>Patient adherence to correct procedures was high, with f</w:t>
      </w:r>
      <w:r w:rsidR="00E31C73">
        <w:rPr>
          <w:rFonts w:cstheme="minorHAnsi"/>
        </w:rPr>
        <w:t>ew Alternative Pathway samples found to be invalid</w:t>
      </w:r>
      <w:r w:rsidR="0020492D">
        <w:rPr>
          <w:rFonts w:cstheme="minorHAnsi"/>
        </w:rPr>
        <w:t xml:space="preserve">. </w:t>
      </w:r>
      <w:r w:rsidR="00717380" w:rsidRPr="002C0A1E">
        <w:rPr>
          <w:rFonts w:cstheme="minorHAnsi"/>
        </w:rPr>
        <w:t>Those who screened through the Alternative Pathway did so much more promptly than usual pathway participants</w:t>
      </w:r>
      <w:r w:rsidR="0020492D">
        <w:rPr>
          <w:rFonts w:cstheme="minorHAnsi"/>
        </w:rPr>
        <w:t xml:space="preserve">. The </w:t>
      </w:r>
      <w:r w:rsidR="00717380" w:rsidRPr="002C0A1E">
        <w:rPr>
          <w:rFonts w:cstheme="minorHAnsi"/>
        </w:rPr>
        <w:t xml:space="preserve">median number of days in which Alternative Pathway kits were returned was 13 days, compared to 34 days for the usual pathway. </w:t>
      </w:r>
    </w:p>
    <w:p w14:paraId="7EBBE3BA" w14:textId="77777777" w:rsidR="0035134E" w:rsidRDefault="0035134E" w:rsidP="002C0A1E">
      <w:pPr>
        <w:spacing w:before="60" w:after="120"/>
        <w:rPr>
          <w:rFonts w:cstheme="minorHAnsi"/>
        </w:rPr>
      </w:pPr>
      <w:r w:rsidRPr="0035134E">
        <w:rPr>
          <w:rFonts w:cstheme="minorHAnsi"/>
        </w:rPr>
        <w:t xml:space="preserve">NBCSP data on further assessment or diagnostic testing following a positive result </w:t>
      </w:r>
      <w:r>
        <w:rPr>
          <w:rFonts w:cstheme="minorHAnsi"/>
        </w:rPr>
        <w:t>was not</w:t>
      </w:r>
      <w:r w:rsidRPr="0035134E">
        <w:rPr>
          <w:rFonts w:cstheme="minorHAnsi"/>
        </w:rPr>
        <w:t xml:space="preserve"> available </w:t>
      </w:r>
      <w:r>
        <w:rPr>
          <w:rFonts w:cstheme="minorHAnsi"/>
        </w:rPr>
        <w:t xml:space="preserve">at the time of reporting. Interviews </w:t>
      </w:r>
      <w:r w:rsidRPr="0035134E">
        <w:rPr>
          <w:rFonts w:cstheme="minorHAnsi"/>
        </w:rPr>
        <w:t xml:space="preserve">with health centre staff suggest that the process of offering screening to their patients has given many staff a greater investment in the entire bowel screening pathway including supporting patients who require a colonoscopy. </w:t>
      </w:r>
    </w:p>
    <w:p w14:paraId="1AE800B3" w14:textId="3140524B" w:rsidR="000D375B" w:rsidRDefault="007653AE" w:rsidP="002C0A1E">
      <w:pPr>
        <w:spacing w:before="60" w:after="120"/>
        <w:rPr>
          <w:rFonts w:cstheme="minorHAnsi"/>
        </w:rPr>
      </w:pPr>
      <w:r>
        <w:rPr>
          <w:rFonts w:cstheme="minorHAnsi"/>
        </w:rPr>
        <w:t xml:space="preserve">The Pilot </w:t>
      </w:r>
      <w:r w:rsidR="000D375B">
        <w:rPr>
          <w:rFonts w:cstheme="minorHAnsi"/>
        </w:rPr>
        <w:t xml:space="preserve">outcomes suggest </w:t>
      </w:r>
      <w:r>
        <w:rPr>
          <w:rFonts w:cstheme="minorHAnsi"/>
        </w:rPr>
        <w:t>tha</w:t>
      </w:r>
      <w:r w:rsidR="0058115C">
        <w:rPr>
          <w:rFonts w:cstheme="minorHAnsi"/>
        </w:rPr>
        <w:t>t – if rolled out more broadly</w:t>
      </w:r>
      <w:r w:rsidR="00E54FAC">
        <w:rPr>
          <w:rFonts w:cstheme="minorHAnsi"/>
        </w:rPr>
        <w:t xml:space="preserve"> – </w:t>
      </w:r>
      <w:r>
        <w:rPr>
          <w:rFonts w:cstheme="minorHAnsi"/>
        </w:rPr>
        <w:t xml:space="preserve">an Alternative Pathway could potentially close the gap between Indigenous and non-Indigenous Australians </w:t>
      </w:r>
      <w:r w:rsidR="0058115C">
        <w:rPr>
          <w:rFonts w:cstheme="minorHAnsi"/>
        </w:rPr>
        <w:t xml:space="preserve">in </w:t>
      </w:r>
      <w:r w:rsidR="00CC0A05">
        <w:rPr>
          <w:rFonts w:cstheme="minorHAnsi"/>
        </w:rPr>
        <w:t>participation</w:t>
      </w:r>
      <w:r w:rsidR="0058115C">
        <w:rPr>
          <w:rFonts w:cstheme="minorHAnsi"/>
        </w:rPr>
        <w:t xml:space="preserve"> in the NBCSP.  </w:t>
      </w:r>
      <w:r w:rsidR="000D375B">
        <w:rPr>
          <w:rFonts w:cstheme="minorHAnsi"/>
        </w:rPr>
        <w:t>The costs of offering an Alternative Pathway are not high, and expenditure on bowel screening returns a very high rate of return. Adoption of an Alternative Pathway as a permanent part of the NBCSP would also help to address inequities in the program.</w:t>
      </w:r>
    </w:p>
    <w:p w14:paraId="27E9863C" w14:textId="4E431B9F" w:rsidR="00F263FB" w:rsidRDefault="0058115C" w:rsidP="00683FA3">
      <w:pPr>
        <w:rPr>
          <w:rFonts w:cstheme="minorHAnsi"/>
        </w:rPr>
      </w:pPr>
      <w:r>
        <w:rPr>
          <w:rFonts w:cstheme="minorHAnsi"/>
        </w:rPr>
        <w:t>However</w:t>
      </w:r>
      <w:r w:rsidR="00FB43B6">
        <w:rPr>
          <w:rFonts w:cstheme="minorHAnsi"/>
        </w:rPr>
        <w:t>,</w:t>
      </w:r>
      <w:r w:rsidR="000D375B">
        <w:rPr>
          <w:rFonts w:cstheme="minorHAnsi"/>
        </w:rPr>
        <w:t xml:space="preserve"> the Pilot evaluation</w:t>
      </w:r>
      <w:r>
        <w:rPr>
          <w:rFonts w:cstheme="minorHAnsi"/>
        </w:rPr>
        <w:t xml:space="preserve"> also highlighted technical issues that </w:t>
      </w:r>
      <w:r w:rsidR="00B12577">
        <w:rPr>
          <w:rFonts w:cstheme="minorHAnsi"/>
        </w:rPr>
        <w:t>must</w:t>
      </w:r>
      <w:r>
        <w:rPr>
          <w:rFonts w:cstheme="minorHAnsi"/>
        </w:rPr>
        <w:t xml:space="preserve"> be addressed </w:t>
      </w:r>
      <w:r w:rsidRPr="00F263FB">
        <w:rPr>
          <w:rFonts w:cstheme="minorHAnsi"/>
          <w:u w:val="single"/>
        </w:rPr>
        <w:t>before</w:t>
      </w:r>
      <w:r>
        <w:rPr>
          <w:rFonts w:cstheme="minorHAnsi"/>
        </w:rPr>
        <w:t xml:space="preserve"> broader rollout can occur. In particular, a temporary workaround that allowed health professionals to report participation information to the NBCSP register </w:t>
      </w:r>
      <w:r w:rsidR="000D375B">
        <w:rPr>
          <w:rFonts w:cstheme="minorHAnsi"/>
        </w:rPr>
        <w:t>must</w:t>
      </w:r>
      <w:r>
        <w:rPr>
          <w:rFonts w:cstheme="minorHAnsi"/>
        </w:rPr>
        <w:t xml:space="preserve"> be replaced with a more user-friendly and direct interface with the new National Cancer Screening Registe</w:t>
      </w:r>
      <w:r w:rsidR="000D375B">
        <w:rPr>
          <w:rFonts w:cstheme="minorHAnsi"/>
        </w:rPr>
        <w:t xml:space="preserve">r (NCSR). The workaround used during the Pilot was not acceptable to many health professionals, particularly General Practitioners, and was a barrier to </w:t>
      </w:r>
      <w:r w:rsidR="00D949D2">
        <w:rPr>
          <w:rFonts w:cstheme="minorHAnsi"/>
        </w:rPr>
        <w:t xml:space="preserve">the Alternative Pathway being offered. The workaround </w:t>
      </w:r>
      <w:r w:rsidR="00F263FB">
        <w:rPr>
          <w:rFonts w:cstheme="minorHAnsi"/>
        </w:rPr>
        <w:t>allowed</w:t>
      </w:r>
      <w:r w:rsidR="00D949D2">
        <w:rPr>
          <w:rFonts w:cstheme="minorHAnsi"/>
        </w:rPr>
        <w:t xml:space="preserve"> health professionals to fail to follow correct procedures</w:t>
      </w:r>
      <w:r w:rsidR="00F263FB">
        <w:rPr>
          <w:rFonts w:cstheme="minorHAnsi"/>
        </w:rPr>
        <w:t>,</w:t>
      </w:r>
      <w:r w:rsidR="00D949D2">
        <w:rPr>
          <w:rFonts w:cstheme="minorHAnsi"/>
        </w:rPr>
        <w:t xml:space="preserve"> </w:t>
      </w:r>
      <w:r w:rsidR="00F263FB">
        <w:rPr>
          <w:rFonts w:cstheme="minorHAnsi"/>
        </w:rPr>
        <w:t xml:space="preserve">while providing little opportunity to detect such errors at a system level. </w:t>
      </w:r>
      <w:r w:rsidR="0035134E">
        <w:rPr>
          <w:rFonts w:cstheme="minorHAnsi"/>
        </w:rPr>
        <w:t xml:space="preserve">During the Pilot, approximately 100 kits were given out to patients </w:t>
      </w:r>
      <w:r w:rsidR="007B266D">
        <w:rPr>
          <w:rFonts w:cstheme="minorHAnsi"/>
        </w:rPr>
        <w:t>but were not reported to the Register, increasing the risk that patients might not receive their results.</w:t>
      </w:r>
    </w:p>
    <w:p w14:paraId="0778CD37" w14:textId="0FE65962" w:rsidR="00683FA3" w:rsidRPr="0062145C" w:rsidRDefault="00683FA3" w:rsidP="00683FA3">
      <w:pPr>
        <w:rPr>
          <w:rFonts w:eastAsiaTheme="majorEastAsia" w:cstheme="minorHAnsi"/>
          <w:color w:val="C45911" w:themeColor="accent2" w:themeShade="BF"/>
          <w:sz w:val="48"/>
          <w:szCs w:val="32"/>
          <w:lang w:eastAsia="en-AU"/>
        </w:rPr>
      </w:pPr>
      <w:r w:rsidRPr="002066AA">
        <w:rPr>
          <w:rFonts w:cstheme="minorHAnsi"/>
        </w:rPr>
        <w:t>In mid</w:t>
      </w:r>
      <w:r>
        <w:rPr>
          <w:rFonts w:cstheme="minorHAnsi"/>
        </w:rPr>
        <w:t>-</w:t>
      </w:r>
      <w:r w:rsidRPr="002066AA">
        <w:rPr>
          <w:rFonts w:cstheme="minorHAnsi"/>
        </w:rPr>
        <w:t xml:space="preserve">2019, the Department of Health agreed that Pilot health centres </w:t>
      </w:r>
      <w:r>
        <w:rPr>
          <w:rFonts w:cstheme="minorHAnsi"/>
        </w:rPr>
        <w:t xml:space="preserve">could </w:t>
      </w:r>
      <w:r w:rsidRPr="002066AA">
        <w:rPr>
          <w:rFonts w:cstheme="minorHAnsi"/>
        </w:rPr>
        <w:t xml:space="preserve">continue to distribute kits beyond the Pilot </w:t>
      </w:r>
      <w:r>
        <w:rPr>
          <w:rFonts w:cstheme="minorHAnsi"/>
        </w:rPr>
        <w:t>and</w:t>
      </w:r>
      <w:r w:rsidRPr="002066AA">
        <w:rPr>
          <w:rFonts w:cstheme="minorHAnsi"/>
        </w:rPr>
        <w:t xml:space="preserve"> until the evaluation was complete and the Department considered its findings. </w:t>
      </w:r>
      <w:r>
        <w:rPr>
          <w:rFonts w:cstheme="minorHAnsi"/>
        </w:rPr>
        <w:t>More than half</w:t>
      </w:r>
      <w:r w:rsidRPr="002066AA">
        <w:rPr>
          <w:rFonts w:cstheme="minorHAnsi"/>
        </w:rPr>
        <w:t xml:space="preserve"> of </w:t>
      </w:r>
      <w:r w:rsidR="007D5A72">
        <w:rPr>
          <w:rFonts w:cstheme="minorHAnsi"/>
        </w:rPr>
        <w:t xml:space="preserve">the Pilot sites (N = 20) </w:t>
      </w:r>
      <w:r w:rsidRPr="002066AA">
        <w:rPr>
          <w:rFonts w:cstheme="minorHAnsi"/>
        </w:rPr>
        <w:t>continued to give out NBCSP kits beyond the end of the Pilot</w:t>
      </w:r>
      <w:r w:rsidR="007D5A72">
        <w:rPr>
          <w:rFonts w:cstheme="minorHAnsi"/>
        </w:rPr>
        <w:t xml:space="preserve">, although </w:t>
      </w:r>
      <w:r w:rsidR="000D485D">
        <w:rPr>
          <w:rFonts w:cstheme="minorHAnsi"/>
        </w:rPr>
        <w:t>the COVID-</w:t>
      </w:r>
      <w:r w:rsidR="002E6EF8">
        <w:rPr>
          <w:rFonts w:cstheme="minorHAnsi"/>
        </w:rPr>
        <w:t xml:space="preserve">19 pandemic </w:t>
      </w:r>
      <w:r w:rsidR="00B12577">
        <w:rPr>
          <w:rFonts w:cstheme="minorHAnsi"/>
        </w:rPr>
        <w:t xml:space="preserve">reduced </w:t>
      </w:r>
      <w:r w:rsidR="002E6EF8">
        <w:rPr>
          <w:rFonts w:cstheme="minorHAnsi"/>
        </w:rPr>
        <w:t>their capacity to do so</w:t>
      </w:r>
      <w:r>
        <w:rPr>
          <w:rFonts w:cstheme="minorHAnsi"/>
        </w:rPr>
        <w:t xml:space="preserve">. </w:t>
      </w:r>
    </w:p>
    <w:p w14:paraId="42FDBB18" w14:textId="1BA251AF" w:rsidR="007B266D" w:rsidRDefault="007B266D">
      <w:pPr>
        <w:spacing w:before="0" w:after="0" w:line="240" w:lineRule="auto"/>
      </w:pPr>
      <w:r>
        <w:br w:type="page"/>
      </w:r>
    </w:p>
    <w:p w14:paraId="53B10345" w14:textId="76561CF5" w:rsidR="002E6EF8" w:rsidRPr="009D53EB" w:rsidRDefault="00657A57" w:rsidP="00FB43B6">
      <w:pPr>
        <w:pStyle w:val="Heading1"/>
      </w:pPr>
      <w:bookmarkStart w:id="19" w:name="_Toc54954828"/>
      <w:r>
        <w:lastRenderedPageBreak/>
        <w:t xml:space="preserve">1.1 </w:t>
      </w:r>
      <w:r w:rsidR="007B266D" w:rsidRPr="009D53EB">
        <w:t>R</w:t>
      </w:r>
      <w:r w:rsidR="002E6EF8" w:rsidRPr="009D53EB">
        <w:t>ecommendations</w:t>
      </w:r>
      <w:bookmarkEnd w:id="19"/>
    </w:p>
    <w:p w14:paraId="364A21D5" w14:textId="21CA8076" w:rsidR="005924EC" w:rsidRDefault="00CD321D" w:rsidP="00672326">
      <w:pPr>
        <w:spacing w:before="60" w:after="120"/>
        <w:rPr>
          <w:lang w:eastAsia="en-AU"/>
        </w:rPr>
      </w:pPr>
      <w:r>
        <w:rPr>
          <w:lang w:eastAsia="en-AU"/>
        </w:rPr>
        <w:t>The</w:t>
      </w:r>
      <w:r w:rsidR="00290546">
        <w:rPr>
          <w:lang w:eastAsia="en-AU"/>
        </w:rPr>
        <w:t xml:space="preserve"> </w:t>
      </w:r>
      <w:r w:rsidR="007A3D9A">
        <w:rPr>
          <w:lang w:eastAsia="en-AU"/>
        </w:rPr>
        <w:t xml:space="preserve">National Indigenous Bowel Screening Pilot demonstrated that an </w:t>
      </w:r>
      <w:r w:rsidR="00290546">
        <w:rPr>
          <w:lang w:eastAsia="en-AU"/>
        </w:rPr>
        <w:t>Alternative Pathway</w:t>
      </w:r>
      <w:r w:rsidR="003C117C">
        <w:rPr>
          <w:lang w:eastAsia="en-AU"/>
        </w:rPr>
        <w:t xml:space="preserve"> for the NBCSP</w:t>
      </w:r>
      <w:r w:rsidR="00290546">
        <w:rPr>
          <w:lang w:eastAsia="en-AU"/>
        </w:rPr>
        <w:t xml:space="preserve"> </w:t>
      </w:r>
      <w:r w:rsidR="00E07F6F">
        <w:rPr>
          <w:lang w:eastAsia="en-AU"/>
        </w:rPr>
        <w:t>can</w:t>
      </w:r>
      <w:r w:rsidR="007A3D9A">
        <w:rPr>
          <w:lang w:eastAsia="en-AU"/>
        </w:rPr>
        <w:t xml:space="preserve"> close the gap between Indigenous and non-Indigenous participation in </w:t>
      </w:r>
      <w:r w:rsidR="003C117C">
        <w:rPr>
          <w:lang w:eastAsia="en-AU"/>
        </w:rPr>
        <w:t>bowel screening</w:t>
      </w:r>
      <w:r w:rsidR="00E07F6F">
        <w:rPr>
          <w:lang w:eastAsia="en-AU"/>
        </w:rPr>
        <w:t xml:space="preserve">. </w:t>
      </w:r>
    </w:p>
    <w:p w14:paraId="6D765C36" w14:textId="0F4731A4" w:rsidR="005924EC" w:rsidRDefault="005924EC" w:rsidP="00672326">
      <w:pPr>
        <w:spacing w:before="60" w:after="120"/>
        <w:rPr>
          <w:lang w:eastAsia="en-AU"/>
        </w:rPr>
      </w:pPr>
      <w:r>
        <w:rPr>
          <w:lang w:eastAsia="en-AU"/>
        </w:rPr>
        <w:t>It is recommended that:</w:t>
      </w:r>
    </w:p>
    <w:p w14:paraId="41108E1C" w14:textId="345B7E7A" w:rsidR="003C117C" w:rsidRDefault="00E07F6F" w:rsidP="00C77532">
      <w:pPr>
        <w:pStyle w:val="ListParagraph"/>
        <w:numPr>
          <w:ilvl w:val="0"/>
          <w:numId w:val="65"/>
        </w:numPr>
        <w:spacing w:before="60" w:after="120"/>
        <w:contextualSpacing w:val="0"/>
        <w:rPr>
          <w:lang w:eastAsia="en-AU"/>
        </w:rPr>
      </w:pPr>
      <w:r>
        <w:rPr>
          <w:lang w:eastAsia="en-AU"/>
        </w:rPr>
        <w:t xml:space="preserve">The Alternative Pathway </w:t>
      </w:r>
      <w:r w:rsidR="003C117C">
        <w:rPr>
          <w:lang w:eastAsia="en-AU"/>
        </w:rPr>
        <w:t xml:space="preserve">should </w:t>
      </w:r>
      <w:r w:rsidR="006D5131">
        <w:rPr>
          <w:lang w:eastAsia="en-AU"/>
        </w:rPr>
        <w:t xml:space="preserve">be </w:t>
      </w:r>
      <w:r>
        <w:rPr>
          <w:lang w:eastAsia="en-AU"/>
        </w:rPr>
        <w:t xml:space="preserve">made available to </w:t>
      </w:r>
      <w:r w:rsidR="009238E4">
        <w:rPr>
          <w:lang w:eastAsia="en-AU"/>
        </w:rPr>
        <w:t xml:space="preserve">more </w:t>
      </w:r>
      <w:r>
        <w:rPr>
          <w:lang w:eastAsia="en-AU"/>
        </w:rPr>
        <w:t xml:space="preserve">Indigenous Australians </w:t>
      </w:r>
      <w:r w:rsidR="009238E4">
        <w:rPr>
          <w:lang w:eastAsia="en-AU"/>
        </w:rPr>
        <w:t xml:space="preserve">through Indigenous primary health care services, </w:t>
      </w:r>
      <w:r>
        <w:rPr>
          <w:lang w:eastAsia="en-AU"/>
        </w:rPr>
        <w:t xml:space="preserve">as widely </w:t>
      </w:r>
      <w:r w:rsidR="005924EC">
        <w:rPr>
          <w:lang w:eastAsia="en-AU"/>
        </w:rPr>
        <w:t xml:space="preserve">and as rapidly as </w:t>
      </w:r>
      <w:r>
        <w:rPr>
          <w:lang w:eastAsia="en-AU"/>
        </w:rPr>
        <w:t>possible.</w:t>
      </w:r>
    </w:p>
    <w:p w14:paraId="1A1E36FE" w14:textId="56292F1E" w:rsidR="00B35906" w:rsidRDefault="003E32FB" w:rsidP="00C77532">
      <w:pPr>
        <w:pStyle w:val="ListParagraph"/>
        <w:numPr>
          <w:ilvl w:val="0"/>
          <w:numId w:val="65"/>
        </w:numPr>
        <w:spacing w:before="60" w:after="120"/>
        <w:contextualSpacing w:val="0"/>
        <w:rPr>
          <w:lang w:eastAsia="en-AU"/>
        </w:rPr>
      </w:pPr>
      <w:r>
        <w:rPr>
          <w:lang w:eastAsia="en-AU"/>
        </w:rPr>
        <w:t>Two significant t</w:t>
      </w:r>
      <w:r w:rsidR="00B070FD">
        <w:rPr>
          <w:lang w:eastAsia="en-AU"/>
        </w:rPr>
        <w:t>echnical</w:t>
      </w:r>
      <w:r w:rsidR="00242DAA">
        <w:rPr>
          <w:lang w:eastAsia="en-AU"/>
        </w:rPr>
        <w:t xml:space="preserve"> barriers</w:t>
      </w:r>
      <w:r w:rsidR="00C81175">
        <w:rPr>
          <w:lang w:eastAsia="en-AU"/>
        </w:rPr>
        <w:t xml:space="preserve"> must</w:t>
      </w:r>
      <w:r w:rsidR="00242DAA">
        <w:rPr>
          <w:lang w:eastAsia="en-AU"/>
        </w:rPr>
        <w:t xml:space="preserve"> be addressed or re</w:t>
      </w:r>
      <w:r w:rsidR="00672326">
        <w:rPr>
          <w:lang w:eastAsia="en-AU"/>
        </w:rPr>
        <w:t xml:space="preserve">solved </w:t>
      </w:r>
      <w:r w:rsidR="00B070FD">
        <w:rPr>
          <w:lang w:eastAsia="en-AU"/>
        </w:rPr>
        <w:t xml:space="preserve">to </w:t>
      </w:r>
      <w:r w:rsidR="00242DAA">
        <w:rPr>
          <w:lang w:eastAsia="en-AU"/>
        </w:rPr>
        <w:t xml:space="preserve">ensure that broader rollout of the Alternative Pathway </w:t>
      </w:r>
      <w:r w:rsidR="00B070FD">
        <w:rPr>
          <w:lang w:eastAsia="en-AU"/>
        </w:rPr>
        <w:t>maintains the integrity of NCSR data and meets the required quality and safety standards for participant safety</w:t>
      </w:r>
      <w:r w:rsidR="00B35906">
        <w:rPr>
          <w:lang w:eastAsia="en-AU"/>
        </w:rPr>
        <w:t xml:space="preserve">: </w:t>
      </w:r>
    </w:p>
    <w:p w14:paraId="50E5C642" w14:textId="2531307D" w:rsidR="009D40F5" w:rsidRDefault="00CB2E3B" w:rsidP="00C77532">
      <w:pPr>
        <w:pStyle w:val="ListParagraph"/>
        <w:numPr>
          <w:ilvl w:val="1"/>
          <w:numId w:val="65"/>
        </w:numPr>
        <w:spacing w:before="60" w:after="120"/>
        <w:contextualSpacing w:val="0"/>
        <w:rPr>
          <w:lang w:eastAsia="en-AU"/>
        </w:rPr>
      </w:pPr>
      <w:r>
        <w:rPr>
          <w:lang w:eastAsia="en-AU"/>
        </w:rPr>
        <w:t>The online Participant Details form used to report screening activity during the Pilot is not fit for purpose to support broader rollout of the Alternative Pathway</w:t>
      </w:r>
      <w:r w:rsidR="00085CBF">
        <w:rPr>
          <w:lang w:eastAsia="en-AU"/>
        </w:rPr>
        <w:t>. It</w:t>
      </w:r>
      <w:r>
        <w:rPr>
          <w:lang w:eastAsia="en-AU"/>
        </w:rPr>
        <w:t xml:space="preserve"> must be replaced with a simple and user-friendly way </w:t>
      </w:r>
      <w:r w:rsidR="00B35906">
        <w:rPr>
          <w:lang w:eastAsia="en-AU"/>
        </w:rPr>
        <w:t>health centre</w:t>
      </w:r>
      <w:r>
        <w:rPr>
          <w:lang w:eastAsia="en-AU"/>
        </w:rPr>
        <w:t xml:space="preserve"> staff to </w:t>
      </w:r>
      <w:r w:rsidR="00085CBF">
        <w:rPr>
          <w:lang w:eastAsia="en-AU"/>
        </w:rPr>
        <w:t xml:space="preserve">access and enter information about patients who are invited to screen, that is developed with input from those who will use it (GPs, nurses, Aboriginal and Torres Strait Islander Health Workers), </w:t>
      </w:r>
      <w:r w:rsidR="00B35906">
        <w:rPr>
          <w:lang w:eastAsia="en-AU"/>
        </w:rPr>
        <w:t>trialled</w:t>
      </w:r>
      <w:r w:rsidR="00085CBF">
        <w:rPr>
          <w:lang w:eastAsia="en-AU"/>
        </w:rPr>
        <w:t xml:space="preserve"> in situ before wider implementation</w:t>
      </w:r>
      <w:r w:rsidR="0075276C">
        <w:rPr>
          <w:lang w:eastAsia="en-AU"/>
        </w:rPr>
        <w:t>, and supported with clear and concise ‘how to’ resources.</w:t>
      </w:r>
    </w:p>
    <w:p w14:paraId="6EB397A1" w14:textId="2907F34B" w:rsidR="00242DAA" w:rsidRDefault="00B35906" w:rsidP="00C77532">
      <w:pPr>
        <w:pStyle w:val="ListParagraph"/>
        <w:numPr>
          <w:ilvl w:val="1"/>
          <w:numId w:val="65"/>
        </w:numPr>
        <w:spacing w:before="60" w:after="120"/>
        <w:contextualSpacing w:val="0"/>
        <w:rPr>
          <w:lang w:eastAsia="en-AU"/>
        </w:rPr>
      </w:pPr>
      <w:r>
        <w:rPr>
          <w:lang w:eastAsia="en-AU"/>
        </w:rPr>
        <w:t xml:space="preserve">Systematic screening programs (like the NBCSP) around the world struggle to integrate the data of </w:t>
      </w:r>
      <w:r w:rsidR="0075276C">
        <w:rPr>
          <w:lang w:eastAsia="en-AU"/>
        </w:rPr>
        <w:t xml:space="preserve">‘ad hoc’ </w:t>
      </w:r>
      <w:r>
        <w:rPr>
          <w:lang w:eastAsia="en-AU"/>
        </w:rPr>
        <w:t xml:space="preserve">participants who screen outside the </w:t>
      </w:r>
      <w:r w:rsidR="0075276C">
        <w:rPr>
          <w:lang w:eastAsia="en-AU"/>
        </w:rPr>
        <w:t xml:space="preserve">regular cycle of invitation of large cohort groups. Manual overrides of the NBCSR were carried out during the Pilot to address these issues, but this is not sustainable beyond the scale of a Pilot. </w:t>
      </w:r>
    </w:p>
    <w:p w14:paraId="7A6456F5" w14:textId="24030767" w:rsidR="001B29EF" w:rsidRDefault="00E71920" w:rsidP="00C77532">
      <w:pPr>
        <w:pStyle w:val="ListParagraph"/>
        <w:numPr>
          <w:ilvl w:val="0"/>
          <w:numId w:val="65"/>
        </w:numPr>
        <w:spacing w:before="60" w:after="120"/>
        <w:contextualSpacing w:val="0"/>
        <w:rPr>
          <w:lang w:eastAsia="en-AU"/>
        </w:rPr>
      </w:pPr>
      <w:r>
        <w:rPr>
          <w:lang w:eastAsia="en-AU"/>
        </w:rPr>
        <w:t>A brief co-design process involving the NBCSP Program Development Advisory Group, Primary Health Networks, Cancer Councils and Aboriginal Community Controlled Health Organisation (ACCHO) peak bodies and health centres is recommended to assist with development of program guidelines for broader rollout</w:t>
      </w:r>
      <w:r w:rsidR="001B29EF">
        <w:rPr>
          <w:lang w:eastAsia="en-AU"/>
        </w:rPr>
        <w:t xml:space="preserve">. For example, </w:t>
      </w:r>
      <w:r w:rsidR="00C4658E">
        <w:rPr>
          <w:lang w:eastAsia="en-AU"/>
        </w:rPr>
        <w:t xml:space="preserve">careful consideration should be given to </w:t>
      </w:r>
      <w:r w:rsidR="00CC3B98">
        <w:rPr>
          <w:lang w:eastAsia="en-AU"/>
        </w:rPr>
        <w:t xml:space="preserve">how to bring health centres into the program and </w:t>
      </w:r>
      <w:r w:rsidR="00D61653">
        <w:rPr>
          <w:lang w:eastAsia="en-AU"/>
        </w:rPr>
        <w:t>eligibility criteria</w:t>
      </w:r>
      <w:r w:rsidR="00C4658E">
        <w:rPr>
          <w:lang w:eastAsia="en-AU"/>
        </w:rPr>
        <w:t xml:space="preserve">. </w:t>
      </w:r>
      <w:r w:rsidR="00D61653">
        <w:rPr>
          <w:lang w:eastAsia="en-AU"/>
        </w:rPr>
        <w:t xml:space="preserve">The Pilot worked best for </w:t>
      </w:r>
      <w:r w:rsidR="007F1735">
        <w:rPr>
          <w:lang w:eastAsia="en-AU"/>
        </w:rPr>
        <w:t xml:space="preserve">health centres with a high proportion (more than 80%) of Indigenous patients, and mostly driven by Aboriginal and Torres Strait Islander Health Workers or nurses. </w:t>
      </w:r>
      <w:r w:rsidR="00FC5952">
        <w:rPr>
          <w:lang w:eastAsia="en-AU"/>
        </w:rPr>
        <w:t>Current or emergent programs offered by these key stakeholder groups may dovetail well with broader rollout of the Alternative Pathway.</w:t>
      </w:r>
    </w:p>
    <w:p w14:paraId="452C17D8" w14:textId="63B1CD85" w:rsidR="00242DAA" w:rsidRDefault="00672326" w:rsidP="00C77532">
      <w:pPr>
        <w:pStyle w:val="ListParagraph"/>
        <w:numPr>
          <w:ilvl w:val="0"/>
          <w:numId w:val="65"/>
        </w:numPr>
        <w:spacing w:before="60" w:after="120"/>
        <w:contextualSpacing w:val="0"/>
        <w:rPr>
          <w:lang w:eastAsia="en-AU"/>
        </w:rPr>
      </w:pPr>
      <w:r>
        <w:rPr>
          <w:lang w:eastAsia="en-AU"/>
        </w:rPr>
        <w:t xml:space="preserve">Training </w:t>
      </w:r>
      <w:r w:rsidR="006E753B">
        <w:rPr>
          <w:lang w:eastAsia="en-AU"/>
        </w:rPr>
        <w:t>and</w:t>
      </w:r>
      <w:r w:rsidR="009D40F5">
        <w:rPr>
          <w:lang w:eastAsia="en-AU"/>
        </w:rPr>
        <w:t xml:space="preserve"> implementation support </w:t>
      </w:r>
      <w:r>
        <w:rPr>
          <w:lang w:eastAsia="en-AU"/>
        </w:rPr>
        <w:t xml:space="preserve">will be required </w:t>
      </w:r>
      <w:r w:rsidR="006E753B">
        <w:rPr>
          <w:lang w:eastAsia="en-AU"/>
        </w:rPr>
        <w:t xml:space="preserve">to </w:t>
      </w:r>
      <w:r>
        <w:rPr>
          <w:lang w:eastAsia="en-AU"/>
        </w:rPr>
        <w:t xml:space="preserve">help health centres </w:t>
      </w:r>
      <w:r w:rsidR="006E753B">
        <w:rPr>
          <w:lang w:eastAsia="en-AU"/>
        </w:rPr>
        <w:t xml:space="preserve">prepare to offer the Alternative Pathway, </w:t>
      </w:r>
      <w:r w:rsidR="009D40F5">
        <w:rPr>
          <w:lang w:eastAsia="en-AU"/>
        </w:rPr>
        <w:t xml:space="preserve">and ongoing monitoring and follow-up </w:t>
      </w:r>
      <w:r w:rsidR="006E753B">
        <w:rPr>
          <w:lang w:eastAsia="en-AU"/>
        </w:rPr>
        <w:t xml:space="preserve">to </w:t>
      </w:r>
      <w:r w:rsidR="009D40F5">
        <w:rPr>
          <w:lang w:eastAsia="en-AU"/>
        </w:rPr>
        <w:t>ensur</w:t>
      </w:r>
      <w:r w:rsidR="006E753B">
        <w:rPr>
          <w:lang w:eastAsia="en-AU"/>
        </w:rPr>
        <w:t>e</w:t>
      </w:r>
      <w:r w:rsidR="009D40F5">
        <w:rPr>
          <w:lang w:eastAsia="en-AU"/>
        </w:rPr>
        <w:t xml:space="preserve"> quality and safety requirements</w:t>
      </w:r>
      <w:r w:rsidR="00070C12">
        <w:rPr>
          <w:lang w:eastAsia="en-AU"/>
        </w:rPr>
        <w:t xml:space="preserve"> are met:</w:t>
      </w:r>
      <w:r w:rsidR="006E753B">
        <w:rPr>
          <w:lang w:eastAsia="en-AU"/>
        </w:rPr>
        <w:t xml:space="preserve"> </w:t>
      </w:r>
    </w:p>
    <w:p w14:paraId="63EC3FF3" w14:textId="11EE76F3" w:rsidR="00242DAA" w:rsidRDefault="006E753B" w:rsidP="00C77532">
      <w:pPr>
        <w:pStyle w:val="ListParagraph"/>
        <w:numPr>
          <w:ilvl w:val="1"/>
          <w:numId w:val="61"/>
        </w:numPr>
        <w:spacing w:before="60" w:after="120"/>
        <w:contextualSpacing w:val="0"/>
        <w:rPr>
          <w:lang w:eastAsia="en-AU"/>
        </w:rPr>
      </w:pPr>
      <w:r>
        <w:rPr>
          <w:lang w:eastAsia="en-AU"/>
        </w:rPr>
        <w:t xml:space="preserve">Training provided through the Pilot was effective in addressing the barriers that might prevent health centre staff from </w:t>
      </w:r>
      <w:r w:rsidR="00F26F53">
        <w:rPr>
          <w:lang w:eastAsia="en-AU"/>
        </w:rPr>
        <w:t>offering bowel screening to Indigenous clients</w:t>
      </w:r>
      <w:r w:rsidR="00242DAA">
        <w:rPr>
          <w:lang w:eastAsia="en-AU"/>
        </w:rPr>
        <w:t xml:space="preserve"> and will require minimal</w:t>
      </w:r>
      <w:r w:rsidR="000C1AFA">
        <w:rPr>
          <w:lang w:eastAsia="en-AU"/>
        </w:rPr>
        <w:t xml:space="preserve"> adaption for broader rollout.</w:t>
      </w:r>
      <w:r w:rsidR="00451228">
        <w:rPr>
          <w:lang w:eastAsia="en-AU"/>
        </w:rPr>
        <w:t xml:space="preserve"> </w:t>
      </w:r>
    </w:p>
    <w:p w14:paraId="2A245079" w14:textId="16D5860B" w:rsidR="00F628E9" w:rsidRDefault="0075276C" w:rsidP="00C77532">
      <w:pPr>
        <w:pStyle w:val="ListParagraph"/>
        <w:numPr>
          <w:ilvl w:val="1"/>
          <w:numId w:val="61"/>
        </w:numPr>
        <w:spacing w:before="60" w:after="120"/>
        <w:contextualSpacing w:val="0"/>
        <w:rPr>
          <w:lang w:eastAsia="en-AU"/>
        </w:rPr>
      </w:pPr>
      <w:r>
        <w:rPr>
          <w:lang w:eastAsia="en-AU"/>
        </w:rPr>
        <w:t>I</w:t>
      </w:r>
      <w:r w:rsidR="00F26F53">
        <w:rPr>
          <w:lang w:eastAsia="en-AU"/>
        </w:rPr>
        <w:t>mplementation support</w:t>
      </w:r>
      <w:r w:rsidR="00D61653">
        <w:rPr>
          <w:lang w:eastAsia="en-AU"/>
        </w:rPr>
        <w:t>:</w:t>
      </w:r>
      <w:r w:rsidR="000C1AFA">
        <w:rPr>
          <w:lang w:eastAsia="en-AU"/>
        </w:rPr>
        <w:t xml:space="preserve"> </w:t>
      </w:r>
      <w:r w:rsidR="001B29EF">
        <w:rPr>
          <w:lang w:eastAsia="en-AU"/>
        </w:rPr>
        <w:t>The NBCSP is a program that appears very simple but is operationally very comple</w:t>
      </w:r>
      <w:r w:rsidR="00D61653">
        <w:rPr>
          <w:lang w:eastAsia="en-AU"/>
        </w:rPr>
        <w:t xml:space="preserve">x. Key health centre staff need to understand it sufficiently to then develop a workable and sustainable system to embed into the health centre’s routine practice. </w:t>
      </w:r>
      <w:r w:rsidR="001B29EF">
        <w:rPr>
          <w:lang w:eastAsia="en-AU"/>
        </w:rPr>
        <w:t xml:space="preserve"> </w:t>
      </w:r>
      <w:r w:rsidR="000C1AFA">
        <w:rPr>
          <w:lang w:eastAsia="en-AU"/>
        </w:rPr>
        <w:t xml:space="preserve">Materials used during the Pilot </w:t>
      </w:r>
      <w:r w:rsidR="00F26F53">
        <w:rPr>
          <w:lang w:eastAsia="en-AU"/>
        </w:rPr>
        <w:t xml:space="preserve">will need to be </w:t>
      </w:r>
      <w:r w:rsidR="006E7292">
        <w:rPr>
          <w:lang w:eastAsia="en-AU"/>
        </w:rPr>
        <w:t xml:space="preserve">made more user friendly and </w:t>
      </w:r>
      <w:r w:rsidR="00F26F53">
        <w:rPr>
          <w:lang w:eastAsia="en-AU"/>
        </w:rPr>
        <w:t>adapted</w:t>
      </w:r>
      <w:r w:rsidR="000C1AFA">
        <w:rPr>
          <w:lang w:eastAsia="en-AU"/>
        </w:rPr>
        <w:t xml:space="preserve"> to support </w:t>
      </w:r>
      <w:r w:rsidR="006E7292">
        <w:rPr>
          <w:lang w:eastAsia="en-AU"/>
        </w:rPr>
        <w:t xml:space="preserve">the implementation of </w:t>
      </w:r>
      <w:r w:rsidR="000C1AFA">
        <w:rPr>
          <w:lang w:eastAsia="en-AU"/>
        </w:rPr>
        <w:t>Recommendation 2(a)</w:t>
      </w:r>
      <w:r w:rsidR="006E7292">
        <w:rPr>
          <w:lang w:eastAsia="en-AU"/>
        </w:rPr>
        <w:t>. M</w:t>
      </w:r>
      <w:r>
        <w:rPr>
          <w:lang w:eastAsia="en-AU"/>
        </w:rPr>
        <w:t xml:space="preserve">ore tailored </w:t>
      </w:r>
      <w:r w:rsidR="000C1AFA">
        <w:rPr>
          <w:lang w:eastAsia="en-AU"/>
        </w:rPr>
        <w:t xml:space="preserve">support </w:t>
      </w:r>
      <w:r w:rsidR="006E7292">
        <w:rPr>
          <w:lang w:eastAsia="en-AU"/>
        </w:rPr>
        <w:t xml:space="preserve">should be provided </w:t>
      </w:r>
      <w:r w:rsidR="000C1AFA" w:rsidRPr="000C1AFA">
        <w:rPr>
          <w:i/>
          <w:iCs/>
          <w:lang w:eastAsia="en-AU"/>
        </w:rPr>
        <w:t>before</w:t>
      </w:r>
      <w:r w:rsidR="000C1AFA">
        <w:rPr>
          <w:lang w:eastAsia="en-AU"/>
        </w:rPr>
        <w:t xml:space="preserve"> health centres begin to offer the Alternative Pathway</w:t>
      </w:r>
      <w:r w:rsidR="00C97A72">
        <w:rPr>
          <w:lang w:eastAsia="en-AU"/>
        </w:rPr>
        <w:t xml:space="preserve">.  </w:t>
      </w:r>
    </w:p>
    <w:p w14:paraId="0C10AC91" w14:textId="492A8BB1" w:rsidR="003573BE" w:rsidRDefault="00F628E9" w:rsidP="00C77532">
      <w:pPr>
        <w:pStyle w:val="ListParagraph"/>
        <w:numPr>
          <w:ilvl w:val="0"/>
          <w:numId w:val="64"/>
        </w:numPr>
        <w:spacing w:before="60" w:after="120"/>
        <w:contextualSpacing w:val="0"/>
        <w:rPr>
          <w:lang w:eastAsia="en-AU"/>
        </w:rPr>
      </w:pPr>
      <w:r>
        <w:rPr>
          <w:lang w:eastAsia="en-AU"/>
        </w:rPr>
        <w:lastRenderedPageBreak/>
        <w:t xml:space="preserve">An ongoing program of </w:t>
      </w:r>
      <w:r w:rsidR="006E7292">
        <w:rPr>
          <w:lang w:eastAsia="en-AU"/>
        </w:rPr>
        <w:t xml:space="preserve">monitoring is needed to ensure that health centre staff are </w:t>
      </w:r>
      <w:r w:rsidR="00451228">
        <w:rPr>
          <w:lang w:eastAsia="en-AU"/>
        </w:rPr>
        <w:t xml:space="preserve">recording the information required by the NBCSP for each participant. Where health centres had not systematically embedded the Alternative Pathway into routine practice, staff turnover easily lead to a breakdown of compliance. </w:t>
      </w:r>
      <w:r w:rsidR="003573BE">
        <w:rPr>
          <w:lang w:eastAsia="en-AU"/>
        </w:rPr>
        <w:t>Monitoring should involve contact with health centre staff, not just filling out a form.</w:t>
      </w:r>
    </w:p>
    <w:p w14:paraId="13E4B60A" w14:textId="0E36E9E0" w:rsidR="003573BE" w:rsidRDefault="00D84416" w:rsidP="00C77532">
      <w:pPr>
        <w:pStyle w:val="ListParagraph"/>
        <w:numPr>
          <w:ilvl w:val="0"/>
          <w:numId w:val="64"/>
        </w:numPr>
        <w:spacing w:before="60" w:after="120"/>
        <w:contextualSpacing w:val="0"/>
      </w:pPr>
      <w:r>
        <w:rPr>
          <w:lang w:eastAsia="en-AU"/>
        </w:rPr>
        <w:t xml:space="preserve">Health centres with greater capacity and a systems orientation were able to implement the Alternative Pathway with minimal support. To increase uptake of the Alternative Pathway, training and implementation support should be offered flexibly so that health centres with less capacity receive </w:t>
      </w:r>
      <w:r w:rsidR="003573BE">
        <w:rPr>
          <w:lang w:eastAsia="en-AU"/>
        </w:rPr>
        <w:t xml:space="preserve">the support that meets their needs. </w:t>
      </w:r>
    </w:p>
    <w:p w14:paraId="27AE7EF3" w14:textId="73F101CD" w:rsidR="00327CAA" w:rsidRPr="00327CAA" w:rsidRDefault="00CC3B98" w:rsidP="00C77532">
      <w:pPr>
        <w:pStyle w:val="ListParagraph"/>
        <w:numPr>
          <w:ilvl w:val="0"/>
          <w:numId w:val="65"/>
        </w:numPr>
        <w:spacing w:before="60" w:after="120"/>
        <w:contextualSpacing w:val="0"/>
      </w:pPr>
      <w:r>
        <w:rPr>
          <w:rFonts w:cstheme="minorHAnsi"/>
        </w:rPr>
        <w:t>The impact of the Alternative Pathway suggests that offering NBCSP screening through prima</w:t>
      </w:r>
      <w:r w:rsidR="00F8572E">
        <w:rPr>
          <w:rFonts w:cstheme="minorHAnsi"/>
        </w:rPr>
        <w:t>ry health care services may be of benefit to other Australians</w:t>
      </w:r>
      <w:r w:rsidR="00FC5952">
        <w:rPr>
          <w:rFonts w:cstheme="minorHAnsi"/>
        </w:rPr>
        <w:t xml:space="preserve">, but </w:t>
      </w:r>
      <w:r w:rsidR="00F8572E">
        <w:rPr>
          <w:rFonts w:cstheme="minorHAnsi"/>
        </w:rPr>
        <w:t xml:space="preserve">the Alternative Pathway should not be simply transplanted to another context. </w:t>
      </w:r>
      <w:r w:rsidR="000872C3">
        <w:rPr>
          <w:rFonts w:cstheme="minorHAnsi"/>
        </w:rPr>
        <w:t xml:space="preserve">The Alternative Pathway is built on the strengths of the comprehensive primary care model promoted by ACCHOs. </w:t>
      </w:r>
      <w:r w:rsidR="00F8572E">
        <w:rPr>
          <w:rFonts w:cstheme="minorHAnsi"/>
        </w:rPr>
        <w:t xml:space="preserve">It was designed specifically to address the barriers or gaps that were working against greater participation by Indigenous Australians, and </w:t>
      </w:r>
      <w:r w:rsidR="000872C3">
        <w:rPr>
          <w:rFonts w:cstheme="minorHAnsi"/>
        </w:rPr>
        <w:t xml:space="preserve">those that may discourage health centre staff from promoting bowel screening with their Indigenous patients. Even to roll the Alternative Pathway out to more private practices </w:t>
      </w:r>
      <w:r w:rsidR="00FC5952">
        <w:rPr>
          <w:rFonts w:cstheme="minorHAnsi"/>
        </w:rPr>
        <w:t>would</w:t>
      </w:r>
      <w:r w:rsidR="000872C3">
        <w:rPr>
          <w:rFonts w:cstheme="minorHAnsi"/>
        </w:rPr>
        <w:t xml:space="preserve"> require </w:t>
      </w:r>
      <w:r w:rsidR="00327CAA">
        <w:rPr>
          <w:rFonts w:cstheme="minorHAnsi"/>
        </w:rPr>
        <w:t xml:space="preserve">refinement to ensure that barriers in that setting are addressed. </w:t>
      </w:r>
    </w:p>
    <w:p w14:paraId="65362019" w14:textId="75586A47" w:rsidR="008525B5" w:rsidRPr="008525B5" w:rsidRDefault="00327CAA" w:rsidP="00C77532">
      <w:pPr>
        <w:pStyle w:val="ListParagraph"/>
        <w:numPr>
          <w:ilvl w:val="0"/>
          <w:numId w:val="65"/>
        </w:numPr>
        <w:spacing w:before="60" w:after="120"/>
        <w:contextualSpacing w:val="0"/>
      </w:pPr>
      <w:r>
        <w:rPr>
          <w:rFonts w:cstheme="minorHAnsi"/>
        </w:rPr>
        <w:t xml:space="preserve">The Pilot has highlighted areas of the usual pathway which </w:t>
      </w:r>
      <w:r w:rsidR="00834D63">
        <w:rPr>
          <w:rFonts w:cstheme="minorHAnsi"/>
        </w:rPr>
        <w:t xml:space="preserve">could be improved. </w:t>
      </w:r>
      <w:r>
        <w:rPr>
          <w:rFonts w:cstheme="minorHAnsi"/>
        </w:rPr>
        <w:t xml:space="preserve">For example, the extent to which kits are sent to out of date addresses. One Pilot site recently reported receiving a delivery of 1000 </w:t>
      </w:r>
      <w:r w:rsidR="00834D63">
        <w:rPr>
          <w:rFonts w:cstheme="minorHAnsi"/>
        </w:rPr>
        <w:t xml:space="preserve">usual pathway kits, addressed to individuals who must have </w:t>
      </w:r>
      <w:r w:rsidR="008E7C35">
        <w:rPr>
          <w:rFonts w:cstheme="minorHAnsi"/>
        </w:rPr>
        <w:t xml:space="preserve">once </w:t>
      </w:r>
      <w:r w:rsidR="00834D63">
        <w:rPr>
          <w:rFonts w:cstheme="minorHAnsi"/>
        </w:rPr>
        <w:t xml:space="preserve">had a connection with the </w:t>
      </w:r>
      <w:r w:rsidR="008E7C35">
        <w:rPr>
          <w:rFonts w:cstheme="minorHAnsi"/>
        </w:rPr>
        <w:t>health centre</w:t>
      </w:r>
      <w:r w:rsidR="00834D63">
        <w:rPr>
          <w:rFonts w:cstheme="minorHAnsi"/>
        </w:rPr>
        <w:t xml:space="preserve">. </w:t>
      </w:r>
      <w:r w:rsidR="008E7C35">
        <w:rPr>
          <w:rFonts w:cstheme="minorHAnsi"/>
        </w:rPr>
        <w:t xml:space="preserve">A random sample of 14 kits did not find a single kit that could be passed on to a current patient. Another opportunity for improvement </w:t>
      </w:r>
      <w:r w:rsidR="00FC5952">
        <w:rPr>
          <w:rFonts w:cstheme="minorHAnsi"/>
        </w:rPr>
        <w:t>might</w:t>
      </w:r>
      <w:r w:rsidR="008525B5">
        <w:rPr>
          <w:rFonts w:cstheme="minorHAnsi"/>
        </w:rPr>
        <w:t xml:space="preserve"> be to apply</w:t>
      </w:r>
      <w:r w:rsidR="008E7C35">
        <w:rPr>
          <w:rFonts w:cstheme="minorHAnsi"/>
        </w:rPr>
        <w:t xml:space="preserve"> package identification and tracking</w:t>
      </w:r>
      <w:r w:rsidR="008525B5">
        <w:rPr>
          <w:rFonts w:cstheme="minorHAnsi"/>
        </w:rPr>
        <w:t>, or bar coding, to help link the kit directly to its</w:t>
      </w:r>
      <w:r w:rsidR="0086057F">
        <w:rPr>
          <w:rFonts w:cstheme="minorHAnsi"/>
        </w:rPr>
        <w:t xml:space="preserve"> recipient</w:t>
      </w:r>
      <w:r w:rsidR="008525B5">
        <w:rPr>
          <w:rFonts w:cstheme="minorHAnsi"/>
        </w:rPr>
        <w:t xml:space="preserve">. </w:t>
      </w:r>
      <w:r w:rsidR="00FC5952">
        <w:rPr>
          <w:rFonts w:cstheme="minorHAnsi"/>
        </w:rPr>
        <w:t>This could potentially make the Alternative Pathway much easier to deliver</w:t>
      </w:r>
      <w:r w:rsidR="00672326">
        <w:rPr>
          <w:rFonts w:cstheme="minorHAnsi"/>
        </w:rPr>
        <w:t>.</w:t>
      </w:r>
    </w:p>
    <w:p w14:paraId="292AC86A" w14:textId="77777777" w:rsidR="0086057F" w:rsidRDefault="0086057F" w:rsidP="00E47ACD">
      <w:pPr>
        <w:rPr>
          <w:b/>
          <w:bCs/>
        </w:rPr>
      </w:pPr>
    </w:p>
    <w:p w14:paraId="41E5756F" w14:textId="37C55A6D" w:rsidR="004D0E90" w:rsidRPr="0086057F" w:rsidRDefault="004D0E90" w:rsidP="00E47ACD">
      <w:pPr>
        <w:rPr>
          <w:rFonts w:cstheme="minorHAnsi"/>
          <w:b/>
          <w:bCs/>
        </w:rPr>
      </w:pPr>
      <w:r w:rsidRPr="0086057F">
        <w:rPr>
          <w:b/>
          <w:bCs/>
        </w:rPr>
        <w:t>Limitations of this report</w:t>
      </w:r>
    </w:p>
    <w:p w14:paraId="617FC8F5" w14:textId="4A3B0925" w:rsidR="00E1112F" w:rsidRPr="00E1112F" w:rsidRDefault="00E1112F" w:rsidP="00E1112F">
      <w:pPr>
        <w:pStyle w:val="FootnoteText"/>
        <w:rPr>
          <w:rFonts w:asciiTheme="minorHAnsi" w:hAnsiTheme="minorHAnsi" w:cstheme="minorBidi"/>
          <w:sz w:val="22"/>
          <w:szCs w:val="24"/>
          <w:lang w:val="en-AU" w:eastAsia="en-AU"/>
        </w:rPr>
      </w:pPr>
      <w:r w:rsidRPr="00E1112F">
        <w:rPr>
          <w:rFonts w:asciiTheme="minorHAnsi" w:hAnsiTheme="minorHAnsi" w:cstheme="minorBidi"/>
          <w:sz w:val="22"/>
          <w:szCs w:val="24"/>
          <w:lang w:val="en-AU" w:eastAsia="en-AU"/>
        </w:rPr>
        <w:t xml:space="preserve">There are limitations in the calculation of Indigenous participation in the usual pathway, and the invitation rate for the Alternative Pathway, and as a result the participation rates for neither group is precise. See Section 8 for discussion of these limitations and how the Alternative Pathway participation rate has been calculated. </w:t>
      </w:r>
    </w:p>
    <w:p w14:paraId="647D1600" w14:textId="340F5F74" w:rsidR="00D6477E" w:rsidRDefault="004D0E90" w:rsidP="002066AA">
      <w:pPr>
        <w:rPr>
          <w:lang w:eastAsia="en-AU"/>
        </w:rPr>
      </w:pPr>
      <w:r w:rsidRPr="00F67A4F">
        <w:rPr>
          <w:lang w:eastAsia="en-AU"/>
        </w:rPr>
        <w:t xml:space="preserve">A </w:t>
      </w:r>
      <w:r w:rsidR="00CB13C7">
        <w:rPr>
          <w:lang w:eastAsia="en-AU"/>
        </w:rPr>
        <w:t>post-Pilot</w:t>
      </w:r>
      <w:r w:rsidRPr="00F67A4F">
        <w:rPr>
          <w:lang w:eastAsia="en-AU"/>
        </w:rPr>
        <w:t xml:space="preserve"> round of qualitative data collection was cut short by COVID-19 shutdowns of Indigenous communities and a decision by Menzies to halt </w:t>
      </w:r>
      <w:r w:rsidR="007C194E">
        <w:rPr>
          <w:lang w:eastAsia="en-AU"/>
        </w:rPr>
        <w:t xml:space="preserve">staff </w:t>
      </w:r>
      <w:r w:rsidRPr="00F67A4F">
        <w:rPr>
          <w:lang w:eastAsia="en-AU"/>
        </w:rPr>
        <w:t>travel. The project team continue</w:t>
      </w:r>
      <w:r w:rsidR="001D5559">
        <w:rPr>
          <w:lang w:eastAsia="en-AU"/>
        </w:rPr>
        <w:t>d</w:t>
      </w:r>
      <w:r w:rsidRPr="00F67A4F">
        <w:rPr>
          <w:lang w:eastAsia="en-AU"/>
        </w:rPr>
        <w:t xml:space="preserve"> </w:t>
      </w:r>
      <w:r w:rsidR="000024FC">
        <w:rPr>
          <w:lang w:eastAsia="en-AU"/>
        </w:rPr>
        <w:t xml:space="preserve">to carry out </w:t>
      </w:r>
      <w:r w:rsidRPr="00F67A4F">
        <w:rPr>
          <w:lang w:eastAsia="en-AU"/>
        </w:rPr>
        <w:t xml:space="preserve">interviews with health centre staff by </w:t>
      </w:r>
      <w:r w:rsidR="00315D5B" w:rsidRPr="00F67A4F">
        <w:rPr>
          <w:lang w:eastAsia="en-AU"/>
        </w:rPr>
        <w:t>phone</w:t>
      </w:r>
      <w:r w:rsidR="001D5559">
        <w:rPr>
          <w:lang w:eastAsia="en-AU"/>
        </w:rPr>
        <w:t xml:space="preserve">, although </w:t>
      </w:r>
      <w:r w:rsidR="007C194E">
        <w:rPr>
          <w:lang w:eastAsia="en-AU"/>
        </w:rPr>
        <w:t xml:space="preserve">these too were suspended as </w:t>
      </w:r>
      <w:r w:rsidR="00C8086F">
        <w:rPr>
          <w:lang w:eastAsia="en-AU"/>
        </w:rPr>
        <w:t xml:space="preserve">clinical </w:t>
      </w:r>
      <w:r w:rsidR="007C194E">
        <w:rPr>
          <w:lang w:eastAsia="en-AU"/>
        </w:rPr>
        <w:t>workload</w:t>
      </w:r>
      <w:r w:rsidR="00C8086F">
        <w:rPr>
          <w:lang w:eastAsia="en-AU"/>
        </w:rPr>
        <w:t>s</w:t>
      </w:r>
      <w:r w:rsidR="00D47693">
        <w:rPr>
          <w:lang w:eastAsia="en-AU"/>
        </w:rPr>
        <w:t xml:space="preserve"> </w:t>
      </w:r>
      <w:r w:rsidR="007C194E">
        <w:rPr>
          <w:lang w:eastAsia="en-AU"/>
        </w:rPr>
        <w:t xml:space="preserve">increased </w:t>
      </w:r>
      <w:r w:rsidR="00C8086F">
        <w:rPr>
          <w:lang w:eastAsia="en-AU"/>
        </w:rPr>
        <w:t>in response to the pandemic</w:t>
      </w:r>
      <w:r>
        <w:rPr>
          <w:lang w:eastAsia="en-AU"/>
        </w:rPr>
        <w:t>.</w:t>
      </w:r>
      <w:r w:rsidRPr="00F67A4F">
        <w:rPr>
          <w:lang w:eastAsia="en-AU"/>
        </w:rPr>
        <w:t xml:space="preserve"> These circumstances placed some limitations on the extent to which </w:t>
      </w:r>
      <w:r w:rsidR="00D47693">
        <w:rPr>
          <w:lang w:eastAsia="en-AU"/>
        </w:rPr>
        <w:t>post</w:t>
      </w:r>
      <w:r w:rsidR="007C474E">
        <w:rPr>
          <w:lang w:eastAsia="en-AU"/>
        </w:rPr>
        <w:t>-</w:t>
      </w:r>
      <w:r w:rsidR="00D47693">
        <w:rPr>
          <w:lang w:eastAsia="en-AU"/>
        </w:rPr>
        <w:t>Pilot data could be obtained for all</w:t>
      </w:r>
      <w:r w:rsidRPr="00F67A4F">
        <w:rPr>
          <w:lang w:eastAsia="en-AU"/>
        </w:rPr>
        <w:t xml:space="preserve"> </w:t>
      </w:r>
      <w:r w:rsidR="007C474E">
        <w:rPr>
          <w:lang w:eastAsia="en-AU"/>
        </w:rPr>
        <w:t>sites</w:t>
      </w:r>
      <w:r>
        <w:rPr>
          <w:lang w:eastAsia="en-AU"/>
        </w:rPr>
        <w:t xml:space="preserve">. </w:t>
      </w:r>
    </w:p>
    <w:p w14:paraId="5C42208B" w14:textId="77777777" w:rsidR="00717633" w:rsidRDefault="00717633">
      <w:pPr>
        <w:spacing w:before="0" w:after="0" w:line="240" w:lineRule="auto"/>
      </w:pPr>
      <w:bookmarkStart w:id="20" w:name="_Toc44339169"/>
      <w:bookmarkStart w:id="21" w:name="_Toc38539080"/>
      <w:bookmarkStart w:id="22" w:name="_Toc38540015"/>
      <w:bookmarkStart w:id="23" w:name="_Toc38540070"/>
      <w:r>
        <w:br w:type="page"/>
      </w:r>
    </w:p>
    <w:p w14:paraId="5D74EEBA" w14:textId="7DC6E049" w:rsidR="008B2BF4" w:rsidRPr="009D53EB" w:rsidRDefault="00657A57" w:rsidP="009D53EB">
      <w:pPr>
        <w:pStyle w:val="Heading1"/>
      </w:pPr>
      <w:bookmarkStart w:id="24" w:name="_Toc45539242"/>
      <w:bookmarkStart w:id="25" w:name="_Toc54954829"/>
      <w:r>
        <w:lastRenderedPageBreak/>
        <w:t xml:space="preserve">1.2 </w:t>
      </w:r>
      <w:r w:rsidR="000B25C3" w:rsidRPr="009D53EB">
        <w:t>Evaluation questions</w:t>
      </w:r>
      <w:bookmarkEnd w:id="24"/>
      <w:bookmarkEnd w:id="25"/>
      <w:r w:rsidR="00AC2E0A" w:rsidRPr="009D53EB">
        <w:t xml:space="preserve"> </w:t>
      </w:r>
    </w:p>
    <w:p w14:paraId="583699CA" w14:textId="5D9D66B4" w:rsidR="00DA5348" w:rsidRDefault="0066005B" w:rsidP="008B2BF4">
      <w:r>
        <w:t>The following tables set out the evaluation questions for the Pilot</w:t>
      </w:r>
      <w:r w:rsidR="005D1233">
        <w:t xml:space="preserve"> and the </w:t>
      </w:r>
      <w:r w:rsidR="000B25C3">
        <w:t>sections of this report</w:t>
      </w:r>
      <w:r w:rsidR="005D1233">
        <w:t xml:space="preserve"> in which </w:t>
      </w:r>
      <w:r w:rsidR="000B25C3">
        <w:t xml:space="preserve">each question is </w:t>
      </w:r>
      <w:r w:rsidR="00DF6473">
        <w:t xml:space="preserve">answered. </w:t>
      </w:r>
      <w:r w:rsidR="00245728">
        <w:t>A summary of the answers to each question is provided in Section 10: Findings.</w:t>
      </w:r>
    </w:p>
    <w:p w14:paraId="0B7D0435" w14:textId="3AE185F9" w:rsidR="00DA5348" w:rsidRDefault="000B25C3" w:rsidP="00366EAB">
      <w:pPr>
        <w:pStyle w:val="Heading3"/>
      </w:pPr>
      <w:r>
        <w:t>(</w:t>
      </w:r>
      <w:r w:rsidRPr="000B25C3">
        <w:t>a)</w:t>
      </w:r>
      <w:r w:rsidR="00DA5348" w:rsidRPr="000B25C3">
        <w:t xml:space="preserve"> What support did health centres require to offer the Alternative Pathway?</w:t>
      </w:r>
    </w:p>
    <w:p w14:paraId="56172D09" w14:textId="4DA95868" w:rsidR="00DA5348" w:rsidRPr="004F63D6" w:rsidRDefault="00DA5348" w:rsidP="002E74E6">
      <w:pPr>
        <w:pStyle w:val="Caption"/>
        <w:rPr>
          <w:lang w:eastAsia="en-AU"/>
        </w:rPr>
      </w:pPr>
      <w:r>
        <w:t xml:space="preserve">Table </w:t>
      </w:r>
      <w:r w:rsidR="000B25C3">
        <w:t>1</w:t>
      </w:r>
      <w:r>
        <w:t>.1: Evaluation questions about training and implementation support provided to Pilot health centres.</w:t>
      </w:r>
    </w:p>
    <w:tbl>
      <w:tblPr>
        <w:tblStyle w:val="TableGrid"/>
        <w:tblW w:w="0" w:type="auto"/>
        <w:tblBorders>
          <w:left w:val="none" w:sz="0" w:space="0" w:color="auto"/>
          <w:right w:val="none" w:sz="0" w:space="0" w:color="auto"/>
        </w:tblBorders>
        <w:tblCellMar>
          <w:left w:w="125" w:type="dxa"/>
          <w:right w:w="153" w:type="dxa"/>
        </w:tblCellMar>
        <w:tblLook w:val="04A0" w:firstRow="1" w:lastRow="0" w:firstColumn="1" w:lastColumn="0" w:noHBand="0" w:noVBand="1"/>
      </w:tblPr>
      <w:tblGrid>
        <w:gridCol w:w="6804"/>
        <w:gridCol w:w="2206"/>
      </w:tblGrid>
      <w:tr w:rsidR="00DA5348" w:rsidRPr="00BC2B66" w14:paraId="3546B95D" w14:textId="77777777" w:rsidTr="00D8776A">
        <w:trPr>
          <w:tblHeader/>
        </w:trPr>
        <w:tc>
          <w:tcPr>
            <w:tcW w:w="6804" w:type="dxa"/>
          </w:tcPr>
          <w:p w14:paraId="52278C8F" w14:textId="77777777" w:rsidR="00DA5348" w:rsidRPr="00BC2B66" w:rsidRDefault="00DA5348" w:rsidP="00D8776A">
            <w:pPr>
              <w:pStyle w:val="Normaltextfortables"/>
              <w:framePr w:hSpace="0" w:wrap="auto" w:vAnchor="margin" w:hAnchor="text" w:yAlign="inline"/>
            </w:pPr>
            <w:r w:rsidRPr="00BC2B66">
              <w:t>Evaluation question</w:t>
            </w:r>
          </w:p>
          <w:p w14:paraId="52481F11" w14:textId="77777777" w:rsidR="00DA5348" w:rsidRPr="00BC2B66" w:rsidRDefault="00DA5348" w:rsidP="00D8776A">
            <w:pPr>
              <w:pStyle w:val="Normaltextfortables"/>
              <w:framePr w:hSpace="0" w:wrap="auto" w:vAnchor="margin" w:hAnchor="text" w:yAlign="inline"/>
            </w:pPr>
            <w:r w:rsidRPr="00BC2B66">
              <w:rPr>
                <w:b/>
                <w:bCs/>
              </w:rPr>
              <w:t>How well were [health centres] supported to implement the Alternative Pathway?</w:t>
            </w:r>
          </w:p>
        </w:tc>
        <w:tc>
          <w:tcPr>
            <w:tcW w:w="2206" w:type="dxa"/>
          </w:tcPr>
          <w:p w14:paraId="33DCB634" w14:textId="77777777" w:rsidR="00DA5348" w:rsidRPr="00BC2B66" w:rsidRDefault="00DA5348" w:rsidP="00D8776A">
            <w:pPr>
              <w:pStyle w:val="Normaltextfortables"/>
              <w:framePr w:hSpace="0" w:wrap="auto" w:vAnchor="margin" w:hAnchor="text" w:yAlign="inline"/>
            </w:pPr>
            <w:r w:rsidRPr="00BC2B66">
              <w:t>Report sections</w:t>
            </w:r>
          </w:p>
        </w:tc>
      </w:tr>
      <w:tr w:rsidR="00DA5348" w:rsidRPr="00BC2B66" w14:paraId="508EF7E8" w14:textId="77777777" w:rsidTr="00D8776A">
        <w:tblPrEx>
          <w:tblBorders>
            <w:top w:val="none" w:sz="0" w:space="0" w:color="auto"/>
            <w:bottom w:val="none" w:sz="0" w:space="0" w:color="auto"/>
            <w:insideH w:val="none" w:sz="0" w:space="0" w:color="auto"/>
            <w:insideV w:val="none" w:sz="0" w:space="0" w:color="auto"/>
          </w:tblBorders>
        </w:tblPrEx>
        <w:tc>
          <w:tcPr>
            <w:tcW w:w="6804" w:type="dxa"/>
            <w:tcBorders>
              <w:top w:val="single" w:sz="4" w:space="0" w:color="auto"/>
              <w:right w:val="single" w:sz="4" w:space="0" w:color="auto"/>
            </w:tcBorders>
          </w:tcPr>
          <w:p w14:paraId="754201C5" w14:textId="77777777" w:rsidR="00DA5348" w:rsidRPr="00BC2B66" w:rsidRDefault="00DA5348" w:rsidP="00C77532">
            <w:pPr>
              <w:pStyle w:val="Tabledotpoints"/>
              <w:numPr>
                <w:ilvl w:val="0"/>
                <w:numId w:val="48"/>
              </w:numPr>
            </w:pPr>
            <w:r w:rsidRPr="00BC2B66">
              <w:t>What implementation support (including training opportunities) was made available to [health centres]</w:t>
            </w:r>
            <w:r w:rsidRPr="00BC2B66">
              <w:rPr>
                <w:bCs/>
              </w:rPr>
              <w:t xml:space="preserve"> taking</w:t>
            </w:r>
            <w:r w:rsidRPr="00BC2B66">
              <w:t xml:space="preserve"> part in the Pilot? Was the implementation support provided as planned? </w:t>
            </w:r>
            <w:r w:rsidRPr="00BC2B66">
              <w:br/>
              <w:t>If not, why, and how did it differ?</w:t>
            </w:r>
          </w:p>
        </w:tc>
        <w:tc>
          <w:tcPr>
            <w:tcW w:w="2206" w:type="dxa"/>
            <w:tcBorders>
              <w:top w:val="single" w:sz="4" w:space="0" w:color="auto"/>
              <w:left w:val="single" w:sz="4" w:space="0" w:color="auto"/>
            </w:tcBorders>
          </w:tcPr>
          <w:p w14:paraId="004ACC5F" w14:textId="77777777" w:rsidR="00DA5348" w:rsidRPr="00BC2B66" w:rsidRDefault="00DA5348" w:rsidP="00D8776A">
            <w:pPr>
              <w:rPr>
                <w:rFonts w:cstheme="minorHAnsi"/>
                <w:sz w:val="20"/>
                <w:szCs w:val="20"/>
                <w:lang w:eastAsia="en-AU"/>
              </w:rPr>
            </w:pPr>
            <w:r w:rsidRPr="00BC2B66">
              <w:rPr>
                <w:rFonts w:cstheme="minorHAnsi"/>
                <w:sz w:val="20"/>
                <w:szCs w:val="20"/>
                <w:lang w:eastAsia="en-AU"/>
              </w:rPr>
              <w:t>Sections 4.3 and 6.2</w:t>
            </w:r>
          </w:p>
        </w:tc>
      </w:tr>
      <w:tr w:rsidR="00DA5348" w:rsidRPr="00BC2B66" w14:paraId="7621105E" w14:textId="77777777" w:rsidTr="00D8776A">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17C95D3F" w14:textId="77777777" w:rsidR="00DA5348" w:rsidRPr="00BC2B66" w:rsidRDefault="00DA5348" w:rsidP="00C77532">
            <w:pPr>
              <w:pStyle w:val="Tabledotpoints"/>
              <w:numPr>
                <w:ilvl w:val="0"/>
                <w:numId w:val="48"/>
              </w:numPr>
            </w:pPr>
            <w:r w:rsidRPr="00BC2B66">
              <w:t>What were the key barriers and enablers to providing implementation support for the Alternative Pathway?</w:t>
            </w:r>
          </w:p>
        </w:tc>
        <w:tc>
          <w:tcPr>
            <w:tcW w:w="2206" w:type="dxa"/>
            <w:tcBorders>
              <w:left w:val="single" w:sz="4" w:space="0" w:color="auto"/>
            </w:tcBorders>
          </w:tcPr>
          <w:p w14:paraId="230AF335" w14:textId="43EE2C1B" w:rsidR="00DA5348" w:rsidRPr="00BC2B66" w:rsidRDefault="00DA5348" w:rsidP="00D8776A">
            <w:pPr>
              <w:rPr>
                <w:rFonts w:cstheme="minorHAnsi"/>
                <w:sz w:val="20"/>
                <w:szCs w:val="20"/>
                <w:lang w:eastAsia="en-AU"/>
              </w:rPr>
            </w:pPr>
            <w:r w:rsidRPr="00BC2B66">
              <w:rPr>
                <w:rFonts w:cstheme="minorHAnsi"/>
                <w:sz w:val="20"/>
                <w:szCs w:val="20"/>
                <w:lang w:eastAsia="en-AU"/>
              </w:rPr>
              <w:t>Sections 2.3</w:t>
            </w:r>
            <w:r>
              <w:rPr>
                <w:rFonts w:cstheme="minorHAnsi"/>
                <w:sz w:val="20"/>
                <w:szCs w:val="20"/>
                <w:lang w:eastAsia="en-AU"/>
              </w:rPr>
              <w:t xml:space="preserve">, </w:t>
            </w:r>
            <w:r w:rsidRPr="00BC2B66">
              <w:rPr>
                <w:rFonts w:cstheme="minorHAnsi"/>
                <w:sz w:val="20"/>
                <w:szCs w:val="20"/>
                <w:lang w:eastAsia="en-AU"/>
              </w:rPr>
              <w:t>6.2</w:t>
            </w:r>
            <w:r w:rsidR="00AE2D83">
              <w:rPr>
                <w:rFonts w:cstheme="minorHAnsi"/>
                <w:sz w:val="20"/>
                <w:szCs w:val="20"/>
                <w:lang w:eastAsia="en-AU"/>
              </w:rPr>
              <w:t>, 10.1</w:t>
            </w:r>
          </w:p>
        </w:tc>
      </w:tr>
      <w:tr w:rsidR="00DA5348" w:rsidRPr="00BC2B66" w14:paraId="38E5015A" w14:textId="77777777" w:rsidTr="00D8776A">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6D7DD75D" w14:textId="77777777" w:rsidR="00DA5348" w:rsidRPr="00BC2B66" w:rsidRDefault="00DA5348" w:rsidP="00C77532">
            <w:pPr>
              <w:pStyle w:val="Tabledotpoints"/>
              <w:numPr>
                <w:ilvl w:val="0"/>
                <w:numId w:val="48"/>
              </w:numPr>
            </w:pPr>
            <w:r w:rsidRPr="00BC2B66">
              <w:t>How effective and fit-for-purpose</w:t>
            </w:r>
            <w:r w:rsidRPr="00BC2B66">
              <w:rPr>
                <w:rStyle w:val="FootnoteReference"/>
                <w:lang w:eastAsia="en-AU"/>
              </w:rPr>
              <w:footnoteReference w:id="5"/>
            </w:r>
            <w:r w:rsidRPr="00BC2B66">
              <w:t xml:space="preserve"> were the training opportunities, resources and supporting materials?</w:t>
            </w:r>
          </w:p>
        </w:tc>
        <w:tc>
          <w:tcPr>
            <w:tcW w:w="2206" w:type="dxa"/>
            <w:tcBorders>
              <w:left w:val="single" w:sz="4" w:space="0" w:color="auto"/>
            </w:tcBorders>
          </w:tcPr>
          <w:p w14:paraId="0FBBF64F" w14:textId="504A32C5" w:rsidR="00DA5348" w:rsidRPr="00BC2B66" w:rsidRDefault="00AE2D83" w:rsidP="00D8776A">
            <w:pPr>
              <w:rPr>
                <w:rFonts w:cstheme="minorHAnsi"/>
                <w:sz w:val="20"/>
                <w:szCs w:val="20"/>
                <w:lang w:eastAsia="en-AU"/>
              </w:rPr>
            </w:pPr>
            <w:r>
              <w:rPr>
                <w:rFonts w:cstheme="minorHAnsi"/>
                <w:sz w:val="20"/>
                <w:szCs w:val="20"/>
                <w:lang w:eastAsia="en-AU"/>
              </w:rPr>
              <w:t>Section</w:t>
            </w:r>
            <w:r w:rsidR="00393AF4">
              <w:rPr>
                <w:rFonts w:cstheme="minorHAnsi"/>
                <w:sz w:val="20"/>
                <w:szCs w:val="20"/>
                <w:lang w:eastAsia="en-AU"/>
              </w:rPr>
              <w:t>s</w:t>
            </w:r>
            <w:r>
              <w:rPr>
                <w:rFonts w:cstheme="minorHAnsi"/>
                <w:sz w:val="20"/>
                <w:szCs w:val="20"/>
                <w:lang w:eastAsia="en-AU"/>
              </w:rPr>
              <w:t xml:space="preserve"> 6 and 10.1</w:t>
            </w:r>
          </w:p>
        </w:tc>
      </w:tr>
      <w:tr w:rsidR="00DA5348" w:rsidRPr="00BC2B66" w14:paraId="1549309D" w14:textId="77777777" w:rsidTr="00D8776A">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4471AC91" w14:textId="77777777" w:rsidR="00DA5348" w:rsidRPr="00BC2B66" w:rsidRDefault="00DA5348" w:rsidP="00C77532">
            <w:pPr>
              <w:pStyle w:val="Tabledotpoints"/>
              <w:numPr>
                <w:ilvl w:val="0"/>
                <w:numId w:val="48"/>
              </w:numPr>
            </w:pPr>
            <w:r w:rsidRPr="00BC2B66">
              <w:t>What activities or programs related to the Pilot aims were carried out by Supporting Agencies during the Pilot? Were any of these activities or programs provided directly to Pilot health centres?</w:t>
            </w:r>
          </w:p>
        </w:tc>
        <w:tc>
          <w:tcPr>
            <w:tcW w:w="2206" w:type="dxa"/>
            <w:tcBorders>
              <w:left w:val="single" w:sz="4" w:space="0" w:color="auto"/>
            </w:tcBorders>
          </w:tcPr>
          <w:p w14:paraId="57F60C78" w14:textId="53D25E6B" w:rsidR="00DA5348" w:rsidRPr="00BC2B66" w:rsidRDefault="00DA5348" w:rsidP="00D8776A">
            <w:pPr>
              <w:rPr>
                <w:rFonts w:cstheme="minorHAnsi"/>
                <w:sz w:val="20"/>
                <w:szCs w:val="20"/>
                <w:lang w:eastAsia="en-AU"/>
              </w:rPr>
            </w:pPr>
            <w:r w:rsidRPr="00BC2B66">
              <w:rPr>
                <w:rFonts w:cstheme="minorHAnsi"/>
                <w:sz w:val="20"/>
                <w:szCs w:val="20"/>
                <w:lang w:eastAsia="en-AU"/>
              </w:rPr>
              <w:t>Section</w:t>
            </w:r>
            <w:r w:rsidR="00393AF4">
              <w:rPr>
                <w:rFonts w:cstheme="minorHAnsi"/>
                <w:sz w:val="20"/>
                <w:szCs w:val="20"/>
                <w:lang w:eastAsia="en-AU"/>
              </w:rPr>
              <w:t xml:space="preserve"> </w:t>
            </w:r>
            <w:r w:rsidRPr="00BC2B66">
              <w:rPr>
                <w:rFonts w:cstheme="minorHAnsi"/>
                <w:sz w:val="20"/>
                <w:szCs w:val="20"/>
                <w:lang w:eastAsia="en-AU"/>
              </w:rPr>
              <w:t>5</w:t>
            </w:r>
            <w:r>
              <w:rPr>
                <w:rFonts w:cstheme="minorHAnsi"/>
                <w:sz w:val="20"/>
                <w:szCs w:val="20"/>
                <w:lang w:eastAsia="en-AU"/>
              </w:rPr>
              <w:t xml:space="preserve"> and </w:t>
            </w:r>
            <w:r w:rsidR="00AE2D83">
              <w:rPr>
                <w:rFonts w:cstheme="minorHAnsi"/>
                <w:sz w:val="20"/>
                <w:szCs w:val="20"/>
                <w:lang w:eastAsia="en-AU"/>
              </w:rPr>
              <w:br/>
              <w:t>Appendix G</w:t>
            </w:r>
          </w:p>
        </w:tc>
      </w:tr>
      <w:tr w:rsidR="00DA5348" w:rsidRPr="00BC2B66" w14:paraId="7E795CCB" w14:textId="77777777" w:rsidTr="00D8776A">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33DAA26B" w14:textId="77777777" w:rsidR="00DA5348" w:rsidRPr="00BC2B66" w:rsidRDefault="00DA5348" w:rsidP="00C77532">
            <w:pPr>
              <w:pStyle w:val="Tabledotpoints"/>
              <w:numPr>
                <w:ilvl w:val="0"/>
                <w:numId w:val="48"/>
              </w:numPr>
            </w:pPr>
            <w:r w:rsidRPr="00BC2B66">
              <w:t>What support was provided to [health centres] taking part in the Alternative Pathway by the NBCSP pathology provider (</w:t>
            </w:r>
            <w:r>
              <w:t>Sonic Healthcare</w:t>
            </w:r>
            <w:r w:rsidRPr="00BC2B66">
              <w:t>) and the Department of Human Services (during implementation and/or ongoing through the Pilot)? To what extent would this support be required, feasible or sustainable if an Alternative Pathway was rolled out more widely (with the new National Cancer Screening Register operational)?</w:t>
            </w:r>
          </w:p>
        </w:tc>
        <w:tc>
          <w:tcPr>
            <w:tcW w:w="2206" w:type="dxa"/>
            <w:tcBorders>
              <w:left w:val="single" w:sz="4" w:space="0" w:color="auto"/>
            </w:tcBorders>
          </w:tcPr>
          <w:p w14:paraId="6595C33A" w14:textId="77777777" w:rsidR="00DA5348" w:rsidRPr="00BC2B66" w:rsidRDefault="00DA5348" w:rsidP="00D8776A">
            <w:pPr>
              <w:rPr>
                <w:rFonts w:cstheme="minorHAnsi"/>
                <w:sz w:val="20"/>
                <w:szCs w:val="20"/>
                <w:lang w:eastAsia="en-AU"/>
              </w:rPr>
            </w:pPr>
            <w:r w:rsidRPr="00BC2B66">
              <w:rPr>
                <w:rFonts w:cstheme="minorHAnsi"/>
                <w:sz w:val="20"/>
                <w:szCs w:val="20"/>
                <w:lang w:eastAsia="en-AU"/>
              </w:rPr>
              <w:t xml:space="preserve">Section 4.3 </w:t>
            </w:r>
          </w:p>
          <w:p w14:paraId="3D6F788A" w14:textId="77777777" w:rsidR="00DA5348" w:rsidRDefault="00DA5348" w:rsidP="00D8776A">
            <w:pPr>
              <w:rPr>
                <w:rFonts w:cstheme="minorHAnsi"/>
                <w:sz w:val="20"/>
                <w:szCs w:val="20"/>
                <w:lang w:eastAsia="en-AU"/>
              </w:rPr>
            </w:pPr>
          </w:p>
          <w:p w14:paraId="78701242" w14:textId="5E1C3EDA" w:rsidR="00DA5348" w:rsidRPr="00BC2B66" w:rsidRDefault="00DA5348" w:rsidP="00D8776A">
            <w:pPr>
              <w:rPr>
                <w:rFonts w:cstheme="minorHAnsi"/>
                <w:sz w:val="20"/>
                <w:szCs w:val="20"/>
                <w:lang w:eastAsia="en-AU"/>
              </w:rPr>
            </w:pPr>
            <w:r>
              <w:rPr>
                <w:rFonts w:cstheme="minorHAnsi"/>
                <w:sz w:val="20"/>
                <w:szCs w:val="20"/>
                <w:lang w:eastAsia="en-AU"/>
              </w:rPr>
              <w:t xml:space="preserve">Section </w:t>
            </w:r>
            <w:r w:rsidR="00AE2D83">
              <w:rPr>
                <w:rFonts w:cstheme="minorHAnsi"/>
                <w:sz w:val="20"/>
                <w:szCs w:val="20"/>
                <w:lang w:eastAsia="en-AU"/>
              </w:rPr>
              <w:t>10</w:t>
            </w:r>
          </w:p>
        </w:tc>
      </w:tr>
      <w:tr w:rsidR="00DA5348" w:rsidRPr="00BC2B66" w14:paraId="15AAED39" w14:textId="77777777" w:rsidTr="00D8776A">
        <w:tblPrEx>
          <w:tblBorders>
            <w:top w:val="none" w:sz="0" w:space="0" w:color="auto"/>
            <w:bottom w:val="none" w:sz="0" w:space="0" w:color="auto"/>
            <w:insideH w:val="none" w:sz="0" w:space="0" w:color="auto"/>
            <w:insideV w:val="none" w:sz="0" w:space="0" w:color="auto"/>
          </w:tblBorders>
        </w:tblPrEx>
        <w:tc>
          <w:tcPr>
            <w:tcW w:w="6804" w:type="dxa"/>
            <w:tcBorders>
              <w:bottom w:val="single" w:sz="4" w:space="0" w:color="auto"/>
              <w:right w:val="single" w:sz="4" w:space="0" w:color="auto"/>
            </w:tcBorders>
          </w:tcPr>
          <w:p w14:paraId="10E9CA77" w14:textId="77777777" w:rsidR="00DA5348" w:rsidRPr="00BC2B66" w:rsidRDefault="00DA5348" w:rsidP="00C77532">
            <w:pPr>
              <w:pStyle w:val="Tabledotpoints"/>
              <w:numPr>
                <w:ilvl w:val="0"/>
                <w:numId w:val="48"/>
              </w:numPr>
            </w:pPr>
            <w:r w:rsidRPr="00BC2B66">
              <w:t xml:space="preserve">Did [health centre] staff report increased knowledge and skills about bowel screening, and increased confidence and capability to deliver the Alternative Pathway, as a result of the training and implementation support activities? Did </w:t>
            </w:r>
            <w:r>
              <w:t xml:space="preserve">health centre staff </w:t>
            </w:r>
            <w:r w:rsidRPr="00BC2B66">
              <w:t xml:space="preserve">view the support </w:t>
            </w:r>
            <w:r>
              <w:t>p</w:t>
            </w:r>
            <w:r w:rsidRPr="00BC2B66">
              <w:t>rovided as sufficient to prepare them to offer the Alternative Pathway?</w:t>
            </w:r>
          </w:p>
        </w:tc>
        <w:tc>
          <w:tcPr>
            <w:tcW w:w="2206" w:type="dxa"/>
            <w:tcBorders>
              <w:left w:val="single" w:sz="4" w:space="0" w:color="auto"/>
              <w:bottom w:val="single" w:sz="4" w:space="0" w:color="auto"/>
            </w:tcBorders>
          </w:tcPr>
          <w:p w14:paraId="7408EE4D" w14:textId="641337A2" w:rsidR="00DA5348" w:rsidRPr="00BC2B66" w:rsidRDefault="00DA5348" w:rsidP="00D8776A">
            <w:pPr>
              <w:rPr>
                <w:rFonts w:cstheme="minorHAnsi"/>
                <w:sz w:val="20"/>
                <w:szCs w:val="20"/>
                <w:lang w:eastAsia="en-AU"/>
              </w:rPr>
            </w:pPr>
            <w:r w:rsidRPr="00BC2B66">
              <w:rPr>
                <w:rFonts w:cstheme="minorHAnsi"/>
                <w:sz w:val="20"/>
                <w:szCs w:val="20"/>
                <w:lang w:eastAsia="en-AU"/>
              </w:rPr>
              <w:t xml:space="preserve">Section </w:t>
            </w:r>
            <w:r w:rsidR="00393AF4">
              <w:rPr>
                <w:rFonts w:cstheme="minorHAnsi"/>
                <w:sz w:val="20"/>
                <w:szCs w:val="20"/>
                <w:lang w:eastAsia="en-AU"/>
              </w:rPr>
              <w:t>6</w:t>
            </w:r>
          </w:p>
        </w:tc>
      </w:tr>
    </w:tbl>
    <w:p w14:paraId="18119CEB" w14:textId="77777777" w:rsidR="00DA5348" w:rsidRDefault="00DA5348" w:rsidP="008B2BF4"/>
    <w:p w14:paraId="02697C54" w14:textId="0B30E52E" w:rsidR="005E64A6" w:rsidRPr="00D8776A" w:rsidRDefault="00D8776A" w:rsidP="00366EAB">
      <w:pPr>
        <w:pStyle w:val="Heading3"/>
      </w:pPr>
      <w:r w:rsidRPr="00D8776A">
        <w:lastRenderedPageBreak/>
        <w:t>(b)</w:t>
      </w:r>
      <w:r w:rsidR="005E64A6" w:rsidRPr="00D8776A">
        <w:t xml:space="preserve"> Did the Alternative Pathway increase screening participation?</w:t>
      </w:r>
    </w:p>
    <w:p w14:paraId="6FC1ABE0" w14:textId="40CAF7C1" w:rsidR="005E64A6" w:rsidRPr="00717633" w:rsidRDefault="005E64A6" w:rsidP="002E74E6">
      <w:pPr>
        <w:pStyle w:val="Caption"/>
      </w:pPr>
      <w:r>
        <w:t>Table 1.2: Evaluation questions about screening participation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516"/>
        <w:gridCol w:w="2494"/>
      </w:tblGrid>
      <w:tr w:rsidR="005E64A6" w:rsidRPr="005B6AA7" w14:paraId="22C02870" w14:textId="77777777" w:rsidTr="00CA0599">
        <w:trPr>
          <w:tblHeader/>
        </w:trPr>
        <w:tc>
          <w:tcPr>
            <w:tcW w:w="6516" w:type="dxa"/>
            <w:tcBorders>
              <w:bottom w:val="single" w:sz="4" w:space="0" w:color="auto"/>
            </w:tcBorders>
          </w:tcPr>
          <w:p w14:paraId="73EBAABB" w14:textId="77777777" w:rsidR="005E64A6" w:rsidRPr="00F64CF9" w:rsidRDefault="005E64A6" w:rsidP="005E64A6">
            <w:pPr>
              <w:pStyle w:val="Normaltextfortables"/>
              <w:keepNext/>
              <w:framePr w:hSpace="0" w:wrap="auto" w:vAnchor="margin" w:hAnchor="text" w:yAlign="inline"/>
              <w:rPr>
                <w:b/>
                <w:bCs/>
              </w:rPr>
            </w:pPr>
            <w:r w:rsidRPr="00F64CF9">
              <w:rPr>
                <w:b/>
                <w:bCs/>
              </w:rPr>
              <w:t>Evaluation question</w:t>
            </w:r>
          </w:p>
          <w:p w14:paraId="3301B99A" w14:textId="77777777" w:rsidR="005E64A6" w:rsidRPr="00F64CF9" w:rsidRDefault="005E64A6" w:rsidP="005E64A6">
            <w:pPr>
              <w:pStyle w:val="Normaltextfortables"/>
              <w:keepNext/>
              <w:framePr w:wrap="around"/>
            </w:pPr>
            <w:r w:rsidRPr="00F64CF9">
              <w:t>Did the Alternative Pathway achieve its objective of increasing bowel screening participation by eligible Indigenous Australians (aged 50-74 years, who may or may not have done a previous bowel cancer screening test)?</w:t>
            </w:r>
          </w:p>
        </w:tc>
        <w:tc>
          <w:tcPr>
            <w:tcW w:w="2494" w:type="dxa"/>
            <w:tcBorders>
              <w:bottom w:val="single" w:sz="4" w:space="0" w:color="auto"/>
            </w:tcBorders>
          </w:tcPr>
          <w:p w14:paraId="643A118D" w14:textId="77777777" w:rsidR="005E64A6" w:rsidRPr="00F64CF9" w:rsidRDefault="005E64A6" w:rsidP="005E64A6">
            <w:pPr>
              <w:pStyle w:val="Normaltextfortables"/>
              <w:keepNext/>
              <w:framePr w:hSpace="0" w:wrap="auto" w:vAnchor="margin" w:hAnchor="text" w:yAlign="inline"/>
              <w:rPr>
                <w:b/>
                <w:bCs/>
              </w:rPr>
            </w:pPr>
            <w:r w:rsidRPr="00F64CF9">
              <w:rPr>
                <w:b/>
                <w:bCs/>
              </w:rPr>
              <w:t>Report section</w:t>
            </w:r>
          </w:p>
        </w:tc>
      </w:tr>
      <w:tr w:rsidR="005E64A6" w:rsidRPr="005B6AA7" w14:paraId="78E814EC" w14:textId="77777777" w:rsidTr="00BE0824">
        <w:tc>
          <w:tcPr>
            <w:tcW w:w="6516" w:type="dxa"/>
            <w:tcBorders>
              <w:bottom w:val="nil"/>
              <w:right w:val="single" w:sz="4" w:space="0" w:color="auto"/>
            </w:tcBorders>
          </w:tcPr>
          <w:p w14:paraId="40DC1ED7" w14:textId="77777777" w:rsidR="005E64A6" w:rsidRPr="005B6AA7" w:rsidRDefault="005E64A6" w:rsidP="00C77532">
            <w:pPr>
              <w:pStyle w:val="Tabledotpoints"/>
              <w:keepNext/>
              <w:keepLines/>
              <w:numPr>
                <w:ilvl w:val="0"/>
                <w:numId w:val="49"/>
              </w:numPr>
            </w:pPr>
            <w:r w:rsidRPr="005B6AA7">
              <w:t xml:space="preserve"> To what extent did the Alternative Pathway increase screening participation rates of eligible Indigenous Australians, compared to the usual direct mail approach?</w:t>
            </w:r>
          </w:p>
        </w:tc>
        <w:tc>
          <w:tcPr>
            <w:tcW w:w="2494" w:type="dxa"/>
            <w:tcBorders>
              <w:left w:val="single" w:sz="4" w:space="0" w:color="auto"/>
              <w:bottom w:val="nil"/>
            </w:tcBorders>
          </w:tcPr>
          <w:p w14:paraId="5797E2E3" w14:textId="77777777" w:rsidR="005E64A6" w:rsidRPr="005B6AA7" w:rsidRDefault="005E64A6" w:rsidP="005E64A6">
            <w:pPr>
              <w:pStyle w:val="Normaltextfortables"/>
              <w:keepNext/>
              <w:framePr w:hSpace="0" w:wrap="auto" w:vAnchor="margin" w:hAnchor="text" w:yAlign="inline"/>
            </w:pPr>
            <w:r>
              <w:t>Section 8</w:t>
            </w:r>
          </w:p>
        </w:tc>
      </w:tr>
      <w:tr w:rsidR="005E64A6" w:rsidRPr="005B6AA7" w14:paraId="28DBB2A8" w14:textId="77777777" w:rsidTr="00BE0824">
        <w:tc>
          <w:tcPr>
            <w:tcW w:w="6516" w:type="dxa"/>
            <w:tcBorders>
              <w:top w:val="nil"/>
              <w:bottom w:val="nil"/>
              <w:right w:val="single" w:sz="4" w:space="0" w:color="auto"/>
            </w:tcBorders>
          </w:tcPr>
          <w:p w14:paraId="7A77A89A" w14:textId="77777777" w:rsidR="005E64A6" w:rsidRPr="005B6AA7" w:rsidRDefault="005E64A6" w:rsidP="00C77532">
            <w:pPr>
              <w:pStyle w:val="Tabledotpoints"/>
              <w:keepNext/>
              <w:keepLines/>
              <w:numPr>
                <w:ilvl w:val="0"/>
                <w:numId w:val="49"/>
              </w:numPr>
            </w:pPr>
            <w:r w:rsidRPr="005B6AA7">
              <w:t>Did the diagnostic assessment rate and median time between a positive screen and diagnostic assessment (colonoscopy) for Indigenous Australians differ between the Alternative Pathway and usual direct mail approach?</w:t>
            </w:r>
          </w:p>
        </w:tc>
        <w:tc>
          <w:tcPr>
            <w:tcW w:w="2494" w:type="dxa"/>
            <w:tcBorders>
              <w:top w:val="nil"/>
              <w:left w:val="single" w:sz="4" w:space="0" w:color="auto"/>
              <w:bottom w:val="nil"/>
            </w:tcBorders>
          </w:tcPr>
          <w:p w14:paraId="5B8C1A59" w14:textId="77777777" w:rsidR="005E64A6" w:rsidRPr="005B6AA7" w:rsidRDefault="005E64A6" w:rsidP="005E64A6">
            <w:pPr>
              <w:pStyle w:val="Normaltextfortables"/>
              <w:keepNext/>
              <w:framePr w:hSpace="0" w:wrap="auto" w:vAnchor="margin" w:hAnchor="text" w:yAlign="inline"/>
            </w:pPr>
            <w:r>
              <w:t>Section 8 (awaiting release of AIHW data)</w:t>
            </w:r>
          </w:p>
        </w:tc>
      </w:tr>
      <w:tr w:rsidR="005E64A6" w:rsidRPr="005B6AA7" w14:paraId="4902B311" w14:textId="77777777" w:rsidTr="00BE0824">
        <w:tc>
          <w:tcPr>
            <w:tcW w:w="6516" w:type="dxa"/>
            <w:tcBorders>
              <w:top w:val="nil"/>
              <w:bottom w:val="nil"/>
              <w:right w:val="single" w:sz="4" w:space="0" w:color="auto"/>
            </w:tcBorders>
          </w:tcPr>
          <w:p w14:paraId="0F61A735" w14:textId="77777777" w:rsidR="005E64A6" w:rsidRPr="005B6AA7" w:rsidRDefault="005E64A6" w:rsidP="00C77532">
            <w:pPr>
              <w:pStyle w:val="Tabledotpoints"/>
              <w:keepNext/>
              <w:keepLines/>
              <w:numPr>
                <w:ilvl w:val="0"/>
                <w:numId w:val="49"/>
              </w:numPr>
            </w:pPr>
            <w:r w:rsidRPr="005B6AA7">
              <w:t>What factors contributed to eligible Indigenous Australians participating in screening through the Alternative Pathway?</w:t>
            </w:r>
          </w:p>
        </w:tc>
        <w:tc>
          <w:tcPr>
            <w:tcW w:w="2494" w:type="dxa"/>
            <w:tcBorders>
              <w:top w:val="nil"/>
              <w:left w:val="single" w:sz="4" w:space="0" w:color="auto"/>
              <w:bottom w:val="nil"/>
            </w:tcBorders>
          </w:tcPr>
          <w:p w14:paraId="30585D5E" w14:textId="4322C8BC" w:rsidR="005E64A6" w:rsidRPr="005B6AA7" w:rsidRDefault="00BE0824" w:rsidP="005E64A6">
            <w:pPr>
              <w:pStyle w:val="Normaltextfortables"/>
              <w:keepNext/>
              <w:framePr w:hSpace="0" w:wrap="auto" w:vAnchor="margin" w:hAnchor="text" w:yAlign="inline"/>
            </w:pPr>
            <w:r>
              <w:t>Section 9</w:t>
            </w:r>
          </w:p>
        </w:tc>
      </w:tr>
      <w:tr w:rsidR="005E64A6" w:rsidRPr="005B6AA7" w14:paraId="33BAC086" w14:textId="77777777" w:rsidTr="00BE0824">
        <w:tc>
          <w:tcPr>
            <w:tcW w:w="6516" w:type="dxa"/>
            <w:tcBorders>
              <w:top w:val="nil"/>
              <w:bottom w:val="nil"/>
              <w:right w:val="single" w:sz="4" w:space="0" w:color="auto"/>
            </w:tcBorders>
          </w:tcPr>
          <w:p w14:paraId="079C7DCD" w14:textId="77777777" w:rsidR="005E64A6" w:rsidRPr="005B6AA7" w:rsidRDefault="005E64A6" w:rsidP="00C77532">
            <w:pPr>
              <w:pStyle w:val="Tabledotpoints"/>
              <w:keepNext/>
              <w:keepLines/>
              <w:numPr>
                <w:ilvl w:val="0"/>
                <w:numId w:val="49"/>
              </w:numPr>
            </w:pPr>
            <w:r w:rsidRPr="005B6AA7">
              <w:t>Did the proportion of Indigenous participants with inconclusive screening results differ between the Alternative Pathway and usual direct mail approach?</w:t>
            </w:r>
          </w:p>
        </w:tc>
        <w:tc>
          <w:tcPr>
            <w:tcW w:w="2494" w:type="dxa"/>
            <w:tcBorders>
              <w:top w:val="nil"/>
              <w:left w:val="single" w:sz="4" w:space="0" w:color="auto"/>
              <w:bottom w:val="nil"/>
            </w:tcBorders>
          </w:tcPr>
          <w:p w14:paraId="1992E729" w14:textId="77777777" w:rsidR="005E64A6" w:rsidRPr="005B6AA7" w:rsidRDefault="005E64A6" w:rsidP="005E64A6">
            <w:pPr>
              <w:pStyle w:val="Normaltextfortables"/>
              <w:keepNext/>
              <w:framePr w:hSpace="0" w:wrap="auto" w:vAnchor="margin" w:hAnchor="text" w:yAlign="inline"/>
            </w:pPr>
            <w:r>
              <w:t>Section 8 (awaiting release of AIHW data)</w:t>
            </w:r>
          </w:p>
        </w:tc>
      </w:tr>
      <w:tr w:rsidR="005E64A6" w:rsidRPr="005B6AA7" w14:paraId="3F6E5CC0" w14:textId="77777777" w:rsidTr="00BE0824">
        <w:tc>
          <w:tcPr>
            <w:tcW w:w="6516" w:type="dxa"/>
            <w:tcBorders>
              <w:top w:val="nil"/>
              <w:bottom w:val="single" w:sz="4" w:space="0" w:color="auto"/>
              <w:right w:val="single" w:sz="4" w:space="0" w:color="auto"/>
            </w:tcBorders>
          </w:tcPr>
          <w:p w14:paraId="1E78AA1A" w14:textId="77777777" w:rsidR="005E64A6" w:rsidRPr="005B6AA7" w:rsidRDefault="005E64A6" w:rsidP="00C77532">
            <w:pPr>
              <w:pStyle w:val="Tabledotpoints"/>
              <w:keepNext/>
              <w:keepLines/>
              <w:numPr>
                <w:ilvl w:val="0"/>
                <w:numId w:val="49"/>
              </w:numPr>
            </w:pPr>
            <w:r w:rsidRPr="005B6AA7">
              <w:t xml:space="preserve">Were there any unintended consequences (positive or negative)? </w:t>
            </w:r>
          </w:p>
        </w:tc>
        <w:tc>
          <w:tcPr>
            <w:tcW w:w="2494" w:type="dxa"/>
            <w:tcBorders>
              <w:top w:val="nil"/>
              <w:left w:val="single" w:sz="4" w:space="0" w:color="auto"/>
              <w:bottom w:val="single" w:sz="4" w:space="0" w:color="auto"/>
            </w:tcBorders>
          </w:tcPr>
          <w:p w14:paraId="16225D9F" w14:textId="1B2F77DE" w:rsidR="005E64A6" w:rsidRPr="005B6AA7" w:rsidRDefault="00BE0824" w:rsidP="005E64A6">
            <w:pPr>
              <w:pStyle w:val="Normaltextfortables"/>
              <w:keepNext/>
              <w:framePr w:hSpace="0" w:wrap="auto" w:vAnchor="margin" w:hAnchor="text" w:yAlign="inline"/>
            </w:pPr>
            <w:r>
              <w:t>Section 10</w:t>
            </w:r>
          </w:p>
        </w:tc>
      </w:tr>
    </w:tbl>
    <w:p w14:paraId="3CC46B1F" w14:textId="57B594C1" w:rsidR="005E64A6" w:rsidRDefault="00D8776A" w:rsidP="00366EAB">
      <w:pPr>
        <w:pStyle w:val="Heading3"/>
      </w:pPr>
      <w:r>
        <w:t>(c)</w:t>
      </w:r>
      <w:r w:rsidR="005E64A6">
        <w:t xml:space="preserve"> Delivery of the Alternative Pathway by Pilot health centres</w:t>
      </w:r>
    </w:p>
    <w:p w14:paraId="564E581B" w14:textId="0ED948CF" w:rsidR="005E64A6" w:rsidRPr="00B819DA" w:rsidRDefault="005E64A6" w:rsidP="002E74E6">
      <w:pPr>
        <w:pStyle w:val="Caption"/>
        <w:rPr>
          <w:lang w:eastAsia="en-AU"/>
        </w:rPr>
      </w:pPr>
      <w:r>
        <w:t>Table 1.3: Evaluation questions about how health centres offered the Alternative Pathway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gridCol w:w="79"/>
      </w:tblGrid>
      <w:tr w:rsidR="005E64A6" w:rsidRPr="00C10D8D" w14:paraId="4C284A68" w14:textId="77777777" w:rsidTr="00CA0599">
        <w:trPr>
          <w:gridAfter w:val="1"/>
          <w:wAfter w:w="79" w:type="dxa"/>
          <w:tblHeader/>
        </w:trPr>
        <w:tc>
          <w:tcPr>
            <w:tcW w:w="6804" w:type="dxa"/>
            <w:tcBorders>
              <w:top w:val="single" w:sz="4" w:space="0" w:color="auto"/>
              <w:bottom w:val="single" w:sz="4" w:space="0" w:color="auto"/>
            </w:tcBorders>
          </w:tcPr>
          <w:p w14:paraId="1696E777" w14:textId="77777777" w:rsidR="005E64A6" w:rsidRPr="00C10D8D" w:rsidRDefault="005E64A6" w:rsidP="00D8776A">
            <w:pPr>
              <w:pStyle w:val="Normaltextfortables"/>
              <w:framePr w:hSpace="0" w:wrap="auto" w:vAnchor="margin" w:hAnchor="text" w:yAlign="inline"/>
              <w:rPr>
                <w:b/>
                <w:bCs/>
              </w:rPr>
            </w:pPr>
            <w:r w:rsidRPr="00C10D8D">
              <w:rPr>
                <w:b/>
                <w:bCs/>
              </w:rPr>
              <w:t>Evaluation question</w:t>
            </w:r>
          </w:p>
          <w:p w14:paraId="363A8A09" w14:textId="77777777" w:rsidR="005E64A6" w:rsidRPr="00C10D8D" w:rsidRDefault="005E64A6" w:rsidP="00D8776A">
            <w:pPr>
              <w:pStyle w:val="Normaltextfortables"/>
              <w:framePr w:hSpace="0" w:wrap="auto" w:vAnchor="margin" w:hAnchor="text" w:yAlign="inline"/>
            </w:pPr>
            <w:r w:rsidRPr="00C10D8D">
              <w:t xml:space="preserve">How effectively was the Alternative Pathway delivered by </w:t>
            </w:r>
            <w:r>
              <w:t xml:space="preserve">health </w:t>
            </w:r>
            <w:r w:rsidRPr="00C10D8D">
              <w:t>s</w:t>
            </w:r>
            <w:r>
              <w:t>ervices</w:t>
            </w:r>
            <w:r w:rsidRPr="00C10D8D">
              <w:t>?</w:t>
            </w:r>
          </w:p>
        </w:tc>
        <w:tc>
          <w:tcPr>
            <w:tcW w:w="2127" w:type="dxa"/>
            <w:tcBorders>
              <w:top w:val="single" w:sz="4" w:space="0" w:color="auto"/>
              <w:bottom w:val="single" w:sz="4" w:space="0" w:color="auto"/>
            </w:tcBorders>
          </w:tcPr>
          <w:p w14:paraId="7ECE51E2" w14:textId="77777777" w:rsidR="005E64A6" w:rsidRPr="00C10D8D" w:rsidRDefault="005E64A6" w:rsidP="00D8776A">
            <w:pPr>
              <w:pStyle w:val="Normaltextfortables"/>
              <w:framePr w:hSpace="0" w:wrap="auto" w:vAnchor="margin" w:hAnchor="text" w:yAlign="inline"/>
              <w:rPr>
                <w:b/>
                <w:bCs/>
              </w:rPr>
            </w:pPr>
            <w:r w:rsidRPr="00C10D8D">
              <w:rPr>
                <w:b/>
                <w:bCs/>
              </w:rPr>
              <w:t>Report section</w:t>
            </w:r>
          </w:p>
        </w:tc>
      </w:tr>
      <w:tr w:rsidR="005E64A6" w:rsidRPr="00C10D8D" w14:paraId="4DC84B95" w14:textId="77777777" w:rsidTr="00D8776A">
        <w:tc>
          <w:tcPr>
            <w:tcW w:w="6804" w:type="dxa"/>
            <w:tcBorders>
              <w:top w:val="single" w:sz="4" w:space="0" w:color="auto"/>
            </w:tcBorders>
          </w:tcPr>
          <w:p w14:paraId="40BB42A3" w14:textId="77777777" w:rsidR="005E64A6" w:rsidRPr="00C10D8D" w:rsidRDefault="005E64A6" w:rsidP="00D8776A">
            <w:pPr>
              <w:pStyle w:val="Normaltextfortables"/>
              <w:framePr w:hSpace="0" w:wrap="auto" w:vAnchor="margin" w:hAnchor="text" w:yAlign="inline"/>
              <w:rPr>
                <w:rFonts w:cstheme="minorHAnsi"/>
                <w:lang w:eastAsia="en-AU"/>
              </w:rPr>
            </w:pPr>
            <w:r w:rsidRPr="00C10D8D">
              <w:rPr>
                <w:rFonts w:cstheme="minorHAnsi"/>
                <w:lang w:eastAsia="en-AU"/>
              </w:rPr>
              <w:t xml:space="preserve">How did IPHCCs incorporate bowel screening into their practice systems and processes? (i.e. how were eligible clients identified and offered screening, and how was follow-up provided?)  This includes: (1) how the Alternative Pathway was implemented at the health centre (the service model used); (2) health promotion or other activities carried out by health centre staff or others, with local community members, that occur outside the health centre itself.  </w:t>
            </w:r>
          </w:p>
        </w:tc>
        <w:tc>
          <w:tcPr>
            <w:tcW w:w="2206" w:type="dxa"/>
            <w:gridSpan w:val="2"/>
            <w:tcBorders>
              <w:top w:val="single" w:sz="4" w:space="0" w:color="auto"/>
            </w:tcBorders>
          </w:tcPr>
          <w:p w14:paraId="6AF82C4C" w14:textId="77777777" w:rsidR="005E64A6" w:rsidRPr="00C10D8D" w:rsidRDefault="005E64A6" w:rsidP="00D8776A">
            <w:pPr>
              <w:pStyle w:val="Normaltextfortables"/>
              <w:framePr w:hSpace="0" w:wrap="auto" w:vAnchor="margin" w:hAnchor="text" w:yAlign="inline"/>
              <w:rPr>
                <w:rFonts w:cstheme="minorHAnsi"/>
                <w:lang w:eastAsia="en-AU"/>
              </w:rPr>
            </w:pPr>
            <w:r>
              <w:rPr>
                <w:rFonts w:cstheme="minorHAnsi"/>
                <w:lang w:eastAsia="en-AU"/>
              </w:rPr>
              <w:t>Section 7</w:t>
            </w:r>
          </w:p>
        </w:tc>
      </w:tr>
      <w:tr w:rsidR="005E64A6" w:rsidRPr="00C10D8D" w14:paraId="122B6DCF" w14:textId="77777777" w:rsidTr="00D8776A">
        <w:tc>
          <w:tcPr>
            <w:tcW w:w="6804" w:type="dxa"/>
          </w:tcPr>
          <w:p w14:paraId="1808633B" w14:textId="77777777" w:rsidR="005E64A6" w:rsidRPr="00C10D8D" w:rsidRDefault="005E64A6" w:rsidP="00D8776A">
            <w:pPr>
              <w:pStyle w:val="Normaltextfortables"/>
              <w:framePr w:hSpace="0" w:wrap="auto" w:vAnchor="margin" w:hAnchor="text" w:yAlign="inline"/>
              <w:rPr>
                <w:rFonts w:cstheme="minorHAnsi"/>
                <w:lang w:eastAsia="en-AU"/>
              </w:rPr>
            </w:pPr>
            <w:r w:rsidRPr="00C10D8D">
              <w:rPr>
                <w:rFonts w:cstheme="minorHAnsi"/>
                <w:lang w:eastAsia="en-AU"/>
              </w:rPr>
              <w:t xml:space="preserve">What proportion of the eligible active client group of participating </w:t>
            </w:r>
            <w:r>
              <w:rPr>
                <w:rFonts w:cstheme="minorHAnsi"/>
                <w:lang w:eastAsia="en-AU"/>
              </w:rPr>
              <w:t>health centres</w:t>
            </w:r>
            <w:r w:rsidRPr="00C10D8D">
              <w:rPr>
                <w:rFonts w:cstheme="minorHAnsi"/>
                <w:lang w:eastAsia="en-AU"/>
              </w:rPr>
              <w:t xml:space="preserve"> were invited to screen?</w:t>
            </w:r>
          </w:p>
        </w:tc>
        <w:tc>
          <w:tcPr>
            <w:tcW w:w="2206" w:type="dxa"/>
            <w:gridSpan w:val="2"/>
          </w:tcPr>
          <w:p w14:paraId="14D38895" w14:textId="77777777" w:rsidR="005E64A6" w:rsidRPr="00C10D8D" w:rsidRDefault="005E64A6" w:rsidP="00D8776A">
            <w:pPr>
              <w:pStyle w:val="Normaltextfortables"/>
              <w:framePr w:hSpace="0" w:wrap="auto" w:vAnchor="margin" w:hAnchor="text" w:yAlign="inline"/>
              <w:rPr>
                <w:rFonts w:cstheme="minorHAnsi"/>
                <w:lang w:eastAsia="en-AU"/>
              </w:rPr>
            </w:pPr>
            <w:r>
              <w:rPr>
                <w:rFonts w:cstheme="minorHAnsi"/>
                <w:lang w:eastAsia="en-AU"/>
              </w:rPr>
              <w:t>Section 8</w:t>
            </w:r>
          </w:p>
        </w:tc>
      </w:tr>
      <w:tr w:rsidR="005E64A6" w:rsidRPr="00C10D8D" w14:paraId="11D0FCC4" w14:textId="77777777" w:rsidTr="00D8776A">
        <w:tc>
          <w:tcPr>
            <w:tcW w:w="6804" w:type="dxa"/>
          </w:tcPr>
          <w:p w14:paraId="27206216" w14:textId="77777777" w:rsidR="005E64A6" w:rsidRPr="00C10D8D" w:rsidRDefault="005E64A6" w:rsidP="00D8776A">
            <w:pPr>
              <w:pStyle w:val="Normaltextfortables"/>
              <w:framePr w:hSpace="0" w:wrap="auto" w:vAnchor="margin" w:hAnchor="text" w:yAlign="inline"/>
              <w:rPr>
                <w:rFonts w:cstheme="minorHAnsi"/>
                <w:lang w:eastAsia="en-AU"/>
              </w:rPr>
            </w:pPr>
            <w:r w:rsidRPr="00C10D8D">
              <w:rPr>
                <w:rFonts w:cstheme="minorHAnsi"/>
                <w:lang w:val="en-US"/>
              </w:rPr>
              <w:t>To what extent was the NBCSP as delivered through the Alternative Pathway manageable for IPHCC staff and managers? Were some elements of the NBCSP more/less manageable than others?</w:t>
            </w:r>
          </w:p>
        </w:tc>
        <w:tc>
          <w:tcPr>
            <w:tcW w:w="2206" w:type="dxa"/>
            <w:gridSpan w:val="2"/>
          </w:tcPr>
          <w:p w14:paraId="205FAF33" w14:textId="77777777" w:rsidR="005E64A6" w:rsidRPr="00C10D8D" w:rsidRDefault="005E64A6" w:rsidP="00D8776A">
            <w:pPr>
              <w:pStyle w:val="Normaltextfortables"/>
              <w:framePr w:hSpace="0" w:wrap="auto" w:vAnchor="margin" w:hAnchor="text" w:yAlign="inline"/>
              <w:rPr>
                <w:rFonts w:cstheme="minorHAnsi"/>
                <w:lang w:val="en-US"/>
              </w:rPr>
            </w:pPr>
            <w:r>
              <w:rPr>
                <w:rFonts w:cstheme="minorHAnsi"/>
                <w:lang w:val="en-US"/>
              </w:rPr>
              <w:t>Section 7</w:t>
            </w:r>
          </w:p>
        </w:tc>
      </w:tr>
      <w:tr w:rsidR="005E64A6" w:rsidRPr="00C10D8D" w14:paraId="3253DAAD" w14:textId="77777777" w:rsidTr="00D8776A">
        <w:tc>
          <w:tcPr>
            <w:tcW w:w="6804" w:type="dxa"/>
            <w:tcBorders>
              <w:bottom w:val="single" w:sz="4" w:space="0" w:color="auto"/>
            </w:tcBorders>
          </w:tcPr>
          <w:p w14:paraId="197D9863" w14:textId="77777777" w:rsidR="005E64A6" w:rsidRPr="00C10D8D" w:rsidRDefault="005E64A6" w:rsidP="00D8776A">
            <w:pPr>
              <w:pStyle w:val="Normaltextfortables"/>
              <w:framePr w:hSpace="0" w:wrap="auto" w:vAnchor="margin" w:hAnchor="text" w:yAlign="inline"/>
              <w:rPr>
                <w:rFonts w:cstheme="minorHAnsi"/>
                <w:lang w:eastAsia="en-AU"/>
              </w:rPr>
            </w:pPr>
            <w:r w:rsidRPr="00C10D8D">
              <w:rPr>
                <w:rFonts w:cstheme="minorHAnsi"/>
                <w:lang w:val="en-US"/>
              </w:rPr>
              <w:t xml:space="preserve">What were the barriers and enablers for </w:t>
            </w:r>
            <w:r>
              <w:rPr>
                <w:rFonts w:cstheme="minorHAnsi"/>
                <w:lang w:val="en-US"/>
              </w:rPr>
              <w:t xml:space="preserve">health </w:t>
            </w:r>
            <w:proofErr w:type="spellStart"/>
            <w:r>
              <w:rPr>
                <w:rFonts w:cstheme="minorHAnsi"/>
                <w:lang w:val="en-US"/>
              </w:rPr>
              <w:t>centres</w:t>
            </w:r>
            <w:proofErr w:type="spellEnd"/>
            <w:r w:rsidRPr="00C10D8D">
              <w:rPr>
                <w:rFonts w:cstheme="minorHAnsi"/>
                <w:lang w:val="en-US"/>
              </w:rPr>
              <w:t xml:space="preserve"> in delivering the Alternative Pathway?</w:t>
            </w:r>
          </w:p>
        </w:tc>
        <w:tc>
          <w:tcPr>
            <w:tcW w:w="2206" w:type="dxa"/>
            <w:gridSpan w:val="2"/>
            <w:tcBorders>
              <w:bottom w:val="single" w:sz="4" w:space="0" w:color="auto"/>
            </w:tcBorders>
          </w:tcPr>
          <w:p w14:paraId="024BD5C0" w14:textId="77777777" w:rsidR="005E64A6" w:rsidRPr="00C10D8D" w:rsidRDefault="005E64A6" w:rsidP="00D8776A">
            <w:pPr>
              <w:pStyle w:val="Normaltextfortables"/>
              <w:framePr w:hSpace="0" w:wrap="auto" w:vAnchor="margin" w:hAnchor="text" w:yAlign="inline"/>
              <w:rPr>
                <w:rFonts w:cstheme="minorHAnsi"/>
                <w:lang w:val="en-US"/>
              </w:rPr>
            </w:pPr>
            <w:r>
              <w:rPr>
                <w:rFonts w:cstheme="minorHAnsi"/>
                <w:lang w:val="en-US"/>
              </w:rPr>
              <w:t>Section 7</w:t>
            </w:r>
          </w:p>
        </w:tc>
      </w:tr>
    </w:tbl>
    <w:p w14:paraId="55F8F3F8" w14:textId="77777777" w:rsidR="005E64A6" w:rsidRDefault="005E64A6" w:rsidP="005E64A6"/>
    <w:p w14:paraId="6CA4658B" w14:textId="73CBD233" w:rsidR="00B148AE" w:rsidRDefault="00D8776A" w:rsidP="00366EAB">
      <w:pPr>
        <w:pStyle w:val="Heading3"/>
      </w:pPr>
      <w:r>
        <w:lastRenderedPageBreak/>
        <w:t>(d)</w:t>
      </w:r>
      <w:r w:rsidR="00B148AE">
        <w:t xml:space="preserve"> Cost-effectiveness of support</w:t>
      </w:r>
    </w:p>
    <w:p w14:paraId="79D87C41" w14:textId="43EAFBD5" w:rsidR="00B148AE" w:rsidRPr="0021753F" w:rsidRDefault="00B148AE" w:rsidP="002E74E6">
      <w:pPr>
        <w:pStyle w:val="Caption"/>
      </w:pPr>
      <w:r w:rsidRPr="0021753F">
        <w:t xml:space="preserve">Table </w:t>
      </w:r>
      <w:r>
        <w:t>1</w:t>
      </w:r>
      <w:r w:rsidRPr="0021753F">
        <w:t>.</w:t>
      </w:r>
      <w:r>
        <w:t>4</w:t>
      </w:r>
      <w:r w:rsidRPr="0021753F">
        <w:t xml:space="preserve">: Evaluation questions about Group A vs Group B </w:t>
      </w:r>
    </w:p>
    <w:tbl>
      <w:tblPr>
        <w:tblStyle w:val="TableGrid"/>
        <w:tblW w:w="0" w:type="auto"/>
        <w:tblLook w:val="04A0" w:firstRow="1" w:lastRow="0" w:firstColumn="1" w:lastColumn="0" w:noHBand="0" w:noVBand="1"/>
      </w:tblPr>
      <w:tblGrid>
        <w:gridCol w:w="6379"/>
        <w:gridCol w:w="2631"/>
      </w:tblGrid>
      <w:tr w:rsidR="00B148AE" w:rsidRPr="00E23BC4" w14:paraId="3E2D3FE6" w14:textId="77777777" w:rsidTr="00D8776A">
        <w:trPr>
          <w:tblHeader/>
        </w:trPr>
        <w:tc>
          <w:tcPr>
            <w:tcW w:w="6379" w:type="dxa"/>
            <w:tcBorders>
              <w:top w:val="single" w:sz="4" w:space="0" w:color="auto"/>
              <w:left w:val="nil"/>
              <w:bottom w:val="single" w:sz="4" w:space="0" w:color="auto"/>
              <w:right w:val="nil"/>
            </w:tcBorders>
          </w:tcPr>
          <w:p w14:paraId="0123C613" w14:textId="77777777" w:rsidR="00B148AE" w:rsidRPr="007C245E" w:rsidRDefault="00B148AE" w:rsidP="00D8776A">
            <w:pPr>
              <w:pStyle w:val="Normaltextfortables"/>
              <w:framePr w:hSpace="0" w:wrap="auto" w:vAnchor="margin" w:hAnchor="text" w:yAlign="inline"/>
              <w:rPr>
                <w:b/>
                <w:bCs/>
              </w:rPr>
            </w:pPr>
            <w:r w:rsidRPr="007C245E">
              <w:rPr>
                <w:b/>
                <w:bCs/>
              </w:rPr>
              <w:t>Evaluation question</w:t>
            </w:r>
          </w:p>
          <w:p w14:paraId="54726F23" w14:textId="77777777" w:rsidR="00B148AE" w:rsidRPr="00E23BC4" w:rsidRDefault="00B148AE" w:rsidP="00D8776A">
            <w:pPr>
              <w:pStyle w:val="Normaltextfortables"/>
              <w:framePr w:hSpace="0" w:wrap="auto" w:vAnchor="margin" w:hAnchor="text" w:yAlign="inline"/>
            </w:pPr>
            <w:r w:rsidRPr="00E23BC4">
              <w:t>How cost-effective are the two variants of the Alternative Pathway?</w:t>
            </w:r>
          </w:p>
        </w:tc>
        <w:tc>
          <w:tcPr>
            <w:tcW w:w="2631" w:type="dxa"/>
            <w:tcBorders>
              <w:top w:val="single" w:sz="4" w:space="0" w:color="auto"/>
              <w:left w:val="nil"/>
              <w:bottom w:val="single" w:sz="4" w:space="0" w:color="auto"/>
              <w:right w:val="nil"/>
            </w:tcBorders>
          </w:tcPr>
          <w:p w14:paraId="451E804F" w14:textId="77777777" w:rsidR="00B148AE" w:rsidRPr="007C245E" w:rsidRDefault="00B148AE" w:rsidP="00D8776A">
            <w:pPr>
              <w:pStyle w:val="Normaltextfortables"/>
              <w:framePr w:hSpace="0" w:wrap="auto" w:vAnchor="margin" w:hAnchor="text" w:yAlign="inline"/>
              <w:rPr>
                <w:b/>
                <w:bCs/>
              </w:rPr>
            </w:pPr>
            <w:r w:rsidRPr="007C245E">
              <w:rPr>
                <w:b/>
                <w:bCs/>
              </w:rPr>
              <w:t>Report section</w:t>
            </w:r>
          </w:p>
        </w:tc>
      </w:tr>
      <w:tr w:rsidR="00B148AE" w:rsidRPr="00E23BC4" w14:paraId="78D537DC" w14:textId="77777777" w:rsidTr="00D8776A">
        <w:tc>
          <w:tcPr>
            <w:tcW w:w="6379" w:type="dxa"/>
            <w:tcBorders>
              <w:top w:val="single" w:sz="4" w:space="0" w:color="auto"/>
              <w:left w:val="nil"/>
              <w:bottom w:val="nil"/>
              <w:right w:val="nil"/>
            </w:tcBorders>
          </w:tcPr>
          <w:p w14:paraId="68F9354A" w14:textId="77777777" w:rsidR="00B148AE" w:rsidRPr="00E23BC4" w:rsidRDefault="00B148AE" w:rsidP="00D8776A">
            <w:pPr>
              <w:pStyle w:val="Normaltextfortables"/>
              <w:framePr w:hSpace="0" w:wrap="auto" w:vAnchor="margin" w:hAnchor="text" w:yAlign="inline"/>
              <w:rPr>
                <w:lang w:eastAsia="en-AU"/>
              </w:rPr>
            </w:pPr>
            <w:r w:rsidRPr="00E23BC4">
              <w:rPr>
                <w:lang w:eastAsia="en-AU"/>
              </w:rPr>
              <w:t>Was there a difference in the performance of IPHCCs in Group A (low intensity support) compared to Group B (high intensity support) in terms of the following outcomes:</w:t>
            </w:r>
          </w:p>
        </w:tc>
        <w:tc>
          <w:tcPr>
            <w:tcW w:w="2631" w:type="dxa"/>
            <w:tcBorders>
              <w:top w:val="single" w:sz="4" w:space="0" w:color="auto"/>
              <w:left w:val="nil"/>
              <w:bottom w:val="nil"/>
              <w:right w:val="nil"/>
            </w:tcBorders>
          </w:tcPr>
          <w:p w14:paraId="3B7E56D0" w14:textId="77777777" w:rsidR="00B148AE" w:rsidRPr="00E23BC4" w:rsidRDefault="00B148AE" w:rsidP="00D8776A">
            <w:pPr>
              <w:pStyle w:val="Normaltextfortables"/>
              <w:framePr w:hSpace="0" w:wrap="auto" w:vAnchor="margin" w:hAnchor="text" w:yAlign="inline"/>
              <w:rPr>
                <w:lang w:eastAsia="en-AU"/>
              </w:rPr>
            </w:pPr>
            <w:r>
              <w:rPr>
                <w:lang w:eastAsia="en-AU"/>
              </w:rPr>
              <w:t>Section 8</w:t>
            </w:r>
          </w:p>
        </w:tc>
      </w:tr>
      <w:tr w:rsidR="00B148AE" w:rsidRPr="00E23BC4" w14:paraId="34FCC563" w14:textId="77777777" w:rsidTr="00D8776A">
        <w:tc>
          <w:tcPr>
            <w:tcW w:w="6379" w:type="dxa"/>
            <w:tcBorders>
              <w:top w:val="nil"/>
              <w:left w:val="nil"/>
              <w:bottom w:val="nil"/>
              <w:right w:val="nil"/>
            </w:tcBorders>
          </w:tcPr>
          <w:p w14:paraId="26CCEC02" w14:textId="77777777" w:rsidR="00B148AE" w:rsidRPr="00E23BC4" w:rsidRDefault="00B148AE" w:rsidP="00C77532">
            <w:pPr>
              <w:pStyle w:val="Normaltextfortables"/>
              <w:framePr w:hSpace="0" w:wrap="auto" w:vAnchor="margin" w:hAnchor="text" w:yAlign="inline"/>
              <w:numPr>
                <w:ilvl w:val="0"/>
                <w:numId w:val="50"/>
              </w:numPr>
              <w:rPr>
                <w:lang w:eastAsia="en-AU"/>
              </w:rPr>
            </w:pPr>
            <w:r w:rsidRPr="00E23BC4">
              <w:rPr>
                <w:lang w:eastAsia="en-AU"/>
              </w:rPr>
              <w:t>Screening participation rates</w:t>
            </w:r>
          </w:p>
        </w:tc>
        <w:tc>
          <w:tcPr>
            <w:tcW w:w="2631" w:type="dxa"/>
            <w:tcBorders>
              <w:top w:val="nil"/>
              <w:left w:val="nil"/>
              <w:bottom w:val="nil"/>
              <w:right w:val="nil"/>
            </w:tcBorders>
          </w:tcPr>
          <w:p w14:paraId="1E86D096" w14:textId="77777777" w:rsidR="00B148AE" w:rsidRPr="00E23BC4" w:rsidRDefault="00B148AE" w:rsidP="00D8776A">
            <w:pPr>
              <w:pStyle w:val="Normaltextfortables"/>
              <w:framePr w:hSpace="0" w:wrap="auto" w:vAnchor="margin" w:hAnchor="text" w:yAlign="inline"/>
              <w:rPr>
                <w:lang w:eastAsia="en-AU"/>
              </w:rPr>
            </w:pPr>
            <w:r>
              <w:rPr>
                <w:lang w:eastAsia="en-AU"/>
              </w:rPr>
              <w:t>Section 8</w:t>
            </w:r>
          </w:p>
        </w:tc>
      </w:tr>
      <w:tr w:rsidR="00B148AE" w:rsidRPr="00E23BC4" w14:paraId="4D71B584" w14:textId="77777777" w:rsidTr="00D8776A">
        <w:tc>
          <w:tcPr>
            <w:tcW w:w="6379" w:type="dxa"/>
            <w:tcBorders>
              <w:top w:val="nil"/>
              <w:left w:val="nil"/>
              <w:bottom w:val="nil"/>
              <w:right w:val="nil"/>
            </w:tcBorders>
          </w:tcPr>
          <w:p w14:paraId="602D37F6" w14:textId="77777777" w:rsidR="00B148AE" w:rsidRPr="00E23BC4" w:rsidRDefault="00B148AE" w:rsidP="00C77532">
            <w:pPr>
              <w:pStyle w:val="Normaltextfortables"/>
              <w:framePr w:hSpace="0" w:wrap="auto" w:vAnchor="margin" w:hAnchor="text" w:yAlign="inline"/>
              <w:numPr>
                <w:ilvl w:val="0"/>
                <w:numId w:val="50"/>
              </w:numPr>
              <w:rPr>
                <w:lang w:eastAsia="en-AU"/>
              </w:rPr>
            </w:pPr>
            <w:r w:rsidRPr="00E23BC4">
              <w:rPr>
                <w:lang w:eastAsia="en-AU"/>
              </w:rPr>
              <w:t>Invitation rates</w:t>
            </w:r>
          </w:p>
        </w:tc>
        <w:tc>
          <w:tcPr>
            <w:tcW w:w="2631" w:type="dxa"/>
            <w:tcBorders>
              <w:top w:val="nil"/>
              <w:left w:val="nil"/>
              <w:bottom w:val="nil"/>
              <w:right w:val="nil"/>
            </w:tcBorders>
          </w:tcPr>
          <w:p w14:paraId="41C8BFC5" w14:textId="77777777" w:rsidR="00B148AE" w:rsidRPr="00E23BC4" w:rsidRDefault="00B148AE" w:rsidP="00D8776A">
            <w:pPr>
              <w:pStyle w:val="Normaltextfortables"/>
              <w:framePr w:hSpace="0" w:wrap="auto" w:vAnchor="margin" w:hAnchor="text" w:yAlign="inline"/>
              <w:rPr>
                <w:lang w:eastAsia="en-AU"/>
              </w:rPr>
            </w:pPr>
            <w:r>
              <w:rPr>
                <w:lang w:eastAsia="en-AU"/>
              </w:rPr>
              <w:t>Section 8</w:t>
            </w:r>
          </w:p>
        </w:tc>
      </w:tr>
      <w:tr w:rsidR="00B148AE" w:rsidRPr="00E23BC4" w14:paraId="1DB964C2" w14:textId="77777777" w:rsidTr="00D8776A">
        <w:tc>
          <w:tcPr>
            <w:tcW w:w="6379" w:type="dxa"/>
            <w:tcBorders>
              <w:top w:val="nil"/>
              <w:left w:val="nil"/>
              <w:bottom w:val="nil"/>
              <w:right w:val="nil"/>
            </w:tcBorders>
          </w:tcPr>
          <w:p w14:paraId="1E4D77B3" w14:textId="77777777" w:rsidR="00B148AE" w:rsidRPr="009561F3" w:rsidRDefault="00B148AE" w:rsidP="00C77532">
            <w:pPr>
              <w:pStyle w:val="Normaltextfortables"/>
              <w:framePr w:hSpace="0" w:wrap="auto" w:vAnchor="margin" w:hAnchor="text" w:yAlign="inline"/>
              <w:numPr>
                <w:ilvl w:val="0"/>
                <w:numId w:val="50"/>
              </w:numPr>
              <w:rPr>
                <w:lang w:eastAsia="en-AU"/>
              </w:rPr>
            </w:pPr>
            <w:r w:rsidRPr="00E23BC4">
              <w:rPr>
                <w:lang w:eastAsia="en-AU"/>
              </w:rPr>
              <w:t>Measures of quality (adherence to Hot Zone restrictions by IPHCCs; sample viability; proportion of invitees with a positive result who progressed to diagnostic assessment (colonoscopy)/timely diagnostic assessment.)</w:t>
            </w:r>
          </w:p>
        </w:tc>
        <w:tc>
          <w:tcPr>
            <w:tcW w:w="2631" w:type="dxa"/>
            <w:tcBorders>
              <w:top w:val="nil"/>
              <w:left w:val="nil"/>
              <w:bottom w:val="nil"/>
              <w:right w:val="nil"/>
            </w:tcBorders>
          </w:tcPr>
          <w:p w14:paraId="1CF5D357" w14:textId="77777777" w:rsidR="00B148AE" w:rsidRPr="00E23BC4" w:rsidRDefault="00B148AE" w:rsidP="00D8776A">
            <w:pPr>
              <w:pStyle w:val="Normaltextfortables"/>
              <w:framePr w:hSpace="0" w:wrap="auto" w:vAnchor="margin" w:hAnchor="text" w:yAlign="inline"/>
              <w:rPr>
                <w:lang w:eastAsia="en-AU"/>
              </w:rPr>
            </w:pPr>
            <w:r>
              <w:rPr>
                <w:lang w:eastAsia="en-AU"/>
              </w:rPr>
              <w:t xml:space="preserve">Sections 7 and 8 </w:t>
            </w:r>
          </w:p>
        </w:tc>
      </w:tr>
      <w:tr w:rsidR="00B148AE" w:rsidRPr="00E23BC4" w14:paraId="57FA69FC" w14:textId="77777777" w:rsidTr="00D8776A">
        <w:tc>
          <w:tcPr>
            <w:tcW w:w="6379" w:type="dxa"/>
            <w:tcBorders>
              <w:top w:val="nil"/>
              <w:left w:val="nil"/>
              <w:bottom w:val="nil"/>
              <w:right w:val="nil"/>
            </w:tcBorders>
          </w:tcPr>
          <w:p w14:paraId="6C5B2A22" w14:textId="77777777" w:rsidR="00B148AE" w:rsidRPr="00E23BC4" w:rsidRDefault="00B148AE" w:rsidP="00D8776A">
            <w:pPr>
              <w:pStyle w:val="Normaltextfortables"/>
              <w:framePr w:hSpace="0" w:wrap="auto" w:vAnchor="margin" w:hAnchor="text" w:yAlign="inline"/>
              <w:rPr>
                <w:lang w:eastAsia="en-AU"/>
              </w:rPr>
            </w:pPr>
            <w:r w:rsidRPr="00E23BC4">
              <w:rPr>
                <w:lang w:eastAsia="en-AU"/>
              </w:rPr>
              <w:t xml:space="preserve">What was the extent of variation in performance between IPHCCs within either Group A or Group B? Were there common characteristics shared by IPHCCs that attained particularly high or low participation or quality outcomes, and if so, to what extent might these factors have implications for the feasibility of wider rollout of an Alternative Pathway model?  </w:t>
            </w:r>
          </w:p>
        </w:tc>
        <w:tc>
          <w:tcPr>
            <w:tcW w:w="2631" w:type="dxa"/>
            <w:tcBorders>
              <w:top w:val="nil"/>
              <w:left w:val="nil"/>
              <w:bottom w:val="nil"/>
              <w:right w:val="nil"/>
            </w:tcBorders>
          </w:tcPr>
          <w:p w14:paraId="006C5B62" w14:textId="77777777" w:rsidR="00B148AE" w:rsidRPr="00E23BC4" w:rsidRDefault="00B148AE" w:rsidP="00D8776A">
            <w:pPr>
              <w:pStyle w:val="Normaltextfortables"/>
              <w:framePr w:hSpace="0" w:wrap="auto" w:vAnchor="margin" w:hAnchor="text" w:yAlign="inline"/>
              <w:rPr>
                <w:lang w:eastAsia="en-AU"/>
              </w:rPr>
            </w:pPr>
            <w:r>
              <w:rPr>
                <w:lang w:eastAsia="en-AU"/>
              </w:rPr>
              <w:t>Section 8</w:t>
            </w:r>
          </w:p>
        </w:tc>
      </w:tr>
      <w:tr w:rsidR="00B148AE" w:rsidRPr="00E23BC4" w14:paraId="4B330C4E" w14:textId="77777777" w:rsidTr="00D8776A">
        <w:tc>
          <w:tcPr>
            <w:tcW w:w="6379" w:type="dxa"/>
            <w:tcBorders>
              <w:top w:val="nil"/>
              <w:left w:val="nil"/>
              <w:bottom w:val="single" w:sz="4" w:space="0" w:color="auto"/>
              <w:right w:val="nil"/>
            </w:tcBorders>
          </w:tcPr>
          <w:p w14:paraId="3CC0C8E8" w14:textId="68F84ABE" w:rsidR="00B148AE" w:rsidRPr="00E23BC4" w:rsidRDefault="00B148AE" w:rsidP="00D8776A">
            <w:pPr>
              <w:pStyle w:val="Normaltextfortables"/>
              <w:framePr w:hSpace="0" w:wrap="auto" w:vAnchor="margin" w:hAnchor="text" w:yAlign="inline"/>
              <w:rPr>
                <w:lang w:eastAsia="en-AU"/>
              </w:rPr>
            </w:pPr>
            <w:r w:rsidRPr="00E23BC4">
              <w:rPr>
                <w:lang w:eastAsia="en-AU"/>
              </w:rPr>
              <w:t>What was the difference in the cost of providing the low intensity compared to the high intensity level of support for IPHCCs to implement the Alternative Pathway? (These costs will not include those of setting up or evaluating the Pilot but will include the cost of ongoing support for each option, including the Quality and Safety Checklist process and any difference in use of Helplines or email contact to Menzies.)</w:t>
            </w:r>
          </w:p>
        </w:tc>
        <w:tc>
          <w:tcPr>
            <w:tcW w:w="2631" w:type="dxa"/>
            <w:tcBorders>
              <w:top w:val="nil"/>
              <w:left w:val="nil"/>
              <w:bottom w:val="single" w:sz="4" w:space="0" w:color="auto"/>
              <w:right w:val="nil"/>
            </w:tcBorders>
          </w:tcPr>
          <w:p w14:paraId="4AE841D9" w14:textId="517D6A27" w:rsidR="00B148AE" w:rsidRPr="00E23BC4" w:rsidRDefault="00BE0824" w:rsidP="00D8776A">
            <w:pPr>
              <w:pStyle w:val="Normaltextfortables"/>
              <w:framePr w:hSpace="0" w:wrap="auto" w:vAnchor="margin" w:hAnchor="text" w:yAlign="inline"/>
              <w:rPr>
                <w:lang w:eastAsia="en-AU"/>
              </w:rPr>
            </w:pPr>
            <w:r>
              <w:rPr>
                <w:lang w:eastAsia="en-AU"/>
              </w:rPr>
              <w:t>Section 10</w:t>
            </w:r>
          </w:p>
        </w:tc>
      </w:tr>
    </w:tbl>
    <w:p w14:paraId="2D9CD025" w14:textId="691D17AB" w:rsidR="00B148AE" w:rsidRDefault="00D8776A" w:rsidP="00366EAB">
      <w:pPr>
        <w:pStyle w:val="Heading3"/>
      </w:pPr>
      <w:r>
        <w:t xml:space="preserve">(e) </w:t>
      </w:r>
      <w:r w:rsidR="00B148AE" w:rsidRPr="00135F72">
        <w:t xml:space="preserve">Considerations for </w:t>
      </w:r>
      <w:r w:rsidR="00B148AE">
        <w:t>f</w:t>
      </w:r>
      <w:r w:rsidR="00B148AE" w:rsidRPr="00135F72">
        <w:t>u</w:t>
      </w:r>
      <w:r w:rsidR="00B148AE">
        <w:t>rther</w:t>
      </w:r>
      <w:r w:rsidR="00B148AE" w:rsidRPr="00135F72">
        <w:t xml:space="preserve"> </w:t>
      </w:r>
      <w:r w:rsidR="00B148AE">
        <w:t>r</w:t>
      </w:r>
      <w:r w:rsidR="00B148AE" w:rsidRPr="00135F72">
        <w:t>ollout</w:t>
      </w:r>
    </w:p>
    <w:p w14:paraId="73E9E312" w14:textId="20329E4C" w:rsidR="00B148AE" w:rsidRDefault="00B148AE" w:rsidP="002E74E6">
      <w:pPr>
        <w:pStyle w:val="Caption"/>
      </w:pPr>
      <w:r>
        <w:t>Table</w:t>
      </w:r>
      <w:r w:rsidR="00D8776A">
        <w:t xml:space="preserve"> 1</w:t>
      </w:r>
      <w:r>
        <w:t>.5: Evaluation questions about further rollout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36"/>
      </w:tblGrid>
      <w:tr w:rsidR="00B148AE" w:rsidRPr="00404139" w14:paraId="14A26194" w14:textId="77777777" w:rsidTr="004D0E90">
        <w:trPr>
          <w:cantSplit/>
          <w:tblHeader/>
        </w:trPr>
        <w:tc>
          <w:tcPr>
            <w:tcW w:w="6374" w:type="dxa"/>
            <w:tcBorders>
              <w:top w:val="single" w:sz="4" w:space="0" w:color="auto"/>
              <w:bottom w:val="single" w:sz="4" w:space="0" w:color="auto"/>
            </w:tcBorders>
          </w:tcPr>
          <w:p w14:paraId="6EB91C40" w14:textId="77777777" w:rsidR="00B148AE" w:rsidRPr="00AA6A48" w:rsidRDefault="00B148AE" w:rsidP="00D8776A">
            <w:pPr>
              <w:pStyle w:val="Normaltextfortables"/>
              <w:framePr w:hSpace="0" w:wrap="auto" w:vAnchor="margin" w:hAnchor="text" w:yAlign="inline"/>
              <w:rPr>
                <w:b/>
                <w:bCs/>
              </w:rPr>
            </w:pPr>
            <w:r w:rsidRPr="00AA6A48">
              <w:rPr>
                <w:b/>
                <w:bCs/>
              </w:rPr>
              <w:t>Evaluation question</w:t>
            </w:r>
          </w:p>
          <w:p w14:paraId="4E7DC70C" w14:textId="77777777" w:rsidR="00B148AE" w:rsidRPr="00404139" w:rsidRDefault="00B148AE" w:rsidP="00D8776A">
            <w:pPr>
              <w:pStyle w:val="Normaltextfortables"/>
              <w:framePr w:hSpace="0" w:wrap="auto" w:vAnchor="margin" w:hAnchor="text" w:yAlign="inline"/>
            </w:pPr>
            <w:r w:rsidRPr="00404139">
              <w:t>Based on the findings from questions 1-4, is the Alternative Pathway feasible to be rolled out further?</w:t>
            </w:r>
          </w:p>
        </w:tc>
        <w:tc>
          <w:tcPr>
            <w:tcW w:w="2636" w:type="dxa"/>
            <w:tcBorders>
              <w:top w:val="single" w:sz="4" w:space="0" w:color="auto"/>
              <w:bottom w:val="single" w:sz="4" w:space="0" w:color="auto"/>
            </w:tcBorders>
          </w:tcPr>
          <w:p w14:paraId="4A4A04AE" w14:textId="77777777" w:rsidR="00B148AE" w:rsidRPr="00AA6A48" w:rsidRDefault="00B148AE" w:rsidP="00D8776A">
            <w:pPr>
              <w:pStyle w:val="Normaltextfortables"/>
              <w:framePr w:hSpace="0" w:wrap="auto" w:vAnchor="margin" w:hAnchor="text" w:yAlign="inline"/>
              <w:rPr>
                <w:b/>
                <w:bCs/>
              </w:rPr>
            </w:pPr>
            <w:r w:rsidRPr="00AA6A48">
              <w:rPr>
                <w:b/>
                <w:bCs/>
              </w:rPr>
              <w:t>Report section</w:t>
            </w:r>
          </w:p>
        </w:tc>
      </w:tr>
      <w:tr w:rsidR="00B148AE" w:rsidRPr="00404139" w14:paraId="49F87A46" w14:textId="77777777" w:rsidTr="004D0E90">
        <w:trPr>
          <w:cantSplit/>
        </w:trPr>
        <w:tc>
          <w:tcPr>
            <w:tcW w:w="6374" w:type="dxa"/>
            <w:tcBorders>
              <w:top w:val="single" w:sz="4" w:space="0" w:color="auto"/>
            </w:tcBorders>
          </w:tcPr>
          <w:p w14:paraId="3486207E" w14:textId="77777777" w:rsidR="00B148AE" w:rsidRPr="00404139" w:rsidRDefault="00B148AE" w:rsidP="00D8776A">
            <w:pPr>
              <w:pStyle w:val="Normaltextfortables"/>
              <w:framePr w:hSpace="0" w:wrap="auto" w:vAnchor="margin" w:hAnchor="text" w:yAlign="inline"/>
              <w:rPr>
                <w:rFonts w:cstheme="minorHAnsi"/>
                <w:lang w:eastAsia="en-AU"/>
              </w:rPr>
            </w:pPr>
            <w:r w:rsidRPr="00404139">
              <w:rPr>
                <w:rFonts w:cstheme="minorHAnsi"/>
                <w:lang w:eastAsia="en-AU"/>
              </w:rPr>
              <w:t xml:space="preserve">What level of implementation support for </w:t>
            </w:r>
            <w:r>
              <w:rPr>
                <w:rFonts w:cstheme="minorHAnsi"/>
                <w:lang w:eastAsia="en-AU"/>
              </w:rPr>
              <w:t xml:space="preserve">[health centres] </w:t>
            </w:r>
            <w:r w:rsidRPr="00404139">
              <w:rPr>
                <w:rFonts w:cstheme="minorHAnsi"/>
                <w:lang w:eastAsia="en-AU"/>
              </w:rPr>
              <w:t>is required for the Alternative Pathway to maximize screening participation rates (initial setup and ongoing delivery)? Does the level of implementation support required vary according to health centre or environmental characteristics?</w:t>
            </w:r>
          </w:p>
        </w:tc>
        <w:tc>
          <w:tcPr>
            <w:tcW w:w="2636" w:type="dxa"/>
            <w:tcBorders>
              <w:top w:val="single" w:sz="4" w:space="0" w:color="auto"/>
            </w:tcBorders>
          </w:tcPr>
          <w:p w14:paraId="18993E51" w14:textId="7C687A9E" w:rsidR="00B148AE" w:rsidRPr="00404139" w:rsidRDefault="004D0E90" w:rsidP="00D8776A">
            <w:pPr>
              <w:pStyle w:val="Normaltextfortables"/>
              <w:framePr w:hSpace="0" w:wrap="auto" w:vAnchor="margin" w:hAnchor="text" w:yAlign="inline"/>
              <w:rPr>
                <w:rFonts w:cstheme="minorHAnsi"/>
                <w:lang w:eastAsia="en-AU"/>
              </w:rPr>
            </w:pPr>
            <w:r>
              <w:rPr>
                <w:rFonts w:cstheme="minorHAnsi"/>
                <w:lang w:eastAsia="en-AU"/>
              </w:rPr>
              <w:t>Section 1</w:t>
            </w:r>
          </w:p>
        </w:tc>
      </w:tr>
      <w:tr w:rsidR="00B148AE" w:rsidRPr="00404139" w14:paraId="43DB5399" w14:textId="77777777" w:rsidTr="004D0E90">
        <w:trPr>
          <w:cantSplit/>
        </w:trPr>
        <w:tc>
          <w:tcPr>
            <w:tcW w:w="6374" w:type="dxa"/>
          </w:tcPr>
          <w:p w14:paraId="5C77A8E5" w14:textId="77777777" w:rsidR="00B148AE" w:rsidRPr="00404139" w:rsidRDefault="00B148AE" w:rsidP="00D8776A">
            <w:pPr>
              <w:pStyle w:val="Normaltextfortables"/>
              <w:framePr w:hSpace="0" w:wrap="auto" w:vAnchor="margin" w:hAnchor="text" w:yAlign="inline"/>
              <w:rPr>
                <w:rFonts w:cstheme="minorHAnsi"/>
                <w:lang w:eastAsia="en-AU"/>
              </w:rPr>
            </w:pPr>
            <w:r w:rsidRPr="00404139">
              <w:rPr>
                <w:rFonts w:cstheme="minorHAnsi"/>
                <w:lang w:eastAsia="en-AU"/>
              </w:rPr>
              <w:t xml:space="preserve">Do </w:t>
            </w:r>
            <w:r>
              <w:rPr>
                <w:rFonts w:cstheme="minorHAnsi"/>
                <w:lang w:eastAsia="en-AU"/>
              </w:rPr>
              <w:t xml:space="preserve">[health centres] </w:t>
            </w:r>
            <w:r w:rsidRPr="00404139">
              <w:rPr>
                <w:rFonts w:cstheme="minorHAnsi"/>
                <w:lang w:eastAsia="en-AU"/>
              </w:rPr>
              <w:t>participating in the Alternative Pilot differ from other IPHCCs?</w:t>
            </w:r>
          </w:p>
        </w:tc>
        <w:tc>
          <w:tcPr>
            <w:tcW w:w="2636" w:type="dxa"/>
          </w:tcPr>
          <w:p w14:paraId="75972E62" w14:textId="77777777" w:rsidR="00B148AE" w:rsidRPr="00404139" w:rsidRDefault="00B148AE" w:rsidP="00D8776A">
            <w:pPr>
              <w:pStyle w:val="Normaltextfortables"/>
              <w:framePr w:hSpace="0" w:wrap="auto" w:vAnchor="margin" w:hAnchor="text" w:yAlign="inline"/>
              <w:rPr>
                <w:rFonts w:cstheme="minorHAnsi"/>
                <w:lang w:eastAsia="en-AU"/>
              </w:rPr>
            </w:pPr>
            <w:r>
              <w:rPr>
                <w:rFonts w:cstheme="minorHAnsi"/>
                <w:lang w:eastAsia="en-AU"/>
              </w:rPr>
              <w:t xml:space="preserve">Section 5 </w:t>
            </w:r>
          </w:p>
        </w:tc>
      </w:tr>
      <w:tr w:rsidR="00B148AE" w:rsidRPr="00404139" w14:paraId="0059075B" w14:textId="77777777" w:rsidTr="004D0E90">
        <w:trPr>
          <w:cantSplit/>
        </w:trPr>
        <w:tc>
          <w:tcPr>
            <w:tcW w:w="6374" w:type="dxa"/>
          </w:tcPr>
          <w:p w14:paraId="5022E0EF" w14:textId="77777777" w:rsidR="00B148AE" w:rsidRPr="00404139" w:rsidRDefault="00B148AE" w:rsidP="00D8776A">
            <w:pPr>
              <w:pStyle w:val="Normaltextfortables"/>
              <w:framePr w:hSpace="0" w:wrap="auto" w:vAnchor="margin" w:hAnchor="text" w:yAlign="inline"/>
              <w:rPr>
                <w:rFonts w:cstheme="minorHAnsi"/>
                <w:lang w:eastAsia="en-AU"/>
              </w:rPr>
            </w:pPr>
            <w:r w:rsidRPr="00404139">
              <w:rPr>
                <w:rFonts w:cstheme="minorHAnsi"/>
                <w:lang w:eastAsia="en-AU"/>
              </w:rPr>
              <w:t>What other considerations (including opportunities and risks) are there for a potential further roll-out?</w:t>
            </w:r>
          </w:p>
        </w:tc>
        <w:tc>
          <w:tcPr>
            <w:tcW w:w="2636" w:type="dxa"/>
          </w:tcPr>
          <w:p w14:paraId="651C0E2F" w14:textId="257A1AC5" w:rsidR="00B148AE" w:rsidRPr="00404139" w:rsidRDefault="004D0E90" w:rsidP="00D8776A">
            <w:pPr>
              <w:pStyle w:val="Normaltextfortables"/>
              <w:framePr w:hSpace="0" w:wrap="auto" w:vAnchor="margin" w:hAnchor="text" w:yAlign="inline"/>
              <w:rPr>
                <w:rFonts w:cstheme="minorHAnsi"/>
                <w:lang w:eastAsia="en-AU"/>
              </w:rPr>
            </w:pPr>
            <w:r>
              <w:rPr>
                <w:rFonts w:cstheme="minorHAnsi"/>
                <w:lang w:eastAsia="en-AU"/>
              </w:rPr>
              <w:t>Section 10</w:t>
            </w:r>
          </w:p>
        </w:tc>
      </w:tr>
    </w:tbl>
    <w:p w14:paraId="329B7A38" w14:textId="3174C6F8" w:rsidR="00B366DA" w:rsidRDefault="00B366DA" w:rsidP="00070C12">
      <w:pPr>
        <w:pStyle w:val="Heading2"/>
      </w:pPr>
      <w:r w:rsidRPr="00717633">
        <w:br w:type="page"/>
      </w:r>
    </w:p>
    <w:p w14:paraId="29465922" w14:textId="26A56835" w:rsidR="006052C9" w:rsidRPr="003D76E7" w:rsidRDefault="00755E7C" w:rsidP="00510A67">
      <w:pPr>
        <w:pStyle w:val="Heading1"/>
      </w:pPr>
      <w:bookmarkStart w:id="26" w:name="_Toc45539243"/>
      <w:bookmarkStart w:id="27" w:name="_Toc54954830"/>
      <w:r>
        <w:lastRenderedPageBreak/>
        <w:t>2.</w:t>
      </w:r>
      <w:r w:rsidR="0084612E">
        <w:t xml:space="preserve"> </w:t>
      </w:r>
      <w:r w:rsidR="006052C9" w:rsidRPr="003D76E7">
        <w:t>BACKGROUND</w:t>
      </w:r>
      <w:bookmarkEnd w:id="20"/>
      <w:bookmarkEnd w:id="26"/>
      <w:bookmarkEnd w:id="27"/>
      <w:r w:rsidR="006052C9" w:rsidRPr="003D76E7">
        <w:t xml:space="preserve">  </w:t>
      </w:r>
    </w:p>
    <w:p w14:paraId="0AD63776" w14:textId="034E9AE3" w:rsidR="006052C9" w:rsidRPr="00AD3203" w:rsidRDefault="00767886" w:rsidP="00070C12">
      <w:pPr>
        <w:pStyle w:val="Heading2"/>
      </w:pPr>
      <w:bookmarkStart w:id="28" w:name="_Toc44339170"/>
      <w:bookmarkStart w:id="29" w:name="_Toc45539244"/>
      <w:bookmarkStart w:id="30" w:name="_Toc54954831"/>
      <w:r>
        <w:t xml:space="preserve">2.1 </w:t>
      </w:r>
      <w:r w:rsidR="006052C9" w:rsidRPr="00135F72">
        <w:t>Bowel cancer in Australia</w:t>
      </w:r>
      <w:bookmarkEnd w:id="28"/>
      <w:bookmarkEnd w:id="29"/>
      <w:bookmarkEnd w:id="30"/>
    </w:p>
    <w:p w14:paraId="571A4FA1" w14:textId="4952A669" w:rsidR="006052C9" w:rsidRPr="00CF3200" w:rsidRDefault="006052C9">
      <w:pPr>
        <w:rPr>
          <w:rFonts w:cstheme="minorHAnsi"/>
        </w:rPr>
      </w:pPr>
      <w:r w:rsidRPr="003F42CA">
        <w:rPr>
          <w:rFonts w:cstheme="minorHAnsi"/>
          <w:szCs w:val="22"/>
          <w:shd w:val="clear" w:color="auto" w:fill="FFFFFF"/>
        </w:rPr>
        <w:t>Australia has one of the highest rates of bowel cancer in the world with around one in 23 Australians developing bowel cancer during their lifetime.</w:t>
      </w:r>
      <w:r w:rsidRPr="00CF3200">
        <w:rPr>
          <w:rFonts w:cstheme="minorHAnsi"/>
        </w:rPr>
        <w:t xml:space="preserve"> Bowel cancer is one of few cancers that can be detected in its pre-cancerous stage, and if identified early, chances of survival are high. The </w:t>
      </w:r>
      <w:r w:rsidR="001911AC" w:rsidRPr="00CF3200">
        <w:rPr>
          <w:rFonts w:cstheme="minorHAnsi"/>
        </w:rPr>
        <w:t>five</w:t>
      </w:r>
      <w:r w:rsidRPr="00CF3200">
        <w:rPr>
          <w:rFonts w:cstheme="minorHAnsi"/>
        </w:rPr>
        <w:t>-year survival rate reduces significantly if bowel cancer is detected at more advanced stages (13% stage 4 compared to 99% stage 1).</w:t>
      </w:r>
      <w:r w:rsidRPr="00CF3200">
        <w:rPr>
          <w:rStyle w:val="FootnoteReference"/>
          <w:rFonts w:cstheme="minorHAnsi"/>
          <w:lang w:eastAsia="en-AU"/>
        </w:rPr>
        <w:footnoteReference w:id="6"/>
      </w:r>
      <w:r w:rsidRPr="00CF3200">
        <w:rPr>
          <w:rFonts w:cstheme="minorHAnsi"/>
        </w:rPr>
        <w:t xml:space="preserve">  Increased early diagnosis could therefore greatly improve survival and reduce mortality and morbidity.</w:t>
      </w:r>
    </w:p>
    <w:p w14:paraId="276DC24F" w14:textId="5E43887B" w:rsidR="006052C9" w:rsidRPr="00874345" w:rsidRDefault="006052C9">
      <w:pPr>
        <w:rPr>
          <w:rFonts w:cstheme="minorHAnsi"/>
          <w:lang w:eastAsia="en-AU"/>
        </w:rPr>
      </w:pPr>
      <w:r w:rsidRPr="00874345">
        <w:rPr>
          <w:rFonts w:cstheme="minorHAnsi"/>
          <w:lang w:eastAsia="en-AU"/>
        </w:rPr>
        <w:t xml:space="preserve">Bowel cancer is the third-most common cancer affecting Indigenous Australians, after lung cancer and breast cancer. Indigenous Australians diagnosed with bowel cancer are less likely to survive for </w:t>
      </w:r>
      <w:r w:rsidR="001911AC" w:rsidRPr="00874345">
        <w:rPr>
          <w:rFonts w:cstheme="minorHAnsi"/>
          <w:lang w:eastAsia="en-AU"/>
        </w:rPr>
        <w:t>five</w:t>
      </w:r>
      <w:r w:rsidRPr="00874345">
        <w:rPr>
          <w:rFonts w:cstheme="minorHAnsi"/>
          <w:lang w:eastAsia="en-AU"/>
        </w:rPr>
        <w:t xml:space="preserve"> years following diagnosis than non-Indigenous Australians (58% versus 67% respectively).</w:t>
      </w:r>
      <w:r w:rsidRPr="00874345">
        <w:rPr>
          <w:rStyle w:val="FootnoteReference"/>
          <w:rFonts w:cstheme="minorHAnsi"/>
          <w:lang w:eastAsia="en-AU"/>
        </w:rPr>
        <w:footnoteReference w:id="7"/>
      </w:r>
    </w:p>
    <w:p w14:paraId="56987936" w14:textId="70B7FEAA" w:rsidR="006052C9" w:rsidRPr="00AD3203" w:rsidRDefault="00767886" w:rsidP="00070C12">
      <w:pPr>
        <w:pStyle w:val="Heading2"/>
      </w:pPr>
      <w:bookmarkStart w:id="31" w:name="_Toc38539068"/>
      <w:bookmarkStart w:id="32" w:name="_Toc38540003"/>
      <w:bookmarkStart w:id="33" w:name="_Toc38540058"/>
      <w:bookmarkStart w:id="34" w:name="_Toc44339171"/>
      <w:bookmarkStart w:id="35" w:name="_Toc45539245"/>
      <w:bookmarkStart w:id="36" w:name="_Toc54954832"/>
      <w:r>
        <w:t xml:space="preserve">2.2 </w:t>
      </w:r>
      <w:r w:rsidR="006052C9" w:rsidRPr="00135F72">
        <w:t>Bowel screening and Indigenous Australians</w:t>
      </w:r>
      <w:bookmarkEnd w:id="31"/>
      <w:bookmarkEnd w:id="32"/>
      <w:bookmarkEnd w:id="33"/>
      <w:bookmarkEnd w:id="34"/>
      <w:bookmarkEnd w:id="35"/>
      <w:bookmarkEnd w:id="36"/>
    </w:p>
    <w:p w14:paraId="0B937529" w14:textId="438A01EE" w:rsidR="00102D83" w:rsidRPr="00874345" w:rsidRDefault="006052C9" w:rsidP="00102D83">
      <w:pPr>
        <w:pStyle w:val="ListParagraph"/>
        <w:numPr>
          <w:ilvl w:val="0"/>
          <w:numId w:val="0"/>
        </w:numPr>
        <w:rPr>
          <w:rFonts w:cstheme="minorHAnsi"/>
        </w:rPr>
      </w:pPr>
      <w:r w:rsidRPr="00874345">
        <w:rPr>
          <w:rFonts w:cstheme="minorHAnsi"/>
          <w:lang w:eastAsia="en-AU"/>
        </w:rPr>
        <w:t xml:space="preserve">The National Bowel Cancer Screening Program (NBCSP) is a population-based screening program introduced in 2006 that aims to reduce the number of Australians who die or are affected by bowel cancer each year. </w:t>
      </w:r>
      <w:r w:rsidR="00102D83">
        <w:rPr>
          <w:rFonts w:cstheme="minorHAnsi"/>
        </w:rPr>
        <w:t>P</w:t>
      </w:r>
      <w:r w:rsidR="00102D83" w:rsidRPr="00874345">
        <w:rPr>
          <w:rFonts w:cstheme="minorHAnsi"/>
        </w:rPr>
        <w:t>e</w:t>
      </w:r>
      <w:r w:rsidR="00102D83">
        <w:rPr>
          <w:rFonts w:cstheme="minorHAnsi"/>
        </w:rPr>
        <w:t>ople eligible for screening</w:t>
      </w:r>
      <w:r w:rsidR="00102D83" w:rsidRPr="00874345">
        <w:rPr>
          <w:rFonts w:cstheme="minorHAnsi"/>
        </w:rPr>
        <w:t xml:space="preserve"> are identified through Medicare and Department of Veterans’ Affairs enrolment records and are sent </w:t>
      </w:r>
      <w:r w:rsidR="00070C12">
        <w:rPr>
          <w:rFonts w:cstheme="minorHAnsi"/>
        </w:rPr>
        <w:t xml:space="preserve">a </w:t>
      </w:r>
      <w:r w:rsidR="00102D83" w:rsidRPr="00874345">
        <w:rPr>
          <w:rFonts w:cstheme="minorHAnsi"/>
        </w:rPr>
        <w:t xml:space="preserve">kit in the mail. The test is free and, since 2019, those aged 50 to 74 are invited to screen every two years. </w:t>
      </w:r>
    </w:p>
    <w:p w14:paraId="580358F7" w14:textId="77777777" w:rsidR="00102D83" w:rsidRDefault="00102D83" w:rsidP="000E673F">
      <w:pPr>
        <w:pStyle w:val="ListParagraph"/>
        <w:numPr>
          <w:ilvl w:val="0"/>
          <w:numId w:val="0"/>
        </w:numPr>
        <w:rPr>
          <w:rFonts w:cstheme="minorHAnsi"/>
        </w:rPr>
      </w:pPr>
    </w:p>
    <w:p w14:paraId="2E43D70E" w14:textId="7F58EAFA" w:rsidR="00B4710D" w:rsidRDefault="006052C9">
      <w:pPr>
        <w:pStyle w:val="ListParagraph"/>
        <w:numPr>
          <w:ilvl w:val="0"/>
          <w:numId w:val="0"/>
        </w:numPr>
        <w:rPr>
          <w:rFonts w:cstheme="minorHAnsi"/>
          <w:lang w:eastAsia="en-AU"/>
        </w:rPr>
      </w:pPr>
      <w:r w:rsidRPr="00874345">
        <w:rPr>
          <w:rFonts w:cstheme="minorHAnsi"/>
        </w:rPr>
        <w:t>Screening involves an immunochemical faecal occult blood test (</w:t>
      </w:r>
      <w:proofErr w:type="spellStart"/>
      <w:r w:rsidRPr="00874345">
        <w:rPr>
          <w:rFonts w:cstheme="minorHAnsi"/>
        </w:rPr>
        <w:t>iFOBT</w:t>
      </w:r>
      <w:proofErr w:type="spellEnd"/>
      <w:r w:rsidRPr="00874345">
        <w:rPr>
          <w:rFonts w:cstheme="minorHAnsi"/>
        </w:rPr>
        <w:t>), which detects microscopic amounts of blood in the faeces. These traces of blood</w:t>
      </w:r>
      <w:r w:rsidR="00062F75">
        <w:rPr>
          <w:rFonts w:cstheme="minorHAnsi"/>
        </w:rPr>
        <w:t xml:space="preserve"> in the faeces</w:t>
      </w:r>
      <w:r w:rsidRPr="00874345">
        <w:rPr>
          <w:rFonts w:cstheme="minorHAnsi"/>
        </w:rPr>
        <w:t xml:space="preserve"> may indicate changes occurring in the bowel. If blood is detected, further exploration may be carried out through colonoscopy</w:t>
      </w:r>
      <w:r w:rsidR="00062F75">
        <w:rPr>
          <w:rFonts w:cstheme="minorHAnsi"/>
        </w:rPr>
        <w:t xml:space="preserve">. </w:t>
      </w:r>
      <w:r w:rsidRPr="00874345">
        <w:rPr>
          <w:rFonts w:cstheme="minorHAnsi"/>
          <w:lang w:eastAsia="en-AU"/>
        </w:rPr>
        <w:t xml:space="preserve">Recent evidence indicates </w:t>
      </w:r>
      <w:r w:rsidRPr="00874345">
        <w:rPr>
          <w:rFonts w:cstheme="minorHAnsi"/>
        </w:rPr>
        <w:t xml:space="preserve">the NBCSP is contributing to </w:t>
      </w:r>
      <w:r w:rsidR="001911AC" w:rsidRPr="00874345">
        <w:rPr>
          <w:rFonts w:cstheme="minorHAnsi"/>
        </w:rPr>
        <w:t xml:space="preserve">a </w:t>
      </w:r>
      <w:r w:rsidRPr="00874345">
        <w:rPr>
          <w:rFonts w:cstheme="minorHAnsi"/>
        </w:rPr>
        <w:t>reduc</w:t>
      </w:r>
      <w:r w:rsidR="001911AC" w:rsidRPr="00874345">
        <w:rPr>
          <w:rFonts w:cstheme="minorHAnsi"/>
        </w:rPr>
        <w:t>tion in</w:t>
      </w:r>
      <w:r w:rsidRPr="00874345">
        <w:rPr>
          <w:rFonts w:cstheme="minorHAnsi"/>
        </w:rPr>
        <w:t xml:space="preserve"> morbidity and mortality from bowel cancer in Australia</w:t>
      </w:r>
      <w:r w:rsidRPr="00874345">
        <w:rPr>
          <w:rFonts w:cstheme="minorHAnsi"/>
          <w:lang w:eastAsia="en-AU"/>
        </w:rPr>
        <w:t xml:space="preserve">. The NBCSP is reported to detect bowel cancers </w:t>
      </w:r>
      <w:r w:rsidR="001911AC" w:rsidRPr="00874345">
        <w:rPr>
          <w:rFonts w:cstheme="minorHAnsi"/>
          <w:lang w:eastAsia="en-AU"/>
        </w:rPr>
        <w:t xml:space="preserve">in people </w:t>
      </w:r>
      <w:r w:rsidRPr="00874345">
        <w:rPr>
          <w:rFonts w:cstheme="minorHAnsi"/>
          <w:lang w:eastAsia="en-AU"/>
        </w:rPr>
        <w:t>at an earlier stage than amon</w:t>
      </w:r>
      <w:r w:rsidR="001911AC" w:rsidRPr="00874345">
        <w:rPr>
          <w:rFonts w:cstheme="minorHAnsi"/>
          <w:lang w:eastAsia="en-AU"/>
        </w:rPr>
        <w:t xml:space="preserve">g people </w:t>
      </w:r>
      <w:r w:rsidRPr="00874345">
        <w:rPr>
          <w:rFonts w:cstheme="minorHAnsi"/>
          <w:lang w:eastAsia="en-AU"/>
        </w:rPr>
        <w:t>in the same age group who do not screen through the NBCSP.</w:t>
      </w:r>
      <w:r w:rsidR="00FF06BD">
        <w:rPr>
          <w:rStyle w:val="FootnoteReference"/>
          <w:rFonts w:cstheme="minorHAnsi"/>
          <w:lang w:eastAsia="en-AU"/>
        </w:rPr>
        <w:footnoteReference w:id="8"/>
      </w:r>
      <w:r w:rsidRPr="00874345">
        <w:rPr>
          <w:rFonts w:cstheme="minorHAnsi"/>
          <w:lang w:eastAsia="en-AU"/>
        </w:rPr>
        <w:t xml:space="preserve"> </w:t>
      </w:r>
    </w:p>
    <w:p w14:paraId="259173C4" w14:textId="2749CA47" w:rsidR="006052C9" w:rsidRPr="00874345" w:rsidRDefault="006052C9" w:rsidP="006052C9">
      <w:pPr>
        <w:rPr>
          <w:rFonts w:cstheme="minorHAnsi"/>
          <w:lang w:eastAsia="en-AU"/>
        </w:rPr>
      </w:pPr>
      <w:r w:rsidRPr="00874345">
        <w:rPr>
          <w:rFonts w:cstheme="minorHAnsi"/>
          <w:lang w:eastAsia="en-AU"/>
        </w:rPr>
        <w:t>Indigenous Australians are less likely to participate in the NBSCP than non-Indigenous Australians with</w:t>
      </w:r>
      <w:r w:rsidRPr="00874345">
        <w:rPr>
          <w:rFonts w:cstheme="minorHAnsi"/>
        </w:rPr>
        <w:t xml:space="preserve"> </w:t>
      </w:r>
      <w:r w:rsidR="00E1112F">
        <w:rPr>
          <w:rFonts w:cstheme="minorHAnsi"/>
        </w:rPr>
        <w:t xml:space="preserve">the most recently published </w:t>
      </w:r>
      <w:r w:rsidRPr="00874345">
        <w:rPr>
          <w:rFonts w:cstheme="minorHAnsi"/>
        </w:rPr>
        <w:t xml:space="preserve">estimates </w:t>
      </w:r>
      <w:r w:rsidR="001911AC" w:rsidRPr="00874345">
        <w:rPr>
          <w:rFonts w:cstheme="minorHAnsi"/>
        </w:rPr>
        <w:t>2</w:t>
      </w:r>
      <w:r w:rsidR="00E1112F">
        <w:rPr>
          <w:rFonts w:cstheme="minorHAnsi"/>
        </w:rPr>
        <w:t>3% and</w:t>
      </w:r>
      <w:r w:rsidRPr="00874345">
        <w:rPr>
          <w:rFonts w:cstheme="minorHAnsi"/>
        </w:rPr>
        <w:t xml:space="preserve"> 43% respectively.</w:t>
      </w:r>
      <w:r w:rsidRPr="00874345">
        <w:rPr>
          <w:rStyle w:val="FootnoteReference"/>
          <w:rFonts w:cstheme="minorHAnsi"/>
        </w:rPr>
        <w:t xml:space="preserve"> </w:t>
      </w:r>
      <w:r w:rsidRPr="00874345">
        <w:rPr>
          <w:rStyle w:val="FootnoteReference"/>
          <w:rFonts w:cstheme="minorHAnsi"/>
        </w:rPr>
        <w:footnoteReference w:id="9"/>
      </w:r>
      <w:r w:rsidRPr="00874345">
        <w:rPr>
          <w:rFonts w:cstheme="minorHAnsi"/>
        </w:rPr>
        <w:t xml:space="preserve"> The calculation of Indigenous participation relies on an estimate based on Census population data. </w:t>
      </w:r>
      <w:r w:rsidRPr="000E673F">
        <w:rPr>
          <w:rFonts w:cstheme="minorHAnsi"/>
        </w:rPr>
        <w:t>Participation</w:t>
      </w:r>
      <w:r w:rsidRPr="00621A50">
        <w:rPr>
          <w:rFonts w:cstheme="minorHAnsi"/>
        </w:rPr>
        <w:t xml:space="preserve"> </w:t>
      </w:r>
      <w:r w:rsidRPr="00874345">
        <w:rPr>
          <w:rFonts w:cstheme="minorHAnsi"/>
        </w:rPr>
        <w:t xml:space="preserve">in the NBCSP is calculated as the number of people who screened as a percentage of those who were invited. </w:t>
      </w:r>
      <w:r w:rsidRPr="00874345">
        <w:rPr>
          <w:rFonts w:cstheme="minorHAnsi"/>
          <w:lang w:eastAsia="en-AU"/>
        </w:rPr>
        <w:t>An invitee’s Indigenous status is not known at the time of invitation</w:t>
      </w:r>
      <w:r w:rsidR="00E54FAC">
        <w:rPr>
          <w:rFonts w:cstheme="minorHAnsi"/>
          <w:lang w:eastAsia="en-AU"/>
        </w:rPr>
        <w:t xml:space="preserve"> – </w:t>
      </w:r>
      <w:r w:rsidRPr="00874345">
        <w:rPr>
          <w:rFonts w:cstheme="minorHAnsi"/>
          <w:lang w:eastAsia="en-AU"/>
        </w:rPr>
        <w:t xml:space="preserve">these details are only recorded if a person </w:t>
      </w:r>
      <w:r w:rsidR="001911AC" w:rsidRPr="00874345">
        <w:rPr>
          <w:rFonts w:cstheme="minorHAnsi"/>
          <w:lang w:eastAsia="en-AU"/>
        </w:rPr>
        <w:t xml:space="preserve">participates </w:t>
      </w:r>
      <w:r w:rsidRPr="00874345">
        <w:rPr>
          <w:rFonts w:cstheme="minorHAnsi"/>
          <w:lang w:eastAsia="en-AU"/>
        </w:rPr>
        <w:t xml:space="preserve">in the program </w:t>
      </w:r>
      <w:r w:rsidRPr="00874345">
        <w:rPr>
          <w:rFonts w:cstheme="minorHAnsi"/>
          <w:lang w:eastAsia="en-AU"/>
        </w:rPr>
        <w:lastRenderedPageBreak/>
        <w:t>and completes the relevant section o</w:t>
      </w:r>
      <w:r w:rsidR="00724E8B" w:rsidRPr="00874345">
        <w:rPr>
          <w:rFonts w:cstheme="minorHAnsi"/>
          <w:lang w:eastAsia="en-AU"/>
        </w:rPr>
        <w:t>n</w:t>
      </w:r>
      <w:r w:rsidRPr="00874345">
        <w:rPr>
          <w:rFonts w:cstheme="minorHAnsi"/>
          <w:lang w:eastAsia="en-AU"/>
        </w:rPr>
        <w:t xml:space="preserve"> their Participant </w:t>
      </w:r>
      <w:r w:rsidRPr="00725D57">
        <w:rPr>
          <w:rFonts w:cstheme="minorHAnsi"/>
          <w:lang w:eastAsia="en-AU"/>
        </w:rPr>
        <w:t xml:space="preserve">Details </w:t>
      </w:r>
      <w:r w:rsidR="00842FF9">
        <w:rPr>
          <w:rFonts w:cstheme="minorHAnsi"/>
          <w:lang w:eastAsia="en-AU"/>
        </w:rPr>
        <w:t>Form</w:t>
      </w:r>
      <w:r w:rsidRPr="00874345">
        <w:rPr>
          <w:rFonts w:cstheme="minorHAnsi"/>
          <w:lang w:eastAsia="en-AU"/>
        </w:rPr>
        <w:t xml:space="preserve">. As a result, the number of Indigenous people </w:t>
      </w:r>
      <w:r w:rsidRPr="00725D57">
        <w:rPr>
          <w:rFonts w:cstheme="minorHAnsi"/>
          <w:lang w:eastAsia="en-AU"/>
        </w:rPr>
        <w:t>invited to screen</w:t>
      </w:r>
      <w:r w:rsidRPr="00874345">
        <w:rPr>
          <w:rFonts w:cstheme="minorHAnsi"/>
          <w:lang w:eastAsia="en-AU"/>
        </w:rPr>
        <w:t xml:space="preserve"> can only be estimated. This is done by applying the percentage of those aged 50 to 74 who identified as Aboriginal and Torres Strait Islander in the four-yearly Census, to the total number of invitations sent.</w:t>
      </w:r>
      <w:r w:rsidR="00102D83">
        <w:rPr>
          <w:rFonts w:cstheme="minorHAnsi"/>
          <w:lang w:eastAsia="en-AU"/>
        </w:rPr>
        <w:t xml:space="preserve"> </w:t>
      </w:r>
      <w:r w:rsidRPr="00874345">
        <w:rPr>
          <w:rFonts w:cstheme="minorHAnsi"/>
          <w:lang w:eastAsia="en-AU"/>
        </w:rPr>
        <w:t>The Indigenous population has been increasing as a percentage of the Australian population over recent Censuses, and accordingly the estimated number of Indigenous people invited to screen, and the participation rate, ha</w:t>
      </w:r>
      <w:r w:rsidR="00725D57">
        <w:rPr>
          <w:rFonts w:cstheme="minorHAnsi"/>
          <w:lang w:eastAsia="en-AU"/>
        </w:rPr>
        <w:t>s</w:t>
      </w:r>
      <w:r w:rsidRPr="00874345">
        <w:rPr>
          <w:rFonts w:cstheme="minorHAnsi"/>
          <w:lang w:eastAsia="en-AU"/>
        </w:rPr>
        <w:t xml:space="preserve"> fluctuated markedly every four years. </w:t>
      </w:r>
    </w:p>
    <w:p w14:paraId="5812FDA5" w14:textId="4D5D513A" w:rsidR="006052C9" w:rsidRPr="00874345" w:rsidRDefault="006052C9" w:rsidP="006052C9">
      <w:pPr>
        <w:autoSpaceDE w:val="0"/>
        <w:autoSpaceDN w:val="0"/>
        <w:adjustRightInd w:val="0"/>
        <w:rPr>
          <w:rFonts w:cstheme="minorHAnsi"/>
          <w:lang w:eastAsia="en-AU"/>
        </w:rPr>
      </w:pPr>
      <w:r w:rsidRPr="00874345">
        <w:rPr>
          <w:rFonts w:cstheme="minorHAnsi"/>
          <w:lang w:eastAsia="en-AU"/>
        </w:rPr>
        <w:t>One of the requirements of a population health screening program in Australia is that it must</w:t>
      </w:r>
      <w:r w:rsidR="00725D57">
        <w:rPr>
          <w:rFonts w:cstheme="minorHAnsi"/>
          <w:lang w:eastAsia="en-AU"/>
        </w:rPr>
        <w:t>:</w:t>
      </w:r>
      <w:r w:rsidRPr="00874345">
        <w:rPr>
          <w:rFonts w:cstheme="minorHAnsi"/>
          <w:lang w:eastAsia="en-AU"/>
        </w:rPr>
        <w:t xml:space="preserve"> </w:t>
      </w:r>
    </w:p>
    <w:p w14:paraId="1792E0B8" w14:textId="138DF27E" w:rsidR="00B4710D" w:rsidRPr="00AC1777" w:rsidRDefault="006052C9" w:rsidP="000920C7">
      <w:pPr>
        <w:pStyle w:val="Quote"/>
        <w:rPr>
          <w:highlight w:val="green"/>
        </w:rPr>
      </w:pPr>
      <w:r w:rsidRPr="00874345">
        <w:t>Promote equity and access to screening for the entire target population including important sub-groups such as participants who are from culturally and linguistically diverse backgrounds, Aboriginal and Torres Strait Islander people, people from disadvantaged groups, and people with a disability.</w:t>
      </w:r>
      <w:r w:rsidRPr="00874345">
        <w:rPr>
          <w:rStyle w:val="FootnoteReference"/>
        </w:rPr>
        <w:footnoteReference w:id="10"/>
      </w:r>
    </w:p>
    <w:p w14:paraId="7A2F7802" w14:textId="15947F7D" w:rsidR="006052C9" w:rsidRPr="00874345" w:rsidRDefault="006052C9" w:rsidP="006052C9">
      <w:pPr>
        <w:rPr>
          <w:rFonts w:cstheme="minorHAnsi"/>
        </w:rPr>
      </w:pPr>
      <w:r w:rsidRPr="00874345">
        <w:rPr>
          <w:rFonts w:cstheme="minorHAnsi"/>
        </w:rPr>
        <w:t>In an effort to increase the participation of Indigenous Australians in the NBCSP, the Australian Government Department of Health (Health) supported several small-scale pilot projects between 2008 and 2011.</w:t>
      </w:r>
      <w:r w:rsidRPr="00874345">
        <w:rPr>
          <w:rStyle w:val="FootnoteReference"/>
          <w:rFonts w:cstheme="minorHAnsi"/>
        </w:rPr>
        <w:footnoteReference w:id="11"/>
      </w:r>
      <w:r w:rsidRPr="00874345">
        <w:rPr>
          <w:rFonts w:cstheme="minorHAnsi"/>
        </w:rPr>
        <w:t xml:space="preserve">  These showed that an Alternative Pathway for the NBCSP that distributed kits through Indigenous primary health care centres could </w:t>
      </w:r>
      <w:r w:rsidR="00BE59C4">
        <w:rPr>
          <w:rFonts w:cstheme="minorHAnsi"/>
        </w:rPr>
        <w:t xml:space="preserve">potentially </w:t>
      </w:r>
      <w:r w:rsidRPr="00874345">
        <w:rPr>
          <w:rFonts w:cstheme="minorHAnsi"/>
        </w:rPr>
        <w:t>increase participation of Indigenous Australians.</w:t>
      </w:r>
      <w:r w:rsidRPr="00874345">
        <w:rPr>
          <w:rStyle w:val="FootnoteReference"/>
          <w:rFonts w:cstheme="minorHAnsi"/>
        </w:rPr>
        <w:footnoteReference w:id="12"/>
      </w:r>
    </w:p>
    <w:p w14:paraId="67A3B8D0" w14:textId="50335EF2" w:rsidR="006052C9" w:rsidRPr="00E17DAA" w:rsidRDefault="00C61066" w:rsidP="00070C12">
      <w:pPr>
        <w:pStyle w:val="Heading2"/>
      </w:pPr>
      <w:bookmarkStart w:id="37" w:name="_Toc44339172"/>
      <w:bookmarkStart w:id="38" w:name="_Toc45539246"/>
      <w:bookmarkStart w:id="39" w:name="_Toc54954833"/>
      <w:r>
        <w:t>2.</w:t>
      </w:r>
      <w:r w:rsidR="00714BB8">
        <w:t xml:space="preserve">3 </w:t>
      </w:r>
      <w:r w:rsidR="006052C9" w:rsidRPr="00135F72">
        <w:t>The National Indigenous Bowel Sc</w:t>
      </w:r>
      <w:r w:rsidR="006052C9" w:rsidRPr="00AD3203">
        <w:t>reening Project</w:t>
      </w:r>
      <w:bookmarkEnd w:id="37"/>
      <w:bookmarkEnd w:id="38"/>
      <w:bookmarkEnd w:id="39"/>
    </w:p>
    <w:p w14:paraId="0EF5FFF2" w14:textId="59BC566B" w:rsidR="006052C9" w:rsidRPr="00874345" w:rsidRDefault="0081127C" w:rsidP="006052C9">
      <w:pPr>
        <w:rPr>
          <w:rFonts w:cstheme="minorHAnsi"/>
        </w:rPr>
      </w:pPr>
      <w:r>
        <w:rPr>
          <w:rFonts w:cstheme="minorHAnsi"/>
        </w:rPr>
        <w:t>I</w:t>
      </w:r>
      <w:r w:rsidR="006052C9" w:rsidRPr="00874345">
        <w:rPr>
          <w:rFonts w:cstheme="minorHAnsi"/>
        </w:rPr>
        <w:t>n 2015, the Australian Government funded Menzies School of Health Research</w:t>
      </w:r>
      <w:r w:rsidR="007B3697">
        <w:rPr>
          <w:rFonts w:cstheme="minorHAnsi"/>
        </w:rPr>
        <w:t xml:space="preserve"> and a consortium of collaborators</w:t>
      </w:r>
      <w:r w:rsidR="007B3697">
        <w:rPr>
          <w:rStyle w:val="FootnoteReference"/>
          <w:rFonts w:cstheme="minorHAnsi"/>
        </w:rPr>
        <w:footnoteReference w:id="13"/>
      </w:r>
      <w:r w:rsidR="007B3697">
        <w:rPr>
          <w:rFonts w:cstheme="minorHAnsi"/>
        </w:rPr>
        <w:t xml:space="preserve"> </w:t>
      </w:r>
      <w:r w:rsidR="006052C9" w:rsidRPr="00874345">
        <w:rPr>
          <w:rFonts w:cstheme="minorHAnsi"/>
        </w:rPr>
        <w:t>to conduct a</w:t>
      </w:r>
      <w:r w:rsidR="006052C9" w:rsidRPr="00874345">
        <w:rPr>
          <w:rFonts w:cstheme="minorHAnsi"/>
          <w:lang w:eastAsia="en-AU"/>
        </w:rPr>
        <w:t xml:space="preserve"> National Indigenous Bowel Screening Project</w:t>
      </w:r>
      <w:r w:rsidR="00102D83">
        <w:rPr>
          <w:rFonts w:cstheme="minorHAnsi"/>
          <w:lang w:eastAsia="en-AU"/>
        </w:rPr>
        <w:t>. This included</w:t>
      </w:r>
      <w:r w:rsidR="001D69F4">
        <w:rPr>
          <w:rFonts w:cstheme="minorHAnsi"/>
          <w:lang w:eastAsia="en-AU"/>
        </w:rPr>
        <w:t>:</w:t>
      </w:r>
    </w:p>
    <w:p w14:paraId="0E68AE79" w14:textId="3E0BCD37" w:rsidR="006052C9" w:rsidRPr="00874345" w:rsidRDefault="006052C9" w:rsidP="00402F9A">
      <w:pPr>
        <w:pStyle w:val="ListParagraph"/>
        <w:numPr>
          <w:ilvl w:val="0"/>
          <w:numId w:val="18"/>
        </w:numPr>
        <w:rPr>
          <w:rFonts w:cstheme="minorHAnsi"/>
        </w:rPr>
      </w:pPr>
      <w:r w:rsidRPr="00874345">
        <w:rPr>
          <w:rFonts w:cstheme="minorHAnsi"/>
        </w:rPr>
        <w:t>Develop</w:t>
      </w:r>
      <w:r w:rsidR="001D69F4">
        <w:rPr>
          <w:rFonts w:cstheme="minorHAnsi"/>
        </w:rPr>
        <w:t>ing</w:t>
      </w:r>
      <w:r w:rsidRPr="00874345">
        <w:rPr>
          <w:rFonts w:cstheme="minorHAnsi"/>
        </w:rPr>
        <w:t xml:space="preserve"> consumer materials targeted towards Indigenous Australians aged 50 to 74 years</w:t>
      </w:r>
      <w:r w:rsidR="004E1C41" w:rsidRPr="00874345">
        <w:rPr>
          <w:rFonts w:cstheme="minorHAnsi"/>
        </w:rPr>
        <w:t xml:space="preserve">, </w:t>
      </w:r>
      <w:r w:rsidRPr="00874345">
        <w:rPr>
          <w:rFonts w:cstheme="minorHAnsi"/>
        </w:rPr>
        <w:t>to provide in</w:t>
      </w:r>
      <w:r w:rsidR="00842FF9">
        <w:rPr>
          <w:rFonts w:cstheme="minorHAnsi"/>
        </w:rPr>
        <w:t>form</w:t>
      </w:r>
      <w:r w:rsidRPr="00874345">
        <w:rPr>
          <w:rFonts w:cstheme="minorHAnsi"/>
        </w:rPr>
        <w:t>ation in a culturally appropriate manner and encourage participation in bowel screening in NBCSP in accordance with clinical guidelines</w:t>
      </w:r>
      <w:r w:rsidR="006A07C1" w:rsidRPr="00874345">
        <w:rPr>
          <w:rFonts w:cstheme="minorHAnsi"/>
        </w:rPr>
        <w:t>.</w:t>
      </w:r>
    </w:p>
    <w:p w14:paraId="60FA1D57" w14:textId="284ED8D4" w:rsidR="006052C9" w:rsidRPr="00874345" w:rsidRDefault="006052C9" w:rsidP="00402F9A">
      <w:pPr>
        <w:pStyle w:val="ListParagraph"/>
        <w:numPr>
          <w:ilvl w:val="0"/>
          <w:numId w:val="18"/>
        </w:numPr>
        <w:rPr>
          <w:rFonts w:cstheme="minorHAnsi"/>
          <w:u w:val="single"/>
        </w:rPr>
      </w:pPr>
      <w:r w:rsidRPr="00874345">
        <w:rPr>
          <w:rFonts w:cstheme="minorHAnsi"/>
        </w:rPr>
        <w:t>Develop</w:t>
      </w:r>
      <w:r w:rsidR="001D69F4">
        <w:rPr>
          <w:rFonts w:cstheme="minorHAnsi"/>
        </w:rPr>
        <w:t>ing</w:t>
      </w:r>
      <w:r w:rsidRPr="00874345">
        <w:rPr>
          <w:rFonts w:cstheme="minorHAnsi"/>
        </w:rPr>
        <w:t xml:space="preserve"> and deliver</w:t>
      </w:r>
      <w:r w:rsidR="001D69F4">
        <w:rPr>
          <w:rFonts w:cstheme="minorHAnsi"/>
        </w:rPr>
        <w:t>ing</w:t>
      </w:r>
      <w:r w:rsidRPr="00874345">
        <w:rPr>
          <w:rFonts w:cstheme="minorHAnsi"/>
        </w:rPr>
        <w:t xml:space="preserve"> training for </w:t>
      </w:r>
      <w:r w:rsidR="002C3688">
        <w:rPr>
          <w:rFonts w:cstheme="minorHAnsi"/>
        </w:rPr>
        <w:t>IHW</w:t>
      </w:r>
      <w:r w:rsidRPr="00874345">
        <w:rPr>
          <w:rFonts w:cstheme="minorHAnsi"/>
        </w:rPr>
        <w:t>s</w:t>
      </w:r>
      <w:r w:rsidR="00724E8B" w:rsidRPr="00874345">
        <w:rPr>
          <w:rFonts w:cstheme="minorHAnsi"/>
        </w:rPr>
        <w:t>,</w:t>
      </w:r>
      <w:r w:rsidRPr="00874345">
        <w:rPr>
          <w:rFonts w:cstheme="minorHAnsi"/>
        </w:rPr>
        <w:t xml:space="preserve"> and other clinicians working in Indigenous primary health care services</w:t>
      </w:r>
      <w:r w:rsidR="00724E8B" w:rsidRPr="00874345">
        <w:rPr>
          <w:rFonts w:cstheme="minorHAnsi"/>
        </w:rPr>
        <w:t>,</w:t>
      </w:r>
      <w:r w:rsidRPr="00874345">
        <w:rPr>
          <w:rFonts w:cstheme="minorHAnsi"/>
        </w:rPr>
        <w:t xml:space="preserve"> to equip them to discuss bowel cancer, encourage screening in the NBCSP and understand the operational requirements of supporting a patient through the screening pathway</w:t>
      </w:r>
      <w:r w:rsidR="006A07C1" w:rsidRPr="00874345">
        <w:rPr>
          <w:rFonts w:cstheme="minorHAnsi"/>
        </w:rPr>
        <w:t>.</w:t>
      </w:r>
    </w:p>
    <w:p w14:paraId="76447416" w14:textId="5774027A" w:rsidR="006052C9" w:rsidRPr="00874345" w:rsidRDefault="006052C9" w:rsidP="00402F9A">
      <w:pPr>
        <w:pStyle w:val="ListParagraph"/>
        <w:numPr>
          <w:ilvl w:val="0"/>
          <w:numId w:val="18"/>
        </w:numPr>
        <w:rPr>
          <w:rFonts w:cstheme="minorHAnsi"/>
          <w:u w:val="single"/>
        </w:rPr>
      </w:pPr>
      <w:r w:rsidRPr="00874345">
        <w:rPr>
          <w:rFonts w:cstheme="minorHAnsi"/>
        </w:rPr>
        <w:lastRenderedPageBreak/>
        <w:t>Support</w:t>
      </w:r>
      <w:r w:rsidR="001D69F4">
        <w:rPr>
          <w:rFonts w:cstheme="minorHAnsi"/>
        </w:rPr>
        <w:t>ing</w:t>
      </w:r>
      <w:r w:rsidRPr="00874345">
        <w:rPr>
          <w:rFonts w:cstheme="minorHAnsi"/>
        </w:rPr>
        <w:t xml:space="preserve"> Indigenous primary health care services to participate in a national pilot of an alternative bowel screening pathway for Indigenous Australians.</w:t>
      </w:r>
    </w:p>
    <w:p w14:paraId="6A5B948D" w14:textId="6580C672" w:rsidR="0081127C" w:rsidRPr="00874345" w:rsidRDefault="00724E8B" w:rsidP="0081127C">
      <w:pPr>
        <w:rPr>
          <w:rFonts w:cstheme="minorHAnsi"/>
        </w:rPr>
      </w:pPr>
      <w:r w:rsidRPr="00874345">
        <w:rPr>
          <w:rFonts w:cstheme="minorHAnsi"/>
        </w:rPr>
        <w:t xml:space="preserve">As shown </w:t>
      </w:r>
      <w:r w:rsidRPr="00B4710D">
        <w:rPr>
          <w:rFonts w:cstheme="minorHAnsi"/>
        </w:rPr>
        <w:t xml:space="preserve">in </w:t>
      </w:r>
      <w:r w:rsidR="00B4710D" w:rsidRPr="003F139D">
        <w:rPr>
          <w:rFonts w:cstheme="minorHAnsi"/>
        </w:rPr>
        <w:t xml:space="preserve">Figure 2.1 </w:t>
      </w:r>
      <w:r w:rsidRPr="00874345">
        <w:rPr>
          <w:rFonts w:cstheme="minorHAnsi"/>
        </w:rPr>
        <w:t>e</w:t>
      </w:r>
      <w:r w:rsidR="006052C9" w:rsidRPr="00874345">
        <w:rPr>
          <w:rFonts w:cstheme="minorHAnsi"/>
        </w:rPr>
        <w:t>ach stage of the project built on the work of the previous stage</w:t>
      </w:r>
      <w:r w:rsidR="00E539AA" w:rsidRPr="00874345">
        <w:rPr>
          <w:rFonts w:cstheme="minorHAnsi"/>
        </w:rPr>
        <w:t xml:space="preserve">. </w:t>
      </w:r>
      <w:r w:rsidR="006052C9" w:rsidRPr="00874345">
        <w:rPr>
          <w:rFonts w:cstheme="minorHAnsi"/>
        </w:rPr>
        <w:t>Phase One gathered data and evidence that would in</w:t>
      </w:r>
      <w:r w:rsidR="00842FF9">
        <w:rPr>
          <w:rFonts w:cstheme="minorHAnsi"/>
        </w:rPr>
        <w:t>form</w:t>
      </w:r>
      <w:r w:rsidR="006052C9" w:rsidRPr="00874345">
        <w:rPr>
          <w:rFonts w:cstheme="minorHAnsi"/>
        </w:rPr>
        <w:t xml:space="preserve"> the development</w:t>
      </w:r>
      <w:r w:rsidR="00E539AA" w:rsidRPr="00874345">
        <w:rPr>
          <w:rFonts w:cstheme="minorHAnsi"/>
        </w:rPr>
        <w:t>,</w:t>
      </w:r>
      <w:r w:rsidR="006052C9" w:rsidRPr="00874345">
        <w:rPr>
          <w:rFonts w:cstheme="minorHAnsi"/>
        </w:rPr>
        <w:t xml:space="preserve"> in Phase Two</w:t>
      </w:r>
      <w:r w:rsidR="00E539AA" w:rsidRPr="00874345">
        <w:rPr>
          <w:rFonts w:cstheme="minorHAnsi"/>
        </w:rPr>
        <w:t>,</w:t>
      </w:r>
      <w:r w:rsidR="006052C9" w:rsidRPr="00874345">
        <w:rPr>
          <w:rFonts w:cstheme="minorHAnsi"/>
        </w:rPr>
        <w:t xml:space="preserve"> of </w:t>
      </w:r>
      <w:r w:rsidR="004E1C41" w:rsidRPr="00874345">
        <w:rPr>
          <w:rFonts w:cstheme="minorHAnsi"/>
        </w:rPr>
        <w:t xml:space="preserve">patient </w:t>
      </w:r>
      <w:r w:rsidR="006052C9" w:rsidRPr="00874345">
        <w:rPr>
          <w:rFonts w:cstheme="minorHAnsi"/>
        </w:rPr>
        <w:t xml:space="preserve">educational materials, a training program and resources, and a draft implementation plan for the Pilot. The </w:t>
      </w:r>
      <w:r w:rsidR="004E1C41" w:rsidRPr="00874345">
        <w:rPr>
          <w:rFonts w:cstheme="minorHAnsi"/>
        </w:rPr>
        <w:t xml:space="preserve">patient </w:t>
      </w:r>
      <w:r w:rsidR="006052C9" w:rsidRPr="00874345">
        <w:rPr>
          <w:rFonts w:cstheme="minorHAnsi"/>
        </w:rPr>
        <w:t xml:space="preserve">resources, training materials and implementation plan developed in Phase Two were essential tools for the Pilot to be carried out in Phase Three. </w:t>
      </w:r>
      <w:r w:rsidR="00692488" w:rsidRPr="00874345">
        <w:rPr>
          <w:rFonts w:cstheme="minorHAnsi"/>
          <w:noProof/>
          <w:lang w:eastAsia="en-AU"/>
        </w:rPr>
        <w:drawing>
          <wp:inline distT="0" distB="0" distL="0" distR="0" wp14:anchorId="184A0305" wp14:editId="04BB3F1B">
            <wp:extent cx="6184900" cy="3523792"/>
            <wp:effectExtent l="0" t="0" r="6350" b="0"/>
            <wp:docPr id="8" name="Picture 8" descr="Figure 2.1: Logic model showing the pathway to intended outcomes of the National Indigenous Bowel Scree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1: Logic model showing the pathway to intended outcomes of the National Indigenous Bowel Screening Proj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900" cy="3523792"/>
                    </a:xfrm>
                    <a:prstGeom prst="rect">
                      <a:avLst/>
                    </a:prstGeom>
                    <a:noFill/>
                  </pic:spPr>
                </pic:pic>
              </a:graphicData>
            </a:graphic>
          </wp:inline>
        </w:drawing>
      </w:r>
    </w:p>
    <w:p w14:paraId="1D453F1F" w14:textId="28D504C5" w:rsidR="000029C8" w:rsidRPr="00692488" w:rsidRDefault="00692488" w:rsidP="00692488">
      <w:pPr>
        <w:ind w:left="720"/>
        <w:rPr>
          <w:rFonts w:cstheme="minorHAnsi"/>
          <w:b/>
          <w:bCs/>
          <w:sz w:val="20"/>
          <w:szCs w:val="20"/>
          <w:lang w:val="en-US"/>
        </w:rPr>
      </w:pPr>
      <w:r w:rsidRPr="00692488">
        <w:rPr>
          <w:rFonts w:cstheme="minorHAnsi"/>
          <w:b/>
          <w:bCs/>
          <w:sz w:val="20"/>
          <w:szCs w:val="20"/>
          <w:lang w:val="en-US"/>
        </w:rPr>
        <w:t>Figure 2.1: Logic model showing the pathway to intended outcomes of the National Indigenous Bowel Screening Project.</w:t>
      </w:r>
    </w:p>
    <w:p w14:paraId="51288568" w14:textId="6ECA1C73" w:rsidR="006052C9" w:rsidRDefault="006052C9" w:rsidP="006052C9">
      <w:pPr>
        <w:rPr>
          <w:rFonts w:cstheme="minorHAnsi"/>
        </w:rPr>
      </w:pPr>
      <w:r w:rsidRPr="00874345">
        <w:rPr>
          <w:rFonts w:cstheme="minorHAnsi"/>
        </w:rPr>
        <w:t xml:space="preserve">The </w:t>
      </w:r>
      <w:r w:rsidR="003F139D">
        <w:rPr>
          <w:rFonts w:cstheme="minorHAnsi"/>
        </w:rPr>
        <w:t>project timeframe</w:t>
      </w:r>
      <w:r w:rsidR="004E1C41" w:rsidRPr="00874345">
        <w:rPr>
          <w:rFonts w:cstheme="minorHAnsi"/>
        </w:rPr>
        <w:t xml:space="preserve"> </w:t>
      </w:r>
      <w:r w:rsidRPr="00874345">
        <w:rPr>
          <w:rFonts w:cstheme="minorHAnsi"/>
        </w:rPr>
        <w:t xml:space="preserve">was </w:t>
      </w:r>
      <w:r w:rsidR="001D69F4">
        <w:rPr>
          <w:rFonts w:cstheme="minorHAnsi"/>
        </w:rPr>
        <w:t xml:space="preserve">initially three years and was originally scheduled to coincide with the introduction of the </w:t>
      </w:r>
      <w:r w:rsidR="00EC3A75">
        <w:rPr>
          <w:rFonts w:cstheme="minorHAnsi"/>
        </w:rPr>
        <w:t xml:space="preserve">new National Cancer Screening Register (NCSR) </w:t>
      </w:r>
      <w:r w:rsidR="001D69F4">
        <w:rPr>
          <w:rFonts w:cstheme="minorHAnsi"/>
        </w:rPr>
        <w:t>in 2017</w:t>
      </w:r>
      <w:r w:rsidR="00EC3A75">
        <w:rPr>
          <w:rFonts w:cstheme="minorHAnsi"/>
        </w:rPr>
        <w:t xml:space="preserve">. </w:t>
      </w:r>
      <w:r w:rsidR="000039DA">
        <w:rPr>
          <w:rFonts w:cstheme="minorHAnsi"/>
        </w:rPr>
        <w:t>I</w:t>
      </w:r>
      <w:r w:rsidR="002B064D">
        <w:rPr>
          <w:rFonts w:cstheme="minorHAnsi"/>
        </w:rPr>
        <w:t>mplementation of the NCSR was delayed</w:t>
      </w:r>
      <w:r w:rsidR="00E324EA">
        <w:rPr>
          <w:rFonts w:cstheme="minorHAnsi"/>
        </w:rPr>
        <w:t xml:space="preserve">, with the </w:t>
      </w:r>
      <w:r w:rsidR="009211ED">
        <w:rPr>
          <w:rFonts w:cstheme="minorHAnsi"/>
        </w:rPr>
        <w:t>bowel screening</w:t>
      </w:r>
      <w:r w:rsidR="00E324EA">
        <w:rPr>
          <w:rFonts w:cstheme="minorHAnsi"/>
        </w:rPr>
        <w:t xml:space="preserve"> component introduce</w:t>
      </w:r>
      <w:r w:rsidR="009211ED">
        <w:rPr>
          <w:rFonts w:cstheme="minorHAnsi"/>
        </w:rPr>
        <w:t>d</w:t>
      </w:r>
      <w:r w:rsidR="00E324EA">
        <w:rPr>
          <w:rFonts w:cstheme="minorHAnsi"/>
        </w:rPr>
        <w:t xml:space="preserve"> in November 2019 and the provider portal yet to be implemented</w:t>
      </w:r>
      <w:r w:rsidR="009211ED">
        <w:rPr>
          <w:rFonts w:cstheme="minorHAnsi"/>
        </w:rPr>
        <w:t xml:space="preserve"> (as at June 2020)</w:t>
      </w:r>
      <w:r w:rsidR="00E324EA">
        <w:rPr>
          <w:rFonts w:cstheme="minorHAnsi"/>
        </w:rPr>
        <w:t>. Th</w:t>
      </w:r>
      <w:r w:rsidR="009211ED">
        <w:rPr>
          <w:rFonts w:cstheme="minorHAnsi"/>
        </w:rPr>
        <w:t>ese delays</w:t>
      </w:r>
      <w:r w:rsidR="00E324EA">
        <w:rPr>
          <w:rFonts w:cstheme="minorHAnsi"/>
        </w:rPr>
        <w:t xml:space="preserve"> had a significant impact on the Pilot, extending the overall project to five years</w:t>
      </w:r>
      <w:r w:rsidR="00D32A35">
        <w:rPr>
          <w:rFonts w:cstheme="minorHAnsi"/>
        </w:rPr>
        <w:t>.</w:t>
      </w:r>
      <w:r w:rsidR="00396396">
        <w:rPr>
          <w:rFonts w:cstheme="minorHAnsi"/>
        </w:rPr>
        <w:t xml:space="preserve"> </w:t>
      </w:r>
    </w:p>
    <w:p w14:paraId="730EBAC3" w14:textId="23AA7D39" w:rsidR="00AE7910" w:rsidRPr="00E17DAA" w:rsidRDefault="00AE7910" w:rsidP="00366EAB">
      <w:pPr>
        <w:pStyle w:val="Heading3"/>
      </w:pPr>
      <w:bookmarkStart w:id="40" w:name="_Toc44279056"/>
      <w:bookmarkStart w:id="41" w:name="_Toc44339173"/>
      <w:bookmarkStart w:id="42" w:name="_Toc44361538"/>
      <w:r>
        <w:t>S</w:t>
      </w:r>
      <w:r w:rsidRPr="00135F72">
        <w:t>takeholder e</w:t>
      </w:r>
      <w:r w:rsidRPr="00AD3203">
        <w:t>ngagement</w:t>
      </w:r>
      <w:bookmarkEnd w:id="40"/>
      <w:bookmarkEnd w:id="41"/>
      <w:bookmarkEnd w:id="42"/>
      <w:r w:rsidRPr="00AD3203">
        <w:t xml:space="preserve"> </w:t>
      </w:r>
    </w:p>
    <w:p w14:paraId="171FBFBB" w14:textId="5EB5C7D9" w:rsidR="00AE7910" w:rsidRPr="00874345" w:rsidRDefault="00AE7910" w:rsidP="00AE7910">
      <w:pPr>
        <w:rPr>
          <w:rFonts w:cstheme="minorHAnsi"/>
        </w:rPr>
      </w:pPr>
      <w:r w:rsidRPr="00874345">
        <w:rPr>
          <w:rFonts w:cstheme="minorHAnsi"/>
        </w:rPr>
        <w:t>Stakeholder engagement was embedded throughout the entire project.</w:t>
      </w:r>
      <w:r w:rsidR="00BE3E05">
        <w:rPr>
          <w:rFonts w:cstheme="minorHAnsi"/>
        </w:rPr>
        <w:t xml:space="preserve"> </w:t>
      </w:r>
      <w:r w:rsidRPr="00874345">
        <w:rPr>
          <w:rFonts w:cstheme="minorHAnsi"/>
        </w:rPr>
        <w:t xml:space="preserve">The </w:t>
      </w:r>
      <w:r w:rsidR="00F2654D">
        <w:rPr>
          <w:rFonts w:cstheme="minorHAnsi"/>
        </w:rPr>
        <w:t>evidence</w:t>
      </w:r>
      <w:r w:rsidR="00E54FAC">
        <w:rPr>
          <w:rFonts w:cstheme="minorHAnsi"/>
        </w:rPr>
        <w:t xml:space="preserve"> – </w:t>
      </w:r>
      <w:r w:rsidR="00F2654D">
        <w:rPr>
          <w:rFonts w:cstheme="minorHAnsi"/>
        </w:rPr>
        <w:t xml:space="preserve">based approach applied by the </w:t>
      </w:r>
      <w:r w:rsidRPr="00874345">
        <w:rPr>
          <w:rFonts w:cstheme="minorHAnsi"/>
        </w:rPr>
        <w:t xml:space="preserve">Menzies project team </w:t>
      </w:r>
      <w:r w:rsidR="00F2654D">
        <w:rPr>
          <w:rFonts w:cstheme="minorHAnsi"/>
        </w:rPr>
        <w:t xml:space="preserve">assumed </w:t>
      </w:r>
      <w:r w:rsidRPr="00874345">
        <w:rPr>
          <w:rFonts w:cstheme="minorHAnsi"/>
        </w:rPr>
        <w:t>that improvements in Indigenous health were more likely to be achieved if:</w:t>
      </w:r>
    </w:p>
    <w:p w14:paraId="380B2A32" w14:textId="77777777" w:rsidR="00AE7910" w:rsidRPr="00874345" w:rsidRDefault="00AE7910" w:rsidP="00402F9A">
      <w:pPr>
        <w:pStyle w:val="ListParagraph"/>
        <w:numPr>
          <w:ilvl w:val="0"/>
          <w:numId w:val="15"/>
        </w:numPr>
        <w:rPr>
          <w:rFonts w:cstheme="minorHAnsi"/>
        </w:rPr>
      </w:pPr>
      <w:r w:rsidRPr="00874345">
        <w:rPr>
          <w:rFonts w:cstheme="minorHAnsi"/>
        </w:rPr>
        <w:t>Indigenous people were involved throughout the process of planning, developing and implementing policies, programs, services and projects that would affect them.</w:t>
      </w:r>
    </w:p>
    <w:p w14:paraId="2712269D" w14:textId="720C6264" w:rsidR="00B06304" w:rsidRDefault="00AE7910" w:rsidP="00402F9A">
      <w:pPr>
        <w:pStyle w:val="ListParagraph"/>
        <w:numPr>
          <w:ilvl w:val="0"/>
          <w:numId w:val="15"/>
        </w:numPr>
        <w:rPr>
          <w:rFonts w:cstheme="minorHAnsi"/>
        </w:rPr>
      </w:pPr>
      <w:r w:rsidRPr="000E472F">
        <w:rPr>
          <w:rFonts w:cstheme="minorHAnsi"/>
        </w:rPr>
        <w:lastRenderedPageBreak/>
        <w:t>Evidence about effective programs or practices were contextualised with the input of Indigenous people, and other key stakeholders, to ensure that policy, programs, services and projects were appropriate, feasible, effective and sustainable, and led to improved health care and, ultimately, improved health outcomes</w:t>
      </w:r>
      <w:r w:rsidR="00B06304">
        <w:rPr>
          <w:rFonts w:cstheme="minorHAnsi"/>
        </w:rPr>
        <w:t>.</w:t>
      </w:r>
      <w:r w:rsidRPr="00B06304">
        <w:rPr>
          <w:rFonts w:cstheme="minorHAnsi"/>
        </w:rPr>
        <w:t xml:space="preserve"> </w:t>
      </w:r>
    </w:p>
    <w:p w14:paraId="66D59309" w14:textId="55836819" w:rsidR="00F2654D" w:rsidRPr="00B06304" w:rsidRDefault="00F2654D" w:rsidP="00F2654D">
      <w:pPr>
        <w:pStyle w:val="ListParagraph"/>
        <w:numPr>
          <w:ilvl w:val="0"/>
          <w:numId w:val="15"/>
        </w:numPr>
        <w:rPr>
          <w:rFonts w:cstheme="minorHAnsi"/>
        </w:rPr>
      </w:pPr>
      <w:r>
        <w:rPr>
          <w:rFonts w:cstheme="minorHAnsi"/>
        </w:rPr>
        <w:t>S</w:t>
      </w:r>
      <w:r w:rsidRPr="00B06304">
        <w:rPr>
          <w:rFonts w:cstheme="minorHAnsi"/>
        </w:rPr>
        <w:t>takeholder groups</w:t>
      </w:r>
      <w:r>
        <w:rPr>
          <w:rFonts w:cstheme="minorHAnsi"/>
        </w:rPr>
        <w:t xml:space="preserve"> </w:t>
      </w:r>
      <w:r w:rsidRPr="00B06304">
        <w:rPr>
          <w:rFonts w:cstheme="minorHAnsi"/>
        </w:rPr>
        <w:t>includ</w:t>
      </w:r>
      <w:r>
        <w:rPr>
          <w:rFonts w:cstheme="minorHAnsi"/>
        </w:rPr>
        <w:t xml:space="preserve">ing </w:t>
      </w:r>
      <w:r w:rsidRPr="00B06304">
        <w:rPr>
          <w:rFonts w:cstheme="minorHAnsi"/>
        </w:rPr>
        <w:t xml:space="preserve">the Indigenous primary health care sector; Indigenous health professionals; Indigenous people eligible to take part in the program; individuals, families and carers of Indigenous people affected by bowel cancer; cancer councils; </w:t>
      </w:r>
      <w:r w:rsidR="002C3688">
        <w:rPr>
          <w:rFonts w:cstheme="minorHAnsi"/>
        </w:rPr>
        <w:t>IHW</w:t>
      </w:r>
      <w:r w:rsidRPr="00B06304">
        <w:rPr>
          <w:rFonts w:cstheme="minorHAnsi"/>
        </w:rPr>
        <w:t xml:space="preserve">s and </w:t>
      </w:r>
      <w:r>
        <w:rPr>
          <w:rFonts w:cstheme="minorHAnsi"/>
        </w:rPr>
        <w:t>p</w:t>
      </w:r>
      <w:r w:rsidRPr="00B06304">
        <w:rPr>
          <w:rFonts w:cstheme="minorHAnsi"/>
        </w:rPr>
        <w:t>ractitioners; nurses; GPs; the Department of Health; state and territory health services were involved in the development of the model for an Alternative Pathway for the NBCSP for Indigenous Australians.</w:t>
      </w:r>
    </w:p>
    <w:p w14:paraId="51FB76F6" w14:textId="0295834B" w:rsidR="00AE7910" w:rsidRPr="00874345" w:rsidRDefault="00AE7910" w:rsidP="00AE7910">
      <w:pPr>
        <w:rPr>
          <w:rFonts w:cstheme="minorHAnsi"/>
        </w:rPr>
      </w:pPr>
      <w:r w:rsidRPr="00874345">
        <w:rPr>
          <w:rFonts w:cstheme="minorHAnsi"/>
        </w:rPr>
        <w:t xml:space="preserve">Three consultative committees were established to ensure meaningful engagement with stakeholders:  </w:t>
      </w:r>
    </w:p>
    <w:p w14:paraId="6A6074FF" w14:textId="4EEC82D7" w:rsidR="00AE7910" w:rsidRPr="001D69F4" w:rsidRDefault="00AE7910" w:rsidP="00CC3B4D">
      <w:pPr>
        <w:pStyle w:val="ListParagraph"/>
        <w:numPr>
          <w:ilvl w:val="0"/>
          <w:numId w:val="17"/>
        </w:numPr>
        <w:rPr>
          <w:rFonts w:cstheme="minorHAnsi"/>
        </w:rPr>
      </w:pPr>
      <w:r w:rsidRPr="00874345">
        <w:rPr>
          <w:rFonts w:cstheme="minorHAnsi"/>
        </w:rPr>
        <w:t>Project Advisory Committee (PAC)</w:t>
      </w:r>
      <w:r w:rsidR="001D69F4">
        <w:rPr>
          <w:rFonts w:cstheme="minorHAnsi"/>
        </w:rPr>
        <w:t xml:space="preserve">: </w:t>
      </w:r>
      <w:r w:rsidR="002448B8">
        <w:rPr>
          <w:rFonts w:cstheme="minorHAnsi"/>
        </w:rPr>
        <w:t xml:space="preserve">consisted of eleven members who </w:t>
      </w:r>
      <w:r w:rsidRPr="001D69F4">
        <w:rPr>
          <w:rFonts w:eastAsiaTheme="minorHAnsi" w:cstheme="minorHAnsi"/>
          <w:color w:val="000000"/>
        </w:rPr>
        <w:t>provide</w:t>
      </w:r>
      <w:r w:rsidR="002448B8">
        <w:rPr>
          <w:rFonts w:eastAsiaTheme="minorHAnsi" w:cstheme="minorHAnsi"/>
          <w:color w:val="000000"/>
        </w:rPr>
        <w:t>d</w:t>
      </w:r>
      <w:r w:rsidRPr="001D69F4">
        <w:rPr>
          <w:rFonts w:eastAsiaTheme="minorHAnsi" w:cstheme="minorHAnsi"/>
          <w:color w:val="000000"/>
        </w:rPr>
        <w:t xml:space="preserve"> timely, high level advice</w:t>
      </w:r>
      <w:r w:rsidR="002448B8">
        <w:rPr>
          <w:rFonts w:cstheme="minorHAnsi"/>
        </w:rPr>
        <w:t xml:space="preserve"> and</w:t>
      </w:r>
      <w:r w:rsidRPr="001D69F4">
        <w:rPr>
          <w:rFonts w:cstheme="minorHAnsi"/>
        </w:rPr>
        <w:t xml:space="preserve"> included representation from patients, policy makers, primary health care, GPs, </w:t>
      </w:r>
      <w:r w:rsidR="002C3688" w:rsidRPr="001D69F4">
        <w:rPr>
          <w:rFonts w:cstheme="minorHAnsi"/>
        </w:rPr>
        <w:t>IHW</w:t>
      </w:r>
      <w:r w:rsidRPr="001D69F4">
        <w:rPr>
          <w:rFonts w:cstheme="minorHAnsi"/>
        </w:rPr>
        <w:t xml:space="preserve">s, government and Aboriginal Community Controlled Health Organisations. </w:t>
      </w:r>
    </w:p>
    <w:p w14:paraId="1E9F5815" w14:textId="636EEE76" w:rsidR="002448B8" w:rsidRPr="002448B8" w:rsidRDefault="00AE7910" w:rsidP="00CC3B4D">
      <w:pPr>
        <w:pStyle w:val="ListParagraph"/>
        <w:numPr>
          <w:ilvl w:val="0"/>
          <w:numId w:val="17"/>
        </w:numPr>
        <w:rPr>
          <w:rFonts w:cstheme="minorHAnsi"/>
          <w:lang w:val="en-US"/>
        </w:rPr>
      </w:pPr>
      <w:r w:rsidRPr="00874345">
        <w:rPr>
          <w:rFonts w:cstheme="minorHAnsi"/>
        </w:rPr>
        <w:t>Education and Training Reference Group (ETRG)</w:t>
      </w:r>
      <w:r w:rsidR="002448B8">
        <w:rPr>
          <w:rFonts w:cstheme="minorHAnsi"/>
        </w:rPr>
        <w:t xml:space="preserve">: consisted of ten members who </w:t>
      </w:r>
      <w:r w:rsidRPr="002448B8">
        <w:rPr>
          <w:rFonts w:cstheme="minorHAnsi"/>
          <w:lang w:val="en-US"/>
        </w:rPr>
        <w:t>guide</w:t>
      </w:r>
      <w:r w:rsidR="002448B8">
        <w:rPr>
          <w:rFonts w:cstheme="minorHAnsi"/>
          <w:lang w:val="en-US"/>
        </w:rPr>
        <w:t>d</w:t>
      </w:r>
      <w:r w:rsidRPr="002448B8">
        <w:rPr>
          <w:rFonts w:cstheme="minorHAnsi"/>
          <w:lang w:val="en-US"/>
        </w:rPr>
        <w:t xml:space="preserve"> identification, assessment, adaptation </w:t>
      </w:r>
      <w:r w:rsidR="002448B8">
        <w:rPr>
          <w:rFonts w:cstheme="minorHAnsi"/>
          <w:lang w:val="en-US"/>
        </w:rPr>
        <w:t>and</w:t>
      </w:r>
      <w:r w:rsidR="002448B8" w:rsidRPr="002448B8">
        <w:rPr>
          <w:rFonts w:cstheme="minorHAnsi"/>
          <w:lang w:val="en-US"/>
        </w:rPr>
        <w:t xml:space="preserve"> </w:t>
      </w:r>
      <w:r w:rsidRPr="002448B8">
        <w:rPr>
          <w:rFonts w:cstheme="minorHAnsi"/>
          <w:lang w:val="en-US"/>
        </w:rPr>
        <w:t xml:space="preserve">development of bowel screening resources for Indigenous patients, and training and materials for primary health care staff to promote and facilitate participation in the Alternative Pathway. </w:t>
      </w:r>
    </w:p>
    <w:p w14:paraId="52A7836C" w14:textId="465532EF" w:rsidR="00AE7910" w:rsidRPr="002448B8" w:rsidRDefault="00AE7910" w:rsidP="00CC3B4D">
      <w:pPr>
        <w:pStyle w:val="ListParagraph"/>
        <w:numPr>
          <w:ilvl w:val="0"/>
          <w:numId w:val="17"/>
        </w:numPr>
        <w:rPr>
          <w:i/>
        </w:rPr>
      </w:pPr>
      <w:r w:rsidRPr="002448B8">
        <w:rPr>
          <w:rFonts w:cstheme="minorHAnsi"/>
        </w:rPr>
        <w:t>Implementation Planning Group (IPG)</w:t>
      </w:r>
      <w:r w:rsidR="002448B8" w:rsidRPr="002448B8">
        <w:rPr>
          <w:rFonts w:cstheme="minorHAnsi"/>
        </w:rPr>
        <w:t>:</w:t>
      </w:r>
      <w:r w:rsidR="002448B8">
        <w:rPr>
          <w:lang w:val="en-US"/>
        </w:rPr>
        <w:t xml:space="preserve"> </w:t>
      </w:r>
      <w:r w:rsidRPr="002448B8">
        <w:rPr>
          <w:lang w:val="en-US"/>
        </w:rPr>
        <w:t xml:space="preserve">was </w:t>
      </w:r>
      <w:r w:rsidR="002448B8">
        <w:rPr>
          <w:lang w:val="en-US"/>
        </w:rPr>
        <w:t xml:space="preserve">established </w:t>
      </w:r>
      <w:r w:rsidRPr="002448B8">
        <w:rPr>
          <w:lang w:val="en-US"/>
        </w:rPr>
        <w:t xml:space="preserve">to plan a feasible implementation for the national Pilot. However, the IPG wound down </w:t>
      </w:r>
      <w:r w:rsidR="002448B8">
        <w:rPr>
          <w:lang w:val="en-US"/>
        </w:rPr>
        <w:t>as</w:t>
      </w:r>
      <w:r w:rsidR="002448B8" w:rsidRPr="002448B8">
        <w:rPr>
          <w:lang w:val="en-US"/>
        </w:rPr>
        <w:t xml:space="preserve"> </w:t>
      </w:r>
      <w:r w:rsidRPr="002448B8">
        <w:rPr>
          <w:lang w:val="en-US"/>
        </w:rPr>
        <w:t xml:space="preserve">it became difficult to address the local concerns of </w:t>
      </w:r>
      <w:r w:rsidR="002448B8">
        <w:rPr>
          <w:lang w:val="en-US"/>
        </w:rPr>
        <w:t>the</w:t>
      </w:r>
      <w:r w:rsidR="002448B8" w:rsidRPr="002448B8">
        <w:rPr>
          <w:lang w:val="en-US"/>
        </w:rPr>
        <w:t xml:space="preserve"> </w:t>
      </w:r>
      <w:r w:rsidRPr="002448B8">
        <w:rPr>
          <w:lang w:val="en-US"/>
        </w:rPr>
        <w:t xml:space="preserve">many stakeholder groups and because the </w:t>
      </w:r>
      <w:r w:rsidR="002448B8">
        <w:rPr>
          <w:lang w:val="en-US"/>
        </w:rPr>
        <w:t xml:space="preserve">roll out of the </w:t>
      </w:r>
      <w:r w:rsidRPr="002448B8">
        <w:rPr>
          <w:lang w:val="en-US"/>
        </w:rPr>
        <w:t>Pilot was delay</w:t>
      </w:r>
      <w:r w:rsidR="002448B8">
        <w:rPr>
          <w:lang w:val="en-US"/>
        </w:rPr>
        <w:t>ed</w:t>
      </w:r>
      <w:r w:rsidRPr="002448B8">
        <w:rPr>
          <w:lang w:val="en-US"/>
        </w:rPr>
        <w:t xml:space="preserve"> </w:t>
      </w:r>
      <w:r w:rsidR="002448B8">
        <w:rPr>
          <w:lang w:val="en-US"/>
        </w:rPr>
        <w:t>due to</w:t>
      </w:r>
      <w:r w:rsidRPr="002448B8">
        <w:rPr>
          <w:lang w:val="en-US"/>
        </w:rPr>
        <w:t xml:space="preserve"> the NCSR.</w:t>
      </w:r>
    </w:p>
    <w:p w14:paraId="6DF83E98" w14:textId="77777777" w:rsidR="003341BA" w:rsidRDefault="00AE7910" w:rsidP="00AE7910">
      <w:pPr>
        <w:rPr>
          <w:rFonts w:cstheme="minorHAnsi"/>
        </w:rPr>
      </w:pPr>
      <w:r w:rsidRPr="00874345">
        <w:rPr>
          <w:rFonts w:cstheme="minorHAnsi"/>
        </w:rPr>
        <w:t xml:space="preserve">Input from these groups was crucial for maintaining a focus on key issues, barriers and enablers, and for highlighting the diversity of settings, services and populations across the jurisdictions and regions in which the Pilot was likely to be conducted. </w:t>
      </w:r>
    </w:p>
    <w:p w14:paraId="7F699608" w14:textId="18BDC16F" w:rsidR="00D67B64" w:rsidRDefault="00AE7910" w:rsidP="00AE7910">
      <w:pPr>
        <w:rPr>
          <w:rFonts w:cstheme="minorHAnsi"/>
        </w:rPr>
      </w:pPr>
      <w:r w:rsidRPr="00D26A7C">
        <w:rPr>
          <w:rFonts w:cstheme="minorHAnsi"/>
        </w:rPr>
        <w:t xml:space="preserve">Members of the PAC and ETRG are listed in Appendix </w:t>
      </w:r>
      <w:r w:rsidR="00D26333">
        <w:rPr>
          <w:rFonts w:cstheme="minorHAnsi"/>
        </w:rPr>
        <w:t>A</w:t>
      </w:r>
      <w:r w:rsidRPr="00D26A7C">
        <w:rPr>
          <w:rFonts w:cstheme="minorHAnsi"/>
        </w:rPr>
        <w:t>.</w:t>
      </w:r>
    </w:p>
    <w:p w14:paraId="052D063E" w14:textId="237D5ADD" w:rsidR="00226CDE" w:rsidRDefault="00226CDE" w:rsidP="00366EAB">
      <w:pPr>
        <w:pStyle w:val="Heading3"/>
      </w:pPr>
      <w:bookmarkStart w:id="43" w:name="_Toc44279057"/>
      <w:bookmarkStart w:id="44" w:name="_Toc44339174"/>
      <w:bookmarkStart w:id="45" w:name="_Toc44361539"/>
      <w:r>
        <w:t>Barriers and enablers to screening</w:t>
      </w:r>
      <w:bookmarkEnd w:id="43"/>
      <w:bookmarkEnd w:id="44"/>
      <w:bookmarkEnd w:id="45"/>
    </w:p>
    <w:p w14:paraId="0CAA88C5" w14:textId="5DF7A08B" w:rsidR="00841303" w:rsidRDefault="00841303" w:rsidP="00841303">
      <w:bookmarkStart w:id="46" w:name="_Toc38539069"/>
      <w:bookmarkStart w:id="47" w:name="_Toc38540004"/>
      <w:bookmarkStart w:id="48" w:name="_Toc38540059"/>
      <w:r>
        <w:t xml:space="preserve">Phase One of the National Indigenous Bowel Screening Project provided an opportunity to strengthen the evidence base upon which to develop a feasible Alternative Pathway model. Consultations carried out in 2015-2016 </w:t>
      </w:r>
      <w:r w:rsidR="004E5B28">
        <w:t xml:space="preserve">expanded on </w:t>
      </w:r>
      <w:r w:rsidR="000029C8">
        <w:t>the published literature</w:t>
      </w:r>
      <w:r w:rsidR="004E5B28">
        <w:t xml:space="preserve">, </w:t>
      </w:r>
      <w:r>
        <w:t>prioritising the expert knowledge and lived experience of those who might be inviting patients to screen and those who might do the test.</w:t>
      </w:r>
    </w:p>
    <w:p w14:paraId="10326F45" w14:textId="19920544" w:rsidR="00F21EA5" w:rsidRDefault="00F21EA5" w:rsidP="00841303">
      <w:r>
        <w:t xml:space="preserve">The project </w:t>
      </w:r>
      <w:r w:rsidR="00D57385">
        <w:t xml:space="preserve">approach </w:t>
      </w:r>
      <w:r>
        <w:t xml:space="preserve">was informed by the </w:t>
      </w:r>
      <w:r w:rsidR="00D57385">
        <w:t>Promoting Action on Research Implementation in Health Services (</w:t>
      </w:r>
      <w:r>
        <w:t>PARIHS</w:t>
      </w:r>
      <w:r w:rsidR="00D57385">
        <w:t>)</w:t>
      </w:r>
      <w:r>
        <w:t xml:space="preserve"> Framework</w:t>
      </w:r>
      <w:r w:rsidR="00D57385">
        <w:t xml:space="preserve"> which</w:t>
      </w:r>
      <w:r w:rsidR="008D385E">
        <w:t>, in its early publication in 2004 set out a simple formula for better understanding and planning implementation processes.</w:t>
      </w:r>
      <w:r w:rsidR="008D385E">
        <w:rPr>
          <w:rStyle w:val="FootnoteReference"/>
        </w:rPr>
        <w:footnoteReference w:id="14"/>
      </w:r>
      <w:r w:rsidR="008D385E">
        <w:t xml:space="preserve">  That is, the effective implementation is a product of the degree </w:t>
      </w:r>
      <w:r w:rsidR="008D385E">
        <w:lastRenderedPageBreak/>
        <w:t xml:space="preserve">of ‘fit’ between evidence (or an intervention), context and facilitation (the way in which the intervention or evidence is introduced). </w:t>
      </w:r>
      <w:r w:rsidR="006F36F5">
        <w:t xml:space="preserve">The consultations aimed to </w:t>
      </w:r>
      <w:r w:rsidR="008A44EE">
        <w:t>identify</w:t>
      </w:r>
      <w:r w:rsidR="006F36F5">
        <w:t xml:space="preserve"> where there was a lack of fit between the NBCSP and Indigenous Australians eligible to screen</w:t>
      </w:r>
      <w:r w:rsidR="008A44EE">
        <w:t>;</w:t>
      </w:r>
      <w:r w:rsidR="006F36F5">
        <w:t xml:space="preserve"> </w:t>
      </w:r>
      <w:r w:rsidR="008A44EE">
        <w:t>the</w:t>
      </w:r>
      <w:r w:rsidR="006F36F5">
        <w:t xml:space="preserve"> barriers to screen</w:t>
      </w:r>
      <w:r w:rsidR="008A44EE">
        <w:t>ing;</w:t>
      </w:r>
      <w:r w:rsidR="006F36F5">
        <w:t xml:space="preserve"> and identify</w:t>
      </w:r>
      <w:r w:rsidR="008A44EE">
        <w:t>ing</w:t>
      </w:r>
      <w:r w:rsidR="006F36F5">
        <w:t xml:space="preserve"> ways in which those barriers might be mitigated or smoothed out to allow for a better fit.</w:t>
      </w:r>
    </w:p>
    <w:p w14:paraId="054DAC36" w14:textId="0EEA566A" w:rsidR="00841303" w:rsidRPr="00BF3B81" w:rsidRDefault="00841303" w:rsidP="00841303">
      <w:r w:rsidRPr="00555BE6">
        <w:t xml:space="preserve">Many of the barriers identified </w:t>
      </w:r>
      <w:r>
        <w:t xml:space="preserve">during Phase One of the project </w:t>
      </w:r>
      <w:r w:rsidRPr="00555BE6">
        <w:t>related to the nature of the bowel screening test itself</w:t>
      </w:r>
      <w:r>
        <w:t xml:space="preserve">, </w:t>
      </w:r>
      <w:r w:rsidRPr="00555BE6">
        <w:t xml:space="preserve">and the way </w:t>
      </w:r>
      <w:r w:rsidR="008A44EE" w:rsidRPr="00555BE6">
        <w:t>the usual pathway</w:t>
      </w:r>
      <w:r w:rsidR="008A44EE">
        <w:t xml:space="preserve"> </w:t>
      </w:r>
      <w:r w:rsidRPr="00555BE6">
        <w:t xml:space="preserve">was offered to eligible participants. Key </w:t>
      </w:r>
      <w:r w:rsidR="008A44EE">
        <w:t>barriers included:</w:t>
      </w:r>
      <w:r w:rsidRPr="00555BE6">
        <w:t xml:space="preserve"> </w:t>
      </w:r>
    </w:p>
    <w:p w14:paraId="0FD44167" w14:textId="3FF499C7" w:rsidR="00841303" w:rsidRPr="009C5544" w:rsidRDefault="00841303" w:rsidP="00841303">
      <w:pPr>
        <w:pStyle w:val="ListParagraph"/>
      </w:pPr>
      <w:r w:rsidRPr="009C5544">
        <w:t xml:space="preserve">The likelihood that many </w:t>
      </w:r>
      <w:r w:rsidR="00BE3E05">
        <w:t>Indigenous people</w:t>
      </w:r>
      <w:r w:rsidRPr="009C5544">
        <w:t xml:space="preserve"> </w:t>
      </w:r>
      <w:r>
        <w:t xml:space="preserve">would not receive the </w:t>
      </w:r>
      <w:r w:rsidRPr="009C5544">
        <w:t xml:space="preserve">NBCSP kit through the usual </w:t>
      </w:r>
      <w:r>
        <w:t>P</w:t>
      </w:r>
      <w:r w:rsidRPr="009C5544">
        <w:t xml:space="preserve">athway because it is mailed out. </w:t>
      </w:r>
    </w:p>
    <w:p w14:paraId="5CDDBF38" w14:textId="0AC568D1" w:rsidR="00841303" w:rsidRPr="009C5544" w:rsidRDefault="00841303" w:rsidP="00841303">
      <w:pPr>
        <w:pStyle w:val="ListParagraph"/>
      </w:pPr>
      <w:r>
        <w:t>L</w:t>
      </w:r>
      <w:r w:rsidRPr="009C5544">
        <w:t>imited investment in promoting the NBCSP</w:t>
      </w:r>
      <w:r>
        <w:t xml:space="preserve"> </w:t>
      </w:r>
      <w:r w:rsidR="00F53DC7">
        <w:t>through campaigns directed at</w:t>
      </w:r>
      <w:r w:rsidRPr="009C5544">
        <w:t xml:space="preserve"> </w:t>
      </w:r>
      <w:r>
        <w:t>Indigenous</w:t>
      </w:r>
      <w:r w:rsidRPr="009C5544">
        <w:t xml:space="preserve"> audiences, despite well documented and widespread lack of awareness about bowel cancer and misunderstandings about bowel screening</w:t>
      </w:r>
      <w:r>
        <w:t xml:space="preserve"> among Indigenous Australians.</w:t>
      </w:r>
    </w:p>
    <w:p w14:paraId="41FDA707" w14:textId="683280F4" w:rsidR="00841303" w:rsidRPr="00BF3B81" w:rsidRDefault="00841303" w:rsidP="00841303">
      <w:pPr>
        <w:pStyle w:val="ListParagraph"/>
      </w:pPr>
      <w:r w:rsidRPr="00BF3B81">
        <w:t xml:space="preserve">The appearance of the </w:t>
      </w:r>
      <w:r w:rsidR="00F2654D">
        <w:t>packaging</w:t>
      </w:r>
      <w:r w:rsidR="00F2654D" w:rsidRPr="00BF3B81">
        <w:t xml:space="preserve"> </w:t>
      </w:r>
      <w:r w:rsidRPr="00BF3B81">
        <w:t>containing the test kit</w:t>
      </w:r>
      <w:r w:rsidR="00245728">
        <w:t>.</w:t>
      </w:r>
      <w:r w:rsidR="00245728">
        <w:rPr>
          <w:rStyle w:val="FootnoteReference"/>
        </w:rPr>
        <w:footnoteReference w:id="15"/>
      </w:r>
    </w:p>
    <w:p w14:paraId="3AFD8FA9" w14:textId="77777777" w:rsidR="00841303" w:rsidRPr="00BF3B81" w:rsidRDefault="00841303" w:rsidP="00841303">
      <w:pPr>
        <w:pStyle w:val="ListParagraph"/>
      </w:pPr>
      <w:r w:rsidRPr="00BF3B81">
        <w:t>The nature of the test, which involves handling faeces.</w:t>
      </w:r>
    </w:p>
    <w:p w14:paraId="2C7D1140" w14:textId="747E1C27" w:rsidR="00841303" w:rsidRPr="00BF3B81" w:rsidRDefault="00841303" w:rsidP="00841303">
      <w:pPr>
        <w:pStyle w:val="ListParagraph"/>
      </w:pPr>
      <w:r w:rsidRPr="00BF3B81">
        <w:t xml:space="preserve">The need to provide two samples and keep them cool, which may require </w:t>
      </w:r>
      <w:r w:rsidR="00264CFB">
        <w:t xml:space="preserve">the </w:t>
      </w:r>
      <w:r w:rsidR="00315D5B">
        <w:t>samples</w:t>
      </w:r>
      <w:r w:rsidR="00264CFB">
        <w:t xml:space="preserve"> to be placed in </w:t>
      </w:r>
      <w:r>
        <w:t>a</w:t>
      </w:r>
      <w:r w:rsidRPr="00BF3B81">
        <w:t xml:space="preserve"> </w:t>
      </w:r>
      <w:r>
        <w:t>refrigerator</w:t>
      </w:r>
      <w:r w:rsidRPr="00BF3B81">
        <w:t>.</w:t>
      </w:r>
    </w:p>
    <w:p w14:paraId="550B8955" w14:textId="6B8F3642" w:rsidR="00841303" w:rsidRDefault="00841303" w:rsidP="00841303">
      <w:r>
        <w:t>The Phase One consultations</w:t>
      </w:r>
      <w:r w:rsidRPr="00BF3B81">
        <w:t xml:space="preserve"> identified </w:t>
      </w:r>
      <w:r w:rsidR="008A44EE">
        <w:t xml:space="preserve">some </w:t>
      </w:r>
      <w:r w:rsidRPr="00BF3B81">
        <w:t>enablers that could mediate the impact of the barriers described above</w:t>
      </w:r>
      <w:r>
        <w:t>. These included</w:t>
      </w:r>
      <w:r w:rsidRPr="00BF3B81">
        <w:t xml:space="preserve">: </w:t>
      </w:r>
    </w:p>
    <w:p w14:paraId="3D8D68BF" w14:textId="686E57A2" w:rsidR="00172790" w:rsidRDefault="00841303" w:rsidP="00841303">
      <w:pPr>
        <w:pStyle w:val="ListParagraph"/>
      </w:pPr>
      <w:r>
        <w:t xml:space="preserve">Making the </w:t>
      </w:r>
      <w:r w:rsidR="00F2654D">
        <w:t xml:space="preserve">packaging of the test </w:t>
      </w:r>
      <w:r w:rsidR="00172790">
        <w:t xml:space="preserve">to </w:t>
      </w:r>
      <w:r>
        <w:t xml:space="preserve">look less </w:t>
      </w:r>
      <w:r w:rsidR="008A44EE">
        <w:t xml:space="preserve">clinical </w:t>
      </w:r>
      <w:r>
        <w:t>by using Indigenous designs and colours, reducing the prominence of government identifiers</w:t>
      </w:r>
      <w:r w:rsidR="00172790">
        <w:t>.</w:t>
      </w:r>
    </w:p>
    <w:p w14:paraId="36A06DDA" w14:textId="3977F3C7" w:rsidR="00841303" w:rsidRDefault="00172790" w:rsidP="00841303">
      <w:pPr>
        <w:pStyle w:val="ListParagraph"/>
      </w:pPr>
      <w:r>
        <w:t xml:space="preserve">Modifying </w:t>
      </w:r>
      <w:r w:rsidR="00841303">
        <w:t xml:space="preserve">the instructions and content </w:t>
      </w:r>
      <w:r>
        <w:t xml:space="preserve">to be </w:t>
      </w:r>
      <w:r w:rsidR="00841303">
        <w:t xml:space="preserve">more user friendly. </w:t>
      </w:r>
    </w:p>
    <w:p w14:paraId="43A31438" w14:textId="77777777" w:rsidR="00841303" w:rsidRDefault="00841303" w:rsidP="00841303">
      <w:pPr>
        <w:pStyle w:val="ListParagraph"/>
      </w:pPr>
      <w:r>
        <w:t xml:space="preserve">Boosting the role of the primary health care sector in promoting and supporting the participation of Indigenous patients in the NBCSP.  </w:t>
      </w:r>
    </w:p>
    <w:p w14:paraId="624B81E2" w14:textId="2EF3A475" w:rsidR="00841303" w:rsidRDefault="00841303" w:rsidP="00402F9A">
      <w:pPr>
        <w:pStyle w:val="ListParagraph"/>
        <w:numPr>
          <w:ilvl w:val="1"/>
          <w:numId w:val="20"/>
        </w:numPr>
      </w:pPr>
      <w:r>
        <w:t>Invitees may be more receptive to the kit if it came from a trusted source who could explain why it is important and how to use it.</w:t>
      </w:r>
    </w:p>
    <w:p w14:paraId="05C29744" w14:textId="157C932F" w:rsidR="00841303" w:rsidRDefault="00841303" w:rsidP="00402F9A">
      <w:pPr>
        <w:pStyle w:val="ListParagraph"/>
        <w:numPr>
          <w:ilvl w:val="1"/>
          <w:numId w:val="20"/>
        </w:numPr>
      </w:pPr>
      <w:r>
        <w:t xml:space="preserve">Local distribution of kits could overcome the barriers with the mail out model.  </w:t>
      </w:r>
    </w:p>
    <w:p w14:paraId="1531CF37" w14:textId="6727397B" w:rsidR="00841303" w:rsidRDefault="00841303" w:rsidP="00402F9A">
      <w:pPr>
        <w:pStyle w:val="ListParagraph"/>
        <w:numPr>
          <w:ilvl w:val="1"/>
          <w:numId w:val="20"/>
        </w:numPr>
      </w:pPr>
      <w:r>
        <w:t>Offering kits through health centres could improve follow up for those who returned a positive test.</w:t>
      </w:r>
      <w:r w:rsidR="00BE3E05">
        <w:t xml:space="preserve"> </w:t>
      </w:r>
      <w:r>
        <w:t xml:space="preserve">The usual </w:t>
      </w:r>
      <w:r w:rsidR="000039DA">
        <w:t>p</w:t>
      </w:r>
      <w:r>
        <w:t xml:space="preserve">athway relies on invitees including the details of their doctor or health service on the </w:t>
      </w:r>
      <w:r w:rsidR="00842FF9">
        <w:t>P</w:t>
      </w:r>
      <w:r>
        <w:t xml:space="preserve">articipant </w:t>
      </w:r>
      <w:r w:rsidR="00842FF9">
        <w:t>I</w:t>
      </w:r>
      <w:r>
        <w:t>n</w:t>
      </w:r>
      <w:r w:rsidR="00842FF9">
        <w:t>form</w:t>
      </w:r>
      <w:r>
        <w:t xml:space="preserve">ation </w:t>
      </w:r>
      <w:r w:rsidR="00842FF9">
        <w:t>Form</w:t>
      </w:r>
      <w:r>
        <w:t xml:space="preserve">. Greater integration of bowel screening with routine primary care could improve the likelihood of follow up with colonoscopy.  </w:t>
      </w:r>
    </w:p>
    <w:p w14:paraId="32E73DB5" w14:textId="7175072A" w:rsidR="00841303" w:rsidRDefault="00841303" w:rsidP="00841303">
      <w:pPr>
        <w:pStyle w:val="ListParagraph"/>
      </w:pPr>
      <w:r>
        <w:t xml:space="preserve">Fears about the use of faeces, or cultural protocols that might inhibit communication about bowel screening between, for example, young female </w:t>
      </w:r>
      <w:r w:rsidR="002C3688">
        <w:t>IHW</w:t>
      </w:r>
      <w:r>
        <w:t>s (IHWs) and older men – could be mediated by the involvement of a non-Indigenous person (male or female as appropriate) rather than an I</w:t>
      </w:r>
      <w:r w:rsidR="00BE3E05">
        <w:t>HW</w:t>
      </w:r>
      <w:r>
        <w:t xml:space="preserve">.  </w:t>
      </w:r>
    </w:p>
    <w:p w14:paraId="16A59614" w14:textId="77777777" w:rsidR="00BE2F3C" w:rsidRPr="003453E8" w:rsidRDefault="00BE2F3C" w:rsidP="00366EAB">
      <w:pPr>
        <w:pStyle w:val="Heading3"/>
        <w:rPr>
          <w:rFonts w:cstheme="minorBidi"/>
          <w:lang w:eastAsia="en-GB"/>
        </w:rPr>
      </w:pPr>
      <w:bookmarkStart w:id="49" w:name="_Toc44279058"/>
      <w:bookmarkStart w:id="50" w:name="_Toc44339175"/>
      <w:bookmarkStart w:id="51" w:name="_Toc44361540"/>
      <w:r w:rsidRPr="003453E8">
        <w:lastRenderedPageBreak/>
        <w:t>Training needs analysis</w:t>
      </w:r>
      <w:bookmarkEnd w:id="49"/>
      <w:bookmarkEnd w:id="50"/>
      <w:bookmarkEnd w:id="51"/>
    </w:p>
    <w:p w14:paraId="697B492A" w14:textId="1D0BB519" w:rsidR="00BE2F3C" w:rsidRPr="003453E8" w:rsidRDefault="00F2654D" w:rsidP="00BE2F3C">
      <w:r>
        <w:t xml:space="preserve">The Department of </w:t>
      </w:r>
      <w:r w:rsidR="00BE2F3C" w:rsidRPr="003453E8">
        <w:t>Health had requested the training component of the project would:</w:t>
      </w:r>
    </w:p>
    <w:p w14:paraId="39B2D089" w14:textId="5B3E1C52" w:rsidR="00BE2F3C" w:rsidRPr="003B3975" w:rsidRDefault="00BE2F3C" w:rsidP="000920C7">
      <w:pPr>
        <w:pStyle w:val="Quote"/>
      </w:pPr>
      <w:r w:rsidRPr="003B3975">
        <w:t xml:space="preserve">Develop and deliver training for </w:t>
      </w:r>
      <w:r w:rsidR="002C3688">
        <w:t>IHW</w:t>
      </w:r>
      <w:r w:rsidRPr="003B3975">
        <w:t xml:space="preserve">s (IHWs) and other clinicians working in Indigenous </w:t>
      </w:r>
      <w:r w:rsidR="00BE3E05">
        <w:t>p</w:t>
      </w:r>
      <w:r w:rsidRPr="003B3975">
        <w:t xml:space="preserve">rimary </w:t>
      </w:r>
      <w:r w:rsidR="00BE3E05">
        <w:t>h</w:t>
      </w:r>
      <w:r w:rsidRPr="003B3975">
        <w:t xml:space="preserve">ealth </w:t>
      </w:r>
      <w:r w:rsidR="00BE3E05">
        <w:t>c</w:t>
      </w:r>
      <w:r w:rsidRPr="003B3975">
        <w:t>are services</w:t>
      </w:r>
      <w:r w:rsidR="003453E8" w:rsidRPr="003B3975">
        <w:t>,</w:t>
      </w:r>
      <w:r w:rsidRPr="003B3975">
        <w:t xml:space="preserve"> to equip them to discuss bowel cancer, encourage screening in the NBCSP and understand the operational requirements of supporting a patient through the screening pathway.</w:t>
      </w:r>
    </w:p>
    <w:p w14:paraId="22FB8E1E" w14:textId="77777777" w:rsidR="003453E8" w:rsidRDefault="00BE2F3C" w:rsidP="004566A4">
      <w:r w:rsidRPr="003453E8">
        <w:t xml:space="preserve">The consultations in Phase One of the project identified the skills and knowledge that IHWs felt they </w:t>
      </w:r>
      <w:r w:rsidR="003453E8">
        <w:t>needed</w:t>
      </w:r>
      <w:r w:rsidRPr="003453E8">
        <w:t xml:space="preserve"> to confidently encourage Indigenous patients to take part in bowel screening</w:t>
      </w:r>
      <w:r w:rsidRPr="003453E8">
        <w:rPr>
          <w:rStyle w:val="FootnoteReference"/>
          <w:b/>
          <w:bCs/>
          <w:color w:val="000000" w:themeColor="text1"/>
        </w:rPr>
        <w:footnoteReference w:id="16"/>
      </w:r>
      <w:r w:rsidRPr="003453E8">
        <w:t xml:space="preserve">.  </w:t>
      </w:r>
    </w:p>
    <w:p w14:paraId="1BF6F06A" w14:textId="22B4BD93" w:rsidR="00BE2F3C" w:rsidRPr="003453E8" w:rsidRDefault="00BE2F3C" w:rsidP="004566A4">
      <w:r w:rsidRPr="003453E8">
        <w:t xml:space="preserve">The training needs </w:t>
      </w:r>
      <w:r w:rsidR="00F2654D">
        <w:t xml:space="preserve">of IHWs </w:t>
      </w:r>
      <w:r w:rsidRPr="003453E8">
        <w:t>clustered around three main outcome areas:</w:t>
      </w:r>
    </w:p>
    <w:p w14:paraId="6B71C169" w14:textId="7A792901" w:rsidR="00BE2F3C" w:rsidRPr="003453E8" w:rsidRDefault="00BE2F3C" w:rsidP="002E7F8F">
      <w:pPr>
        <w:pStyle w:val="ListParagraph"/>
        <w:numPr>
          <w:ilvl w:val="0"/>
          <w:numId w:val="29"/>
        </w:numPr>
        <w:spacing w:before="0" w:after="200"/>
      </w:pPr>
      <w:r w:rsidRPr="003453E8">
        <w:t>Increas</w:t>
      </w:r>
      <w:r w:rsidR="00F2654D">
        <w:t>ed</w:t>
      </w:r>
      <w:r w:rsidRPr="003453E8">
        <w:t xml:space="preserve"> awareness about bowel cancer and the value of bowel screening, so that practitioner</w:t>
      </w:r>
      <w:r w:rsidR="003453E8" w:rsidRPr="003453E8">
        <w:t>s</w:t>
      </w:r>
      <w:r w:rsidRPr="003453E8">
        <w:t xml:space="preserve"> </w:t>
      </w:r>
      <w:r w:rsidR="003453E8" w:rsidRPr="003453E8">
        <w:t xml:space="preserve">could </w:t>
      </w:r>
      <w:r w:rsidRPr="003453E8">
        <w:t>recognise the important role they have in relation to screening.</w:t>
      </w:r>
    </w:p>
    <w:p w14:paraId="0615CE1D" w14:textId="1527110A" w:rsidR="00BE2F3C" w:rsidRPr="003453E8" w:rsidRDefault="00BE2F3C" w:rsidP="002E7F8F">
      <w:pPr>
        <w:pStyle w:val="ListParagraph"/>
        <w:numPr>
          <w:ilvl w:val="0"/>
          <w:numId w:val="29"/>
        </w:numPr>
        <w:spacing w:before="0" w:after="200"/>
      </w:pPr>
      <w:r w:rsidRPr="003453E8">
        <w:t>Increas</w:t>
      </w:r>
      <w:r w:rsidR="00F2654D">
        <w:t>ing</w:t>
      </w:r>
      <w:r w:rsidRPr="003453E8">
        <w:t xml:space="preserve"> practitioner’s confidence to engage with </w:t>
      </w:r>
      <w:r w:rsidR="000039DA">
        <w:t>patients</w:t>
      </w:r>
      <w:r w:rsidR="000039DA" w:rsidRPr="003453E8">
        <w:t xml:space="preserve"> </w:t>
      </w:r>
      <w:r w:rsidRPr="003453E8">
        <w:t>about bowel screening. This include</w:t>
      </w:r>
      <w:r w:rsidR="003453E8" w:rsidRPr="003453E8">
        <w:t>d</w:t>
      </w:r>
      <w:r w:rsidRPr="003453E8">
        <w:t xml:space="preserve"> knowledge about bowel screening, the test kit and bowel cancer, and the knowledge, skills and techniques to talk with patients, ‘take away the shame’, and motivate them to do the test (practical knowledge for doing).</w:t>
      </w:r>
    </w:p>
    <w:p w14:paraId="0D90D07B" w14:textId="77777777" w:rsidR="00BE2F3C" w:rsidRPr="003453E8" w:rsidRDefault="00BE2F3C" w:rsidP="002E7F8F">
      <w:pPr>
        <w:pStyle w:val="ListParagraph"/>
        <w:numPr>
          <w:ilvl w:val="0"/>
          <w:numId w:val="29"/>
        </w:numPr>
        <w:spacing w:before="0" w:after="200"/>
      </w:pPr>
      <w:r w:rsidRPr="003453E8">
        <w:t xml:space="preserve">Knowledge of specific procedures </w:t>
      </w:r>
      <w:r w:rsidRPr="0092428A">
        <w:t>as</w:t>
      </w:r>
      <w:r w:rsidRPr="003453E8">
        <w:rPr>
          <w:i/>
          <w:iCs/>
        </w:rPr>
        <w:t xml:space="preserve"> </w:t>
      </w:r>
      <w:r w:rsidRPr="003453E8">
        <w:t xml:space="preserve">implemented at the PHC centre (practical information/knowledge for doing, site specific on-the-job). </w:t>
      </w:r>
    </w:p>
    <w:p w14:paraId="2A6918FC" w14:textId="196498A6" w:rsidR="003453E8" w:rsidRDefault="00BE2F3C" w:rsidP="00BE2F3C">
      <w:pPr>
        <w:rPr>
          <w:color w:val="000000" w:themeColor="text1"/>
        </w:rPr>
      </w:pPr>
      <w:r w:rsidRPr="003453E8">
        <w:rPr>
          <w:color w:val="000000" w:themeColor="text1"/>
        </w:rPr>
        <w:t>The consultations identified similar training needs for nurses and GPs, although the emphasis and delivery style might be different. For example, all</w:t>
      </w:r>
      <w:r w:rsidR="003453E8" w:rsidRPr="003453E8">
        <w:rPr>
          <w:color w:val="000000" w:themeColor="text1"/>
        </w:rPr>
        <w:t xml:space="preserve"> </w:t>
      </w:r>
      <w:r w:rsidRPr="003453E8">
        <w:rPr>
          <w:color w:val="000000" w:themeColor="text1"/>
        </w:rPr>
        <w:t>the professional groups (GPs, nurses, IHWs) needed to understand more about the how the NBCSP worked</w:t>
      </w:r>
      <w:r w:rsidR="003453E8">
        <w:rPr>
          <w:color w:val="000000" w:themeColor="text1"/>
        </w:rPr>
        <w:t>. This was</w:t>
      </w:r>
      <w:r w:rsidRPr="003453E8">
        <w:rPr>
          <w:color w:val="000000" w:themeColor="text1"/>
        </w:rPr>
        <w:t xml:space="preserve"> because</w:t>
      </w:r>
      <w:r w:rsidR="003453E8">
        <w:rPr>
          <w:color w:val="000000" w:themeColor="text1"/>
        </w:rPr>
        <w:t xml:space="preserve"> the primary health care sector was not involved in the process at all, except at the point of the GP assessment following a positive result.  </w:t>
      </w:r>
    </w:p>
    <w:p w14:paraId="079ABD07" w14:textId="6C6A08D1" w:rsidR="00BE2F3C" w:rsidRPr="003453E8" w:rsidRDefault="00BE2F3C" w:rsidP="00BE2F3C">
      <w:pPr>
        <w:rPr>
          <w:color w:val="000000" w:themeColor="text1"/>
        </w:rPr>
      </w:pPr>
      <w:r w:rsidRPr="003453E8">
        <w:rPr>
          <w:color w:val="000000" w:themeColor="text1"/>
        </w:rPr>
        <w:t>While some health centres had been using pathology FOBT kits (non-NBCSP) to run de facto bowel screening for patients</w:t>
      </w:r>
      <w:r w:rsidR="003453E8">
        <w:rPr>
          <w:color w:val="000000" w:themeColor="text1"/>
        </w:rPr>
        <w:t>,</w:t>
      </w:r>
      <w:r w:rsidRPr="003453E8">
        <w:rPr>
          <w:color w:val="000000" w:themeColor="text1"/>
        </w:rPr>
        <w:t xml:space="preserve"> and some health professionals understood the NBCSP and its barriers well, many health professionals had misperceptions about how it worked</w:t>
      </w:r>
      <w:r w:rsidR="007E2C1E">
        <w:rPr>
          <w:rStyle w:val="FootnoteReference"/>
          <w:color w:val="000000" w:themeColor="text1"/>
        </w:rPr>
        <w:footnoteReference w:id="17"/>
      </w:r>
      <w:r w:rsidRPr="003453E8">
        <w:rPr>
          <w:color w:val="000000" w:themeColor="text1"/>
        </w:rPr>
        <w:t>.</w:t>
      </w:r>
    </w:p>
    <w:p w14:paraId="56526DD0" w14:textId="52C06E89" w:rsidR="00BE2F3C" w:rsidRPr="003453E8" w:rsidRDefault="00BE2F3C" w:rsidP="003B3975">
      <w:r w:rsidRPr="003453E8">
        <w:rPr>
          <w:color w:val="000000" w:themeColor="text1"/>
        </w:rPr>
        <w:t>T</w:t>
      </w:r>
      <w:r w:rsidRPr="003453E8">
        <w:t>he key training nee</w:t>
      </w:r>
      <w:r w:rsidR="003453E8">
        <w:t xml:space="preserve">d identified </w:t>
      </w:r>
      <w:r w:rsidRPr="003453E8">
        <w:t>for doctors w</w:t>
      </w:r>
      <w:r w:rsidR="003453E8">
        <w:t xml:space="preserve">as </w:t>
      </w:r>
      <w:r w:rsidRPr="003453E8">
        <w:t>motivational</w:t>
      </w:r>
      <w:r w:rsidR="003453E8">
        <w:t xml:space="preserve">. They </w:t>
      </w:r>
      <w:r w:rsidR="003B3975">
        <w:t>needed to understand</w:t>
      </w:r>
      <w:r w:rsidRPr="003453E8">
        <w:t xml:space="preserve"> that bowel screening for I</w:t>
      </w:r>
      <w:r w:rsidR="003453E8">
        <w:t>ndigenous</w:t>
      </w:r>
      <w:r w:rsidRPr="003453E8">
        <w:t xml:space="preserve"> people was important, that they had a role in promoting it, and</w:t>
      </w:r>
      <w:r w:rsidR="003B3975">
        <w:t xml:space="preserve">, for </w:t>
      </w:r>
      <w:r w:rsidRPr="003453E8">
        <w:t>some</w:t>
      </w:r>
      <w:r w:rsidR="003B3975">
        <w:t>,</w:t>
      </w:r>
      <w:r w:rsidRPr="003453E8">
        <w:t xml:space="preserve"> confidence to talk to their patients about it. There were already a range of NBCSP resources available for GPs and nurses, which did not need to be duplicated.  </w:t>
      </w:r>
    </w:p>
    <w:p w14:paraId="2A81C371" w14:textId="66D5017E" w:rsidR="00917BDF" w:rsidRPr="003453E8" w:rsidRDefault="00917BDF" w:rsidP="00CC3B4D">
      <w:pPr>
        <w:rPr>
          <w:lang w:eastAsia="en-AU"/>
        </w:rPr>
      </w:pPr>
      <w:r w:rsidRPr="004E5B28">
        <w:lastRenderedPageBreak/>
        <w:t xml:space="preserve">As part of the Phase One consultations, 210 people completed an online survey about bowel screening in December 2015. Of the 210 respondents, 124 </w:t>
      </w:r>
      <w:r w:rsidR="007A5BE4">
        <w:t>respondents</w:t>
      </w:r>
      <w:r w:rsidRPr="004E5B28">
        <w:t xml:space="preserve"> identified as Indigenous (Aboriginal, Torres Strait Islander, or Aboriginal and Torres Strait Islander). </w:t>
      </w:r>
      <w:r w:rsidRPr="003453E8">
        <w:t xml:space="preserve">Indigenous and non-Indigenous </w:t>
      </w:r>
      <w:r w:rsidR="007A5BE4">
        <w:t>respondents</w:t>
      </w:r>
      <w:r w:rsidRPr="003453E8">
        <w:t xml:space="preserve"> worked for a range of organisations, including state/territory and federal governments (43%), ACCHOS (25%), non-government organisations (22%), </w:t>
      </w:r>
      <w:r w:rsidR="003B3975">
        <w:t>p</w:t>
      </w:r>
      <w:r w:rsidRPr="003453E8">
        <w:t xml:space="preserve">rimary </w:t>
      </w:r>
      <w:r w:rsidR="003B3975">
        <w:t>h</w:t>
      </w:r>
      <w:r w:rsidRPr="003453E8">
        <w:t xml:space="preserve">ealth </w:t>
      </w:r>
      <w:r w:rsidR="003B3975">
        <w:t>c</w:t>
      </w:r>
      <w:r w:rsidRPr="003453E8">
        <w:t xml:space="preserve">are </w:t>
      </w:r>
      <w:r w:rsidR="003B3975">
        <w:t>n</w:t>
      </w:r>
      <w:r w:rsidRPr="003453E8">
        <w:t xml:space="preserve">etworks (9%), ACCHO peak body (7%), </w:t>
      </w:r>
      <w:r w:rsidR="003B3975">
        <w:t>g</w:t>
      </w:r>
      <w:r w:rsidRPr="003453E8">
        <w:t xml:space="preserve">eneral </w:t>
      </w:r>
      <w:r w:rsidR="003B3975">
        <w:t>p</w:t>
      </w:r>
      <w:r w:rsidRPr="003453E8">
        <w:t xml:space="preserve">ractice (3%), and </w:t>
      </w:r>
      <w:r w:rsidR="003B3975">
        <w:t>a</w:t>
      </w:r>
      <w:r w:rsidRPr="003453E8">
        <w:t xml:space="preserve">ged </w:t>
      </w:r>
      <w:r w:rsidR="003B3975">
        <w:t>c</w:t>
      </w:r>
      <w:r w:rsidRPr="003453E8">
        <w:t>are services (3%).</w:t>
      </w:r>
    </w:p>
    <w:p w14:paraId="334BAE36" w14:textId="386D6AD0" w:rsidR="00BE2F3C" w:rsidRPr="003453E8" w:rsidRDefault="00917BDF" w:rsidP="003B3975">
      <w:pPr>
        <w:spacing w:line="23" w:lineRule="atLeast"/>
      </w:pPr>
      <w:r w:rsidRPr="003453E8">
        <w:rPr>
          <w:lang w:eastAsia="en-AU"/>
        </w:rPr>
        <w:t xml:space="preserve">Survey </w:t>
      </w:r>
      <w:r w:rsidR="007A5BE4">
        <w:rPr>
          <w:lang w:eastAsia="en-AU"/>
        </w:rPr>
        <w:t>respondents</w:t>
      </w:r>
      <w:r w:rsidR="00BE2F3C" w:rsidRPr="003453E8">
        <w:t xml:space="preserve"> identified </w:t>
      </w:r>
      <w:r w:rsidR="00BE2F3C" w:rsidRPr="003453E8">
        <w:rPr>
          <w:rFonts w:eastAsia="Times New Roman" w:cs="Arial"/>
          <w:bCs/>
          <w:color w:val="000000" w:themeColor="text1"/>
        </w:rPr>
        <w:t>a strong preference for training embedded into workplace practice, so workplace systems and information resources provided ready access to reinforce both knowledge and behaviours.</w:t>
      </w:r>
    </w:p>
    <w:p w14:paraId="79672BCD" w14:textId="175E558E" w:rsidR="00BE2F3C" w:rsidRPr="003453E8" w:rsidRDefault="00BE2F3C" w:rsidP="003B3975">
      <w:pPr>
        <w:spacing w:line="23" w:lineRule="atLeast"/>
      </w:pPr>
      <w:r w:rsidRPr="003453E8">
        <w:rPr>
          <w:bCs/>
        </w:rPr>
        <w:t xml:space="preserve">The needs analysis </w:t>
      </w:r>
      <w:r w:rsidR="00C41DB5" w:rsidRPr="003453E8">
        <w:rPr>
          <w:bCs/>
        </w:rPr>
        <w:t xml:space="preserve">in Phase One </w:t>
      </w:r>
      <w:r w:rsidRPr="003453E8">
        <w:rPr>
          <w:bCs/>
        </w:rPr>
        <w:t xml:space="preserve">concluded that </w:t>
      </w:r>
      <w:r w:rsidRPr="003453E8">
        <w:t>training for primary health care professionals should</w:t>
      </w:r>
      <w:r w:rsidR="003B3975">
        <w:t>:</w:t>
      </w:r>
    </w:p>
    <w:p w14:paraId="06083DAE" w14:textId="77777777" w:rsidR="00BE2F3C" w:rsidRPr="003453E8" w:rsidRDefault="00BE2F3C" w:rsidP="002E7F8F">
      <w:pPr>
        <w:pStyle w:val="ListParagraph"/>
        <w:numPr>
          <w:ilvl w:val="0"/>
          <w:numId w:val="30"/>
        </w:numPr>
        <w:spacing w:line="23" w:lineRule="atLeast"/>
        <w:ind w:left="1080"/>
      </w:pPr>
      <w:r w:rsidRPr="003453E8">
        <w:t>For all health professional groups (GPs, nurses and IHWs)</w:t>
      </w:r>
    </w:p>
    <w:p w14:paraId="0532E666" w14:textId="618B1F20" w:rsidR="00BE2F3C" w:rsidRPr="003453E8" w:rsidRDefault="00BE2F3C" w:rsidP="002E7F8F">
      <w:pPr>
        <w:pStyle w:val="ListParagraph"/>
        <w:numPr>
          <w:ilvl w:val="0"/>
          <w:numId w:val="35"/>
        </w:numPr>
        <w:spacing w:line="23" w:lineRule="atLeast"/>
        <w:ind w:left="1800"/>
      </w:pPr>
      <w:r w:rsidRPr="003453E8">
        <w:t>address the need to have</w:t>
      </w:r>
      <w:r w:rsidR="003B3975">
        <w:t xml:space="preserve"> </w:t>
      </w:r>
      <w:r w:rsidRPr="003453E8">
        <w:t>information</w:t>
      </w:r>
      <w:r w:rsidR="003B3975">
        <w:t xml:space="preserve"> </w:t>
      </w:r>
      <w:r w:rsidRPr="003453E8">
        <w:t xml:space="preserve">about bowel screening (symptoms, referral pathways, etc) </w:t>
      </w:r>
      <w:r w:rsidR="003B3975">
        <w:t xml:space="preserve">at hand, through </w:t>
      </w:r>
      <w:r w:rsidRPr="003453E8">
        <w:t xml:space="preserve">provision of online and hard copy </w:t>
      </w:r>
      <w:r w:rsidR="003B3975">
        <w:t>resources</w:t>
      </w:r>
      <w:r w:rsidRPr="003453E8">
        <w:t xml:space="preserve"> (hard copy: a flip card describing the key information)</w:t>
      </w:r>
    </w:p>
    <w:p w14:paraId="0CBD94A6" w14:textId="2838E9EC" w:rsidR="00BE2F3C" w:rsidRPr="003453E8" w:rsidRDefault="00BE2F3C" w:rsidP="002E7F8F">
      <w:pPr>
        <w:pStyle w:val="ListParagraph"/>
        <w:numPr>
          <w:ilvl w:val="0"/>
          <w:numId w:val="35"/>
        </w:numPr>
        <w:spacing w:line="23" w:lineRule="atLeast"/>
        <w:ind w:left="1800"/>
      </w:pPr>
      <w:r w:rsidRPr="003453E8">
        <w:t>incorporate bowel screening reminders or triggers into health service practice by</w:t>
      </w:r>
      <w:r w:rsidR="00CB6337">
        <w:t>, for example:</w:t>
      </w:r>
      <w:r w:rsidRPr="003453E8">
        <w:t xml:space="preserve"> increas</w:t>
      </w:r>
      <w:r w:rsidR="00F2654D">
        <w:t>ed</w:t>
      </w:r>
      <w:r w:rsidRPr="003453E8">
        <w:t xml:space="preserve"> emphasis in </w:t>
      </w:r>
      <w:r w:rsidR="003B3975">
        <w:t>a</w:t>
      </w:r>
      <w:r w:rsidRPr="003453E8">
        <w:t>dult/</w:t>
      </w:r>
      <w:r w:rsidR="003B3975">
        <w:t>o</w:t>
      </w:r>
      <w:r w:rsidRPr="003453E8">
        <w:t xml:space="preserve">lder person health checks, and/or through </w:t>
      </w:r>
      <w:r w:rsidR="00CB6337">
        <w:t xml:space="preserve">the </w:t>
      </w:r>
      <w:r w:rsidRPr="003453E8">
        <w:t>clinical information system</w:t>
      </w:r>
    </w:p>
    <w:p w14:paraId="5FFC639E" w14:textId="67B27289" w:rsidR="00BE2F3C" w:rsidRDefault="00CB6337" w:rsidP="002E7F8F">
      <w:pPr>
        <w:pStyle w:val="ListParagraph"/>
        <w:numPr>
          <w:ilvl w:val="0"/>
          <w:numId w:val="35"/>
        </w:numPr>
        <w:spacing w:line="23" w:lineRule="atLeast"/>
        <w:ind w:left="1800"/>
      </w:pPr>
      <w:r>
        <w:t>i</w:t>
      </w:r>
      <w:r w:rsidR="003B3975">
        <w:t>nclude m</w:t>
      </w:r>
      <w:r w:rsidR="00BE2F3C" w:rsidRPr="003453E8">
        <w:t>otivational messages about the importance of bowel screening for Indigenous patients and the role of primary health care professionals in promoting screening through the NBCSP</w:t>
      </w:r>
      <w:r>
        <w:t>,</w:t>
      </w:r>
      <w:r w:rsidR="00BE2F3C" w:rsidRPr="003453E8">
        <w:t xml:space="preserve"> through posters, social media and consumer resources, as well as training materials.</w:t>
      </w:r>
    </w:p>
    <w:p w14:paraId="6A80E339" w14:textId="77777777" w:rsidR="003B3975" w:rsidRPr="003453E8" w:rsidRDefault="003B3975" w:rsidP="009039E8">
      <w:pPr>
        <w:pStyle w:val="ListParagraph"/>
        <w:numPr>
          <w:ilvl w:val="0"/>
          <w:numId w:val="0"/>
        </w:numPr>
        <w:spacing w:line="23" w:lineRule="atLeast"/>
        <w:ind w:left="1800"/>
      </w:pPr>
    </w:p>
    <w:p w14:paraId="2417D884" w14:textId="77777777" w:rsidR="00CB6337" w:rsidRDefault="00BE2F3C" w:rsidP="002E7F8F">
      <w:pPr>
        <w:pStyle w:val="ListParagraph"/>
        <w:numPr>
          <w:ilvl w:val="1"/>
          <w:numId w:val="31"/>
        </w:numPr>
        <w:spacing w:line="23" w:lineRule="atLeast"/>
        <w:ind w:left="1080"/>
      </w:pPr>
      <w:r w:rsidRPr="003453E8">
        <w:t xml:space="preserve">For IHWs, additional training should be available to address their expressed need for knowledge about bowel cancer and the bowel screening program; with a focus on building confidence to talk with their patients about bowel screening. </w:t>
      </w:r>
    </w:p>
    <w:p w14:paraId="63733C94" w14:textId="77777777" w:rsidR="00CB6337" w:rsidRDefault="00CB6337" w:rsidP="00CB6337">
      <w:pPr>
        <w:pStyle w:val="ListParagraph"/>
        <w:numPr>
          <w:ilvl w:val="0"/>
          <w:numId w:val="0"/>
        </w:numPr>
        <w:spacing w:line="23" w:lineRule="atLeast"/>
      </w:pPr>
    </w:p>
    <w:p w14:paraId="708690E4" w14:textId="0E89EA6E" w:rsidR="00BE2F3C" w:rsidRPr="003453E8" w:rsidRDefault="00F2654D" w:rsidP="00CB6337">
      <w:pPr>
        <w:pStyle w:val="ListParagraph"/>
        <w:numPr>
          <w:ilvl w:val="0"/>
          <w:numId w:val="0"/>
        </w:numPr>
        <w:spacing w:line="23" w:lineRule="atLeast"/>
      </w:pPr>
      <w:r>
        <w:t>Training</w:t>
      </w:r>
      <w:r w:rsidR="00BE2F3C" w:rsidRPr="003453E8">
        <w:t xml:space="preserve"> should be available through a half to one-day face-to-face workshop, with the same content available in an online module, or content slides that could be delivered locally or via a webinar.</w:t>
      </w:r>
    </w:p>
    <w:p w14:paraId="1F4B8BB0" w14:textId="77777777" w:rsidR="0081472C" w:rsidRDefault="0081472C">
      <w:pPr>
        <w:spacing w:before="0" w:after="0" w:line="240" w:lineRule="auto"/>
      </w:pPr>
      <w:bookmarkStart w:id="52" w:name="_Toc44339176"/>
    </w:p>
    <w:p w14:paraId="4CE4DA38" w14:textId="669E83EF" w:rsidR="00B86861" w:rsidRDefault="00B86861">
      <w:pPr>
        <w:spacing w:before="0" w:after="0" w:line="240" w:lineRule="auto"/>
        <w:rPr>
          <w:rFonts w:asciiTheme="majorHAnsi" w:eastAsiaTheme="majorEastAsia" w:hAnsiTheme="majorHAnsi" w:cstheme="majorBidi"/>
          <w:b/>
          <w:color w:val="C45911" w:themeColor="accent2" w:themeShade="BF"/>
          <w:sz w:val="48"/>
          <w:szCs w:val="32"/>
          <w:lang w:eastAsia="en-AU"/>
        </w:rPr>
      </w:pPr>
      <w:r>
        <w:br w:type="page"/>
      </w:r>
    </w:p>
    <w:p w14:paraId="22497E01" w14:textId="2C582735" w:rsidR="00877DBF" w:rsidRPr="00AC1777" w:rsidRDefault="00D27E8F" w:rsidP="00510A67">
      <w:pPr>
        <w:pStyle w:val="Heading1"/>
      </w:pPr>
      <w:bookmarkStart w:id="53" w:name="_Toc45539247"/>
      <w:bookmarkStart w:id="54" w:name="_Toc54954834"/>
      <w:r>
        <w:lastRenderedPageBreak/>
        <w:t xml:space="preserve">3. </w:t>
      </w:r>
      <w:r w:rsidR="00272E8C">
        <w:t xml:space="preserve">THE </w:t>
      </w:r>
      <w:r w:rsidR="00877DBF">
        <w:t>NATIONAL INDIGENOUS BOWEL SCREENING PILOT</w:t>
      </w:r>
      <w:bookmarkEnd w:id="52"/>
      <w:bookmarkEnd w:id="53"/>
      <w:bookmarkEnd w:id="54"/>
      <w:r w:rsidR="00877DBF" w:rsidRPr="00AC1777">
        <w:t xml:space="preserve">  </w:t>
      </w:r>
    </w:p>
    <w:p w14:paraId="77DE4599" w14:textId="5F40E493" w:rsidR="00714BB8" w:rsidRPr="00E17DAA" w:rsidRDefault="00714BB8" w:rsidP="00070C12">
      <w:pPr>
        <w:pStyle w:val="Heading2"/>
      </w:pPr>
      <w:bookmarkStart w:id="55" w:name="_Toc44339177"/>
      <w:bookmarkStart w:id="56" w:name="_Toc45539248"/>
      <w:bookmarkStart w:id="57" w:name="_Toc54954835"/>
      <w:r>
        <w:t>3.1 Pilot aim</w:t>
      </w:r>
      <w:bookmarkEnd w:id="55"/>
      <w:bookmarkEnd w:id="56"/>
      <w:r w:rsidR="00FC307E">
        <w:t>s</w:t>
      </w:r>
      <w:bookmarkEnd w:id="57"/>
      <w:r w:rsidRPr="00AD3203">
        <w:t xml:space="preserve"> </w:t>
      </w:r>
    </w:p>
    <w:bookmarkEnd w:id="46"/>
    <w:bookmarkEnd w:id="47"/>
    <w:bookmarkEnd w:id="48"/>
    <w:p w14:paraId="4138B780" w14:textId="654C37CA" w:rsidR="006052C9" w:rsidRDefault="00BC3995" w:rsidP="006052C9">
      <w:pPr>
        <w:rPr>
          <w:rFonts w:cstheme="minorHAnsi"/>
        </w:rPr>
      </w:pPr>
      <w:r w:rsidRPr="00874345">
        <w:rPr>
          <w:rFonts w:cstheme="minorHAnsi"/>
        </w:rPr>
        <w:t xml:space="preserve">The </w:t>
      </w:r>
      <w:r w:rsidRPr="00874345">
        <w:rPr>
          <w:rFonts w:cstheme="minorHAnsi"/>
          <w:i/>
          <w:iCs/>
        </w:rPr>
        <w:t>National Indigenous Bowel Screening Pilot</w:t>
      </w:r>
      <w:r w:rsidRPr="00874345">
        <w:rPr>
          <w:rFonts w:cstheme="minorHAnsi"/>
        </w:rPr>
        <w:t xml:space="preserve"> </w:t>
      </w:r>
      <w:r>
        <w:rPr>
          <w:rFonts w:cstheme="minorHAnsi"/>
        </w:rPr>
        <w:t>(the Pilot) r</w:t>
      </w:r>
      <w:r w:rsidRPr="00874345">
        <w:rPr>
          <w:rFonts w:cstheme="minorHAnsi"/>
        </w:rPr>
        <w:t xml:space="preserve">an from 1 November 2018 to 31 October 2019. </w:t>
      </w:r>
      <w:r w:rsidR="00396396">
        <w:rPr>
          <w:rFonts w:cstheme="minorHAnsi"/>
        </w:rPr>
        <w:t xml:space="preserve"> </w:t>
      </w:r>
      <w:r w:rsidR="006052C9" w:rsidRPr="00874345">
        <w:rPr>
          <w:rFonts w:cstheme="minorHAnsi"/>
        </w:rPr>
        <w:t>The primary aim of the Pilot was to test whether an Alternative Pathway for the NBCSP via primary health care centres would increase screening participation rates for eligible Indigenous Australians, compared with those invited via the usual NBCSP direct mail approach.</w:t>
      </w:r>
      <w:r w:rsidR="00D26333">
        <w:rPr>
          <w:rStyle w:val="FootnoteReference"/>
          <w:rFonts w:cstheme="minorHAnsi"/>
        </w:rPr>
        <w:footnoteReference w:id="18"/>
      </w:r>
      <w:r w:rsidR="00FC307E">
        <w:rPr>
          <w:rFonts w:cstheme="minorHAnsi"/>
        </w:rPr>
        <w:t xml:space="preserve"> </w:t>
      </w:r>
      <w:r w:rsidR="006052C9" w:rsidRPr="00874345">
        <w:rPr>
          <w:rFonts w:cstheme="minorHAnsi"/>
        </w:rPr>
        <w:t>A secondary aim of the Pilot was to explore whether the level of support provided to participating health centres affected their implementation of the Alternative Pathway and</w:t>
      </w:r>
      <w:r w:rsidR="00E539AA" w:rsidRPr="00874345">
        <w:rPr>
          <w:rFonts w:cstheme="minorHAnsi"/>
        </w:rPr>
        <w:t>,</w:t>
      </w:r>
      <w:r w:rsidR="006052C9" w:rsidRPr="00874345">
        <w:rPr>
          <w:rFonts w:cstheme="minorHAnsi"/>
        </w:rPr>
        <w:t xml:space="preserve"> therefore</w:t>
      </w:r>
      <w:r w:rsidR="00E539AA" w:rsidRPr="00874345">
        <w:rPr>
          <w:rFonts w:cstheme="minorHAnsi"/>
        </w:rPr>
        <w:t>,</w:t>
      </w:r>
      <w:r w:rsidR="006052C9" w:rsidRPr="00874345">
        <w:rPr>
          <w:rFonts w:cstheme="minorHAnsi"/>
        </w:rPr>
        <w:t xml:space="preserve"> screening participation rates.</w:t>
      </w:r>
    </w:p>
    <w:p w14:paraId="03E6189C" w14:textId="77777777" w:rsidR="001538B2" w:rsidRDefault="001538B2" w:rsidP="00070C12">
      <w:pPr>
        <w:pStyle w:val="Heading2"/>
      </w:pPr>
      <w:bookmarkStart w:id="58" w:name="_Toc44339178"/>
      <w:bookmarkStart w:id="59" w:name="_Toc45539249"/>
      <w:bookmarkStart w:id="60" w:name="_Toc54954836"/>
      <w:r>
        <w:t>3.2 The Alternative Pathway</w:t>
      </w:r>
      <w:bookmarkEnd w:id="58"/>
      <w:bookmarkEnd w:id="59"/>
      <w:bookmarkEnd w:id="60"/>
    </w:p>
    <w:p w14:paraId="65F0BB80" w14:textId="5404DE00" w:rsidR="0077118B" w:rsidRDefault="009360E2" w:rsidP="006052C9">
      <w:pPr>
        <w:rPr>
          <w:rFonts w:cstheme="minorHAnsi"/>
        </w:rPr>
      </w:pPr>
      <w:r w:rsidRPr="00874345">
        <w:rPr>
          <w:rFonts w:cstheme="minorHAnsi"/>
        </w:rPr>
        <w:t xml:space="preserve">The Alternative Pathway </w:t>
      </w:r>
      <w:r w:rsidR="001538B2">
        <w:rPr>
          <w:rFonts w:cstheme="minorHAnsi"/>
        </w:rPr>
        <w:t>offered</w:t>
      </w:r>
      <w:r w:rsidRPr="00874345">
        <w:rPr>
          <w:rFonts w:cstheme="minorHAnsi"/>
        </w:rPr>
        <w:t xml:space="preserve"> another option for Indigenous people to engage with the NBCSP.</w:t>
      </w:r>
      <w:r w:rsidR="001538B2">
        <w:rPr>
          <w:rFonts w:cstheme="minorHAnsi"/>
        </w:rPr>
        <w:t xml:space="preserve"> </w:t>
      </w:r>
      <w:r w:rsidR="007076F5">
        <w:rPr>
          <w:rFonts w:cstheme="minorHAnsi"/>
        </w:rPr>
        <w:t>In</w:t>
      </w:r>
      <w:r w:rsidRPr="00874345">
        <w:rPr>
          <w:rFonts w:cstheme="minorHAnsi"/>
        </w:rPr>
        <w:t xml:space="preserve"> the Alternative Pathway, </w:t>
      </w:r>
      <w:r w:rsidRPr="00874345">
        <w:rPr>
          <w:rFonts w:cstheme="minorHAnsi"/>
          <w:bCs/>
        </w:rPr>
        <w:t>primary health care centres</w:t>
      </w:r>
      <w:r w:rsidRPr="00874345">
        <w:rPr>
          <w:rFonts w:cstheme="minorHAnsi"/>
        </w:rPr>
        <w:t xml:space="preserve"> promoted the NBCSP to their eligible Indigenous patients, distributed NBCSP screening kits, and supported patients to participate in bowel screening. Health centres were given the flexibility to incorporate bowel screening into their practice to suit their local circumstances and were encouraged to embed NBCSP bowel screening as routine practice.</w:t>
      </w:r>
    </w:p>
    <w:p w14:paraId="4C20AB29" w14:textId="208D3280" w:rsidR="001538B2" w:rsidRDefault="001538B2" w:rsidP="006052C9">
      <w:pPr>
        <w:rPr>
          <w:rFonts w:cstheme="minorHAnsi"/>
        </w:rPr>
      </w:pPr>
      <w:r>
        <w:rPr>
          <w:rFonts w:cstheme="minorHAnsi"/>
        </w:rPr>
        <w:t>The Alternative Pathway was not intended to replace the NBCSP’s usual mail-out pathway</w:t>
      </w:r>
      <w:r w:rsidR="006C6838">
        <w:rPr>
          <w:rFonts w:cstheme="minorHAnsi"/>
        </w:rPr>
        <w:t xml:space="preserve">, but to offer a more </w:t>
      </w:r>
      <w:r w:rsidR="00D26A7C">
        <w:rPr>
          <w:rFonts w:cstheme="minorHAnsi"/>
        </w:rPr>
        <w:t>user-friendly</w:t>
      </w:r>
      <w:r w:rsidR="006C6838">
        <w:rPr>
          <w:rFonts w:cstheme="minorHAnsi"/>
        </w:rPr>
        <w:t xml:space="preserve"> way of engaging with the program</w:t>
      </w:r>
      <w:r>
        <w:rPr>
          <w:rFonts w:cstheme="minorHAnsi"/>
        </w:rPr>
        <w:t>. Patients at participating health centres could still complete their screening through the usual pathway if the</w:t>
      </w:r>
      <w:r w:rsidR="006C6838">
        <w:rPr>
          <w:rFonts w:cstheme="minorHAnsi"/>
        </w:rPr>
        <w:t xml:space="preserve">y had received a kit through the mail. Unless a patient completed a test through the Alternative Pathway, they would continue to receive invitations to screen through the usual pathway. </w:t>
      </w:r>
    </w:p>
    <w:p w14:paraId="568C6D9F" w14:textId="77777777" w:rsidR="004F4922" w:rsidRDefault="004F4922" w:rsidP="00070C12">
      <w:pPr>
        <w:pStyle w:val="Heading2"/>
      </w:pPr>
      <w:bookmarkStart w:id="61" w:name="_Toc44339179"/>
      <w:bookmarkStart w:id="62" w:name="_Toc45539250"/>
      <w:bookmarkStart w:id="63" w:name="_Toc54954837"/>
      <w:r>
        <w:t>3.3 Administration of the Alternative Pathway</w:t>
      </w:r>
      <w:bookmarkEnd w:id="61"/>
      <w:bookmarkEnd w:id="62"/>
      <w:bookmarkEnd w:id="63"/>
      <w:r>
        <w:t xml:space="preserve"> </w:t>
      </w:r>
    </w:p>
    <w:p w14:paraId="1D1EBB0D" w14:textId="3C1D5FA1" w:rsidR="00A91721" w:rsidRDefault="00A91721" w:rsidP="004257B1">
      <w:pPr>
        <w:pStyle w:val="Heading4"/>
      </w:pPr>
      <w:r w:rsidRPr="00A91721">
        <w:t xml:space="preserve">Online </w:t>
      </w:r>
      <w:r w:rsidR="00D1628A">
        <w:t>P</w:t>
      </w:r>
      <w:r w:rsidRPr="00A91721">
        <w:t xml:space="preserve">articipant </w:t>
      </w:r>
      <w:r w:rsidR="00D1628A">
        <w:t>D</w:t>
      </w:r>
      <w:r w:rsidRPr="00A91721">
        <w:t xml:space="preserve">etails </w:t>
      </w:r>
      <w:r w:rsidR="00842FF9">
        <w:t>Form</w:t>
      </w:r>
    </w:p>
    <w:p w14:paraId="5CB155AF" w14:textId="572C397E" w:rsidR="004F4922" w:rsidRDefault="000039DA" w:rsidP="004F4922">
      <w:pPr>
        <w:rPr>
          <w:rFonts w:cstheme="minorHAnsi"/>
        </w:rPr>
      </w:pPr>
      <w:r>
        <w:rPr>
          <w:rFonts w:cstheme="minorHAnsi"/>
        </w:rPr>
        <w:t>D</w:t>
      </w:r>
      <w:r w:rsidR="004F4922">
        <w:rPr>
          <w:rFonts w:cstheme="minorHAnsi"/>
        </w:rPr>
        <w:t>elays in completion of the NCS</w:t>
      </w:r>
      <w:r w:rsidR="006065AE">
        <w:rPr>
          <w:rFonts w:cstheme="minorHAnsi"/>
        </w:rPr>
        <w:t>R</w:t>
      </w:r>
      <w:r w:rsidR="004F4922">
        <w:rPr>
          <w:rFonts w:cstheme="minorHAnsi"/>
        </w:rPr>
        <w:t xml:space="preserve"> meant a temporary workaround was needed for administration of the Alternative Pathway. </w:t>
      </w:r>
      <w:r w:rsidR="00147E57">
        <w:rPr>
          <w:rFonts w:cstheme="minorHAnsi"/>
        </w:rPr>
        <w:t xml:space="preserve">The Department of </w:t>
      </w:r>
      <w:r w:rsidR="004F4922" w:rsidRPr="00874345">
        <w:rPr>
          <w:rFonts w:cstheme="minorHAnsi"/>
        </w:rPr>
        <w:t xml:space="preserve">Health worked with the then Department of Human Services (DHS) and Menzies to develop and test a secure </w:t>
      </w:r>
      <w:r w:rsidR="00725D57">
        <w:rPr>
          <w:rFonts w:cstheme="minorHAnsi"/>
        </w:rPr>
        <w:t>o</w:t>
      </w:r>
      <w:r w:rsidR="004F4922" w:rsidRPr="00874345">
        <w:rPr>
          <w:rFonts w:cstheme="minorHAnsi"/>
        </w:rPr>
        <w:t xml:space="preserve">nline </w:t>
      </w:r>
      <w:proofErr w:type="spellStart"/>
      <w:r w:rsidR="004F4922" w:rsidRPr="00874345">
        <w:rPr>
          <w:rFonts w:cstheme="minorHAnsi"/>
        </w:rPr>
        <w:t>Smart</w:t>
      </w:r>
      <w:r w:rsidR="00842FF9">
        <w:rPr>
          <w:rFonts w:cstheme="minorHAnsi"/>
        </w:rPr>
        <w:t>Form</w:t>
      </w:r>
      <w:proofErr w:type="spellEnd"/>
      <w:r w:rsidR="004F4922" w:rsidRPr="00874345">
        <w:rPr>
          <w:rFonts w:cstheme="minorHAnsi"/>
        </w:rPr>
        <w:t xml:space="preserve"> by which primary health care practitioners could provide in</w:t>
      </w:r>
      <w:r w:rsidR="00842FF9">
        <w:rPr>
          <w:rFonts w:cstheme="minorHAnsi"/>
        </w:rPr>
        <w:t>form</w:t>
      </w:r>
      <w:r w:rsidR="004F4922" w:rsidRPr="00874345">
        <w:rPr>
          <w:rFonts w:cstheme="minorHAnsi"/>
        </w:rPr>
        <w:t>ation to the NBCS</w:t>
      </w:r>
      <w:r w:rsidR="00232D2A">
        <w:rPr>
          <w:rFonts w:cstheme="minorHAnsi"/>
        </w:rPr>
        <w:t>P</w:t>
      </w:r>
      <w:r w:rsidR="004F4922" w:rsidRPr="00874345">
        <w:rPr>
          <w:rFonts w:cstheme="minorHAnsi"/>
        </w:rPr>
        <w:t>.</w:t>
      </w:r>
      <w:r>
        <w:rPr>
          <w:rFonts w:cstheme="minorHAnsi"/>
        </w:rPr>
        <w:t xml:space="preserve"> </w:t>
      </w:r>
    </w:p>
    <w:p w14:paraId="1A310F8A" w14:textId="6FAEF523" w:rsidR="004F4922" w:rsidRPr="00874345" w:rsidRDefault="006065AE" w:rsidP="004F4922">
      <w:pPr>
        <w:rPr>
          <w:rFonts w:cstheme="minorHAnsi"/>
        </w:rPr>
      </w:pPr>
      <w:r>
        <w:rPr>
          <w:rFonts w:cstheme="minorHAnsi"/>
        </w:rPr>
        <w:lastRenderedPageBreak/>
        <w:t>T</w:t>
      </w:r>
      <w:r w:rsidR="004F4922" w:rsidRPr="00725D57">
        <w:rPr>
          <w:rFonts w:cstheme="minorHAnsi"/>
        </w:rPr>
        <w:t xml:space="preserve">he Participant Details (Health Centre Initiated) </w:t>
      </w:r>
      <w:r w:rsidR="00842FF9">
        <w:rPr>
          <w:rFonts w:cstheme="minorHAnsi"/>
        </w:rPr>
        <w:t>Form</w:t>
      </w:r>
      <w:r w:rsidR="004F4922" w:rsidRPr="00874345">
        <w:rPr>
          <w:rFonts w:cstheme="minorHAnsi"/>
        </w:rPr>
        <w:t xml:space="preserve"> – allowed practitioners to report to the DHS by completing Part A of the </w:t>
      </w:r>
      <w:r w:rsidR="00842FF9">
        <w:rPr>
          <w:rFonts w:cstheme="minorHAnsi"/>
        </w:rPr>
        <w:t>Form</w:t>
      </w:r>
      <w:r w:rsidR="004F4922" w:rsidRPr="00874345">
        <w:rPr>
          <w:rFonts w:cstheme="minorHAnsi"/>
        </w:rPr>
        <w:t xml:space="preserve"> for each client invited to screen, and then to print the whole </w:t>
      </w:r>
      <w:r w:rsidR="00842FF9">
        <w:rPr>
          <w:rFonts w:cstheme="minorHAnsi"/>
        </w:rPr>
        <w:t>Form</w:t>
      </w:r>
      <w:r w:rsidR="004F4922" w:rsidRPr="00874345">
        <w:rPr>
          <w:rFonts w:cstheme="minorHAnsi"/>
        </w:rPr>
        <w:t xml:space="preserve"> (Part A and Part B) for any client who agreed to accept a screening kit. The </w:t>
      </w:r>
      <w:r w:rsidR="00842FF9">
        <w:rPr>
          <w:rFonts w:cstheme="minorHAnsi"/>
        </w:rPr>
        <w:t>Form</w:t>
      </w:r>
      <w:r w:rsidR="004F4922" w:rsidRPr="00874345">
        <w:rPr>
          <w:rFonts w:cstheme="minorHAnsi"/>
        </w:rPr>
        <w:t xml:space="preserve"> was included when the samples were returned for testing to the NBCSP’s contract pathology provider (Sonic Healthcare). </w:t>
      </w:r>
    </w:p>
    <w:p w14:paraId="14B09D3A" w14:textId="45717E23" w:rsidR="004F4922" w:rsidRDefault="004F4922" w:rsidP="004F4922">
      <w:r w:rsidRPr="00874345">
        <w:rPr>
          <w:rFonts w:cstheme="minorHAnsi"/>
        </w:rPr>
        <w:t xml:space="preserve">The DHS set up a National Indigenous Bowel Screening Pilot Helpline to liaise with </w:t>
      </w:r>
      <w:r w:rsidRPr="00874345">
        <w:rPr>
          <w:rFonts w:cstheme="minorHAnsi"/>
          <w:bCs/>
        </w:rPr>
        <w:t xml:space="preserve">Pilot health centres </w:t>
      </w:r>
      <w:r w:rsidRPr="00874345">
        <w:rPr>
          <w:rFonts w:cstheme="minorHAnsi"/>
        </w:rPr>
        <w:t xml:space="preserve">about the </w:t>
      </w:r>
      <w:proofErr w:type="spellStart"/>
      <w:r w:rsidRPr="00874345">
        <w:rPr>
          <w:rFonts w:cstheme="minorHAnsi"/>
        </w:rPr>
        <w:t>Smart</w:t>
      </w:r>
      <w:r w:rsidR="00842FF9">
        <w:rPr>
          <w:rFonts w:cstheme="minorHAnsi"/>
        </w:rPr>
        <w:t>Form</w:t>
      </w:r>
      <w:proofErr w:type="spellEnd"/>
      <w:r w:rsidRPr="00874345">
        <w:rPr>
          <w:rFonts w:cstheme="minorHAnsi"/>
        </w:rPr>
        <w:t xml:space="preserve"> or any other issues related to clients and the Register. </w:t>
      </w:r>
      <w:r w:rsidRPr="00AD3203">
        <w:t xml:space="preserve"> </w:t>
      </w:r>
    </w:p>
    <w:p w14:paraId="47AB871C" w14:textId="2450B88C" w:rsidR="00F409A3" w:rsidRDefault="00FC307E" w:rsidP="00366EAB">
      <w:pPr>
        <w:pStyle w:val="Heading3"/>
      </w:pPr>
      <w:bookmarkStart w:id="64" w:name="_Toc44279063"/>
      <w:bookmarkStart w:id="65" w:name="_Toc44339180"/>
      <w:bookmarkStart w:id="66" w:name="_Toc44361545"/>
      <w:r>
        <w:t xml:space="preserve">Bowel Screening </w:t>
      </w:r>
      <w:r w:rsidR="00F409A3">
        <w:t>Kits</w:t>
      </w:r>
      <w:bookmarkEnd w:id="64"/>
      <w:bookmarkEnd w:id="65"/>
      <w:bookmarkEnd w:id="66"/>
    </w:p>
    <w:p w14:paraId="6E900E4F" w14:textId="5FEA298A" w:rsidR="008A6AB0" w:rsidRDefault="008A6AB0" w:rsidP="008A6AB0">
      <w:r w:rsidRPr="008A6AB0">
        <w:t xml:space="preserve">The kits given out by participating health centres were the same as those used in the usual pathway, with the addition of a colourful sticker applied to the front of the kit. The sticker featured Indigenous design work and messaging that had been tested </w:t>
      </w:r>
      <w:r w:rsidR="004257B1">
        <w:t xml:space="preserve">through focus groups across the country </w:t>
      </w:r>
      <w:r w:rsidR="004C2AFB">
        <w:t xml:space="preserve">and found </w:t>
      </w:r>
      <w:r w:rsidRPr="008A6AB0">
        <w:t>to resonate with Indigenous people in the eligible age group</w:t>
      </w:r>
      <w:r w:rsidR="004C2AFB">
        <w:rPr>
          <w:rStyle w:val="FootnoteReference"/>
        </w:rPr>
        <w:footnoteReference w:id="19"/>
      </w:r>
      <w:r w:rsidRPr="008A6AB0">
        <w:t>.</w:t>
      </w:r>
    </w:p>
    <w:p w14:paraId="53C60DCE" w14:textId="0FAC157C" w:rsidR="00232D2A" w:rsidRDefault="008A6AB0" w:rsidP="008A6AB0">
      <w:pPr>
        <w:rPr>
          <w:rFonts w:ascii="Calibri" w:hAnsi="Calibri" w:cs="Calibri"/>
          <w:color w:val="000000"/>
          <w:szCs w:val="22"/>
          <w:lang w:val="en-US"/>
        </w:rPr>
      </w:pPr>
      <w:r w:rsidRPr="008A6AB0">
        <w:rPr>
          <w:rFonts w:ascii="Calibri" w:hAnsi="Calibri" w:cs="Calibri"/>
          <w:color w:val="000000"/>
        </w:rPr>
        <w:t>Sonic Healthcare</w:t>
      </w:r>
      <w:r w:rsidRPr="008A6AB0">
        <w:rPr>
          <w:rFonts w:ascii="Calibri" w:hAnsi="Calibri" w:cs="Calibri"/>
          <w:color w:val="000000"/>
          <w:szCs w:val="22"/>
          <w:lang w:val="en-US"/>
        </w:rPr>
        <w:t xml:space="preserve"> distributed NBCSP kits to </w:t>
      </w:r>
      <w:r w:rsidRPr="008A6AB0">
        <w:rPr>
          <w:rFonts w:ascii="Calibri" w:hAnsi="Calibri" w:cs="Calibri"/>
          <w:color w:val="000000"/>
        </w:rPr>
        <w:t xml:space="preserve">Pilot </w:t>
      </w:r>
      <w:r w:rsidRPr="008A6AB0">
        <w:rPr>
          <w:rFonts w:ascii="Calibri" w:hAnsi="Calibri" w:cs="Calibri"/>
          <w:color w:val="000000"/>
          <w:szCs w:val="22"/>
          <w:lang w:val="en-US"/>
        </w:rPr>
        <w:t xml:space="preserve">health </w:t>
      </w:r>
      <w:proofErr w:type="spellStart"/>
      <w:r w:rsidRPr="008A6AB0">
        <w:rPr>
          <w:rFonts w:ascii="Calibri" w:hAnsi="Calibri" w:cs="Calibri"/>
          <w:color w:val="000000"/>
          <w:szCs w:val="22"/>
          <w:lang w:val="en-US"/>
        </w:rPr>
        <w:t>centres</w:t>
      </w:r>
      <w:proofErr w:type="spellEnd"/>
      <w:r w:rsidRPr="008A6AB0">
        <w:rPr>
          <w:rFonts w:ascii="Calibri" w:hAnsi="Calibri" w:cs="Calibri"/>
          <w:color w:val="000000"/>
        </w:rPr>
        <w:t xml:space="preserve">. </w:t>
      </w:r>
      <w:r w:rsidR="00AA04D7" w:rsidRPr="008A6AB0">
        <w:rPr>
          <w:rFonts w:ascii="Calibri" w:hAnsi="Calibri" w:cs="Calibri"/>
          <w:color w:val="000000"/>
        </w:rPr>
        <w:t xml:space="preserve">An initial supply of kits (provided in lots of 30, 60 or 90 – depending on size) </w:t>
      </w:r>
      <w:r>
        <w:rPr>
          <w:rFonts w:ascii="Calibri" w:hAnsi="Calibri" w:cs="Calibri"/>
          <w:color w:val="000000"/>
        </w:rPr>
        <w:t>was</w:t>
      </w:r>
      <w:r w:rsidR="00AA04D7" w:rsidRPr="008A6AB0">
        <w:rPr>
          <w:rFonts w:ascii="Calibri" w:hAnsi="Calibri" w:cs="Calibri"/>
          <w:color w:val="000000"/>
        </w:rPr>
        <w:t xml:space="preserve"> sent to health centres </w:t>
      </w:r>
      <w:r w:rsidR="00F409A3" w:rsidRPr="008A6AB0">
        <w:rPr>
          <w:rFonts w:ascii="Calibri" w:hAnsi="Calibri" w:cs="Calibri"/>
          <w:color w:val="000000"/>
          <w:szCs w:val="22"/>
          <w:lang w:val="en-US"/>
        </w:rPr>
        <w:t xml:space="preserve">once </w:t>
      </w:r>
      <w:r w:rsidR="00AA04D7" w:rsidRPr="008A6AB0">
        <w:rPr>
          <w:rFonts w:ascii="Calibri" w:hAnsi="Calibri" w:cs="Calibri"/>
          <w:color w:val="000000"/>
        </w:rPr>
        <w:t xml:space="preserve">Menzies notified Sonic </w:t>
      </w:r>
      <w:r w:rsidR="00EE499C">
        <w:rPr>
          <w:rFonts w:ascii="Calibri" w:hAnsi="Calibri" w:cs="Calibri"/>
          <w:color w:val="000000"/>
        </w:rPr>
        <w:t xml:space="preserve">Healthcare </w:t>
      </w:r>
      <w:r w:rsidR="00AA04D7" w:rsidRPr="008A6AB0">
        <w:rPr>
          <w:rFonts w:ascii="Calibri" w:hAnsi="Calibri" w:cs="Calibri"/>
          <w:color w:val="000000"/>
        </w:rPr>
        <w:t xml:space="preserve">that the centre had completed the Pilot’s quality and safety process. </w:t>
      </w:r>
      <w:r w:rsidR="00E623FD" w:rsidRPr="008A6AB0">
        <w:rPr>
          <w:rFonts w:ascii="Calibri" w:hAnsi="Calibri" w:cs="Calibri"/>
          <w:color w:val="000000"/>
          <w:szCs w:val="22"/>
          <w:lang w:val="en-US"/>
        </w:rPr>
        <w:t xml:space="preserve">Sonic </w:t>
      </w:r>
      <w:r w:rsidR="00EE499C">
        <w:rPr>
          <w:rFonts w:ascii="Calibri" w:hAnsi="Calibri" w:cs="Calibri"/>
          <w:color w:val="000000"/>
          <w:szCs w:val="22"/>
          <w:lang w:val="en-US"/>
        </w:rPr>
        <w:t xml:space="preserve">Healthcare </w:t>
      </w:r>
      <w:r w:rsidR="00E623FD" w:rsidRPr="008A6AB0">
        <w:rPr>
          <w:rFonts w:ascii="Calibri" w:hAnsi="Calibri" w:cs="Calibri"/>
          <w:color w:val="000000"/>
          <w:szCs w:val="22"/>
          <w:lang w:val="en-US"/>
        </w:rPr>
        <w:t xml:space="preserve">held a supply of NBCSP kits and </w:t>
      </w:r>
      <w:r w:rsidR="00E623FD">
        <w:rPr>
          <w:rFonts w:ascii="Calibri" w:hAnsi="Calibri" w:cs="Calibri"/>
          <w:color w:val="000000"/>
          <w:szCs w:val="22"/>
          <w:lang w:val="en-US"/>
        </w:rPr>
        <w:t>Pilot</w:t>
      </w:r>
      <w:r w:rsidR="00E623FD" w:rsidRPr="008A6AB0">
        <w:rPr>
          <w:rFonts w:ascii="Calibri" w:hAnsi="Calibri" w:cs="Calibri"/>
          <w:color w:val="000000"/>
          <w:szCs w:val="22"/>
          <w:lang w:val="en-US"/>
        </w:rPr>
        <w:t xml:space="preserve"> stickers at their warehouse</w:t>
      </w:r>
      <w:r w:rsidR="00E623FD">
        <w:rPr>
          <w:rFonts w:ascii="Calibri" w:hAnsi="Calibri" w:cs="Calibri"/>
          <w:color w:val="000000"/>
          <w:szCs w:val="22"/>
          <w:lang w:val="en-US"/>
        </w:rPr>
        <w:t xml:space="preserve"> and applied the stickers for an initial shipment to a health </w:t>
      </w:r>
      <w:proofErr w:type="spellStart"/>
      <w:r w:rsidR="00E623FD">
        <w:rPr>
          <w:rFonts w:ascii="Calibri" w:hAnsi="Calibri" w:cs="Calibri"/>
          <w:color w:val="000000"/>
          <w:szCs w:val="22"/>
          <w:lang w:val="en-US"/>
        </w:rPr>
        <w:t>centre</w:t>
      </w:r>
      <w:proofErr w:type="spellEnd"/>
      <w:r w:rsidR="00E623FD">
        <w:rPr>
          <w:rFonts w:ascii="Calibri" w:hAnsi="Calibri" w:cs="Calibri"/>
          <w:color w:val="000000"/>
          <w:szCs w:val="22"/>
          <w:lang w:val="en-US"/>
        </w:rPr>
        <w:t xml:space="preserve">; subsequent shipments would have the stickers supplied but not adhered. </w:t>
      </w:r>
    </w:p>
    <w:p w14:paraId="20E40A8F" w14:textId="6BF292A6" w:rsidR="00F409A3" w:rsidRPr="008A6AB0" w:rsidRDefault="00232D2A" w:rsidP="008A6AB0">
      <w:pPr>
        <w:rPr>
          <w:rFonts w:ascii="Calibri" w:hAnsi="Calibri" w:cs="Calibri"/>
          <w:color w:val="000000"/>
          <w:szCs w:val="22"/>
        </w:rPr>
      </w:pPr>
      <w:r>
        <w:rPr>
          <w:rFonts w:ascii="Calibri" w:hAnsi="Calibri" w:cs="Calibri"/>
          <w:color w:val="000000"/>
        </w:rPr>
        <w:t>For health centres located in hot zones, the kits were supplied when hot zone restrictions ended.</w:t>
      </w:r>
      <w:r>
        <w:rPr>
          <w:rFonts w:ascii="Calibri" w:hAnsi="Calibri" w:cs="Calibri"/>
          <w:color w:val="000000"/>
          <w:szCs w:val="22"/>
          <w:lang w:val="en-US"/>
        </w:rPr>
        <w:t xml:space="preserve"> </w:t>
      </w:r>
      <w:r w:rsidR="008A6AB0">
        <w:rPr>
          <w:rFonts w:ascii="Calibri" w:hAnsi="Calibri" w:cs="Calibri"/>
          <w:color w:val="000000"/>
          <w:szCs w:val="22"/>
          <w:lang w:val="en-US"/>
        </w:rPr>
        <w:t xml:space="preserve">Health </w:t>
      </w:r>
      <w:proofErr w:type="spellStart"/>
      <w:r w:rsidR="008A6AB0">
        <w:rPr>
          <w:rFonts w:ascii="Calibri" w:hAnsi="Calibri" w:cs="Calibri"/>
          <w:color w:val="000000"/>
          <w:szCs w:val="22"/>
          <w:lang w:val="en-US"/>
        </w:rPr>
        <w:t>centres</w:t>
      </w:r>
      <w:proofErr w:type="spellEnd"/>
      <w:r w:rsidR="008A6AB0">
        <w:rPr>
          <w:rFonts w:ascii="Calibri" w:hAnsi="Calibri" w:cs="Calibri"/>
          <w:color w:val="000000"/>
          <w:szCs w:val="22"/>
          <w:lang w:val="en-US"/>
        </w:rPr>
        <w:t xml:space="preserve"> order</w:t>
      </w:r>
      <w:r>
        <w:rPr>
          <w:rFonts w:ascii="Calibri" w:hAnsi="Calibri" w:cs="Calibri"/>
          <w:color w:val="000000"/>
          <w:szCs w:val="22"/>
          <w:lang w:val="en-US"/>
        </w:rPr>
        <w:t>ed</w:t>
      </w:r>
      <w:r w:rsidR="008A6AB0">
        <w:rPr>
          <w:rFonts w:ascii="Calibri" w:hAnsi="Calibri" w:cs="Calibri"/>
          <w:color w:val="000000"/>
          <w:szCs w:val="22"/>
          <w:lang w:val="en-US"/>
        </w:rPr>
        <w:t xml:space="preserve"> additional </w:t>
      </w:r>
      <w:r w:rsidR="00E623FD">
        <w:rPr>
          <w:rFonts w:ascii="Calibri" w:hAnsi="Calibri" w:cs="Calibri"/>
          <w:color w:val="000000"/>
          <w:szCs w:val="22"/>
          <w:lang w:val="en-US"/>
        </w:rPr>
        <w:t xml:space="preserve">kits </w:t>
      </w:r>
      <w:r w:rsidR="00597D4E">
        <w:rPr>
          <w:rFonts w:ascii="Calibri" w:hAnsi="Calibri" w:cs="Calibri"/>
          <w:color w:val="000000"/>
          <w:szCs w:val="22"/>
          <w:lang w:val="en-US"/>
        </w:rPr>
        <w:t>from Sonic</w:t>
      </w:r>
      <w:r w:rsidR="00EE499C">
        <w:rPr>
          <w:rFonts w:ascii="Calibri" w:hAnsi="Calibri" w:cs="Calibri"/>
          <w:color w:val="000000"/>
          <w:szCs w:val="22"/>
          <w:lang w:val="en-US"/>
        </w:rPr>
        <w:t xml:space="preserve"> Healthcare</w:t>
      </w:r>
      <w:r w:rsidR="00597D4E">
        <w:rPr>
          <w:rFonts w:ascii="Calibri" w:hAnsi="Calibri" w:cs="Calibri"/>
          <w:color w:val="000000"/>
          <w:szCs w:val="22"/>
          <w:lang w:val="en-US"/>
        </w:rPr>
        <w:t xml:space="preserve"> </w:t>
      </w:r>
      <w:r w:rsidR="00E623FD">
        <w:rPr>
          <w:rFonts w:ascii="Calibri" w:hAnsi="Calibri" w:cs="Calibri"/>
          <w:color w:val="000000"/>
          <w:szCs w:val="22"/>
          <w:lang w:val="en-US"/>
        </w:rPr>
        <w:t xml:space="preserve">by </w:t>
      </w:r>
      <w:r w:rsidR="00597D4E">
        <w:rPr>
          <w:rFonts w:ascii="Calibri" w:hAnsi="Calibri" w:cs="Calibri"/>
          <w:color w:val="000000"/>
          <w:szCs w:val="22"/>
          <w:lang w:val="en-US"/>
        </w:rPr>
        <w:t xml:space="preserve">emailing </w:t>
      </w:r>
      <w:r w:rsidR="00F409A3" w:rsidRPr="008A6AB0">
        <w:rPr>
          <w:rFonts w:ascii="Calibri" w:hAnsi="Calibri" w:cs="Calibri"/>
          <w:color w:val="000000"/>
          <w:szCs w:val="22"/>
          <w:lang w:val="en-US"/>
        </w:rPr>
        <w:t xml:space="preserve">the health </w:t>
      </w:r>
      <w:proofErr w:type="spellStart"/>
      <w:r w:rsidR="00F409A3" w:rsidRPr="008A6AB0">
        <w:rPr>
          <w:rFonts w:ascii="Calibri" w:hAnsi="Calibri" w:cs="Calibri"/>
          <w:color w:val="000000"/>
          <w:szCs w:val="22"/>
          <w:lang w:val="en-US"/>
        </w:rPr>
        <w:t>centre</w:t>
      </w:r>
      <w:proofErr w:type="spellEnd"/>
      <w:r w:rsidR="00F409A3" w:rsidRPr="008A6AB0">
        <w:rPr>
          <w:rFonts w:ascii="Calibri" w:hAnsi="Calibri" w:cs="Calibri"/>
          <w:color w:val="000000"/>
          <w:szCs w:val="22"/>
          <w:lang w:val="en-US"/>
        </w:rPr>
        <w:t xml:space="preserve"> name, address, contact person and number of kits required to be sent.  </w:t>
      </w:r>
    </w:p>
    <w:p w14:paraId="4D7C980D" w14:textId="77777777" w:rsidR="00597D4E" w:rsidRDefault="00597D4E" w:rsidP="00366EAB">
      <w:pPr>
        <w:pStyle w:val="Heading3"/>
      </w:pPr>
      <w:bookmarkStart w:id="67" w:name="_Toc44279064"/>
      <w:bookmarkStart w:id="68" w:name="_Toc44339181"/>
      <w:bookmarkStart w:id="69" w:name="_Toc44361546"/>
      <w:r>
        <w:t>Patient results</w:t>
      </w:r>
      <w:bookmarkEnd w:id="67"/>
      <w:bookmarkEnd w:id="68"/>
      <w:bookmarkEnd w:id="69"/>
    </w:p>
    <w:p w14:paraId="652C7F61" w14:textId="3EF0CEDF" w:rsidR="00725D57" w:rsidRDefault="00597D4E" w:rsidP="00F409A3">
      <w:pPr>
        <w:rPr>
          <w:rFonts w:ascii="Calibri" w:hAnsi="Calibri" w:cs="Calibri"/>
          <w:color w:val="000000"/>
          <w:szCs w:val="22"/>
        </w:rPr>
      </w:pPr>
      <w:r>
        <w:rPr>
          <w:rFonts w:ascii="Calibri" w:hAnsi="Calibri" w:cs="Calibri"/>
          <w:color w:val="000000"/>
          <w:szCs w:val="22"/>
        </w:rPr>
        <w:t xml:space="preserve">All NBCSP samples </w:t>
      </w:r>
      <w:r w:rsidR="00725D57">
        <w:rPr>
          <w:rFonts w:ascii="Calibri" w:hAnsi="Calibri" w:cs="Calibri"/>
          <w:color w:val="000000"/>
          <w:szCs w:val="22"/>
        </w:rPr>
        <w:t>we</w:t>
      </w:r>
      <w:r>
        <w:rPr>
          <w:rFonts w:ascii="Calibri" w:hAnsi="Calibri" w:cs="Calibri"/>
          <w:color w:val="000000"/>
          <w:szCs w:val="22"/>
        </w:rPr>
        <w:t>re tested at one of three Sonic Healthcare labs.  Samples received through the Alternative Pathway were tested</w:t>
      </w:r>
      <w:r w:rsidR="00725D57">
        <w:rPr>
          <w:rFonts w:ascii="Calibri" w:hAnsi="Calibri" w:cs="Calibri"/>
          <w:color w:val="000000"/>
          <w:szCs w:val="22"/>
        </w:rPr>
        <w:t xml:space="preserve"> in</w:t>
      </w:r>
      <w:r>
        <w:rPr>
          <w:rFonts w:ascii="Calibri" w:hAnsi="Calibri" w:cs="Calibri"/>
          <w:color w:val="000000"/>
          <w:szCs w:val="22"/>
        </w:rPr>
        <w:t xml:space="preserve"> the same </w:t>
      </w:r>
      <w:r w:rsidR="00725D57">
        <w:rPr>
          <w:rFonts w:ascii="Calibri" w:hAnsi="Calibri" w:cs="Calibri"/>
          <w:color w:val="000000"/>
          <w:szCs w:val="22"/>
        </w:rPr>
        <w:t xml:space="preserve">way </w:t>
      </w:r>
      <w:r>
        <w:rPr>
          <w:rFonts w:ascii="Calibri" w:hAnsi="Calibri" w:cs="Calibri"/>
          <w:color w:val="000000"/>
          <w:szCs w:val="22"/>
        </w:rPr>
        <w:t xml:space="preserve">as any other NBCSP sample. </w:t>
      </w:r>
      <w:r w:rsidR="00725D57">
        <w:rPr>
          <w:rFonts w:ascii="Calibri" w:hAnsi="Calibri" w:cs="Calibri"/>
          <w:color w:val="000000"/>
          <w:szCs w:val="22"/>
        </w:rPr>
        <w:t>However,</w:t>
      </w:r>
      <w:r>
        <w:rPr>
          <w:rFonts w:ascii="Calibri" w:hAnsi="Calibri" w:cs="Calibri"/>
          <w:color w:val="000000"/>
          <w:szCs w:val="22"/>
        </w:rPr>
        <w:t xml:space="preserve"> for Alternative Pathway samples, </w:t>
      </w:r>
      <w:r w:rsidR="000B1FA8">
        <w:rPr>
          <w:rFonts w:ascii="Calibri" w:hAnsi="Calibri" w:cs="Calibri"/>
          <w:color w:val="000000"/>
          <w:szCs w:val="22"/>
        </w:rPr>
        <w:t xml:space="preserve">Sonic </w:t>
      </w:r>
      <w:r w:rsidR="00EE499C">
        <w:rPr>
          <w:rFonts w:ascii="Calibri" w:hAnsi="Calibri" w:cs="Calibri"/>
          <w:color w:val="000000"/>
          <w:szCs w:val="22"/>
        </w:rPr>
        <w:t xml:space="preserve">Healthcare </w:t>
      </w:r>
      <w:r w:rsidR="000B1FA8">
        <w:rPr>
          <w:rFonts w:ascii="Calibri" w:hAnsi="Calibri" w:cs="Calibri"/>
          <w:color w:val="000000"/>
          <w:szCs w:val="22"/>
        </w:rPr>
        <w:t>would mail</w:t>
      </w:r>
      <w:r w:rsidR="00B47421">
        <w:rPr>
          <w:rFonts w:ascii="Calibri" w:hAnsi="Calibri" w:cs="Calibri"/>
          <w:color w:val="000000"/>
          <w:szCs w:val="22"/>
        </w:rPr>
        <w:t xml:space="preserve"> results</w:t>
      </w:r>
      <w:r w:rsidR="000B1FA8">
        <w:rPr>
          <w:rFonts w:ascii="Calibri" w:hAnsi="Calibri" w:cs="Calibri"/>
          <w:color w:val="000000"/>
          <w:szCs w:val="22"/>
        </w:rPr>
        <w:t xml:space="preserve"> to </w:t>
      </w:r>
      <w:r w:rsidR="00F409A3">
        <w:rPr>
          <w:rFonts w:ascii="Calibri" w:hAnsi="Calibri" w:cs="Calibri"/>
          <w:color w:val="000000"/>
          <w:szCs w:val="22"/>
        </w:rPr>
        <w:t xml:space="preserve">both the patient and </w:t>
      </w:r>
      <w:r w:rsidR="000B1FA8">
        <w:rPr>
          <w:rFonts w:ascii="Calibri" w:hAnsi="Calibri" w:cs="Calibri"/>
          <w:color w:val="000000"/>
          <w:szCs w:val="22"/>
        </w:rPr>
        <w:t xml:space="preserve">participating </w:t>
      </w:r>
      <w:r w:rsidR="00F409A3">
        <w:rPr>
          <w:rFonts w:ascii="Calibri" w:hAnsi="Calibri" w:cs="Calibri"/>
          <w:color w:val="000000"/>
          <w:szCs w:val="22"/>
        </w:rPr>
        <w:t>health</w:t>
      </w:r>
      <w:r w:rsidR="00725D57">
        <w:rPr>
          <w:rFonts w:ascii="Calibri" w:hAnsi="Calibri" w:cs="Calibri"/>
          <w:color w:val="000000"/>
          <w:szCs w:val="22"/>
        </w:rPr>
        <w:t xml:space="preserve"> centre</w:t>
      </w:r>
      <w:r w:rsidR="000B1FA8">
        <w:rPr>
          <w:rFonts w:ascii="Calibri" w:hAnsi="Calibri" w:cs="Calibri"/>
          <w:color w:val="000000"/>
          <w:szCs w:val="22"/>
        </w:rPr>
        <w:t xml:space="preserve">. </w:t>
      </w:r>
    </w:p>
    <w:p w14:paraId="2325538D" w14:textId="2E51076C" w:rsidR="00F409A3" w:rsidRPr="00BF42E4" w:rsidRDefault="000B1FA8" w:rsidP="00F409A3">
      <w:pPr>
        <w:rPr>
          <w:rFonts w:ascii="Calibri" w:hAnsi="Calibri" w:cs="Calibri"/>
          <w:color w:val="000000"/>
          <w:szCs w:val="22"/>
        </w:rPr>
      </w:pPr>
      <w:r>
        <w:rPr>
          <w:rFonts w:ascii="Calibri" w:hAnsi="Calibri" w:cs="Calibri"/>
          <w:color w:val="000000"/>
          <w:szCs w:val="22"/>
        </w:rPr>
        <w:t xml:space="preserve">Under the </w:t>
      </w:r>
      <w:r w:rsidR="00725D57">
        <w:rPr>
          <w:rFonts w:ascii="Calibri" w:hAnsi="Calibri" w:cs="Calibri"/>
          <w:color w:val="000000"/>
          <w:szCs w:val="22"/>
        </w:rPr>
        <w:t>U</w:t>
      </w:r>
      <w:r>
        <w:rPr>
          <w:rFonts w:ascii="Calibri" w:hAnsi="Calibri" w:cs="Calibri"/>
          <w:color w:val="000000"/>
          <w:szCs w:val="22"/>
        </w:rPr>
        <w:t xml:space="preserve">sual </w:t>
      </w:r>
      <w:r w:rsidR="00725D57">
        <w:rPr>
          <w:rFonts w:ascii="Calibri" w:hAnsi="Calibri" w:cs="Calibri"/>
          <w:color w:val="000000"/>
          <w:szCs w:val="22"/>
        </w:rPr>
        <w:t>P</w:t>
      </w:r>
      <w:r>
        <w:rPr>
          <w:rFonts w:ascii="Calibri" w:hAnsi="Calibri" w:cs="Calibri"/>
          <w:color w:val="000000"/>
          <w:szCs w:val="22"/>
        </w:rPr>
        <w:t xml:space="preserve">athway, Sonic </w:t>
      </w:r>
      <w:r w:rsidR="00EE499C">
        <w:rPr>
          <w:rFonts w:ascii="Calibri" w:hAnsi="Calibri" w:cs="Calibri"/>
          <w:color w:val="000000"/>
          <w:szCs w:val="22"/>
        </w:rPr>
        <w:t xml:space="preserve">Healthcare </w:t>
      </w:r>
      <w:r>
        <w:rPr>
          <w:rFonts w:ascii="Calibri" w:hAnsi="Calibri" w:cs="Calibri"/>
          <w:color w:val="000000"/>
          <w:szCs w:val="22"/>
        </w:rPr>
        <w:t xml:space="preserve">would </w:t>
      </w:r>
      <w:r w:rsidR="00F53DC7">
        <w:rPr>
          <w:rFonts w:ascii="Calibri" w:hAnsi="Calibri" w:cs="Calibri"/>
          <w:color w:val="000000"/>
          <w:szCs w:val="22"/>
        </w:rPr>
        <w:t>positive or negative</w:t>
      </w:r>
      <w:r>
        <w:rPr>
          <w:rFonts w:ascii="Calibri" w:hAnsi="Calibri" w:cs="Calibri"/>
          <w:color w:val="000000"/>
          <w:szCs w:val="22"/>
        </w:rPr>
        <w:t xml:space="preserve"> results to the nominated healthcare provider. For the Alternative Pathway, all results were copied to the health centre, whether positive, negative, inconclusive or no result. </w:t>
      </w:r>
      <w:r w:rsidR="00F409A3">
        <w:rPr>
          <w:rFonts w:ascii="Calibri" w:hAnsi="Calibri" w:cs="Calibri"/>
          <w:color w:val="000000"/>
          <w:szCs w:val="22"/>
        </w:rPr>
        <w:t xml:space="preserve">If the </w:t>
      </w:r>
      <w:r>
        <w:rPr>
          <w:rFonts w:ascii="Calibri" w:hAnsi="Calibri" w:cs="Calibri"/>
          <w:color w:val="000000"/>
          <w:szCs w:val="22"/>
        </w:rPr>
        <w:t>P</w:t>
      </w:r>
      <w:r w:rsidR="00F409A3">
        <w:rPr>
          <w:rFonts w:ascii="Calibri" w:hAnsi="Calibri" w:cs="Calibri"/>
          <w:color w:val="000000"/>
          <w:szCs w:val="22"/>
        </w:rPr>
        <w:t xml:space="preserve">articipant </w:t>
      </w:r>
      <w:r>
        <w:rPr>
          <w:rFonts w:ascii="Calibri" w:hAnsi="Calibri" w:cs="Calibri"/>
          <w:color w:val="000000"/>
          <w:szCs w:val="22"/>
        </w:rPr>
        <w:t>D</w:t>
      </w:r>
      <w:r w:rsidR="00F409A3">
        <w:rPr>
          <w:rFonts w:ascii="Calibri" w:hAnsi="Calibri" w:cs="Calibri"/>
          <w:color w:val="000000"/>
          <w:szCs w:val="22"/>
        </w:rPr>
        <w:t xml:space="preserve">etails </w:t>
      </w:r>
      <w:r w:rsidR="00842FF9">
        <w:rPr>
          <w:rFonts w:ascii="Calibri" w:hAnsi="Calibri" w:cs="Calibri"/>
          <w:color w:val="000000"/>
          <w:szCs w:val="22"/>
        </w:rPr>
        <w:t>Form</w:t>
      </w:r>
      <w:r w:rsidR="00F409A3">
        <w:rPr>
          <w:rFonts w:ascii="Calibri" w:hAnsi="Calibri" w:cs="Calibri"/>
          <w:color w:val="000000"/>
          <w:szCs w:val="22"/>
        </w:rPr>
        <w:t xml:space="preserve"> was not received </w:t>
      </w:r>
      <w:r>
        <w:rPr>
          <w:rFonts w:ascii="Calibri" w:hAnsi="Calibri" w:cs="Calibri"/>
          <w:color w:val="000000"/>
          <w:szCs w:val="22"/>
        </w:rPr>
        <w:t xml:space="preserve">with the sample, or by the </w:t>
      </w:r>
      <w:r w:rsidR="00725D57">
        <w:rPr>
          <w:rFonts w:ascii="Calibri" w:hAnsi="Calibri" w:cs="Calibri"/>
          <w:color w:val="000000"/>
          <w:szCs w:val="22"/>
        </w:rPr>
        <w:t xml:space="preserve">time </w:t>
      </w:r>
      <w:r>
        <w:rPr>
          <w:rFonts w:ascii="Calibri" w:hAnsi="Calibri" w:cs="Calibri"/>
          <w:color w:val="000000"/>
          <w:szCs w:val="22"/>
        </w:rPr>
        <w:t>the sample was tested, Sonic</w:t>
      </w:r>
      <w:r w:rsidR="00EE499C">
        <w:rPr>
          <w:rFonts w:ascii="Calibri" w:hAnsi="Calibri" w:cs="Calibri"/>
          <w:color w:val="000000"/>
          <w:szCs w:val="22"/>
        </w:rPr>
        <w:t xml:space="preserve"> Healthcare</w:t>
      </w:r>
      <w:r>
        <w:rPr>
          <w:rFonts w:ascii="Calibri" w:hAnsi="Calibri" w:cs="Calibri"/>
          <w:color w:val="000000"/>
          <w:szCs w:val="22"/>
        </w:rPr>
        <w:t xml:space="preserve"> would need to </w:t>
      </w:r>
      <w:r w:rsidR="00BF42E4">
        <w:rPr>
          <w:rFonts w:ascii="Calibri" w:hAnsi="Calibri" w:cs="Calibri"/>
          <w:color w:val="000000"/>
          <w:szCs w:val="22"/>
        </w:rPr>
        <w:t xml:space="preserve">contact the NBCSR to find out where to return the results. </w:t>
      </w:r>
    </w:p>
    <w:p w14:paraId="628003F9" w14:textId="7747BDD8" w:rsidR="00714BB8" w:rsidRPr="00CB6337" w:rsidRDefault="00714BB8" w:rsidP="00070C12">
      <w:pPr>
        <w:pStyle w:val="Heading2"/>
      </w:pPr>
      <w:bookmarkStart w:id="70" w:name="_Toc44339182"/>
      <w:bookmarkStart w:id="71" w:name="_Toc45539251"/>
      <w:bookmarkStart w:id="72" w:name="_Toc54954838"/>
      <w:r w:rsidRPr="00CB6337">
        <w:lastRenderedPageBreak/>
        <w:t>3.</w:t>
      </w:r>
      <w:r w:rsidR="004F4922" w:rsidRPr="00CB6337">
        <w:t>4</w:t>
      </w:r>
      <w:r w:rsidRPr="00CB6337">
        <w:t xml:space="preserve"> </w:t>
      </w:r>
      <w:r w:rsidR="00D32A35" w:rsidRPr="00CB6337">
        <w:t>Support for health centres to offer the Alternative Pathway</w:t>
      </w:r>
      <w:bookmarkEnd w:id="70"/>
      <w:bookmarkEnd w:id="71"/>
      <w:bookmarkEnd w:id="72"/>
    </w:p>
    <w:p w14:paraId="1435CDD2" w14:textId="5E42A944" w:rsidR="006052C9" w:rsidRPr="00CB6337" w:rsidRDefault="006052C9" w:rsidP="006052C9">
      <w:pPr>
        <w:rPr>
          <w:rFonts w:cstheme="minorHAnsi"/>
        </w:rPr>
      </w:pPr>
      <w:r w:rsidRPr="00CB6337">
        <w:rPr>
          <w:rFonts w:cstheme="minorHAnsi"/>
        </w:rPr>
        <w:t xml:space="preserve">Menzies conducted the Pilot as a cluster randomised clinical trial (RCT), with health centres randomised to receive different levels of support as they prepared to offer the Alternative Pathway. Centres were randomly selected to receive either low intensity support (Group A) or high intensity support (Group B). </w:t>
      </w:r>
    </w:p>
    <w:p w14:paraId="6F25A882" w14:textId="75751A43" w:rsidR="006052C9" w:rsidRPr="00CB6337" w:rsidRDefault="006052C9" w:rsidP="006052C9">
      <w:pPr>
        <w:rPr>
          <w:rFonts w:cstheme="minorHAnsi"/>
        </w:rPr>
      </w:pPr>
      <w:r w:rsidRPr="00CB6337">
        <w:rPr>
          <w:rFonts w:cstheme="minorHAnsi"/>
        </w:rPr>
        <w:t xml:space="preserve">The provision of support to health centres was </w:t>
      </w:r>
      <w:r w:rsidR="001560EF">
        <w:rPr>
          <w:rFonts w:cstheme="minorHAnsi"/>
        </w:rPr>
        <w:t>important</w:t>
      </w:r>
      <w:r w:rsidRPr="00CB6337">
        <w:rPr>
          <w:rFonts w:cstheme="minorHAnsi"/>
        </w:rPr>
        <w:t xml:space="preserve"> to the likely success of the </w:t>
      </w:r>
      <w:r w:rsidR="00B86861">
        <w:rPr>
          <w:rFonts w:cstheme="minorHAnsi"/>
        </w:rPr>
        <w:t>Alternative Pathway</w:t>
      </w:r>
      <w:r w:rsidRPr="00CB6337">
        <w:rPr>
          <w:rFonts w:cstheme="minorHAnsi"/>
        </w:rPr>
        <w:t>, as consultations prior to the Pilot had shown that many primary health care practitioners had limited knowledge of how the NBCSP functioned, and that many lacked the confidence to raise bowel screening with their clients.</w:t>
      </w:r>
      <w:r w:rsidRPr="00CB6337">
        <w:rPr>
          <w:rStyle w:val="FootnoteReference"/>
          <w:rFonts w:cstheme="minorHAnsi"/>
        </w:rPr>
        <w:footnoteReference w:id="20"/>
      </w:r>
      <w:r w:rsidR="00803040">
        <w:rPr>
          <w:rFonts w:cstheme="minorHAnsi"/>
        </w:rPr>
        <w:t xml:space="preserve"> Training was identified as a way of creating a better ‘fit’ between the NBCSP and the primary health care sector, although it was also clear that health centres would need help with the implementation of the Alternative Pathway (planning how to introduce bowel screening in their local context.)</w:t>
      </w:r>
    </w:p>
    <w:p w14:paraId="10D917D1" w14:textId="0701563C" w:rsidR="00D32A35" w:rsidRPr="00CB6337" w:rsidRDefault="005A691A" w:rsidP="006052C9">
      <w:pPr>
        <w:rPr>
          <w:rFonts w:cstheme="minorHAnsi"/>
        </w:rPr>
      </w:pPr>
      <w:r w:rsidRPr="00CB6337">
        <w:rPr>
          <w:rFonts w:cstheme="minorHAnsi"/>
        </w:rPr>
        <w:t>However,</w:t>
      </w:r>
      <w:r w:rsidR="00D32A35" w:rsidRPr="00CB6337">
        <w:rPr>
          <w:rFonts w:cstheme="minorHAnsi"/>
        </w:rPr>
        <w:t xml:space="preserve"> there were concerns within </w:t>
      </w:r>
      <w:r w:rsidR="00EE499C">
        <w:rPr>
          <w:rFonts w:cstheme="minorHAnsi"/>
        </w:rPr>
        <w:t xml:space="preserve">the Department of </w:t>
      </w:r>
      <w:r w:rsidR="00D32A35" w:rsidRPr="00CB6337">
        <w:rPr>
          <w:rFonts w:cstheme="minorHAnsi"/>
        </w:rPr>
        <w:t xml:space="preserve">Health </w:t>
      </w:r>
      <w:r w:rsidR="008C3B72" w:rsidRPr="00CB6337">
        <w:rPr>
          <w:rFonts w:cstheme="minorHAnsi"/>
        </w:rPr>
        <w:t xml:space="preserve">that the costs of providing support to health centres </w:t>
      </w:r>
      <w:r w:rsidR="00F02202" w:rsidRPr="00CB6337">
        <w:rPr>
          <w:rFonts w:cstheme="minorHAnsi"/>
        </w:rPr>
        <w:t xml:space="preserve">might </w:t>
      </w:r>
      <w:r w:rsidR="00EE27F9" w:rsidRPr="00CB6337">
        <w:rPr>
          <w:rFonts w:cstheme="minorHAnsi"/>
        </w:rPr>
        <w:t xml:space="preserve">reduce the </w:t>
      </w:r>
      <w:r w:rsidR="00F02202" w:rsidRPr="00CB6337">
        <w:rPr>
          <w:rFonts w:cstheme="minorHAnsi"/>
        </w:rPr>
        <w:t>cost-effective</w:t>
      </w:r>
      <w:r w:rsidR="00EE27F9" w:rsidRPr="00CB6337">
        <w:rPr>
          <w:rFonts w:cstheme="minorHAnsi"/>
        </w:rPr>
        <w:t>ness of an Alternative Pathway</w:t>
      </w:r>
      <w:r w:rsidR="00F02202" w:rsidRPr="00CB6337">
        <w:rPr>
          <w:rFonts w:cstheme="minorHAnsi"/>
        </w:rPr>
        <w:t xml:space="preserve">. The Menzies project team proposed the RCT to compare two different levels of support to understand more about </w:t>
      </w:r>
      <w:r w:rsidR="00475099" w:rsidRPr="00CB6337">
        <w:rPr>
          <w:rFonts w:cstheme="minorHAnsi"/>
        </w:rPr>
        <w:t>what was required to prepare health centres adequately to offer the Alternative Pathway.</w:t>
      </w:r>
      <w:r w:rsidR="00803040">
        <w:rPr>
          <w:rFonts w:cstheme="minorHAnsi"/>
        </w:rPr>
        <w:t xml:space="preserve"> </w:t>
      </w:r>
    </w:p>
    <w:p w14:paraId="12BE7E69" w14:textId="19E1F5BD" w:rsidR="006052C9" w:rsidRPr="00CB6337" w:rsidRDefault="006052C9" w:rsidP="00366EAB">
      <w:pPr>
        <w:pStyle w:val="Heading3"/>
      </w:pPr>
      <w:bookmarkStart w:id="73" w:name="_Toc38539075"/>
      <w:bookmarkStart w:id="74" w:name="_Toc38540010"/>
      <w:bookmarkStart w:id="75" w:name="_Toc38540065"/>
      <w:bookmarkStart w:id="76" w:name="_Toc44279066"/>
      <w:bookmarkStart w:id="77" w:name="_Toc44339183"/>
      <w:bookmarkStart w:id="78" w:name="_Toc44361548"/>
      <w:r w:rsidRPr="00CB6337">
        <w:t>Low</w:t>
      </w:r>
      <w:r w:rsidR="007D12A8" w:rsidRPr="00CB6337">
        <w:t xml:space="preserve"> </w:t>
      </w:r>
      <w:r w:rsidRPr="00CB6337">
        <w:t xml:space="preserve">intensity </w:t>
      </w:r>
      <w:r w:rsidR="007D12A8" w:rsidRPr="00CB6337">
        <w:t>s</w:t>
      </w:r>
      <w:r w:rsidRPr="00CB6337">
        <w:t>upport</w:t>
      </w:r>
      <w:bookmarkEnd w:id="73"/>
      <w:bookmarkEnd w:id="74"/>
      <w:bookmarkEnd w:id="75"/>
      <w:bookmarkEnd w:id="76"/>
      <w:bookmarkEnd w:id="77"/>
      <w:bookmarkEnd w:id="78"/>
    </w:p>
    <w:p w14:paraId="31044D4D" w14:textId="69FD95AB" w:rsidR="006052C9" w:rsidRPr="00CB6337" w:rsidRDefault="006052C9" w:rsidP="006052C9">
      <w:pPr>
        <w:rPr>
          <w:rFonts w:cstheme="minorHAnsi"/>
          <w:lang w:val="en-US"/>
        </w:rPr>
      </w:pPr>
      <w:r w:rsidRPr="00CB6337">
        <w:rPr>
          <w:rFonts w:cstheme="minorHAnsi"/>
        </w:rPr>
        <w:t>Health centres randomised to Group A received the low intensity model of support, which consisted of the following</w:t>
      </w:r>
      <w:r w:rsidRPr="00CB6337">
        <w:rPr>
          <w:rFonts w:cstheme="minorHAnsi"/>
          <w:lang w:val="en-US"/>
        </w:rPr>
        <w:t>:</w:t>
      </w:r>
    </w:p>
    <w:p w14:paraId="0D163D92" w14:textId="1935C8FB" w:rsidR="006052C9" w:rsidRPr="00CB6337" w:rsidRDefault="006052C9" w:rsidP="006052C9">
      <w:pPr>
        <w:pStyle w:val="ListParagraph"/>
        <w:numPr>
          <w:ilvl w:val="0"/>
          <w:numId w:val="2"/>
        </w:numPr>
        <w:rPr>
          <w:rFonts w:cstheme="minorHAnsi"/>
        </w:rPr>
      </w:pPr>
      <w:r w:rsidRPr="00CB6337">
        <w:rPr>
          <w:rFonts w:cstheme="minorHAnsi"/>
        </w:rPr>
        <w:t>An implementation manual (</w:t>
      </w:r>
      <w:r w:rsidRPr="00CB6337">
        <w:rPr>
          <w:rFonts w:cstheme="minorHAnsi"/>
          <w:i/>
          <w:iCs/>
        </w:rPr>
        <w:t>The Alternative Pathway in your Health Centre</w:t>
      </w:r>
      <w:r w:rsidR="00A23C81">
        <w:rPr>
          <w:rFonts w:cstheme="minorHAnsi"/>
          <w:i/>
          <w:iCs/>
        </w:rPr>
        <w:t>: A guide to getting started</w:t>
      </w:r>
      <w:r w:rsidRPr="00CB6337">
        <w:rPr>
          <w:rFonts w:cstheme="minorHAnsi"/>
        </w:rPr>
        <w:t>), which included in</w:t>
      </w:r>
      <w:r w:rsidR="00842FF9" w:rsidRPr="00CB6337">
        <w:rPr>
          <w:rFonts w:cstheme="minorHAnsi"/>
        </w:rPr>
        <w:t>form</w:t>
      </w:r>
      <w:r w:rsidRPr="00CB6337">
        <w:rPr>
          <w:rFonts w:cstheme="minorHAnsi"/>
        </w:rPr>
        <w:t xml:space="preserve">ation </w:t>
      </w:r>
      <w:r w:rsidR="007D12A8" w:rsidRPr="00CB6337">
        <w:rPr>
          <w:rFonts w:cstheme="minorHAnsi"/>
        </w:rPr>
        <w:t>necessary t</w:t>
      </w:r>
      <w:r w:rsidRPr="00CB6337">
        <w:rPr>
          <w:rFonts w:cstheme="minorHAnsi"/>
        </w:rPr>
        <w:t xml:space="preserve">o implement the Alternative Pathway and participate in </w:t>
      </w:r>
      <w:r w:rsidR="007D12A8" w:rsidRPr="00CB6337">
        <w:rPr>
          <w:rFonts w:cstheme="minorHAnsi"/>
        </w:rPr>
        <w:t xml:space="preserve">the </w:t>
      </w:r>
      <w:r w:rsidRPr="00CB6337">
        <w:rPr>
          <w:rFonts w:cstheme="minorHAnsi"/>
        </w:rPr>
        <w:t>Pilot, NBCSP requirements, strategies for prepar</w:t>
      </w:r>
      <w:r w:rsidR="00DA73F4" w:rsidRPr="00CB6337">
        <w:rPr>
          <w:rFonts w:cstheme="minorHAnsi"/>
        </w:rPr>
        <w:t>ing</w:t>
      </w:r>
      <w:r w:rsidRPr="00CB6337">
        <w:rPr>
          <w:rFonts w:cstheme="minorHAnsi"/>
        </w:rPr>
        <w:t xml:space="preserve"> for the Pilot and </w:t>
      </w:r>
      <w:r w:rsidR="00DA73F4" w:rsidRPr="00CB6337">
        <w:rPr>
          <w:rFonts w:cstheme="minorHAnsi"/>
        </w:rPr>
        <w:t>in</w:t>
      </w:r>
      <w:r w:rsidR="00842FF9" w:rsidRPr="00CB6337">
        <w:rPr>
          <w:rFonts w:cstheme="minorHAnsi"/>
        </w:rPr>
        <w:t>form</w:t>
      </w:r>
      <w:r w:rsidR="00DA73F4" w:rsidRPr="00CB6337">
        <w:rPr>
          <w:rFonts w:cstheme="minorHAnsi"/>
        </w:rPr>
        <w:t xml:space="preserve">ation on </w:t>
      </w:r>
      <w:r w:rsidRPr="00CB6337">
        <w:rPr>
          <w:rFonts w:cstheme="minorHAnsi"/>
        </w:rPr>
        <w:t xml:space="preserve">how to access </w:t>
      </w:r>
      <w:r w:rsidR="00842FF9" w:rsidRPr="00CB6337">
        <w:rPr>
          <w:rFonts w:cstheme="minorHAnsi"/>
        </w:rPr>
        <w:t>form</w:t>
      </w:r>
      <w:r w:rsidRPr="00CB6337">
        <w:rPr>
          <w:rFonts w:cstheme="minorHAnsi"/>
        </w:rPr>
        <w:t>s and support lines.</w:t>
      </w:r>
    </w:p>
    <w:p w14:paraId="2944BF2A" w14:textId="3D272904" w:rsidR="006052C9" w:rsidRPr="00CB6337" w:rsidRDefault="006052C9" w:rsidP="006052C9">
      <w:pPr>
        <w:pStyle w:val="ListParagraph"/>
        <w:numPr>
          <w:ilvl w:val="0"/>
          <w:numId w:val="2"/>
        </w:numPr>
        <w:rPr>
          <w:rFonts w:cstheme="minorHAnsi"/>
        </w:rPr>
      </w:pPr>
      <w:r w:rsidRPr="00CB6337">
        <w:rPr>
          <w:rFonts w:cstheme="minorHAnsi"/>
        </w:rPr>
        <w:t>Resources raising awareness about bowel cancer, bowel screening and the NBCSP, and for talking with Indigenous patients about bowel screening and the NBCSP (posters, postcards, music videos about bowel screening, a flip chart, brochures, demonstration kits).</w:t>
      </w:r>
    </w:p>
    <w:p w14:paraId="4D667FC8" w14:textId="2CD442D0" w:rsidR="006052C9" w:rsidRPr="00CB6337" w:rsidRDefault="006052C9" w:rsidP="006052C9">
      <w:pPr>
        <w:pStyle w:val="ListParagraph"/>
        <w:numPr>
          <w:ilvl w:val="0"/>
          <w:numId w:val="2"/>
        </w:numPr>
        <w:rPr>
          <w:rFonts w:cstheme="minorHAnsi"/>
        </w:rPr>
      </w:pPr>
      <w:r w:rsidRPr="00CB6337">
        <w:rPr>
          <w:rFonts w:cstheme="minorHAnsi"/>
        </w:rPr>
        <w:t xml:space="preserve">Training materials to help health centre staff prepare themselves to offer the Alternative Pathway, including an </w:t>
      </w:r>
      <w:r w:rsidR="00DA73F4" w:rsidRPr="00CB6337">
        <w:rPr>
          <w:rFonts w:cstheme="minorHAnsi"/>
        </w:rPr>
        <w:t>o</w:t>
      </w:r>
      <w:r w:rsidRPr="00CB6337">
        <w:rPr>
          <w:rFonts w:cstheme="minorHAnsi"/>
        </w:rPr>
        <w:t>nline training module, in</w:t>
      </w:r>
      <w:r w:rsidR="00842FF9" w:rsidRPr="00CB6337">
        <w:rPr>
          <w:rFonts w:cstheme="minorHAnsi"/>
        </w:rPr>
        <w:t>form</w:t>
      </w:r>
      <w:r w:rsidRPr="00CB6337">
        <w:rPr>
          <w:rFonts w:cstheme="minorHAnsi"/>
        </w:rPr>
        <w:t xml:space="preserve">ation sheets and motivational posters for staff, and links to online content </w:t>
      </w:r>
      <w:r w:rsidR="001F27D2">
        <w:rPr>
          <w:rFonts w:cstheme="minorHAnsi"/>
        </w:rPr>
        <w:t>from</w:t>
      </w:r>
      <w:r w:rsidRPr="00CB6337">
        <w:rPr>
          <w:rFonts w:cstheme="minorHAnsi"/>
        </w:rPr>
        <w:t xml:space="preserve"> other stakeholders (webinars and a four-part video about bowel screening).</w:t>
      </w:r>
    </w:p>
    <w:p w14:paraId="7040E71B" w14:textId="0882903B" w:rsidR="006052C9" w:rsidRPr="00CB6337" w:rsidRDefault="006052C9" w:rsidP="006052C9">
      <w:pPr>
        <w:pStyle w:val="ListParagraph"/>
        <w:numPr>
          <w:ilvl w:val="0"/>
          <w:numId w:val="2"/>
        </w:numPr>
        <w:rPr>
          <w:rFonts w:cstheme="minorHAnsi"/>
        </w:rPr>
      </w:pPr>
      <w:r w:rsidRPr="00CB6337">
        <w:rPr>
          <w:rFonts w:cstheme="minorHAnsi"/>
        </w:rPr>
        <w:t xml:space="preserve">Access to </w:t>
      </w:r>
      <w:r w:rsidR="00DA73F4" w:rsidRPr="00CB6337">
        <w:rPr>
          <w:rFonts w:cstheme="minorHAnsi"/>
        </w:rPr>
        <w:t xml:space="preserve">the </w:t>
      </w:r>
      <w:r w:rsidRPr="00CB6337">
        <w:rPr>
          <w:rFonts w:cstheme="minorHAnsi"/>
        </w:rPr>
        <w:t>Menzies Bowel Screening Helpline.</w:t>
      </w:r>
    </w:p>
    <w:p w14:paraId="04EEF3A5" w14:textId="35ABE870" w:rsidR="006052C9" w:rsidRPr="00CB6337" w:rsidRDefault="006052C9" w:rsidP="00366EAB">
      <w:pPr>
        <w:pStyle w:val="Heading3"/>
      </w:pPr>
      <w:bookmarkStart w:id="79" w:name="_Toc38539076"/>
      <w:bookmarkStart w:id="80" w:name="_Toc38540011"/>
      <w:bookmarkStart w:id="81" w:name="_Toc38540066"/>
      <w:bookmarkStart w:id="82" w:name="_Toc44279067"/>
      <w:bookmarkStart w:id="83" w:name="_Toc44339184"/>
      <w:bookmarkStart w:id="84" w:name="_Toc44361549"/>
      <w:r w:rsidRPr="00CB6337">
        <w:lastRenderedPageBreak/>
        <w:t>High</w:t>
      </w:r>
      <w:r w:rsidR="007D12A8" w:rsidRPr="00CB6337">
        <w:t xml:space="preserve"> </w:t>
      </w:r>
      <w:r w:rsidRPr="00CB6337">
        <w:t xml:space="preserve">intensity </w:t>
      </w:r>
      <w:r w:rsidR="00DA73F4" w:rsidRPr="00CB6337">
        <w:t>s</w:t>
      </w:r>
      <w:r w:rsidRPr="00CB6337">
        <w:t>upport</w:t>
      </w:r>
      <w:bookmarkEnd w:id="79"/>
      <w:bookmarkEnd w:id="80"/>
      <w:bookmarkEnd w:id="81"/>
      <w:bookmarkEnd w:id="82"/>
      <w:bookmarkEnd w:id="83"/>
      <w:bookmarkEnd w:id="84"/>
    </w:p>
    <w:p w14:paraId="19B3D7E5" w14:textId="2C4FB34F" w:rsidR="006052C9" w:rsidRPr="00CB6337" w:rsidRDefault="006052C9" w:rsidP="009360E2">
      <w:pPr>
        <w:rPr>
          <w:rFonts w:cstheme="minorHAnsi"/>
          <w:lang w:eastAsia="en-AU"/>
        </w:rPr>
      </w:pPr>
      <w:r w:rsidRPr="00CB6337">
        <w:rPr>
          <w:rFonts w:cstheme="minorHAnsi"/>
          <w:lang w:eastAsia="en-AU"/>
        </w:rPr>
        <w:t xml:space="preserve">Health centres randomised to Group B received the same resources as Group A, and staff were </w:t>
      </w:r>
      <w:r w:rsidR="006A07C1" w:rsidRPr="00CB6337">
        <w:rPr>
          <w:rFonts w:cstheme="minorHAnsi"/>
          <w:lang w:eastAsia="en-AU"/>
        </w:rPr>
        <w:t xml:space="preserve">also </w:t>
      </w:r>
      <w:r w:rsidRPr="00CB6337">
        <w:rPr>
          <w:rFonts w:cstheme="minorHAnsi"/>
          <w:lang w:eastAsia="en-AU"/>
        </w:rPr>
        <w:t>offered</w:t>
      </w:r>
      <w:r w:rsidR="009360E2" w:rsidRPr="00CB6337">
        <w:rPr>
          <w:rFonts w:cstheme="minorHAnsi"/>
          <w:lang w:eastAsia="en-AU"/>
        </w:rPr>
        <w:t xml:space="preserve"> i</w:t>
      </w:r>
      <w:r w:rsidRPr="00CB6337">
        <w:rPr>
          <w:rFonts w:cstheme="minorHAnsi"/>
          <w:lang w:eastAsia="en-AU"/>
        </w:rPr>
        <w:t>mplementation planning and</w:t>
      </w:r>
      <w:r w:rsidR="00DA73F4" w:rsidRPr="00CB6337">
        <w:rPr>
          <w:rFonts w:cstheme="minorHAnsi"/>
          <w:lang w:eastAsia="en-AU"/>
        </w:rPr>
        <w:t xml:space="preserve"> face-to-face</w:t>
      </w:r>
      <w:r w:rsidRPr="00CB6337">
        <w:rPr>
          <w:rFonts w:cstheme="minorHAnsi"/>
          <w:lang w:eastAsia="en-AU"/>
        </w:rPr>
        <w:t xml:space="preserve"> training </w:t>
      </w:r>
      <w:r w:rsidR="006F22AA" w:rsidRPr="00CB6337">
        <w:rPr>
          <w:rFonts w:cstheme="minorHAnsi"/>
          <w:lang w:eastAsia="en-AU"/>
        </w:rPr>
        <w:t xml:space="preserve">/ </w:t>
      </w:r>
      <w:r w:rsidRPr="00CB6337">
        <w:rPr>
          <w:rFonts w:cstheme="minorHAnsi"/>
          <w:lang w:eastAsia="en-AU"/>
        </w:rPr>
        <w:t>in-service sessions (on site at health centre)</w:t>
      </w:r>
      <w:r w:rsidR="006A07C1" w:rsidRPr="00CB6337">
        <w:rPr>
          <w:rFonts w:cstheme="minorHAnsi"/>
          <w:lang w:eastAsia="en-AU"/>
        </w:rPr>
        <w:t>.</w:t>
      </w:r>
    </w:p>
    <w:p w14:paraId="161C81BA" w14:textId="435B2D37" w:rsidR="009360E2" w:rsidRPr="00CB6337" w:rsidRDefault="00BE59C4" w:rsidP="00366EAB">
      <w:pPr>
        <w:pStyle w:val="Heading3"/>
        <w:rPr>
          <w:lang w:val="en-US"/>
        </w:rPr>
      </w:pPr>
      <w:bookmarkStart w:id="85" w:name="_Toc44279068"/>
      <w:bookmarkStart w:id="86" w:name="_Toc44339185"/>
      <w:bookmarkStart w:id="87" w:name="_Toc44361550"/>
      <w:r w:rsidRPr="00CB6337">
        <w:rPr>
          <w:lang w:val="en-US"/>
        </w:rPr>
        <w:t>NBCSP</w:t>
      </w:r>
      <w:r w:rsidR="009360E2" w:rsidRPr="00CB6337">
        <w:rPr>
          <w:lang w:val="en-US"/>
        </w:rPr>
        <w:t xml:space="preserve"> support</w:t>
      </w:r>
      <w:bookmarkEnd w:id="85"/>
      <w:bookmarkEnd w:id="86"/>
      <w:bookmarkEnd w:id="87"/>
    </w:p>
    <w:p w14:paraId="664EC2BA" w14:textId="261E0EEA" w:rsidR="006052C9" w:rsidRPr="00CB6337" w:rsidRDefault="006052C9" w:rsidP="006052C9">
      <w:pPr>
        <w:rPr>
          <w:rFonts w:cstheme="minorHAnsi"/>
          <w:lang w:val="en-US"/>
        </w:rPr>
      </w:pPr>
      <w:r w:rsidRPr="00CB6337">
        <w:rPr>
          <w:rFonts w:cstheme="minorHAnsi"/>
          <w:lang w:val="en-US"/>
        </w:rPr>
        <w:t xml:space="preserve">In addition to the </w:t>
      </w:r>
      <w:r w:rsidR="001B466B" w:rsidRPr="00CB6337">
        <w:rPr>
          <w:rFonts w:cstheme="minorHAnsi"/>
          <w:lang w:val="en-US"/>
        </w:rPr>
        <w:t xml:space="preserve">support provided through the </w:t>
      </w:r>
      <w:r w:rsidRPr="00CB6337">
        <w:rPr>
          <w:rFonts w:cstheme="minorHAnsi"/>
          <w:lang w:val="en-US"/>
        </w:rPr>
        <w:t xml:space="preserve">Pilot, all participating health </w:t>
      </w:r>
      <w:proofErr w:type="spellStart"/>
      <w:r w:rsidRPr="00CB6337">
        <w:rPr>
          <w:rFonts w:cstheme="minorHAnsi"/>
          <w:lang w:val="en-US"/>
        </w:rPr>
        <w:t>centres</w:t>
      </w:r>
      <w:proofErr w:type="spellEnd"/>
      <w:r w:rsidRPr="00CB6337">
        <w:rPr>
          <w:rFonts w:cstheme="minorHAnsi"/>
          <w:lang w:val="en-US"/>
        </w:rPr>
        <w:t xml:space="preserve"> (Group A and Group B) had access to materials and services provided through the NBCSP. Most of these materials and services were available as part of the usual pathway</w:t>
      </w:r>
      <w:r w:rsidR="00D67B64" w:rsidRPr="00CB6337">
        <w:rPr>
          <w:rFonts w:cstheme="minorHAnsi"/>
          <w:lang w:val="en-US"/>
        </w:rPr>
        <w:t xml:space="preserve"> and included:</w:t>
      </w:r>
    </w:p>
    <w:p w14:paraId="76915666" w14:textId="77777777" w:rsidR="006052C9" w:rsidRPr="00CB6337" w:rsidRDefault="006052C9" w:rsidP="0027747A">
      <w:pPr>
        <w:pStyle w:val="ListParagraph"/>
        <w:numPr>
          <w:ilvl w:val="0"/>
          <w:numId w:val="3"/>
        </w:numPr>
        <w:rPr>
          <w:rFonts w:cstheme="minorHAnsi"/>
          <w:lang w:eastAsia="en-AU"/>
        </w:rPr>
      </w:pPr>
      <w:r w:rsidRPr="00CB6337">
        <w:rPr>
          <w:rFonts w:cstheme="minorHAnsi"/>
          <w:lang w:eastAsia="en-AU"/>
        </w:rPr>
        <w:t xml:space="preserve">NBCSP </w:t>
      </w:r>
      <w:proofErr w:type="spellStart"/>
      <w:r w:rsidRPr="00CB6337">
        <w:rPr>
          <w:rFonts w:cstheme="minorHAnsi"/>
          <w:lang w:eastAsia="en-AU"/>
        </w:rPr>
        <w:t>iFOBT</w:t>
      </w:r>
      <w:proofErr w:type="spellEnd"/>
      <w:r w:rsidRPr="00CB6337">
        <w:rPr>
          <w:rFonts w:cstheme="minorHAnsi"/>
          <w:lang w:eastAsia="en-AU"/>
        </w:rPr>
        <w:t xml:space="preserve"> kits (for distribution to clients)</w:t>
      </w:r>
    </w:p>
    <w:p w14:paraId="40AC786C" w14:textId="47A6C962" w:rsidR="006052C9" w:rsidRPr="00CB6337" w:rsidRDefault="006052C9" w:rsidP="0027747A">
      <w:pPr>
        <w:pStyle w:val="ListParagraph"/>
        <w:numPr>
          <w:ilvl w:val="0"/>
          <w:numId w:val="3"/>
        </w:numPr>
        <w:rPr>
          <w:rFonts w:cstheme="minorHAnsi"/>
          <w:lang w:eastAsia="en-AU"/>
        </w:rPr>
      </w:pPr>
      <w:r w:rsidRPr="00CB6337">
        <w:rPr>
          <w:rFonts w:cstheme="minorHAnsi"/>
          <w:lang w:eastAsia="en-AU"/>
        </w:rPr>
        <w:t>NBCSP in</w:t>
      </w:r>
      <w:r w:rsidR="00842FF9" w:rsidRPr="00CB6337">
        <w:rPr>
          <w:rFonts w:cstheme="minorHAnsi"/>
          <w:lang w:eastAsia="en-AU"/>
        </w:rPr>
        <w:t>form</w:t>
      </w:r>
      <w:r w:rsidRPr="00CB6337">
        <w:rPr>
          <w:rFonts w:cstheme="minorHAnsi"/>
          <w:lang w:eastAsia="en-AU"/>
        </w:rPr>
        <w:t>ation booklets (about the program)</w:t>
      </w:r>
    </w:p>
    <w:p w14:paraId="33949A55" w14:textId="31F966D9" w:rsidR="006052C9" w:rsidRPr="00CB6337" w:rsidRDefault="006052C9" w:rsidP="0027747A">
      <w:pPr>
        <w:pStyle w:val="ListParagraph"/>
        <w:numPr>
          <w:ilvl w:val="0"/>
          <w:numId w:val="3"/>
        </w:numPr>
        <w:rPr>
          <w:rFonts w:cstheme="minorHAnsi"/>
          <w:lang w:eastAsia="en-AU"/>
        </w:rPr>
      </w:pPr>
      <w:r w:rsidRPr="00CB6337">
        <w:rPr>
          <w:rFonts w:cstheme="minorHAnsi"/>
          <w:lang w:eastAsia="en-AU"/>
        </w:rPr>
        <w:t xml:space="preserve">NBCSP </w:t>
      </w:r>
      <w:r w:rsidR="005A691A" w:rsidRPr="00CB6337">
        <w:rPr>
          <w:rFonts w:cstheme="minorHAnsi"/>
          <w:lang w:eastAsia="en-AU"/>
        </w:rPr>
        <w:t>h</w:t>
      </w:r>
      <w:r w:rsidRPr="00CB6337">
        <w:rPr>
          <w:rFonts w:cstheme="minorHAnsi"/>
          <w:lang w:eastAsia="en-AU"/>
        </w:rPr>
        <w:t xml:space="preserve">ome </w:t>
      </w:r>
      <w:r w:rsidR="005A691A" w:rsidRPr="00CB6337">
        <w:rPr>
          <w:rFonts w:cstheme="minorHAnsi"/>
          <w:lang w:eastAsia="en-AU"/>
        </w:rPr>
        <w:t>t</w:t>
      </w:r>
      <w:r w:rsidRPr="00CB6337">
        <w:rPr>
          <w:rFonts w:cstheme="minorHAnsi"/>
          <w:lang w:eastAsia="en-AU"/>
        </w:rPr>
        <w:t xml:space="preserve">est </w:t>
      </w:r>
      <w:r w:rsidR="005A691A" w:rsidRPr="00CB6337">
        <w:rPr>
          <w:rFonts w:cstheme="minorHAnsi"/>
          <w:lang w:eastAsia="en-AU"/>
        </w:rPr>
        <w:t>k</w:t>
      </w:r>
      <w:r w:rsidRPr="00CB6337">
        <w:rPr>
          <w:rFonts w:cstheme="minorHAnsi"/>
          <w:lang w:eastAsia="en-AU"/>
        </w:rPr>
        <w:t>it instruction brochure.</w:t>
      </w:r>
    </w:p>
    <w:p w14:paraId="66F17336" w14:textId="77777777" w:rsidR="006052C9" w:rsidRPr="00CB6337" w:rsidRDefault="006052C9" w:rsidP="0027747A">
      <w:pPr>
        <w:pStyle w:val="ListParagraph"/>
        <w:numPr>
          <w:ilvl w:val="0"/>
          <w:numId w:val="3"/>
        </w:numPr>
        <w:rPr>
          <w:rFonts w:cstheme="minorHAnsi"/>
          <w:lang w:eastAsia="en-AU"/>
        </w:rPr>
      </w:pPr>
      <w:r w:rsidRPr="00CB6337">
        <w:rPr>
          <w:rFonts w:cstheme="minorHAnsi"/>
          <w:lang w:eastAsia="en-AU"/>
        </w:rPr>
        <w:t>Access to program helplines:</w:t>
      </w:r>
    </w:p>
    <w:p w14:paraId="57DDD1A2" w14:textId="64FE6008" w:rsidR="006052C9" w:rsidRPr="00CB6337" w:rsidRDefault="006052C9" w:rsidP="0027747A">
      <w:pPr>
        <w:pStyle w:val="ListParagraph"/>
        <w:numPr>
          <w:ilvl w:val="1"/>
          <w:numId w:val="4"/>
        </w:numPr>
        <w:rPr>
          <w:rFonts w:cstheme="minorHAnsi"/>
          <w:sz w:val="26"/>
          <w:szCs w:val="26"/>
        </w:rPr>
      </w:pPr>
      <w:r w:rsidRPr="00CB6337">
        <w:rPr>
          <w:rFonts w:cstheme="minorHAnsi"/>
          <w:lang w:eastAsia="en-AU"/>
        </w:rPr>
        <w:t>The National Bowel Cancer Screening Program In</w:t>
      </w:r>
      <w:r w:rsidR="00842FF9" w:rsidRPr="00CB6337">
        <w:rPr>
          <w:rFonts w:cstheme="minorHAnsi"/>
          <w:lang w:eastAsia="en-AU"/>
        </w:rPr>
        <w:t>form</w:t>
      </w:r>
      <w:r w:rsidRPr="00CB6337">
        <w:rPr>
          <w:rFonts w:cstheme="minorHAnsi"/>
          <w:lang w:eastAsia="en-AU"/>
        </w:rPr>
        <w:t xml:space="preserve">ation Line (part of the Program’s </w:t>
      </w:r>
      <w:r w:rsidR="00DA73F4" w:rsidRPr="00CB6337">
        <w:rPr>
          <w:rFonts w:cstheme="minorHAnsi"/>
          <w:lang w:eastAsia="en-AU"/>
        </w:rPr>
        <w:t>b</w:t>
      </w:r>
      <w:r w:rsidRPr="00CB6337">
        <w:rPr>
          <w:rFonts w:cstheme="minorHAnsi"/>
          <w:lang w:eastAsia="en-AU"/>
        </w:rPr>
        <w:t xml:space="preserve">usiness as </w:t>
      </w:r>
      <w:r w:rsidR="00DA73F4" w:rsidRPr="00CB6337">
        <w:rPr>
          <w:rFonts w:cstheme="minorHAnsi"/>
          <w:lang w:eastAsia="en-AU"/>
        </w:rPr>
        <w:t>u</w:t>
      </w:r>
      <w:r w:rsidRPr="00CB6337">
        <w:rPr>
          <w:rFonts w:cstheme="minorHAnsi"/>
          <w:lang w:eastAsia="en-AU"/>
        </w:rPr>
        <w:t>sual support services).</w:t>
      </w:r>
    </w:p>
    <w:p w14:paraId="73C006B8" w14:textId="2D057C0C" w:rsidR="006052C9" w:rsidRPr="00CB6337" w:rsidRDefault="006052C9" w:rsidP="0027747A">
      <w:pPr>
        <w:pStyle w:val="ListParagraph"/>
        <w:numPr>
          <w:ilvl w:val="1"/>
          <w:numId w:val="4"/>
        </w:numPr>
        <w:rPr>
          <w:rFonts w:cstheme="minorHAnsi"/>
          <w:sz w:val="26"/>
          <w:szCs w:val="26"/>
        </w:rPr>
      </w:pPr>
      <w:r w:rsidRPr="00CB6337">
        <w:rPr>
          <w:rFonts w:cstheme="minorHAnsi"/>
          <w:lang w:eastAsia="en-AU"/>
        </w:rPr>
        <w:t xml:space="preserve">The National Bowel Cancer Screening Program Health Provider Hotline (to the </w:t>
      </w:r>
      <w:r w:rsidR="005A691A" w:rsidRPr="00CB6337">
        <w:rPr>
          <w:rFonts w:cstheme="minorHAnsi"/>
          <w:lang w:eastAsia="en-AU"/>
        </w:rPr>
        <w:t>p</w:t>
      </w:r>
      <w:r w:rsidRPr="00CB6337">
        <w:rPr>
          <w:rFonts w:cstheme="minorHAnsi"/>
          <w:lang w:eastAsia="en-AU"/>
        </w:rPr>
        <w:t xml:space="preserve">rogram’s pathology provider, also part of the Program’s </w:t>
      </w:r>
      <w:r w:rsidR="00DA73F4" w:rsidRPr="00CB6337">
        <w:rPr>
          <w:rFonts w:cstheme="minorHAnsi"/>
          <w:lang w:eastAsia="en-AU"/>
        </w:rPr>
        <w:t>b</w:t>
      </w:r>
      <w:r w:rsidRPr="00CB6337">
        <w:rPr>
          <w:rFonts w:cstheme="minorHAnsi"/>
          <w:lang w:eastAsia="en-AU"/>
        </w:rPr>
        <w:t xml:space="preserve">usiness as </w:t>
      </w:r>
      <w:r w:rsidR="00DA73F4" w:rsidRPr="00CB6337">
        <w:rPr>
          <w:rFonts w:cstheme="minorHAnsi"/>
          <w:lang w:eastAsia="en-AU"/>
        </w:rPr>
        <w:t>u</w:t>
      </w:r>
      <w:r w:rsidRPr="00CB6337">
        <w:rPr>
          <w:rFonts w:cstheme="minorHAnsi"/>
          <w:lang w:eastAsia="en-AU"/>
        </w:rPr>
        <w:t>sual support).</w:t>
      </w:r>
    </w:p>
    <w:p w14:paraId="02CEB759" w14:textId="2D4E4BD9" w:rsidR="00822354" w:rsidRPr="00CB6337" w:rsidRDefault="006052C9" w:rsidP="0027747A">
      <w:pPr>
        <w:pStyle w:val="ListParagraph"/>
        <w:numPr>
          <w:ilvl w:val="1"/>
          <w:numId w:val="4"/>
        </w:numPr>
        <w:rPr>
          <w:rFonts w:cstheme="minorHAnsi"/>
          <w:lang w:eastAsia="en-AU"/>
        </w:rPr>
      </w:pPr>
      <w:r w:rsidRPr="00CB6337">
        <w:rPr>
          <w:rFonts w:cstheme="minorHAnsi"/>
          <w:lang w:eastAsia="en-AU"/>
        </w:rPr>
        <w:t xml:space="preserve">A </w:t>
      </w:r>
      <w:r w:rsidR="00C0500A">
        <w:rPr>
          <w:rFonts w:cstheme="minorHAnsi"/>
          <w:lang w:eastAsia="en-AU"/>
        </w:rPr>
        <w:t>National Pilot Support Officer</w:t>
      </w:r>
      <w:r w:rsidR="005A691A" w:rsidRPr="00CB6337">
        <w:rPr>
          <w:rFonts w:cstheme="minorHAnsi"/>
          <w:lang w:eastAsia="en-AU"/>
        </w:rPr>
        <w:t xml:space="preserve"> in the DHS</w:t>
      </w:r>
      <w:r w:rsidRPr="00CB6337">
        <w:rPr>
          <w:rFonts w:cstheme="minorHAnsi"/>
          <w:lang w:eastAsia="en-AU"/>
        </w:rPr>
        <w:t xml:space="preserve"> who assisted with interaction between the </w:t>
      </w:r>
      <w:r w:rsidR="005A691A" w:rsidRPr="00CB6337">
        <w:rPr>
          <w:rFonts w:cstheme="minorHAnsi"/>
          <w:lang w:eastAsia="en-AU"/>
        </w:rPr>
        <w:t>p</w:t>
      </w:r>
      <w:r w:rsidRPr="00CB6337">
        <w:rPr>
          <w:rFonts w:cstheme="minorHAnsi"/>
          <w:lang w:eastAsia="en-AU"/>
        </w:rPr>
        <w:t xml:space="preserve">rogram Register and participating health centres. This function was not part of the </w:t>
      </w:r>
      <w:r w:rsidR="00DA73F4" w:rsidRPr="00CB6337">
        <w:rPr>
          <w:rFonts w:cstheme="minorHAnsi"/>
          <w:lang w:eastAsia="en-AU"/>
        </w:rPr>
        <w:t>b</w:t>
      </w:r>
      <w:r w:rsidRPr="00CB6337">
        <w:rPr>
          <w:rFonts w:cstheme="minorHAnsi"/>
          <w:lang w:eastAsia="en-AU"/>
        </w:rPr>
        <w:t xml:space="preserve">usiness as </w:t>
      </w:r>
      <w:r w:rsidR="00DA73F4" w:rsidRPr="00CB6337">
        <w:rPr>
          <w:rFonts w:cstheme="minorHAnsi"/>
          <w:lang w:eastAsia="en-AU"/>
        </w:rPr>
        <w:t>u</w:t>
      </w:r>
      <w:r w:rsidRPr="00CB6337">
        <w:rPr>
          <w:rFonts w:cstheme="minorHAnsi"/>
          <w:lang w:eastAsia="en-AU"/>
        </w:rPr>
        <w:t>sual support</w:t>
      </w:r>
      <w:r w:rsidR="00095FD8">
        <w:rPr>
          <w:rFonts w:cstheme="minorHAnsi"/>
          <w:lang w:eastAsia="en-AU"/>
        </w:rPr>
        <w:t xml:space="preserve"> </w:t>
      </w:r>
      <w:r w:rsidRPr="00CB6337">
        <w:rPr>
          <w:rFonts w:cstheme="minorHAnsi"/>
          <w:lang w:eastAsia="en-AU"/>
        </w:rPr>
        <w:t>but was set up to provide extra capacity around the existing Register during the Pilot, given the limited capacity of the NBCSR to support the Pilot requirement</w:t>
      </w:r>
      <w:r w:rsidR="005A691A" w:rsidRPr="00CB6337">
        <w:rPr>
          <w:rFonts w:cstheme="minorHAnsi"/>
          <w:lang w:eastAsia="en-AU"/>
        </w:rPr>
        <w:t>.</w:t>
      </w:r>
    </w:p>
    <w:p w14:paraId="2B3C05F7" w14:textId="4CB806AB" w:rsidR="00714BB8" w:rsidRDefault="006F16FB" w:rsidP="00070C12">
      <w:pPr>
        <w:pStyle w:val="Heading2"/>
      </w:pPr>
      <w:bookmarkStart w:id="88" w:name="_Toc44339186"/>
      <w:bookmarkStart w:id="89" w:name="_Toc45539252"/>
      <w:bookmarkStart w:id="90" w:name="_Toc54954839"/>
      <w:r>
        <w:t>3.</w:t>
      </w:r>
      <w:r w:rsidR="00AA65B8">
        <w:t>5</w:t>
      </w:r>
      <w:r>
        <w:t xml:space="preserve"> </w:t>
      </w:r>
      <w:r w:rsidR="00714BB8">
        <w:t>Evaluation</w:t>
      </w:r>
      <w:bookmarkEnd w:id="88"/>
      <w:bookmarkEnd w:id="89"/>
      <w:bookmarkEnd w:id="90"/>
    </w:p>
    <w:p w14:paraId="52130ED6" w14:textId="77777777" w:rsidR="00822354" w:rsidRPr="0058563E" w:rsidRDefault="00822354" w:rsidP="00366EAB">
      <w:pPr>
        <w:pStyle w:val="Heading3"/>
      </w:pPr>
      <w:bookmarkStart w:id="91" w:name="_Toc44279070"/>
      <w:bookmarkStart w:id="92" w:name="_Toc44339187"/>
      <w:bookmarkStart w:id="93" w:name="_Toc44361552"/>
      <w:r w:rsidRPr="0058563E">
        <w:t xml:space="preserve">Aim and </w:t>
      </w:r>
      <w:r>
        <w:t>o</w:t>
      </w:r>
      <w:r w:rsidRPr="0058563E">
        <w:t>bjectives</w:t>
      </w:r>
      <w:bookmarkEnd w:id="91"/>
      <w:bookmarkEnd w:id="92"/>
      <w:bookmarkEnd w:id="93"/>
    </w:p>
    <w:p w14:paraId="2E4247BF" w14:textId="45990D54" w:rsidR="005A691A" w:rsidRDefault="002532C1" w:rsidP="005C49CF">
      <w:pPr>
        <w:rPr>
          <w:rFonts w:eastAsiaTheme="majorEastAsia" w:cstheme="minorHAnsi"/>
        </w:rPr>
      </w:pPr>
      <w:r>
        <w:rPr>
          <w:rFonts w:cstheme="minorHAnsi"/>
          <w:lang w:val="en-US" w:eastAsia="en-AU"/>
        </w:rPr>
        <w:t xml:space="preserve">The Department of </w:t>
      </w:r>
      <w:r w:rsidR="00D82783">
        <w:rPr>
          <w:rFonts w:cstheme="minorHAnsi"/>
          <w:lang w:val="en-US" w:eastAsia="en-AU"/>
        </w:rPr>
        <w:t>Health had planned an independent evaluation of the Pilot</w:t>
      </w:r>
      <w:r w:rsidR="00641840">
        <w:rPr>
          <w:rFonts w:cstheme="minorHAnsi"/>
          <w:lang w:val="en-US" w:eastAsia="en-AU"/>
        </w:rPr>
        <w:t xml:space="preserve">, but with Menzies proposing an RCT around the Pilot it was apparent </w:t>
      </w:r>
      <w:r w:rsidR="005C49CF">
        <w:rPr>
          <w:rFonts w:cstheme="minorHAnsi"/>
          <w:lang w:val="en-US" w:eastAsia="en-AU"/>
        </w:rPr>
        <w:t>that a separate evaluation would</w:t>
      </w:r>
      <w:r w:rsidR="00641840">
        <w:rPr>
          <w:rFonts w:cstheme="minorHAnsi"/>
          <w:lang w:val="en-US" w:eastAsia="en-AU"/>
        </w:rPr>
        <w:t xml:space="preserve"> involve significant duplication of effort</w:t>
      </w:r>
      <w:r w:rsidR="005C49CF">
        <w:rPr>
          <w:rFonts w:cstheme="minorHAnsi"/>
          <w:lang w:val="en-US" w:eastAsia="en-AU"/>
        </w:rPr>
        <w:t xml:space="preserve"> and costs. Instead, </w:t>
      </w:r>
      <w:r w:rsidR="005C49CF">
        <w:rPr>
          <w:rFonts w:eastAsiaTheme="majorEastAsia" w:cstheme="minorHAnsi"/>
        </w:rPr>
        <w:t xml:space="preserve">the </w:t>
      </w:r>
      <w:r w:rsidR="005C49CF" w:rsidRPr="00CF3200">
        <w:rPr>
          <w:rFonts w:eastAsiaTheme="majorEastAsia" w:cstheme="minorHAnsi"/>
        </w:rPr>
        <w:t xml:space="preserve">evaluation </w:t>
      </w:r>
      <w:r w:rsidR="005C49CF">
        <w:rPr>
          <w:rFonts w:eastAsiaTheme="majorEastAsia" w:cstheme="minorHAnsi"/>
        </w:rPr>
        <w:t xml:space="preserve">was carried out as </w:t>
      </w:r>
      <w:r w:rsidR="005C49CF" w:rsidRPr="00CF3200">
        <w:rPr>
          <w:rFonts w:eastAsiaTheme="majorEastAsia" w:cstheme="minorHAnsi"/>
        </w:rPr>
        <w:t xml:space="preserve">collaboration between Menzies and </w:t>
      </w:r>
      <w:r w:rsidR="00EE499C">
        <w:rPr>
          <w:rFonts w:eastAsiaTheme="majorEastAsia" w:cstheme="minorHAnsi"/>
        </w:rPr>
        <w:t xml:space="preserve">the Department of </w:t>
      </w:r>
      <w:r w:rsidR="005C49CF">
        <w:rPr>
          <w:rFonts w:eastAsiaTheme="majorEastAsia" w:cstheme="minorHAnsi"/>
        </w:rPr>
        <w:t>Health</w:t>
      </w:r>
      <w:r w:rsidR="005C49CF" w:rsidRPr="00CF3200">
        <w:rPr>
          <w:rFonts w:eastAsiaTheme="majorEastAsia" w:cstheme="minorHAnsi"/>
        </w:rPr>
        <w:t xml:space="preserve">. </w:t>
      </w:r>
    </w:p>
    <w:p w14:paraId="18C24CE4" w14:textId="49E637D8" w:rsidR="00822354" w:rsidRPr="004C0D5F" w:rsidRDefault="005C49CF" w:rsidP="005C49CF">
      <w:pPr>
        <w:rPr>
          <w:rFonts w:cstheme="minorHAnsi"/>
          <w:lang w:val="en-US" w:eastAsia="en-AU"/>
        </w:rPr>
      </w:pPr>
      <w:r>
        <w:rPr>
          <w:rFonts w:eastAsiaTheme="majorEastAsia" w:cstheme="minorHAnsi"/>
        </w:rPr>
        <w:t xml:space="preserve">An Evaluation Advisory Committee was </w:t>
      </w:r>
      <w:r w:rsidR="00095FD8">
        <w:rPr>
          <w:rFonts w:eastAsiaTheme="majorEastAsia" w:cstheme="minorHAnsi"/>
        </w:rPr>
        <w:t>established</w:t>
      </w:r>
      <w:r>
        <w:rPr>
          <w:rFonts w:eastAsiaTheme="majorEastAsia" w:cstheme="minorHAnsi"/>
        </w:rPr>
        <w:t xml:space="preserve"> to </w:t>
      </w:r>
      <w:r w:rsidRPr="00CF3200">
        <w:rPr>
          <w:rFonts w:eastAsiaTheme="majorEastAsia" w:cstheme="minorHAnsi"/>
        </w:rPr>
        <w:t xml:space="preserve">review </w:t>
      </w:r>
      <w:r>
        <w:rPr>
          <w:rFonts w:eastAsiaTheme="majorEastAsia" w:cstheme="minorHAnsi"/>
        </w:rPr>
        <w:t xml:space="preserve">the </w:t>
      </w:r>
      <w:r w:rsidR="005A691A">
        <w:rPr>
          <w:rFonts w:eastAsiaTheme="majorEastAsia" w:cstheme="minorHAnsi"/>
        </w:rPr>
        <w:t>e</w:t>
      </w:r>
      <w:r>
        <w:rPr>
          <w:rFonts w:eastAsiaTheme="majorEastAsia" w:cstheme="minorHAnsi"/>
        </w:rPr>
        <w:t xml:space="preserve">valuation </w:t>
      </w:r>
      <w:r w:rsidR="005A691A">
        <w:rPr>
          <w:rFonts w:eastAsiaTheme="majorEastAsia" w:cstheme="minorHAnsi"/>
        </w:rPr>
        <w:t>p</w:t>
      </w:r>
      <w:r>
        <w:rPr>
          <w:rFonts w:eastAsiaTheme="majorEastAsia" w:cstheme="minorHAnsi"/>
        </w:rPr>
        <w:t xml:space="preserve">lan and </w:t>
      </w:r>
      <w:r w:rsidRPr="00CF3200">
        <w:rPr>
          <w:rFonts w:cstheme="minorHAnsi"/>
        </w:rPr>
        <w:t>provide independent and expert advic</w:t>
      </w:r>
      <w:r w:rsidR="005A691A">
        <w:rPr>
          <w:rFonts w:cstheme="minorHAnsi"/>
        </w:rPr>
        <w:t>e</w:t>
      </w:r>
      <w:r w:rsidRPr="00CF3200">
        <w:rPr>
          <w:rFonts w:cstheme="minorHAnsi"/>
        </w:rPr>
        <w:t xml:space="preserve"> to </w:t>
      </w:r>
      <w:r w:rsidR="00EE499C">
        <w:rPr>
          <w:rFonts w:cstheme="minorHAnsi"/>
        </w:rPr>
        <w:t xml:space="preserve">the </w:t>
      </w:r>
      <w:r w:rsidR="00EE499C">
        <w:rPr>
          <w:rFonts w:eastAsiaTheme="majorEastAsia" w:cstheme="minorHAnsi"/>
        </w:rPr>
        <w:t>Department of Health</w:t>
      </w:r>
      <w:r w:rsidR="00EE499C" w:rsidDel="00EE499C">
        <w:rPr>
          <w:rFonts w:cstheme="minorHAnsi"/>
        </w:rPr>
        <w:t xml:space="preserve"> </w:t>
      </w:r>
      <w:r w:rsidRPr="00CF3200">
        <w:rPr>
          <w:rFonts w:cstheme="minorHAnsi"/>
        </w:rPr>
        <w:t>in relation to the evaluation conduct and findings.</w:t>
      </w:r>
      <w:r w:rsidRPr="00CF3200">
        <w:rPr>
          <w:rFonts w:eastAsiaTheme="majorEastAsia" w:cstheme="minorHAnsi"/>
        </w:rPr>
        <w:t xml:space="preserve"> </w:t>
      </w:r>
      <w:r w:rsidR="00827D48">
        <w:rPr>
          <w:rFonts w:eastAsiaTheme="majorEastAsia" w:cstheme="minorHAnsi"/>
        </w:rPr>
        <w:t xml:space="preserve">This report is therefore the draft report of the project and of the evaluation. </w:t>
      </w:r>
    </w:p>
    <w:p w14:paraId="710C8863" w14:textId="4138AF08" w:rsidR="00822354" w:rsidRPr="004C0D5F" w:rsidRDefault="00822354" w:rsidP="00822354">
      <w:pPr>
        <w:rPr>
          <w:rFonts w:cstheme="minorHAnsi"/>
          <w:lang w:val="en-US" w:eastAsia="en-AU"/>
        </w:rPr>
      </w:pPr>
      <w:r w:rsidRPr="004C0D5F">
        <w:rPr>
          <w:rFonts w:cstheme="minorHAnsi"/>
          <w:lang w:val="en-US" w:eastAsia="en-AU"/>
        </w:rPr>
        <w:t xml:space="preserve">As a </w:t>
      </w:r>
      <w:r>
        <w:rPr>
          <w:rFonts w:cstheme="minorHAnsi"/>
          <w:lang w:val="en-US" w:eastAsia="en-AU"/>
        </w:rPr>
        <w:t>P</w:t>
      </w:r>
      <w:r w:rsidRPr="004C0D5F">
        <w:rPr>
          <w:rFonts w:cstheme="minorHAnsi"/>
          <w:lang w:val="en-US" w:eastAsia="en-AU"/>
        </w:rPr>
        <w:t xml:space="preserve">ilot, a key focus of the evaluation </w:t>
      </w:r>
      <w:r w:rsidR="00571641">
        <w:rPr>
          <w:rFonts w:cstheme="minorHAnsi"/>
          <w:lang w:val="en-US" w:eastAsia="en-AU"/>
        </w:rPr>
        <w:t>was</w:t>
      </w:r>
      <w:r>
        <w:rPr>
          <w:rFonts w:cstheme="minorHAnsi"/>
          <w:lang w:val="en-US" w:eastAsia="en-AU"/>
        </w:rPr>
        <w:t xml:space="preserve"> to</w:t>
      </w:r>
      <w:r w:rsidRPr="004C0D5F">
        <w:rPr>
          <w:rFonts w:cstheme="minorHAnsi"/>
          <w:lang w:val="en-US" w:eastAsia="en-AU"/>
        </w:rPr>
        <w:t xml:space="preserve"> assess whether and how the Alternative Pathway </w:t>
      </w:r>
      <w:r>
        <w:rPr>
          <w:rFonts w:cstheme="minorHAnsi"/>
          <w:lang w:val="en-US" w:eastAsia="en-AU"/>
        </w:rPr>
        <w:t xml:space="preserve">could </w:t>
      </w:r>
      <w:r w:rsidRPr="004C0D5F">
        <w:rPr>
          <w:rFonts w:cstheme="minorHAnsi"/>
          <w:lang w:val="en-US" w:eastAsia="en-AU"/>
        </w:rPr>
        <w:t xml:space="preserve">be rolled out more widely. </w:t>
      </w:r>
      <w:r w:rsidR="00641840">
        <w:rPr>
          <w:rFonts w:cstheme="minorHAnsi"/>
          <w:lang w:val="en-US" w:eastAsia="en-AU"/>
        </w:rPr>
        <w:t>The objectives of the evaluation were</w:t>
      </w:r>
      <w:r w:rsidRPr="004C0D5F">
        <w:rPr>
          <w:rFonts w:cstheme="minorHAnsi"/>
          <w:lang w:val="en-US" w:eastAsia="en-AU"/>
        </w:rPr>
        <w:t xml:space="preserve"> to:</w:t>
      </w:r>
    </w:p>
    <w:p w14:paraId="08D93BB3" w14:textId="546C078B" w:rsidR="00822354" w:rsidRPr="005A691A" w:rsidRDefault="00822354" w:rsidP="001560EF">
      <w:pPr>
        <w:pStyle w:val="ListParagraph"/>
        <w:numPr>
          <w:ilvl w:val="0"/>
          <w:numId w:val="10"/>
        </w:numPr>
        <w:rPr>
          <w:rFonts w:cstheme="minorHAnsi"/>
          <w:lang w:val="en-US" w:eastAsia="en-AU"/>
        </w:rPr>
      </w:pPr>
      <w:r w:rsidRPr="005A691A">
        <w:rPr>
          <w:rFonts w:cstheme="minorHAnsi"/>
          <w:lang w:val="en-US" w:eastAsia="en-AU"/>
        </w:rPr>
        <w:t xml:space="preserve">Understand the extent to which the Alternative Pathway was acceptable to </w:t>
      </w:r>
      <w:r w:rsidR="0063517C" w:rsidRPr="005A691A">
        <w:rPr>
          <w:rFonts w:cstheme="minorHAnsi"/>
          <w:lang w:val="en-US" w:eastAsia="en-AU"/>
        </w:rPr>
        <w:t xml:space="preserve">Indigenous </w:t>
      </w:r>
      <w:r w:rsidR="00B47421">
        <w:rPr>
          <w:rFonts w:cstheme="minorHAnsi"/>
          <w:lang w:val="en-US" w:eastAsia="en-AU"/>
        </w:rPr>
        <w:t>p</w:t>
      </w:r>
      <w:r w:rsidR="0063517C" w:rsidRPr="005A691A">
        <w:rPr>
          <w:rFonts w:cstheme="minorHAnsi"/>
          <w:lang w:val="en-US" w:eastAsia="en-AU"/>
        </w:rPr>
        <w:t xml:space="preserve">rimary </w:t>
      </w:r>
      <w:r w:rsidR="00B47421">
        <w:rPr>
          <w:rFonts w:cstheme="minorHAnsi"/>
          <w:lang w:val="en-US" w:eastAsia="en-AU"/>
        </w:rPr>
        <w:t>h</w:t>
      </w:r>
      <w:r w:rsidR="0063517C" w:rsidRPr="005A691A">
        <w:rPr>
          <w:rFonts w:cstheme="minorHAnsi"/>
          <w:lang w:val="en-US" w:eastAsia="en-AU"/>
        </w:rPr>
        <w:t xml:space="preserve">ealth </w:t>
      </w:r>
      <w:r w:rsidR="00B47421">
        <w:rPr>
          <w:rFonts w:cstheme="minorHAnsi"/>
          <w:lang w:val="en-US" w:eastAsia="en-AU"/>
        </w:rPr>
        <w:t>c</w:t>
      </w:r>
      <w:r w:rsidR="0063517C" w:rsidRPr="005A691A">
        <w:rPr>
          <w:rFonts w:cstheme="minorHAnsi"/>
          <w:lang w:val="en-US" w:eastAsia="en-AU"/>
        </w:rPr>
        <w:t xml:space="preserve">are </w:t>
      </w:r>
      <w:proofErr w:type="spellStart"/>
      <w:r w:rsidR="00B47421">
        <w:rPr>
          <w:rFonts w:cstheme="minorHAnsi"/>
          <w:lang w:val="en-US" w:eastAsia="en-AU"/>
        </w:rPr>
        <w:t>c</w:t>
      </w:r>
      <w:r w:rsidR="0063517C" w:rsidRPr="005A691A">
        <w:rPr>
          <w:rFonts w:cstheme="minorHAnsi"/>
          <w:lang w:val="en-US" w:eastAsia="en-AU"/>
        </w:rPr>
        <w:t>entres</w:t>
      </w:r>
      <w:proofErr w:type="spellEnd"/>
      <w:r w:rsidR="0063517C" w:rsidRPr="005A691A">
        <w:rPr>
          <w:rFonts w:cstheme="minorHAnsi"/>
          <w:lang w:val="en-US" w:eastAsia="en-AU"/>
        </w:rPr>
        <w:t xml:space="preserve"> (</w:t>
      </w:r>
      <w:r w:rsidRPr="005A691A">
        <w:rPr>
          <w:rFonts w:cstheme="minorHAnsi"/>
          <w:lang w:val="en-US" w:eastAsia="en-AU"/>
        </w:rPr>
        <w:t>IPHCCs</w:t>
      </w:r>
      <w:r w:rsidR="0063517C" w:rsidRPr="005A691A">
        <w:rPr>
          <w:rFonts w:cstheme="minorHAnsi"/>
          <w:lang w:val="en-US" w:eastAsia="en-AU"/>
        </w:rPr>
        <w:t>)</w:t>
      </w:r>
      <w:r w:rsidRPr="005A691A">
        <w:rPr>
          <w:rFonts w:cstheme="minorHAnsi"/>
          <w:lang w:val="en-US" w:eastAsia="en-AU"/>
        </w:rPr>
        <w:t xml:space="preserve"> as a means to encourage participation in the NBCSP by eligible Indigenous people (IPHCC patients who are Indigenous and aged 50-74 years, who may or may not have done a previous bowel cancer screening test).  </w:t>
      </w:r>
    </w:p>
    <w:p w14:paraId="58B81621" w14:textId="6A2EE01A" w:rsidR="001560EF" w:rsidRPr="005A691A" w:rsidRDefault="00822354" w:rsidP="00402F9A">
      <w:pPr>
        <w:pStyle w:val="ListParagraph"/>
        <w:numPr>
          <w:ilvl w:val="0"/>
          <w:numId w:val="10"/>
        </w:numPr>
        <w:rPr>
          <w:rFonts w:cstheme="minorHAnsi"/>
          <w:lang w:val="en-US" w:eastAsia="en-AU"/>
        </w:rPr>
      </w:pPr>
      <w:r w:rsidRPr="005A691A">
        <w:rPr>
          <w:rFonts w:cstheme="minorHAnsi"/>
          <w:lang w:val="en-US" w:eastAsia="en-AU"/>
        </w:rPr>
        <w:lastRenderedPageBreak/>
        <w:t>Understand key factors (enablers and barriers) in the implementation of the Alternative Pathway by IPHCCs.</w:t>
      </w:r>
    </w:p>
    <w:p w14:paraId="2D5334FD" w14:textId="3A0C1C89" w:rsidR="00822354" w:rsidRPr="001560EF" w:rsidRDefault="00822354" w:rsidP="001560EF">
      <w:pPr>
        <w:pStyle w:val="ListParagraph"/>
        <w:numPr>
          <w:ilvl w:val="0"/>
          <w:numId w:val="10"/>
        </w:numPr>
        <w:rPr>
          <w:rFonts w:cstheme="minorHAnsi"/>
          <w:lang w:val="en-US" w:eastAsia="en-AU"/>
        </w:rPr>
      </w:pPr>
      <w:r w:rsidRPr="001560EF">
        <w:rPr>
          <w:rFonts w:cstheme="minorHAnsi"/>
          <w:lang w:val="en-US" w:eastAsia="en-AU"/>
        </w:rPr>
        <w:t>Measure the effectiveness of the Alternative Pathway in increasing screening participation rates amongst eligible Indigenous people (IPHCC patients who are Indigenous and aged 50-74 years, who may or may not have done a previous bowel cancer screening test).</w:t>
      </w:r>
    </w:p>
    <w:p w14:paraId="6C248787" w14:textId="77777777" w:rsidR="00822354" w:rsidRPr="005A691A" w:rsidRDefault="00822354" w:rsidP="00402F9A">
      <w:pPr>
        <w:pStyle w:val="ListParagraph"/>
        <w:numPr>
          <w:ilvl w:val="0"/>
          <w:numId w:val="10"/>
        </w:numPr>
        <w:rPr>
          <w:rFonts w:cstheme="minorHAnsi"/>
          <w:lang w:val="en-US" w:eastAsia="en-AU"/>
        </w:rPr>
      </w:pPr>
      <w:r w:rsidRPr="005A691A">
        <w:rPr>
          <w:rFonts w:cstheme="minorHAnsi"/>
          <w:lang w:val="en-US" w:eastAsia="en-AU"/>
        </w:rPr>
        <w:t xml:space="preserve">Compare the screening participation rates, quality outcomes and costs of the two support variants of the Alternative Pathway (intervention Groups A and B). </w:t>
      </w:r>
    </w:p>
    <w:p w14:paraId="49A98565" w14:textId="6107A177" w:rsidR="00EC7BAC" w:rsidRPr="005A691A" w:rsidRDefault="00822354" w:rsidP="00402F9A">
      <w:pPr>
        <w:pStyle w:val="ListParagraph"/>
        <w:numPr>
          <w:ilvl w:val="0"/>
          <w:numId w:val="10"/>
        </w:numPr>
        <w:rPr>
          <w:rFonts w:cstheme="minorHAnsi"/>
          <w:lang w:val="en-US" w:eastAsia="en-AU"/>
        </w:rPr>
      </w:pPr>
      <w:r w:rsidRPr="005A691A">
        <w:rPr>
          <w:rFonts w:cstheme="minorHAnsi"/>
          <w:lang w:val="en-US" w:eastAsia="en-AU"/>
        </w:rPr>
        <w:t>Consider the feasibility of wider rollout of the Alternative Pathway.</w:t>
      </w:r>
    </w:p>
    <w:p w14:paraId="7C6F25A3" w14:textId="5C32AB1D" w:rsidR="00822354" w:rsidRPr="00394BCD" w:rsidRDefault="00822354" w:rsidP="00822354">
      <w:pPr>
        <w:rPr>
          <w:rFonts w:cstheme="minorHAnsi"/>
          <w:lang w:val="en-US" w:eastAsia="en-AU"/>
        </w:rPr>
      </w:pPr>
      <w:r w:rsidRPr="00394BCD">
        <w:rPr>
          <w:rFonts w:cstheme="minorHAnsi"/>
          <w:lang w:val="en-US" w:eastAsia="en-AU"/>
        </w:rPr>
        <w:t xml:space="preserve">The impact (if any) on screening participation rates </w:t>
      </w:r>
      <w:r w:rsidR="0063517C" w:rsidRPr="00394BCD">
        <w:rPr>
          <w:rFonts w:cstheme="minorHAnsi"/>
          <w:lang w:val="en-US" w:eastAsia="en-AU"/>
        </w:rPr>
        <w:t>was</w:t>
      </w:r>
      <w:r w:rsidRPr="00394BCD">
        <w:rPr>
          <w:rFonts w:cstheme="minorHAnsi"/>
          <w:lang w:val="en-US" w:eastAsia="en-AU"/>
        </w:rPr>
        <w:t xml:space="preserve"> the key </w:t>
      </w:r>
      <w:r w:rsidR="0063517C" w:rsidRPr="00394BCD">
        <w:rPr>
          <w:rFonts w:cstheme="minorHAnsi"/>
          <w:lang w:val="en-US" w:eastAsia="en-AU"/>
        </w:rPr>
        <w:t>outcome measure</w:t>
      </w:r>
      <w:r w:rsidRPr="00394BCD">
        <w:rPr>
          <w:rFonts w:cstheme="minorHAnsi"/>
          <w:lang w:val="en-US" w:eastAsia="en-AU"/>
        </w:rPr>
        <w:t xml:space="preserve"> of the evaluation. </w:t>
      </w:r>
    </w:p>
    <w:p w14:paraId="4F03CB29" w14:textId="39BDF956" w:rsidR="00822354" w:rsidRDefault="0063517C" w:rsidP="00822354">
      <w:pPr>
        <w:rPr>
          <w:rFonts w:cstheme="minorHAnsi"/>
          <w:lang w:val="en-US" w:eastAsia="en-AU"/>
        </w:rPr>
      </w:pPr>
      <w:r>
        <w:rPr>
          <w:rFonts w:cstheme="minorHAnsi"/>
          <w:lang w:val="en-US" w:eastAsia="en-AU"/>
        </w:rPr>
        <w:t xml:space="preserve">Data on screening activity, provided by the DHS and the Australian Institute of Health and Welfare (AIHW), would be </w:t>
      </w:r>
      <w:r w:rsidR="00822354" w:rsidRPr="00874345">
        <w:rPr>
          <w:rFonts w:cstheme="minorHAnsi"/>
          <w:lang w:val="en-US" w:eastAsia="en-AU"/>
        </w:rPr>
        <w:t xml:space="preserve">triangulated with qualitative </w:t>
      </w:r>
      <w:r w:rsidR="009706D8">
        <w:rPr>
          <w:rFonts w:cstheme="minorHAnsi"/>
          <w:lang w:val="en-US" w:eastAsia="en-AU"/>
        </w:rPr>
        <w:t xml:space="preserve">insights </w:t>
      </w:r>
      <w:r w:rsidR="00822354" w:rsidRPr="00874345">
        <w:rPr>
          <w:rFonts w:cstheme="minorHAnsi"/>
          <w:lang w:val="en-US" w:eastAsia="en-AU"/>
        </w:rPr>
        <w:t xml:space="preserve">about the acceptability of the Alternative Pathway (to </w:t>
      </w:r>
      <w:r w:rsidR="009706D8">
        <w:rPr>
          <w:rFonts w:cstheme="minorHAnsi"/>
          <w:lang w:val="en-US" w:eastAsia="en-AU"/>
        </w:rPr>
        <w:t xml:space="preserve">health </w:t>
      </w:r>
      <w:proofErr w:type="spellStart"/>
      <w:r w:rsidR="009706D8">
        <w:rPr>
          <w:rFonts w:cstheme="minorHAnsi"/>
          <w:lang w:val="en-US" w:eastAsia="en-AU"/>
        </w:rPr>
        <w:t>centre</w:t>
      </w:r>
      <w:proofErr w:type="spellEnd"/>
      <w:r w:rsidR="00822354" w:rsidRPr="00874345">
        <w:rPr>
          <w:rFonts w:cstheme="minorHAnsi"/>
          <w:lang w:val="en-US" w:eastAsia="en-AU"/>
        </w:rPr>
        <w:t xml:space="preserve"> staff, and to </w:t>
      </w:r>
      <w:r w:rsidR="009706D8">
        <w:rPr>
          <w:rFonts w:cstheme="minorHAnsi"/>
          <w:lang w:val="en-US" w:eastAsia="en-AU"/>
        </w:rPr>
        <w:t>eligible Indigenous patients</w:t>
      </w:r>
      <w:r w:rsidR="00822354" w:rsidRPr="00874345">
        <w:rPr>
          <w:rFonts w:cstheme="minorHAnsi"/>
          <w:lang w:val="en-US" w:eastAsia="en-AU"/>
        </w:rPr>
        <w:t>), and its feasibility and sustainability for continuation or wider implementation.</w:t>
      </w:r>
    </w:p>
    <w:p w14:paraId="4813384D" w14:textId="10F0A6B9" w:rsidR="00EC7BAC" w:rsidRPr="00874345" w:rsidRDefault="00EC7BAC" w:rsidP="00822354">
      <w:pPr>
        <w:rPr>
          <w:rFonts w:cstheme="minorHAnsi"/>
          <w:lang w:val="en-US" w:eastAsia="en-AU"/>
        </w:rPr>
      </w:pPr>
    </w:p>
    <w:p w14:paraId="1EE0C63E" w14:textId="77777777" w:rsidR="001560EF" w:rsidRDefault="001560EF">
      <w:pPr>
        <w:spacing w:before="0" w:after="0" w:line="240" w:lineRule="auto"/>
        <w:rPr>
          <w:rFonts w:asciiTheme="majorHAnsi" w:eastAsiaTheme="majorEastAsia" w:hAnsiTheme="majorHAnsi" w:cstheme="majorBidi"/>
          <w:b/>
          <w:color w:val="C45911" w:themeColor="accent2" w:themeShade="BF"/>
          <w:sz w:val="48"/>
          <w:szCs w:val="32"/>
          <w:lang w:eastAsia="en-AU"/>
        </w:rPr>
      </w:pPr>
      <w:bookmarkStart w:id="94" w:name="_Toc44339188"/>
      <w:r>
        <w:br w:type="page"/>
      </w:r>
    </w:p>
    <w:p w14:paraId="6AD82C3F" w14:textId="362AB14E" w:rsidR="00714BB8" w:rsidRPr="004F4922" w:rsidRDefault="00D27E8F" w:rsidP="00510A67">
      <w:pPr>
        <w:pStyle w:val="Heading1"/>
      </w:pPr>
      <w:bookmarkStart w:id="95" w:name="_Toc45539253"/>
      <w:bookmarkStart w:id="96" w:name="_Toc54954840"/>
      <w:r>
        <w:lastRenderedPageBreak/>
        <w:t>4. IMPLEMENTING THE PILOT</w:t>
      </w:r>
      <w:bookmarkEnd w:id="94"/>
      <w:bookmarkEnd w:id="95"/>
      <w:bookmarkEnd w:id="96"/>
    </w:p>
    <w:p w14:paraId="0F4F267C" w14:textId="191CE6EA" w:rsidR="00822354" w:rsidRDefault="004F4922" w:rsidP="00070C12">
      <w:pPr>
        <w:pStyle w:val="Heading2"/>
      </w:pPr>
      <w:bookmarkStart w:id="97" w:name="_Toc44339189"/>
      <w:bookmarkStart w:id="98" w:name="_Toc45539254"/>
      <w:bookmarkStart w:id="99" w:name="_Toc54954841"/>
      <w:r>
        <w:t xml:space="preserve">4.1 </w:t>
      </w:r>
      <w:r w:rsidR="00A377FF">
        <w:t>Recruitment of health centres</w:t>
      </w:r>
      <w:bookmarkEnd w:id="97"/>
      <w:bookmarkEnd w:id="98"/>
      <w:bookmarkEnd w:id="99"/>
    </w:p>
    <w:p w14:paraId="11973093" w14:textId="0F859A79" w:rsidR="00A377FF" w:rsidRPr="00A377FF" w:rsidRDefault="00A377FF" w:rsidP="00366EAB">
      <w:pPr>
        <w:pStyle w:val="Heading3"/>
      </w:pPr>
      <w:bookmarkStart w:id="100" w:name="_Toc44279073"/>
      <w:bookmarkStart w:id="101" w:name="_Toc44339190"/>
      <w:bookmarkStart w:id="102" w:name="_Toc44361555"/>
      <w:r>
        <w:t>Health centre eligibility</w:t>
      </w:r>
      <w:bookmarkEnd w:id="100"/>
      <w:bookmarkEnd w:id="101"/>
      <w:bookmarkEnd w:id="102"/>
    </w:p>
    <w:p w14:paraId="6A8412C6" w14:textId="261812DB" w:rsidR="00822354" w:rsidRPr="00874345" w:rsidRDefault="00822354" w:rsidP="00822354">
      <w:pPr>
        <w:rPr>
          <w:rFonts w:cstheme="minorHAnsi"/>
        </w:rPr>
      </w:pPr>
      <w:r w:rsidRPr="00874345">
        <w:rPr>
          <w:rFonts w:cstheme="minorHAnsi"/>
        </w:rPr>
        <w:t xml:space="preserve">To be eligible </w:t>
      </w:r>
      <w:r w:rsidR="009706D8">
        <w:rPr>
          <w:rFonts w:cstheme="minorHAnsi"/>
        </w:rPr>
        <w:t>to take part in the</w:t>
      </w:r>
      <w:r w:rsidRPr="00874345">
        <w:rPr>
          <w:rFonts w:cstheme="minorHAnsi"/>
        </w:rPr>
        <w:t xml:space="preserve"> Pilot, </w:t>
      </w:r>
      <w:r w:rsidR="00D74AD3">
        <w:rPr>
          <w:rFonts w:cstheme="minorHAnsi"/>
        </w:rPr>
        <w:t>IPHCCs</w:t>
      </w:r>
      <w:r w:rsidR="009706D8">
        <w:rPr>
          <w:rFonts w:cstheme="minorHAnsi"/>
        </w:rPr>
        <w:t xml:space="preserve"> </w:t>
      </w:r>
      <w:r w:rsidR="009316A1">
        <w:rPr>
          <w:rFonts w:cstheme="minorHAnsi"/>
        </w:rPr>
        <w:t xml:space="preserve">(Indigenous </w:t>
      </w:r>
      <w:r w:rsidR="00B47421">
        <w:rPr>
          <w:rFonts w:cstheme="minorHAnsi"/>
        </w:rPr>
        <w:t>p</w:t>
      </w:r>
      <w:r w:rsidR="009316A1">
        <w:rPr>
          <w:rFonts w:cstheme="minorHAnsi"/>
        </w:rPr>
        <w:t xml:space="preserve">rimary </w:t>
      </w:r>
      <w:r w:rsidR="00B47421">
        <w:rPr>
          <w:rFonts w:cstheme="minorHAnsi"/>
        </w:rPr>
        <w:t>h</w:t>
      </w:r>
      <w:r w:rsidR="009316A1">
        <w:rPr>
          <w:rFonts w:cstheme="minorHAnsi"/>
        </w:rPr>
        <w:t xml:space="preserve">ealth </w:t>
      </w:r>
      <w:r w:rsidR="00B47421">
        <w:rPr>
          <w:rFonts w:cstheme="minorHAnsi"/>
        </w:rPr>
        <w:t>c</w:t>
      </w:r>
      <w:r w:rsidR="009316A1">
        <w:rPr>
          <w:rFonts w:cstheme="minorHAnsi"/>
        </w:rPr>
        <w:t xml:space="preserve">are </w:t>
      </w:r>
      <w:r w:rsidR="00B47421">
        <w:rPr>
          <w:rFonts w:cstheme="minorHAnsi"/>
        </w:rPr>
        <w:t>c</w:t>
      </w:r>
      <w:r w:rsidR="009316A1">
        <w:rPr>
          <w:rFonts w:cstheme="minorHAnsi"/>
        </w:rPr>
        <w:t xml:space="preserve">entres) </w:t>
      </w:r>
      <w:r w:rsidR="009706D8">
        <w:rPr>
          <w:rFonts w:cstheme="minorHAnsi"/>
        </w:rPr>
        <w:t>needed to</w:t>
      </w:r>
      <w:r w:rsidRPr="00874345">
        <w:rPr>
          <w:rFonts w:cstheme="minorHAnsi"/>
        </w:rPr>
        <w:t>:</w:t>
      </w:r>
    </w:p>
    <w:p w14:paraId="67D12AD1" w14:textId="56332A2F" w:rsidR="00822354" w:rsidRPr="001560EF" w:rsidRDefault="00822354" w:rsidP="001560EF">
      <w:pPr>
        <w:pStyle w:val="ListParagraph"/>
        <w:numPr>
          <w:ilvl w:val="0"/>
          <w:numId w:val="5"/>
        </w:numPr>
        <w:rPr>
          <w:rFonts w:cstheme="minorHAnsi"/>
        </w:rPr>
      </w:pPr>
      <w:r w:rsidRPr="001560EF">
        <w:rPr>
          <w:rFonts w:cstheme="minorHAnsi"/>
        </w:rPr>
        <w:t xml:space="preserve">Have at least fifty (50) Aboriginal and Torres Strait Islander patients in the eligible age group for the NBCSP (aged 50 to 74), who </w:t>
      </w:r>
      <w:r w:rsidR="009706D8" w:rsidRPr="001560EF">
        <w:rPr>
          <w:rFonts w:cstheme="minorHAnsi"/>
        </w:rPr>
        <w:t>wer</w:t>
      </w:r>
      <w:r w:rsidRPr="001560EF">
        <w:rPr>
          <w:rFonts w:cstheme="minorHAnsi"/>
        </w:rPr>
        <w:t xml:space="preserve">e active patients under the NACCHO/RACGP definition. </w:t>
      </w:r>
    </w:p>
    <w:p w14:paraId="5E647B8D" w14:textId="6D11CD38" w:rsidR="00822354" w:rsidRPr="00874345" w:rsidRDefault="00822354" w:rsidP="0027747A">
      <w:pPr>
        <w:pStyle w:val="ListParagraph"/>
        <w:numPr>
          <w:ilvl w:val="0"/>
          <w:numId w:val="5"/>
        </w:numPr>
        <w:rPr>
          <w:rFonts w:cstheme="minorHAnsi"/>
        </w:rPr>
      </w:pPr>
      <w:r w:rsidRPr="00874345">
        <w:rPr>
          <w:rFonts w:cstheme="minorHAnsi"/>
        </w:rPr>
        <w:t xml:space="preserve">Deliver at least some primary health care services to Aboriginal and Torres Strait Islander people, have capacity to support the Alternative Pathway, and have access to a GP who </w:t>
      </w:r>
      <w:r w:rsidR="009706D8">
        <w:rPr>
          <w:rFonts w:cstheme="minorHAnsi"/>
        </w:rPr>
        <w:t>could</w:t>
      </w:r>
      <w:r w:rsidRPr="00874345">
        <w:rPr>
          <w:rFonts w:cstheme="minorHAnsi"/>
        </w:rPr>
        <w:t xml:space="preserve"> assess patients who receive</w:t>
      </w:r>
      <w:r w:rsidR="009706D8">
        <w:rPr>
          <w:rFonts w:cstheme="minorHAnsi"/>
        </w:rPr>
        <w:t>d</w:t>
      </w:r>
      <w:r w:rsidRPr="00874345">
        <w:rPr>
          <w:rFonts w:cstheme="minorHAnsi"/>
        </w:rPr>
        <w:t xml:space="preserve"> a positive result and refer on to further diagnostic testing if required. </w:t>
      </w:r>
    </w:p>
    <w:p w14:paraId="4FE4B214" w14:textId="77777777" w:rsidR="00822354" w:rsidRPr="00874345" w:rsidRDefault="00822354" w:rsidP="00822354">
      <w:pPr>
        <w:rPr>
          <w:rFonts w:cstheme="minorHAnsi"/>
        </w:rPr>
      </w:pPr>
      <w:r w:rsidRPr="00874345">
        <w:rPr>
          <w:rFonts w:cstheme="minorHAnsi"/>
        </w:rPr>
        <w:t>An IPHCC was defined as:</w:t>
      </w:r>
    </w:p>
    <w:p w14:paraId="13908BA6" w14:textId="491BAA9B" w:rsidR="00822354" w:rsidRPr="00874345" w:rsidRDefault="00822354" w:rsidP="0027747A">
      <w:pPr>
        <w:pStyle w:val="ListParagraph"/>
        <w:numPr>
          <w:ilvl w:val="0"/>
          <w:numId w:val="6"/>
        </w:numPr>
        <w:rPr>
          <w:rFonts w:cstheme="minorHAnsi"/>
        </w:rPr>
      </w:pPr>
      <w:r w:rsidRPr="00874345">
        <w:rPr>
          <w:rFonts w:cstheme="minorHAnsi"/>
        </w:rPr>
        <w:t xml:space="preserve">A </w:t>
      </w:r>
      <w:r w:rsidR="001560EF">
        <w:rPr>
          <w:rFonts w:cstheme="minorHAnsi"/>
        </w:rPr>
        <w:t>p</w:t>
      </w:r>
      <w:r w:rsidRPr="00874345">
        <w:rPr>
          <w:rFonts w:cstheme="minorHAnsi"/>
        </w:rPr>
        <w:t xml:space="preserve">rimary </w:t>
      </w:r>
      <w:r w:rsidR="001560EF">
        <w:rPr>
          <w:rFonts w:cstheme="minorHAnsi"/>
        </w:rPr>
        <w:t>h</w:t>
      </w:r>
      <w:r w:rsidRPr="00874345">
        <w:rPr>
          <w:rFonts w:cstheme="minorHAnsi"/>
        </w:rPr>
        <w:t xml:space="preserve">ealth </w:t>
      </w:r>
      <w:r w:rsidR="001560EF">
        <w:rPr>
          <w:rFonts w:cstheme="minorHAnsi"/>
        </w:rPr>
        <w:t>c</w:t>
      </w:r>
      <w:r w:rsidRPr="00874345">
        <w:rPr>
          <w:rFonts w:cstheme="minorHAnsi"/>
        </w:rPr>
        <w:t xml:space="preserve">are </w:t>
      </w:r>
      <w:r w:rsidR="001560EF">
        <w:rPr>
          <w:rFonts w:cstheme="minorHAnsi"/>
        </w:rPr>
        <w:t>c</w:t>
      </w:r>
      <w:r w:rsidRPr="00874345">
        <w:rPr>
          <w:rFonts w:cstheme="minorHAnsi"/>
        </w:rPr>
        <w:t>entre (PHCC) with a majority Indigenous patient population; or,</w:t>
      </w:r>
    </w:p>
    <w:p w14:paraId="2B4A25BD" w14:textId="049814BC" w:rsidR="00822354" w:rsidRPr="00874345" w:rsidRDefault="00822354" w:rsidP="0027747A">
      <w:pPr>
        <w:pStyle w:val="ListParagraph"/>
        <w:numPr>
          <w:ilvl w:val="0"/>
          <w:numId w:val="6"/>
        </w:numPr>
        <w:rPr>
          <w:rFonts w:cstheme="minorHAnsi"/>
        </w:rPr>
      </w:pPr>
      <w:r w:rsidRPr="00874345">
        <w:rPr>
          <w:rFonts w:cstheme="minorHAnsi"/>
        </w:rPr>
        <w:t xml:space="preserve">A PHCC that did not have a </w:t>
      </w:r>
      <w:r w:rsidRPr="00874345">
        <w:rPr>
          <w:rFonts w:cstheme="minorHAnsi"/>
          <w:u w:val="single"/>
        </w:rPr>
        <w:t>majority</w:t>
      </w:r>
      <w:r w:rsidRPr="00874345">
        <w:rPr>
          <w:rFonts w:cstheme="minorHAnsi"/>
        </w:rPr>
        <w:t xml:space="preserve"> of Indigenous </w:t>
      </w:r>
      <w:r w:rsidR="005A691A" w:rsidRPr="00874345">
        <w:rPr>
          <w:rFonts w:cstheme="minorHAnsi"/>
        </w:rPr>
        <w:t>patients,</w:t>
      </w:r>
      <w:r w:rsidRPr="00874345">
        <w:rPr>
          <w:rFonts w:cstheme="minorHAnsi"/>
        </w:rPr>
        <w:t xml:space="preserve"> but at least 50 Indigenous patients aged 50 to 74 years and wished to make improving Indigenous participation in bowel screening an organisational priority.</w:t>
      </w:r>
    </w:p>
    <w:p w14:paraId="5696939C" w14:textId="77777777" w:rsidR="00822354" w:rsidRPr="00874345" w:rsidRDefault="00822354" w:rsidP="00822354">
      <w:pPr>
        <w:rPr>
          <w:rFonts w:cstheme="minorHAnsi"/>
          <w:iCs/>
        </w:rPr>
      </w:pPr>
      <w:r w:rsidRPr="003E0090">
        <w:rPr>
          <w:rFonts w:cstheme="minorHAnsi"/>
          <w:bCs/>
          <w:iCs/>
        </w:rPr>
        <w:t>IPHCCs</w:t>
      </w:r>
      <w:r w:rsidRPr="00874345">
        <w:rPr>
          <w:rFonts w:cstheme="minorHAnsi"/>
          <w:iCs/>
        </w:rPr>
        <w:t xml:space="preserve"> could include:</w:t>
      </w:r>
    </w:p>
    <w:p w14:paraId="69A99A3E" w14:textId="77777777" w:rsidR="00822354" w:rsidRPr="00874345" w:rsidRDefault="00822354" w:rsidP="0027747A">
      <w:pPr>
        <w:pStyle w:val="ListParagraph"/>
        <w:numPr>
          <w:ilvl w:val="0"/>
          <w:numId w:val="7"/>
        </w:numPr>
        <w:rPr>
          <w:rFonts w:cstheme="minorHAnsi"/>
        </w:rPr>
      </w:pPr>
      <w:r w:rsidRPr="00874345">
        <w:rPr>
          <w:rFonts w:cstheme="minorHAnsi"/>
        </w:rPr>
        <w:t>Aboriginal Community Controlled Organisations (ACCHOs)</w:t>
      </w:r>
    </w:p>
    <w:p w14:paraId="2A8F1CCF" w14:textId="111C2F9D" w:rsidR="00822354" w:rsidRPr="00874345" w:rsidRDefault="00822354" w:rsidP="0027747A">
      <w:pPr>
        <w:pStyle w:val="ListParagraph"/>
        <w:numPr>
          <w:ilvl w:val="0"/>
          <w:numId w:val="7"/>
        </w:numPr>
        <w:rPr>
          <w:rFonts w:cstheme="minorHAnsi"/>
        </w:rPr>
      </w:pPr>
      <w:r w:rsidRPr="00874345">
        <w:rPr>
          <w:rFonts w:cstheme="minorHAnsi"/>
        </w:rPr>
        <w:t>P</w:t>
      </w:r>
      <w:r w:rsidR="005A691A">
        <w:rPr>
          <w:rFonts w:cstheme="minorHAnsi"/>
        </w:rPr>
        <w:t>HCCs</w:t>
      </w:r>
      <w:r w:rsidRPr="00874345">
        <w:rPr>
          <w:rFonts w:cstheme="minorHAnsi"/>
        </w:rPr>
        <w:t xml:space="preserve"> run by state or territory health services</w:t>
      </w:r>
    </w:p>
    <w:p w14:paraId="4F50F456" w14:textId="77777777" w:rsidR="00822354" w:rsidRPr="00874345" w:rsidRDefault="00822354" w:rsidP="0027747A">
      <w:pPr>
        <w:pStyle w:val="ListParagraph"/>
        <w:numPr>
          <w:ilvl w:val="0"/>
          <w:numId w:val="7"/>
        </w:numPr>
        <w:rPr>
          <w:rFonts w:cstheme="minorHAnsi"/>
        </w:rPr>
      </w:pPr>
      <w:r w:rsidRPr="00874345">
        <w:rPr>
          <w:rFonts w:cstheme="minorHAnsi"/>
        </w:rPr>
        <w:t>Private or corporate general practices</w:t>
      </w:r>
    </w:p>
    <w:p w14:paraId="5D4D5581" w14:textId="4B52C98B" w:rsidR="00822354" w:rsidRPr="00D74AD3" w:rsidRDefault="00822354" w:rsidP="00366EAB">
      <w:pPr>
        <w:pStyle w:val="Heading3"/>
      </w:pPr>
      <w:bookmarkStart w:id="103" w:name="_Toc44279074"/>
      <w:bookmarkStart w:id="104" w:name="_Toc44339191"/>
      <w:bookmarkStart w:id="105" w:name="_Toc44361556"/>
      <w:r w:rsidRPr="00D74AD3">
        <w:t>Recruitment and selection</w:t>
      </w:r>
      <w:bookmarkEnd w:id="103"/>
      <w:bookmarkEnd w:id="104"/>
      <w:bookmarkEnd w:id="105"/>
    </w:p>
    <w:p w14:paraId="7AD62ECB" w14:textId="77777777" w:rsidR="00822354" w:rsidRPr="00874345" w:rsidRDefault="00822354" w:rsidP="00822354">
      <w:pPr>
        <w:rPr>
          <w:rFonts w:cstheme="minorHAnsi"/>
          <w:lang w:val="en-US"/>
        </w:rPr>
      </w:pPr>
      <w:r w:rsidRPr="00874345">
        <w:rPr>
          <w:rFonts w:cstheme="minorHAnsi"/>
          <w:lang w:val="en-US"/>
        </w:rPr>
        <w:t xml:space="preserve">Applications for the Pilot opened on 20 June and closed on 27 July 2018. A total of 68 applications were received from primary health care </w:t>
      </w:r>
      <w:proofErr w:type="spellStart"/>
      <w:r w:rsidRPr="00874345">
        <w:rPr>
          <w:rFonts w:cstheme="minorHAnsi"/>
          <w:lang w:val="en-US"/>
        </w:rPr>
        <w:t>centres</w:t>
      </w:r>
      <w:proofErr w:type="spellEnd"/>
      <w:r w:rsidRPr="00874345">
        <w:rPr>
          <w:rFonts w:cstheme="minorHAnsi"/>
          <w:lang w:val="en-US"/>
        </w:rPr>
        <w:t xml:space="preserve">. A number of these health </w:t>
      </w:r>
      <w:proofErr w:type="spellStart"/>
      <w:r w:rsidRPr="00874345">
        <w:rPr>
          <w:rFonts w:cstheme="minorHAnsi"/>
          <w:lang w:val="en-US"/>
        </w:rPr>
        <w:t>centres</w:t>
      </w:r>
      <w:proofErr w:type="spellEnd"/>
      <w:r w:rsidRPr="00874345">
        <w:rPr>
          <w:rFonts w:cstheme="minorHAnsi"/>
          <w:lang w:val="en-US"/>
        </w:rPr>
        <w:t xml:space="preserve"> delivered services across multiple sites. After investigation and discussions, a final number of 72 individual applicant sites were identified. </w:t>
      </w:r>
    </w:p>
    <w:p w14:paraId="50F06DE7" w14:textId="76216B1C" w:rsidR="00822354" w:rsidRDefault="00822354" w:rsidP="00822354">
      <w:pPr>
        <w:rPr>
          <w:rFonts w:cstheme="minorHAnsi"/>
          <w:lang w:val="en-US"/>
        </w:rPr>
      </w:pPr>
      <w:r w:rsidRPr="00874345">
        <w:rPr>
          <w:rFonts w:cstheme="minorHAnsi"/>
          <w:lang w:val="en-US"/>
        </w:rPr>
        <w:t xml:space="preserve">Of the 72 applicant sites: 62 met the eligibility criteria, eight (8) did not meet eligibility criteria and two (2) withdrew, as illustrated in Figure </w:t>
      </w:r>
      <w:r w:rsidR="00A377FF">
        <w:rPr>
          <w:rFonts w:cstheme="minorHAnsi"/>
          <w:lang w:val="en-US"/>
        </w:rPr>
        <w:t>4</w:t>
      </w:r>
      <w:r w:rsidR="0004053E">
        <w:rPr>
          <w:rFonts w:cstheme="minorHAnsi"/>
          <w:lang w:val="en-US"/>
        </w:rPr>
        <w:t>.</w:t>
      </w:r>
      <w:r w:rsidRPr="00874345">
        <w:rPr>
          <w:rFonts w:cstheme="minorHAnsi"/>
          <w:lang w:val="en-US"/>
        </w:rPr>
        <w:t xml:space="preserve">1. Fifty health </w:t>
      </w:r>
      <w:proofErr w:type="spellStart"/>
      <w:r w:rsidRPr="00874345">
        <w:rPr>
          <w:rFonts w:cstheme="minorHAnsi"/>
          <w:lang w:val="en-US"/>
        </w:rPr>
        <w:t>centres</w:t>
      </w:r>
      <w:proofErr w:type="spellEnd"/>
      <w:r w:rsidRPr="00874345">
        <w:rPr>
          <w:rFonts w:cstheme="minorHAnsi"/>
          <w:lang w:val="en-US"/>
        </w:rPr>
        <w:t xml:space="preserve"> required for the Pilot were selected from the 62 eligible sites according to their distribution by remoteness and jurisdiction, and a partial </w:t>
      </w:r>
      <w:proofErr w:type="spellStart"/>
      <w:r w:rsidRPr="00874345">
        <w:rPr>
          <w:rFonts w:cstheme="minorHAnsi"/>
          <w:lang w:val="en-US"/>
        </w:rPr>
        <w:t>randomisation</w:t>
      </w:r>
      <w:proofErr w:type="spellEnd"/>
      <w:r w:rsidRPr="00874345">
        <w:rPr>
          <w:rFonts w:cstheme="minorHAnsi"/>
          <w:lang w:val="en-US"/>
        </w:rPr>
        <w:t xml:space="preserve"> process using computer software. </w:t>
      </w:r>
      <w:r w:rsidR="00A377FF">
        <w:rPr>
          <w:rFonts w:cstheme="minorHAnsi"/>
          <w:lang w:val="en-US"/>
        </w:rPr>
        <w:t>Twelve</w:t>
      </w:r>
      <w:r w:rsidRPr="00874345">
        <w:rPr>
          <w:rFonts w:cstheme="minorHAnsi"/>
          <w:lang w:val="en-US"/>
        </w:rPr>
        <w:t xml:space="preserve"> eligible health </w:t>
      </w:r>
      <w:proofErr w:type="spellStart"/>
      <w:r w:rsidRPr="00874345">
        <w:rPr>
          <w:rFonts w:cstheme="minorHAnsi"/>
          <w:lang w:val="en-US"/>
        </w:rPr>
        <w:t>centres</w:t>
      </w:r>
      <w:proofErr w:type="spellEnd"/>
      <w:r w:rsidRPr="00874345">
        <w:rPr>
          <w:rFonts w:cstheme="minorHAnsi"/>
          <w:lang w:val="en-US"/>
        </w:rPr>
        <w:t xml:space="preserve"> that were not selected into the original 50 Pilot sites were waitlisted in case any of the selected sites withdrew. </w:t>
      </w:r>
    </w:p>
    <w:p w14:paraId="32B50E23" w14:textId="054F473C" w:rsidR="00822354" w:rsidRPr="00874345" w:rsidRDefault="00822354" w:rsidP="00822354">
      <w:pPr>
        <w:rPr>
          <w:rFonts w:cstheme="minorHAnsi"/>
        </w:rPr>
      </w:pPr>
      <w:r w:rsidRPr="00874345">
        <w:rPr>
          <w:rFonts w:cstheme="minorHAnsi"/>
        </w:rPr>
        <w:t>Of the 50 health centres initially selected, 11 later withdrew. As a result, all the eligible applicants were able to be offered a place in the Pilot, although four chose not to accept the invitation. Eight of the withdrawn sites were replaced, bringing the total possible number of participating sites to 47</w:t>
      </w:r>
      <w:r w:rsidR="00A377FF">
        <w:rPr>
          <w:rFonts w:cstheme="minorHAnsi"/>
        </w:rPr>
        <w:t>.</w:t>
      </w:r>
    </w:p>
    <w:p w14:paraId="66EC18AC" w14:textId="77777777" w:rsidR="00822354" w:rsidRPr="00874345" w:rsidRDefault="00822354" w:rsidP="00394BCD">
      <w:pPr>
        <w:spacing w:before="0" w:after="0" w:line="240" w:lineRule="auto"/>
        <w:jc w:val="center"/>
      </w:pPr>
      <w:r>
        <w:rPr>
          <w:noProof/>
          <w:lang w:eastAsia="en-AU"/>
        </w:rPr>
        <w:lastRenderedPageBreak/>
        <w:drawing>
          <wp:inline distT="0" distB="0" distL="0" distR="0" wp14:anchorId="4CFA2531" wp14:editId="1A4EEE81">
            <wp:extent cx="5566833" cy="5545232"/>
            <wp:effectExtent l="0" t="0" r="0" b="5080"/>
            <wp:docPr id="12" name="Picture 12" descr="Flowchart showing the breakdown of how many health centres applied for the pilot (72), through to how many were randomised to group A (24) and group B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lowchart showing the breakdown of how many health centres applied for the pilot (72), through to how many were randomised to group A (24) and group B (2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578648" cy="5557001"/>
                    </a:xfrm>
                    <a:prstGeom prst="rect">
                      <a:avLst/>
                    </a:prstGeom>
                    <a:noFill/>
                    <a:ln>
                      <a:noFill/>
                    </a:ln>
                  </pic:spPr>
                </pic:pic>
              </a:graphicData>
            </a:graphic>
          </wp:inline>
        </w:drawing>
      </w:r>
    </w:p>
    <w:p w14:paraId="0A7B7506" w14:textId="09D147BB" w:rsidR="00822354" w:rsidRPr="001560EF" w:rsidRDefault="00822354" w:rsidP="002E74E6">
      <w:pPr>
        <w:pStyle w:val="FigureCaptions"/>
      </w:pPr>
      <w:r w:rsidRPr="001560EF">
        <w:t xml:space="preserve">Figure </w:t>
      </w:r>
      <w:r w:rsidR="005035F4">
        <w:t xml:space="preserve">4.1: </w:t>
      </w:r>
      <w:r w:rsidRPr="001560EF">
        <w:t>Flowchart of health centre assessment, selection and enrolment for the National Indigenous Bowel Screening Pilot, 7 June 2019</w:t>
      </w:r>
    </w:p>
    <w:p w14:paraId="3D45284B" w14:textId="3BD4D633" w:rsidR="00822354" w:rsidRPr="00AD3203" w:rsidRDefault="008C3596" w:rsidP="00070C12">
      <w:pPr>
        <w:pStyle w:val="Heading2"/>
      </w:pPr>
      <w:bookmarkStart w:id="106" w:name="_Toc44339192"/>
      <w:bookmarkStart w:id="107" w:name="_Toc45539255"/>
      <w:bookmarkStart w:id="108" w:name="_Toc54954842"/>
      <w:r>
        <w:t>4.</w:t>
      </w:r>
      <w:r w:rsidR="00073EB1">
        <w:t>2</w:t>
      </w:r>
      <w:r>
        <w:t xml:space="preserve"> </w:t>
      </w:r>
      <w:r w:rsidR="00842FF9">
        <w:t>Form</w:t>
      </w:r>
      <w:r w:rsidR="00822354" w:rsidRPr="00135F72">
        <w:t xml:space="preserve">al </w:t>
      </w:r>
      <w:r w:rsidR="00822354">
        <w:t>e</w:t>
      </w:r>
      <w:r w:rsidR="00822354" w:rsidRPr="00AD3203">
        <w:t xml:space="preserve">nrolment of </w:t>
      </w:r>
      <w:r w:rsidR="00822354">
        <w:t>h</w:t>
      </w:r>
      <w:r w:rsidR="00822354" w:rsidRPr="00AD3203">
        <w:t xml:space="preserve">ealth </w:t>
      </w:r>
      <w:r w:rsidR="00822354">
        <w:t>c</w:t>
      </w:r>
      <w:r w:rsidR="00822354" w:rsidRPr="00AD3203">
        <w:t>entres</w:t>
      </w:r>
      <w:bookmarkEnd w:id="106"/>
      <w:bookmarkEnd w:id="107"/>
      <w:bookmarkEnd w:id="108"/>
    </w:p>
    <w:p w14:paraId="71E10CF3" w14:textId="7AF5AD48" w:rsidR="003E0E28" w:rsidRDefault="00822354" w:rsidP="003E0E28">
      <w:pPr>
        <w:rPr>
          <w:rFonts w:ascii="Calibri" w:eastAsia="Times New Roman" w:hAnsi="Calibri" w:cs="Times New Roman"/>
          <w:szCs w:val="22"/>
        </w:rPr>
      </w:pPr>
      <w:r w:rsidRPr="00874345">
        <w:t xml:space="preserve">All required ethics and governance approvals needed to be in place for health centres to be </w:t>
      </w:r>
      <w:r w:rsidR="00842FF9">
        <w:t>form</w:t>
      </w:r>
      <w:r w:rsidRPr="00874345">
        <w:t xml:space="preserve">ally enrolled in the Pilot. </w:t>
      </w:r>
      <w:r w:rsidR="003E0E28">
        <w:t xml:space="preserve">The </w:t>
      </w:r>
      <w:r w:rsidR="00D133AB">
        <w:t>project</w:t>
      </w:r>
      <w:r w:rsidR="003E0E28">
        <w:t xml:space="preserve"> had approval from its institutional ethics committee, </w:t>
      </w:r>
      <w:r w:rsidR="003E0E28" w:rsidRPr="003E0E28">
        <w:rPr>
          <w:szCs w:val="22"/>
        </w:rPr>
        <w:t xml:space="preserve">the </w:t>
      </w:r>
      <w:r w:rsidR="00D133AB">
        <w:rPr>
          <w:szCs w:val="22"/>
        </w:rPr>
        <w:t xml:space="preserve">Human Research Ethics Committee (HREC) </w:t>
      </w:r>
      <w:r w:rsidR="003E0E28" w:rsidRPr="003E0E28">
        <w:rPr>
          <w:rFonts w:ascii="Calibri" w:eastAsia="Times New Roman" w:hAnsi="Calibri" w:cs="Times New Roman"/>
          <w:szCs w:val="22"/>
        </w:rPr>
        <w:t>of the Northern Territory Department of Health and Menzies School of Health Research</w:t>
      </w:r>
      <w:r w:rsidR="00D133AB">
        <w:rPr>
          <w:rFonts w:ascii="Calibri" w:eastAsia="Times New Roman" w:hAnsi="Calibri" w:cs="Times New Roman"/>
          <w:szCs w:val="22"/>
        </w:rPr>
        <w:t xml:space="preserve">, prior to inviting health centres to apply to take part in the Pilot. </w:t>
      </w:r>
      <w:r w:rsidR="00AB29A6">
        <w:rPr>
          <w:rFonts w:ascii="Calibri" w:eastAsia="Times New Roman" w:hAnsi="Calibri" w:cs="Times New Roman"/>
          <w:szCs w:val="22"/>
        </w:rPr>
        <w:t>T</w:t>
      </w:r>
      <w:r w:rsidR="00D133AB">
        <w:rPr>
          <w:rFonts w:ascii="Calibri" w:eastAsia="Times New Roman" w:hAnsi="Calibri" w:cs="Times New Roman"/>
          <w:szCs w:val="22"/>
        </w:rPr>
        <w:t xml:space="preserve">he project </w:t>
      </w:r>
      <w:r w:rsidR="00AB29A6">
        <w:rPr>
          <w:rFonts w:ascii="Calibri" w:eastAsia="Times New Roman" w:hAnsi="Calibri" w:cs="Times New Roman"/>
          <w:szCs w:val="22"/>
        </w:rPr>
        <w:t>received</w:t>
      </w:r>
      <w:r w:rsidR="009C46CE">
        <w:rPr>
          <w:rFonts w:ascii="Calibri" w:eastAsia="Times New Roman" w:hAnsi="Calibri" w:cs="Times New Roman"/>
          <w:szCs w:val="22"/>
        </w:rPr>
        <w:t xml:space="preserve"> approval from all of the HRECs listed in Figure 4.2, </w:t>
      </w:r>
      <w:r w:rsidR="00AB29A6">
        <w:rPr>
          <w:rFonts w:ascii="Calibri" w:eastAsia="Times New Roman" w:hAnsi="Calibri" w:cs="Times New Roman"/>
          <w:szCs w:val="22"/>
        </w:rPr>
        <w:t>was</w:t>
      </w:r>
      <w:r w:rsidR="009C46CE">
        <w:rPr>
          <w:rFonts w:ascii="Calibri" w:eastAsia="Times New Roman" w:hAnsi="Calibri" w:cs="Times New Roman"/>
          <w:szCs w:val="22"/>
        </w:rPr>
        <w:t xml:space="preserve"> approved by the Kimberley Aboriginal Research Planning Forum, and negotiated clinical trial research contracts as required by three state and territory health services.</w:t>
      </w:r>
      <w:r w:rsidR="00D133AB">
        <w:rPr>
          <w:rFonts w:ascii="Calibri" w:eastAsia="Times New Roman" w:hAnsi="Calibri" w:cs="Times New Roman"/>
          <w:szCs w:val="22"/>
        </w:rPr>
        <w:t xml:space="preserve"> </w:t>
      </w:r>
    </w:p>
    <w:p w14:paraId="77713293" w14:textId="65B7FE62" w:rsidR="00F90A58" w:rsidRPr="003E0E28" w:rsidRDefault="00F90A58" w:rsidP="00FD7360">
      <w:pPr>
        <w:spacing w:before="0" w:after="0" w:line="240" w:lineRule="auto"/>
        <w:rPr>
          <w:rFonts w:ascii="Calibri" w:eastAsia="Times New Roman" w:hAnsi="Calibri" w:cs="Times New Roman"/>
          <w:szCs w:val="22"/>
        </w:rPr>
      </w:pPr>
      <w:r>
        <w:rPr>
          <w:rFonts w:ascii="Calibri" w:eastAsia="Times New Roman" w:hAnsi="Calibri" w:cs="Times New Roman"/>
          <w:szCs w:val="22"/>
        </w:rPr>
        <w:br w:type="page"/>
      </w:r>
    </w:p>
    <w:p w14:paraId="5A99B255" w14:textId="77777777" w:rsidR="00CA0599" w:rsidRDefault="00CA0599" w:rsidP="00CA0599">
      <w:pPr>
        <w:pStyle w:val="Caption"/>
      </w:pPr>
      <w:r>
        <w:lastRenderedPageBreak/>
        <w:t xml:space="preserve">Figure 4.2: Human Research Ethics Committees that approved the Pilot. </w:t>
      </w:r>
    </w:p>
    <w:p w14:paraId="4828B8F9" w14:textId="4A00542D" w:rsidR="00CA0599" w:rsidRPr="00F90A58" w:rsidRDefault="00CA0599" w:rsidP="00F90A58">
      <w:pPr>
        <w:spacing w:before="0" w:after="0"/>
        <w:ind w:left="360" w:right="-320"/>
        <w:rPr>
          <w:rFonts w:ascii="Calibri" w:eastAsia="Times New Roman" w:hAnsi="Calibri" w:cs="Times New Roman"/>
          <w:b/>
          <w:bCs/>
          <w:sz w:val="21"/>
          <w:szCs w:val="21"/>
        </w:rPr>
      </w:pPr>
      <w:r w:rsidRPr="00F90A58">
        <w:rPr>
          <w:rFonts w:ascii="Calibri" w:eastAsia="Times New Roman" w:hAnsi="Calibri" w:cs="Times New Roman"/>
          <w:b/>
          <w:bCs/>
          <w:sz w:val="21"/>
          <w:szCs w:val="21"/>
        </w:rPr>
        <w:t xml:space="preserve">Human Research Ethics Committee approvals for the Pilot  </w:t>
      </w:r>
    </w:p>
    <w:p w14:paraId="5D4CFDE0" w14:textId="77777777" w:rsidR="00CA0599" w:rsidRPr="009656F7" w:rsidRDefault="00CA0599" w:rsidP="00C77532">
      <w:pPr>
        <w:pStyle w:val="ListParagraph"/>
        <w:numPr>
          <w:ilvl w:val="0"/>
          <w:numId w:val="58"/>
        </w:numPr>
        <w:spacing w:before="0" w:after="0"/>
        <w:ind w:right="-320"/>
        <w:rPr>
          <w:rFonts w:ascii="Calibri" w:eastAsia="Times New Roman" w:hAnsi="Calibri" w:cs="Times New Roman"/>
          <w:sz w:val="21"/>
        </w:rPr>
      </w:pPr>
      <w:r w:rsidRPr="009656F7">
        <w:rPr>
          <w:rFonts w:ascii="Calibri" w:eastAsia="Times New Roman" w:hAnsi="Calibri" w:cs="Times New Roman"/>
          <w:sz w:val="21"/>
        </w:rPr>
        <w:t>HREC of the Northern Territory Department of Health and Menzies School of Health Research (HREC reference #2017-2717)</w:t>
      </w:r>
    </w:p>
    <w:p w14:paraId="6DB456E9" w14:textId="77777777" w:rsidR="00CA0599" w:rsidRPr="009656F7" w:rsidRDefault="00CA0599" w:rsidP="00C77532">
      <w:pPr>
        <w:pStyle w:val="ListParagraph"/>
        <w:numPr>
          <w:ilvl w:val="0"/>
          <w:numId w:val="58"/>
        </w:numPr>
        <w:spacing w:before="0" w:after="0"/>
        <w:ind w:right="-320"/>
        <w:rPr>
          <w:rFonts w:ascii="Calibri" w:eastAsia="Times New Roman" w:hAnsi="Calibri" w:cs="Times New Roman"/>
          <w:sz w:val="21"/>
        </w:rPr>
      </w:pPr>
      <w:r w:rsidRPr="009656F7">
        <w:rPr>
          <w:rFonts w:ascii="Calibri" w:eastAsia="Times New Roman" w:hAnsi="Calibri" w:cs="Times New Roman"/>
          <w:sz w:val="21"/>
        </w:rPr>
        <w:t>Aboriginal Health &amp; Medical Research Council NSW (HREC reference #1247/17) </w:t>
      </w:r>
    </w:p>
    <w:p w14:paraId="3A770EFF" w14:textId="77777777" w:rsidR="00CA0599" w:rsidRPr="009656F7" w:rsidRDefault="00CA0599" w:rsidP="00C77532">
      <w:pPr>
        <w:pStyle w:val="ListParagraph"/>
        <w:numPr>
          <w:ilvl w:val="0"/>
          <w:numId w:val="58"/>
        </w:numPr>
        <w:spacing w:before="0" w:after="0"/>
        <w:ind w:right="-320"/>
        <w:rPr>
          <w:rFonts w:ascii="Calibri" w:eastAsia="Times New Roman" w:hAnsi="Calibri" w:cs="Times New Roman"/>
          <w:sz w:val="21"/>
        </w:rPr>
      </w:pPr>
      <w:r w:rsidRPr="009656F7">
        <w:rPr>
          <w:rFonts w:ascii="Calibri" w:eastAsia="Times New Roman" w:hAnsi="Calibri" w:cs="Times New Roman"/>
          <w:sz w:val="21"/>
        </w:rPr>
        <w:t>Aboriginal Health Research Ethics Committee SA (HREC reference #04-17-711)</w:t>
      </w:r>
    </w:p>
    <w:p w14:paraId="04872B46" w14:textId="77777777" w:rsidR="00CA0599" w:rsidRPr="009656F7" w:rsidRDefault="00CA0599" w:rsidP="00C77532">
      <w:pPr>
        <w:pStyle w:val="ListParagraph"/>
        <w:numPr>
          <w:ilvl w:val="0"/>
          <w:numId w:val="58"/>
        </w:numPr>
        <w:spacing w:before="0" w:after="0"/>
        <w:ind w:right="-320"/>
        <w:rPr>
          <w:rFonts w:ascii="Calibri" w:eastAsia="Times New Roman" w:hAnsi="Calibri" w:cs="Times New Roman"/>
          <w:sz w:val="21"/>
        </w:rPr>
      </w:pPr>
      <w:r w:rsidRPr="009656F7">
        <w:rPr>
          <w:rFonts w:ascii="Calibri" w:eastAsia="Times New Roman" w:hAnsi="Calibri" w:cs="Times New Roman"/>
          <w:sz w:val="21"/>
        </w:rPr>
        <w:t>Western Australian Aboriginal Health Ethics Committee (HREC reference #763)</w:t>
      </w:r>
    </w:p>
    <w:p w14:paraId="5093DFB7" w14:textId="77777777" w:rsidR="00CA0599" w:rsidRPr="009656F7" w:rsidRDefault="00CA0599" w:rsidP="00C77532">
      <w:pPr>
        <w:pStyle w:val="ListParagraph"/>
        <w:numPr>
          <w:ilvl w:val="0"/>
          <w:numId w:val="58"/>
        </w:numPr>
        <w:spacing w:before="0" w:after="0"/>
        <w:ind w:right="-320"/>
        <w:rPr>
          <w:rFonts w:ascii="Calibri" w:eastAsia="Times New Roman" w:hAnsi="Calibri" w:cs="Times New Roman"/>
          <w:sz w:val="21"/>
          <w:szCs w:val="21"/>
        </w:rPr>
      </w:pPr>
      <w:r w:rsidRPr="009656F7">
        <w:rPr>
          <w:rFonts w:ascii="Calibri" w:eastAsia="Times New Roman" w:hAnsi="Calibri" w:cs="Times New Roman"/>
          <w:sz w:val="21"/>
          <w:szCs w:val="21"/>
        </w:rPr>
        <w:t>Central Australian HREC (HREC reference #CA-18-3274)</w:t>
      </w:r>
    </w:p>
    <w:p w14:paraId="53FA4DAA" w14:textId="77777777" w:rsidR="00CA0599" w:rsidRPr="009656F7" w:rsidRDefault="00CA0599" w:rsidP="00C77532">
      <w:pPr>
        <w:pStyle w:val="ListParagraph"/>
        <w:numPr>
          <w:ilvl w:val="0"/>
          <w:numId w:val="58"/>
        </w:numPr>
        <w:spacing w:before="0" w:after="0"/>
        <w:rPr>
          <w:rFonts w:ascii="Calibri" w:eastAsia="Times New Roman" w:hAnsi="Calibri" w:cs="Times New Roman"/>
          <w:sz w:val="21"/>
          <w:szCs w:val="21"/>
        </w:rPr>
      </w:pPr>
      <w:r w:rsidRPr="009656F7">
        <w:rPr>
          <w:rFonts w:ascii="Calibri" w:eastAsia="Times New Roman" w:hAnsi="Calibri" w:cs="Times New Roman"/>
          <w:sz w:val="21"/>
          <w:szCs w:val="21"/>
        </w:rPr>
        <w:t xml:space="preserve">Western Australian Country Health Service (HREC reference #RGS1395) </w:t>
      </w:r>
    </w:p>
    <w:p w14:paraId="448258F6" w14:textId="77777777" w:rsidR="00CA0599" w:rsidRPr="00F90A58" w:rsidRDefault="00CA0599" w:rsidP="00CA0599">
      <w:pPr>
        <w:pStyle w:val="ListParagraph"/>
        <w:keepNext/>
        <w:numPr>
          <w:ilvl w:val="0"/>
          <w:numId w:val="58"/>
        </w:numPr>
        <w:spacing w:before="0"/>
        <w:ind w:right="-320"/>
        <w:rPr>
          <w:sz w:val="20"/>
          <w:szCs w:val="20"/>
        </w:rPr>
      </w:pPr>
      <w:r w:rsidRPr="009656F7">
        <w:rPr>
          <w:rFonts w:ascii="Calibri" w:eastAsia="Times New Roman" w:hAnsi="Calibri" w:cs="Times New Roman"/>
          <w:sz w:val="21"/>
          <w:szCs w:val="21"/>
        </w:rPr>
        <w:t>Metro South Health Service District HREC (HREC reference #HREC/2018/QMS/47840</w:t>
      </w:r>
      <w:r w:rsidRPr="009656F7">
        <w:rPr>
          <w:rFonts w:ascii="Calibri" w:eastAsia="Times New Roman" w:hAnsi="Calibri" w:cs="Times New Roman"/>
          <w:sz w:val="20"/>
          <w:szCs w:val="20"/>
        </w:rPr>
        <w:t>)</w:t>
      </w:r>
    </w:p>
    <w:p w14:paraId="2127992B" w14:textId="4861A9B2" w:rsidR="00822354" w:rsidRPr="00874345" w:rsidRDefault="00822354" w:rsidP="00822354">
      <w:pPr>
        <w:ind w:right="-194"/>
        <w:rPr>
          <w:rFonts w:cstheme="minorHAnsi"/>
        </w:rPr>
      </w:pPr>
      <w:r w:rsidRPr="00874345">
        <w:rPr>
          <w:rFonts w:cstheme="minorHAnsi"/>
        </w:rPr>
        <w:t>Once enrolled, health centres were randomised to one of two Groups (A or B), to receive differing levels of support in implementing the Pilot. Randomisation</w:t>
      </w:r>
      <w:r w:rsidRPr="00627515">
        <w:rPr>
          <w:rFonts w:cstheme="minorHAnsi"/>
        </w:rPr>
        <w:t xml:space="preserve"> </w:t>
      </w:r>
      <w:r w:rsidRPr="00874345">
        <w:rPr>
          <w:rFonts w:cstheme="minorHAnsi"/>
        </w:rPr>
        <w:t xml:space="preserve">was carried out </w:t>
      </w:r>
      <w:r>
        <w:rPr>
          <w:rFonts w:cstheme="minorHAnsi"/>
        </w:rPr>
        <w:t>on a regional basis</w:t>
      </w:r>
      <w:r w:rsidRPr="00874345">
        <w:rPr>
          <w:rFonts w:cstheme="minorHAnsi"/>
        </w:rPr>
        <w:t xml:space="preserve">, once approvals were completed for all the health centres in the same region (e.g. South Australia – Remote). </w:t>
      </w:r>
      <w:r w:rsidR="00FD7360">
        <w:rPr>
          <w:rFonts w:cstheme="minorHAnsi"/>
        </w:rPr>
        <w:t>The eventual distribution of sites was as shown in Figure 4.3.</w:t>
      </w:r>
    </w:p>
    <w:p w14:paraId="072BCAE2" w14:textId="77777777" w:rsidR="00822354" w:rsidRPr="00874345" w:rsidRDefault="00822354" w:rsidP="002E74E6">
      <w:pPr>
        <w:pStyle w:val="FigureCaptions"/>
      </w:pPr>
      <w:r w:rsidRPr="00874345">
        <w:rPr>
          <w:noProof/>
          <w:lang w:eastAsia="en-AU"/>
        </w:rPr>
        <w:drawing>
          <wp:inline distT="0" distB="0" distL="0" distR="0" wp14:anchorId="2A2B773C" wp14:editId="6BDEEAFE">
            <wp:extent cx="4599940" cy="4220210"/>
            <wp:effectExtent l="0" t="0" r="0" b="0"/>
            <wp:docPr id="13" name="Picture 3" descr="Map showing distribution of pilot centres across Austral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descr="Map showing distribution of pilot centres across Australia. "/>
                    <pic:cNvPicPr/>
                  </pic:nvPicPr>
                  <pic:blipFill>
                    <a:blip r:embed="rId19">
                      <a:extLst>
                        <a:ext uri="{28A0092B-C50C-407E-A947-70E740481C1C}">
                          <a14:useLocalDpi xmlns:a14="http://schemas.microsoft.com/office/drawing/2010/main"/>
                        </a:ext>
                      </a:extLst>
                    </a:blip>
                    <a:stretch>
                      <a:fillRect/>
                    </a:stretch>
                  </pic:blipFill>
                  <pic:spPr>
                    <a:xfrm>
                      <a:off x="0" y="0"/>
                      <a:ext cx="4599940" cy="4220210"/>
                    </a:xfrm>
                    <a:prstGeom prst="rect">
                      <a:avLst/>
                    </a:prstGeom>
                  </pic:spPr>
                </pic:pic>
              </a:graphicData>
            </a:graphic>
          </wp:inline>
        </w:drawing>
      </w:r>
    </w:p>
    <w:p w14:paraId="361305C9" w14:textId="5DD5FBF1" w:rsidR="00822354" w:rsidRPr="006458A3" w:rsidRDefault="00822354" w:rsidP="002E74E6">
      <w:pPr>
        <w:pStyle w:val="FigureCaptions"/>
      </w:pPr>
      <w:r w:rsidRPr="006458A3">
        <w:t xml:space="preserve">Figure </w:t>
      </w:r>
      <w:r w:rsidR="00827D48" w:rsidRPr="006458A3">
        <w:t>4</w:t>
      </w:r>
      <w:r w:rsidRPr="006458A3">
        <w:t>.</w:t>
      </w:r>
      <w:r w:rsidR="00AB29A6">
        <w:t>3</w:t>
      </w:r>
      <w:r w:rsidR="0084612E">
        <w:t>:</w:t>
      </w:r>
      <w:r w:rsidRPr="006458A3">
        <w:t xml:space="preserve"> Distribution of Pilot health centres, June 2019</w:t>
      </w:r>
    </w:p>
    <w:p w14:paraId="70F2B7E1" w14:textId="5EA6E4F2" w:rsidR="003E0E28" w:rsidRPr="00FD7360" w:rsidRDefault="00822354" w:rsidP="005035F4">
      <w:pPr>
        <w:rPr>
          <w:rFonts w:cstheme="minorHAnsi"/>
          <w:sz w:val="20"/>
          <w:szCs w:val="18"/>
        </w:rPr>
      </w:pPr>
      <w:r w:rsidRPr="00A84714">
        <w:rPr>
          <w:rFonts w:cstheme="minorHAnsi"/>
          <w:sz w:val="20"/>
          <w:szCs w:val="18"/>
        </w:rPr>
        <w:t xml:space="preserve">Note: </w:t>
      </w:r>
      <w:r w:rsidR="00C67CA1">
        <w:rPr>
          <w:rFonts w:cstheme="minorHAnsi"/>
          <w:sz w:val="20"/>
          <w:szCs w:val="18"/>
        </w:rPr>
        <w:t>Orange</w:t>
      </w:r>
      <w:r w:rsidRPr="00A84714">
        <w:rPr>
          <w:rFonts w:cstheme="minorHAnsi"/>
          <w:sz w:val="20"/>
          <w:szCs w:val="18"/>
        </w:rPr>
        <w:t xml:space="preserve"> = Health centres in Group A (low intensity support); Blue = Health </w:t>
      </w:r>
      <w:r w:rsidR="00095FD8">
        <w:rPr>
          <w:rFonts w:cstheme="minorHAnsi"/>
          <w:sz w:val="20"/>
          <w:szCs w:val="18"/>
        </w:rPr>
        <w:t>c</w:t>
      </w:r>
      <w:r w:rsidRPr="00A84714">
        <w:rPr>
          <w:rFonts w:cstheme="minorHAnsi"/>
          <w:sz w:val="20"/>
          <w:szCs w:val="18"/>
        </w:rPr>
        <w:t>entres in Group B (high intensity support).</w:t>
      </w:r>
    </w:p>
    <w:p w14:paraId="103375EA" w14:textId="6CA8E287" w:rsidR="00AA49C8" w:rsidRPr="001C2B1D" w:rsidRDefault="00A165F0" w:rsidP="00070C12">
      <w:pPr>
        <w:pStyle w:val="Heading2"/>
      </w:pPr>
      <w:bookmarkStart w:id="109" w:name="_Toc44339193"/>
      <w:bookmarkStart w:id="110" w:name="_Toc45539256"/>
      <w:bookmarkStart w:id="111" w:name="_Toc54954843"/>
      <w:bookmarkEnd w:id="21"/>
      <w:bookmarkEnd w:id="22"/>
      <w:bookmarkEnd w:id="23"/>
      <w:r w:rsidRPr="001C2B1D">
        <w:lastRenderedPageBreak/>
        <w:t xml:space="preserve">4.3 Implementation </w:t>
      </w:r>
      <w:r w:rsidR="00E15D3E" w:rsidRPr="001C2B1D">
        <w:t xml:space="preserve">support </w:t>
      </w:r>
      <w:r w:rsidRPr="001C2B1D">
        <w:t xml:space="preserve">and training </w:t>
      </w:r>
      <w:r w:rsidR="00DD734B" w:rsidRPr="001C2B1D">
        <w:t xml:space="preserve">made </w:t>
      </w:r>
      <w:r w:rsidRPr="001C2B1D">
        <w:t>available to health centres</w:t>
      </w:r>
      <w:bookmarkEnd w:id="109"/>
      <w:bookmarkEnd w:id="110"/>
      <w:bookmarkEnd w:id="111"/>
    </w:p>
    <w:p w14:paraId="23E1AA71" w14:textId="77777777" w:rsidR="00E15D3E" w:rsidRPr="001C2B1D" w:rsidRDefault="00E15D3E" w:rsidP="00D60DBA">
      <w:pPr>
        <w:spacing w:before="0" w:after="200"/>
        <w:rPr>
          <w:rStyle w:val="Heading3Char"/>
        </w:rPr>
      </w:pPr>
      <w:r w:rsidRPr="001C2B1D">
        <w:t>I</w:t>
      </w:r>
      <w:r w:rsidRPr="001C2B1D">
        <w:rPr>
          <w:rStyle w:val="Heading3Char"/>
        </w:rPr>
        <w:t>mplementation support</w:t>
      </w:r>
    </w:p>
    <w:p w14:paraId="370B5D95" w14:textId="0FC8C12D" w:rsidR="001C2B1D" w:rsidRPr="001C2B1D" w:rsidRDefault="00D60DBA" w:rsidP="00843F8F">
      <w:r w:rsidRPr="001C2B1D">
        <w:t xml:space="preserve">Health centres were offered considerable flexibility in how they chose to offer the Alternative Pathway.  One of the strongest messages from stakeholders during development of the Alternative Pathway model was that ‘one size couldn’t fit all’, referring to the diversity of Indigenous communities, health services and even jurisdictional systems in which it would be implemented. </w:t>
      </w:r>
      <w:r w:rsidR="00843F8F" w:rsidRPr="001C2B1D">
        <w:t>The Alternative Pathway model was</w:t>
      </w:r>
      <w:r w:rsidR="001C2B1D">
        <w:t>,</w:t>
      </w:r>
      <w:r w:rsidR="00843F8F" w:rsidRPr="001C2B1D">
        <w:t xml:space="preserve"> therefore</w:t>
      </w:r>
      <w:r w:rsidR="001C2B1D">
        <w:t>,</w:t>
      </w:r>
      <w:r w:rsidR="00843F8F" w:rsidRPr="001C2B1D">
        <w:t xml:space="preserve"> designed around the concept of a ‘hard core, soft periphery’</w:t>
      </w:r>
      <w:r w:rsidR="00843F8F" w:rsidRPr="001C2B1D">
        <w:rPr>
          <w:rStyle w:val="FootnoteReference"/>
        </w:rPr>
        <w:footnoteReference w:id="21"/>
      </w:r>
      <w:r w:rsidR="00843F8F" w:rsidRPr="001C2B1D">
        <w:t>, where the hard core, or ‘irreducible elements’, of an innovation offer little flexibility, and the soft periphery allows for local adaption</w:t>
      </w:r>
      <w:r w:rsidR="00843F8F" w:rsidRPr="001C2B1D">
        <w:rPr>
          <w:rStyle w:val="FootnoteReference"/>
        </w:rPr>
        <w:footnoteReference w:id="22"/>
      </w:r>
      <w:r w:rsidR="00843F8F" w:rsidRPr="001C2B1D">
        <w:t xml:space="preserve">. </w:t>
      </w:r>
    </w:p>
    <w:p w14:paraId="16F0710E" w14:textId="488EF143" w:rsidR="00327FE2" w:rsidRPr="001C2B1D" w:rsidRDefault="00843F8F" w:rsidP="000D5C5B">
      <w:r w:rsidRPr="001C2B1D">
        <w:t xml:space="preserve">The hard core of the Alternative Pathway </w:t>
      </w:r>
      <w:r w:rsidR="00C65F95" w:rsidRPr="001C2B1D">
        <w:t>comprised of</w:t>
      </w:r>
      <w:r w:rsidRPr="001C2B1D">
        <w:t xml:space="preserve"> the compliance requirements of the NBCSP and </w:t>
      </w:r>
      <w:r w:rsidR="00EE499C">
        <w:rPr>
          <w:rFonts w:cstheme="minorHAnsi"/>
        </w:rPr>
        <w:t xml:space="preserve">the </w:t>
      </w:r>
      <w:r w:rsidR="00EE499C">
        <w:rPr>
          <w:rFonts w:eastAsiaTheme="majorEastAsia" w:cstheme="minorHAnsi"/>
        </w:rPr>
        <w:t>Department of Health</w:t>
      </w:r>
      <w:r w:rsidRPr="001C2B1D">
        <w:t>, aimed at maintaining patient safety and data integrity</w:t>
      </w:r>
      <w:r w:rsidR="007C6BAA">
        <w:t xml:space="preserve">. </w:t>
      </w:r>
      <w:r w:rsidRPr="001C2B1D">
        <w:t>The soft periphery or ‘fuzzy’ area of the innovation was that health centres could choose how, when, where and by whom patients would be invited to screen. This</w:t>
      </w:r>
      <w:r w:rsidR="00C65F95" w:rsidRPr="001C2B1D">
        <w:t xml:space="preserve"> gave </w:t>
      </w:r>
      <w:r w:rsidRPr="001C2B1D">
        <w:t xml:space="preserve">participating health centres the flexibility to incorporate bowel screening into their practice to suit their local circumstances. </w:t>
      </w:r>
      <w:r w:rsidR="00F26556" w:rsidRPr="001C2B1D">
        <w:t>However, because of the lack of familiarity of most primary health care professionals with the NBCSP</w:t>
      </w:r>
      <w:r w:rsidR="007C6BAA">
        <w:t>,</w:t>
      </w:r>
      <w:r w:rsidR="00FE4A9E" w:rsidRPr="001C2B1D">
        <w:t xml:space="preserve"> and the freshly created administrative requirements </w:t>
      </w:r>
      <w:r w:rsidR="001C2B1D" w:rsidRPr="001C2B1D">
        <w:t>of</w:t>
      </w:r>
      <w:r w:rsidR="00FE4A9E" w:rsidRPr="001C2B1D">
        <w:t xml:space="preserve"> the Alternative Pathway</w:t>
      </w:r>
      <w:r w:rsidR="007C6BAA">
        <w:t>,</w:t>
      </w:r>
      <w:r w:rsidR="00FE4A9E" w:rsidRPr="001C2B1D">
        <w:t xml:space="preserve"> </w:t>
      </w:r>
      <w:r w:rsidR="001C2B1D" w:rsidRPr="001C2B1D">
        <w:t>s</w:t>
      </w:r>
      <w:r w:rsidR="00F26556" w:rsidRPr="001C2B1D">
        <w:t xml:space="preserve">ite </w:t>
      </w:r>
      <w:r w:rsidR="001C2B1D" w:rsidRPr="001C2B1D">
        <w:t>co</w:t>
      </w:r>
      <w:r w:rsidR="00F26556" w:rsidRPr="001C2B1D">
        <w:t>ordinators</w:t>
      </w:r>
      <w:r w:rsidR="007C6BAA">
        <w:t xml:space="preserve"> </w:t>
      </w:r>
      <w:r w:rsidR="00FE4A9E" w:rsidRPr="001C2B1D">
        <w:t>need</w:t>
      </w:r>
      <w:r w:rsidR="007C6BAA">
        <w:t>ed</w:t>
      </w:r>
      <w:r w:rsidR="00FE4A9E" w:rsidRPr="001C2B1D">
        <w:t xml:space="preserve"> guidance </w:t>
      </w:r>
      <w:r w:rsidR="00F26556" w:rsidRPr="001C2B1D">
        <w:t xml:space="preserve">to plan for and implement the Alternative Pathway at their health centre. </w:t>
      </w:r>
      <w:r w:rsidR="00E15D3E" w:rsidRPr="001C2B1D">
        <w:t xml:space="preserve">Furthermore, </w:t>
      </w:r>
      <w:r w:rsidR="00F66FB0" w:rsidRPr="001C2B1D">
        <w:t xml:space="preserve">the plan for </w:t>
      </w:r>
      <w:r w:rsidR="00C60836" w:rsidRPr="001C2B1D">
        <w:t>offer</w:t>
      </w:r>
      <w:r w:rsidR="007C6BAA">
        <w:t>ing</w:t>
      </w:r>
      <w:r w:rsidR="00C60836" w:rsidRPr="001C2B1D">
        <w:t xml:space="preserve"> the Alternative Pathway needed to be conveyed to other staff, through training, meetings or other organisational communications. </w:t>
      </w:r>
    </w:p>
    <w:p w14:paraId="13076AF1" w14:textId="77813B90" w:rsidR="00F66FB0" w:rsidRPr="001C2B1D" w:rsidRDefault="00F66FB0" w:rsidP="000D5C5B">
      <w:r w:rsidRPr="001C2B1D">
        <w:t xml:space="preserve">The key components of implementation support made available to </w:t>
      </w:r>
      <w:r w:rsidR="001C2B1D" w:rsidRPr="001C2B1D">
        <w:t>s</w:t>
      </w:r>
      <w:r w:rsidRPr="001C2B1D">
        <w:t xml:space="preserve">ite </w:t>
      </w:r>
      <w:r w:rsidR="001C2B1D" w:rsidRPr="001C2B1D">
        <w:t>c</w:t>
      </w:r>
      <w:r w:rsidRPr="001C2B1D">
        <w:t xml:space="preserve">oordinators </w:t>
      </w:r>
      <w:r w:rsidR="00970511" w:rsidRPr="001C2B1D">
        <w:t xml:space="preserve">(and/or other managers or champions) </w:t>
      </w:r>
      <w:r w:rsidRPr="001C2B1D">
        <w:t>were:</w:t>
      </w:r>
    </w:p>
    <w:p w14:paraId="5A53250B" w14:textId="2ECBC9C3" w:rsidR="008D6319" w:rsidRPr="001C2B1D" w:rsidRDefault="008D6319" w:rsidP="002E7F8F">
      <w:pPr>
        <w:pStyle w:val="ListParagraph"/>
        <w:numPr>
          <w:ilvl w:val="1"/>
          <w:numId w:val="31"/>
        </w:numPr>
        <w:rPr>
          <w:lang w:val="en-US"/>
        </w:rPr>
      </w:pPr>
      <w:r w:rsidRPr="001C2B1D">
        <w:rPr>
          <w:i/>
          <w:iCs/>
        </w:rPr>
        <w:t>T</w:t>
      </w:r>
      <w:r w:rsidR="00F66FB0" w:rsidRPr="001C2B1D">
        <w:rPr>
          <w:i/>
          <w:iCs/>
        </w:rPr>
        <w:t>he Alternative Pathway at your health centre</w:t>
      </w:r>
      <w:r w:rsidRPr="001C2B1D">
        <w:rPr>
          <w:i/>
          <w:iCs/>
        </w:rPr>
        <w:t>: A manual for getting started</w:t>
      </w:r>
      <w:r w:rsidRPr="001C2B1D">
        <w:t xml:space="preserve">, which included </w:t>
      </w:r>
      <w:r w:rsidR="009039E8">
        <w:rPr>
          <w:lang w:val="en-US"/>
        </w:rPr>
        <w:t xml:space="preserve">strategies </w:t>
      </w:r>
      <w:r w:rsidRPr="001C2B1D">
        <w:rPr>
          <w:lang w:val="en-US"/>
        </w:rPr>
        <w:t>for prepari</w:t>
      </w:r>
      <w:r w:rsidR="009039E8">
        <w:rPr>
          <w:lang w:val="en-US"/>
        </w:rPr>
        <w:t>ng to offer the Alternative Pathway</w:t>
      </w:r>
      <w:r w:rsidRPr="001C2B1D">
        <w:rPr>
          <w:lang w:val="en-US"/>
        </w:rPr>
        <w:t>; the requirements of the NBCSP</w:t>
      </w:r>
      <w:r w:rsidR="007C6BAA">
        <w:rPr>
          <w:lang w:val="en-US"/>
        </w:rPr>
        <w:t xml:space="preserve"> and</w:t>
      </w:r>
      <w:r w:rsidRPr="001C2B1D">
        <w:rPr>
          <w:lang w:val="en-US"/>
        </w:rPr>
        <w:t xml:space="preserve"> how to access forms and support lines. </w:t>
      </w:r>
      <w:r w:rsidR="001C2B1D" w:rsidRPr="001C2B1D">
        <w:rPr>
          <w:lang w:val="en-US"/>
        </w:rPr>
        <w:t>This manual was</w:t>
      </w:r>
      <w:r w:rsidR="0015100B" w:rsidRPr="001C2B1D">
        <w:rPr>
          <w:lang w:val="en-US"/>
        </w:rPr>
        <w:t xml:space="preserve"> 58 pages</w:t>
      </w:r>
      <w:r w:rsidR="001C2B1D" w:rsidRPr="001C2B1D">
        <w:rPr>
          <w:lang w:val="en-US"/>
        </w:rPr>
        <w:t xml:space="preserve"> including appendices</w:t>
      </w:r>
      <w:r w:rsidR="007C6BAA">
        <w:rPr>
          <w:lang w:val="en-US"/>
        </w:rPr>
        <w:t xml:space="preserve"> and </w:t>
      </w:r>
      <w:r w:rsidR="00370BAC" w:rsidRPr="001C2B1D">
        <w:t xml:space="preserve">was provided to </w:t>
      </w:r>
      <w:r w:rsidR="001C2B1D" w:rsidRPr="001C2B1D">
        <w:t>s</w:t>
      </w:r>
      <w:r w:rsidR="00370BAC" w:rsidRPr="001C2B1D">
        <w:t xml:space="preserve">ite </w:t>
      </w:r>
      <w:r w:rsidR="001C2B1D" w:rsidRPr="001C2B1D">
        <w:t>c</w:t>
      </w:r>
      <w:r w:rsidR="00370BAC" w:rsidRPr="001C2B1D">
        <w:t xml:space="preserve">oordinators </w:t>
      </w:r>
      <w:r w:rsidR="00410CE8">
        <w:t xml:space="preserve">electronically </w:t>
      </w:r>
      <w:r w:rsidR="00370BAC" w:rsidRPr="001C2B1D">
        <w:t>with the letter confirming the health centre’s formal enrolment in the Pilot</w:t>
      </w:r>
      <w:r w:rsidR="001C2B1D" w:rsidRPr="001C2B1D">
        <w:t>.</w:t>
      </w:r>
      <w:r w:rsidR="00370BAC" w:rsidRPr="001C2B1D">
        <w:t xml:space="preserve"> </w:t>
      </w:r>
      <w:r w:rsidR="001C2B1D" w:rsidRPr="001C2B1D">
        <w:t>S</w:t>
      </w:r>
      <w:r w:rsidR="00370BAC" w:rsidRPr="001C2B1D">
        <w:t xml:space="preserve">everal hard copies </w:t>
      </w:r>
      <w:r w:rsidR="001C2B1D" w:rsidRPr="001C2B1D">
        <w:t xml:space="preserve">were </w:t>
      </w:r>
      <w:r w:rsidR="00370BAC" w:rsidRPr="001C2B1D">
        <w:t xml:space="preserve">included in </w:t>
      </w:r>
      <w:r w:rsidR="001C2B1D" w:rsidRPr="001C2B1D">
        <w:t>the</w:t>
      </w:r>
      <w:r w:rsidR="00370BAC" w:rsidRPr="001C2B1D">
        <w:t xml:space="preserve"> box of resources sent to the centre, and </w:t>
      </w:r>
      <w:r w:rsidR="001C2B1D" w:rsidRPr="001C2B1D">
        <w:t xml:space="preserve">the manual was </w:t>
      </w:r>
      <w:r w:rsidR="00370BAC" w:rsidRPr="001C2B1D">
        <w:t xml:space="preserve">also available online at www.indigenousbowelscreening.com.au. </w:t>
      </w:r>
    </w:p>
    <w:p w14:paraId="34E3311C" w14:textId="0357F5E4" w:rsidR="00F66FB0" w:rsidRPr="001717CB" w:rsidRDefault="00370BAC" w:rsidP="002E7F8F">
      <w:pPr>
        <w:pStyle w:val="ListParagraph"/>
        <w:keepNext/>
        <w:keepLines/>
        <w:numPr>
          <w:ilvl w:val="1"/>
          <w:numId w:val="31"/>
        </w:numPr>
        <w:ind w:left="714" w:hanging="357"/>
        <w:rPr>
          <w:rFonts w:cstheme="minorHAnsi"/>
        </w:rPr>
      </w:pPr>
      <w:r w:rsidRPr="001C2B1D">
        <w:rPr>
          <w:i/>
          <w:iCs/>
        </w:rPr>
        <w:lastRenderedPageBreak/>
        <w:t>A</w:t>
      </w:r>
      <w:r w:rsidR="00F66FB0" w:rsidRPr="001C2B1D">
        <w:rPr>
          <w:i/>
          <w:iCs/>
        </w:rPr>
        <w:t xml:space="preserve"> Quality and Safety Checklist</w:t>
      </w:r>
      <w:r w:rsidRPr="001C2B1D">
        <w:t xml:space="preserve">, to be completed to a satisfactory standard </w:t>
      </w:r>
      <w:r w:rsidR="002119D6" w:rsidRPr="001C2B1D">
        <w:t xml:space="preserve">before a health centre </w:t>
      </w:r>
      <w:r w:rsidR="003A1358" w:rsidRPr="001C2B1D">
        <w:t>was</w:t>
      </w:r>
      <w:r w:rsidR="002119D6" w:rsidRPr="001C2B1D">
        <w:t xml:space="preserve"> authorised to be sent NBCSP kits to distribute.</w:t>
      </w:r>
      <w:r w:rsidR="006A1AFE" w:rsidRPr="001C2B1D">
        <w:t xml:space="preserve"> </w:t>
      </w:r>
      <w:r w:rsidR="003A1358" w:rsidRPr="001C2B1D">
        <w:rPr>
          <w:rFonts w:cstheme="minorHAnsi"/>
        </w:rPr>
        <w:t>The QSC was designed to assist site coordinators understand the requirements of the NBCSP and to encourage planning to introduce, deliver and manage risks around the Alternative Pathway at their health centre.</w:t>
      </w:r>
      <w:r w:rsidR="001717CB">
        <w:rPr>
          <w:rFonts w:cstheme="minorHAnsi"/>
        </w:rPr>
        <w:t xml:space="preserve"> </w:t>
      </w:r>
      <w:r w:rsidR="007C6BAA" w:rsidRPr="001717CB">
        <w:rPr>
          <w:rFonts w:cstheme="minorHAnsi"/>
        </w:rPr>
        <w:t>The QSC</w:t>
      </w:r>
      <w:r w:rsidR="003A1358" w:rsidRPr="001717CB">
        <w:rPr>
          <w:rFonts w:cstheme="minorHAnsi"/>
        </w:rPr>
        <w:t xml:space="preserve"> set out six critical quality and safety issues that might represent risks for health centres, their staff and/or patients arising from the delivery of the NBCSP through the Alternative Pathway. Topics included</w:t>
      </w:r>
      <w:r w:rsidR="001560EF">
        <w:rPr>
          <w:rFonts w:cstheme="minorHAnsi"/>
        </w:rPr>
        <w:t>:</w:t>
      </w:r>
      <w:r w:rsidR="003A1358" w:rsidRPr="001717CB">
        <w:rPr>
          <w:rFonts w:cstheme="minorHAnsi"/>
        </w:rPr>
        <w:t xml:space="preserve"> management of kits and samples; staff skills and managing capability in the face of staff turnover; barriers that clients may face i</w:t>
      </w:r>
      <w:r w:rsidR="007C6BAA" w:rsidRPr="001717CB">
        <w:rPr>
          <w:rFonts w:cstheme="minorHAnsi"/>
        </w:rPr>
        <w:t xml:space="preserve">n </w:t>
      </w:r>
      <w:r w:rsidR="003A1358" w:rsidRPr="001717CB">
        <w:rPr>
          <w:rFonts w:cstheme="minorHAnsi"/>
        </w:rPr>
        <w:t xml:space="preserve">doing the test; recording patient invitations and participation; managing patient follow-up (i.e. timely access to colonoscopy), and privacy and confidentiality issues. </w:t>
      </w:r>
      <w:r w:rsidR="00970511" w:rsidRPr="001717CB">
        <w:rPr>
          <w:rFonts w:cstheme="minorHAnsi"/>
        </w:rPr>
        <w:t xml:space="preserve">More detail </w:t>
      </w:r>
      <w:r w:rsidR="001C2B1D" w:rsidRPr="001717CB">
        <w:rPr>
          <w:rFonts w:cstheme="minorHAnsi"/>
        </w:rPr>
        <w:t xml:space="preserve">about </w:t>
      </w:r>
      <w:r w:rsidR="00970511" w:rsidRPr="001717CB">
        <w:rPr>
          <w:rFonts w:cstheme="minorHAnsi"/>
        </w:rPr>
        <w:t>the Q</w:t>
      </w:r>
      <w:r w:rsidR="001C2B1D" w:rsidRPr="001717CB">
        <w:rPr>
          <w:rFonts w:cstheme="minorHAnsi"/>
        </w:rPr>
        <w:t>SC</w:t>
      </w:r>
      <w:r w:rsidR="00970511" w:rsidRPr="001717CB">
        <w:rPr>
          <w:rFonts w:cstheme="minorHAnsi"/>
        </w:rPr>
        <w:t xml:space="preserve"> can be found in Appendix D.</w:t>
      </w:r>
    </w:p>
    <w:p w14:paraId="7335618F" w14:textId="410A210C" w:rsidR="00F66FB0" w:rsidRPr="001C2B1D" w:rsidRDefault="00834F30" w:rsidP="002E7F8F">
      <w:pPr>
        <w:pStyle w:val="ListParagraph"/>
        <w:numPr>
          <w:ilvl w:val="0"/>
          <w:numId w:val="33"/>
        </w:numPr>
        <w:spacing w:before="0" w:after="200"/>
      </w:pPr>
      <w:r w:rsidRPr="001C2B1D">
        <w:t>Training sessions that could be used to workshop implementation plans or focus on issues around implementing the Alternative Pathway</w:t>
      </w:r>
      <w:r w:rsidR="002119D6" w:rsidRPr="001C2B1D">
        <w:t xml:space="preserve"> (see section describing the sessions menu]</w:t>
      </w:r>
    </w:p>
    <w:p w14:paraId="096A6FC2" w14:textId="1537C7C8" w:rsidR="00115C0B" w:rsidRPr="001C2B1D" w:rsidRDefault="002119D6" w:rsidP="002E7F8F">
      <w:pPr>
        <w:pStyle w:val="ListParagraph"/>
        <w:numPr>
          <w:ilvl w:val="0"/>
          <w:numId w:val="33"/>
        </w:numPr>
        <w:spacing w:before="0" w:after="200"/>
      </w:pPr>
      <w:r w:rsidRPr="001C2B1D">
        <w:rPr>
          <w:i/>
          <w:iCs/>
        </w:rPr>
        <w:t>Menzies Bowel Screening Helpline</w:t>
      </w:r>
      <w:r w:rsidR="00845097" w:rsidRPr="001C2B1D">
        <w:t xml:space="preserve">, by phone or email </w:t>
      </w:r>
      <w:r w:rsidR="001C2B1D" w:rsidRPr="001C2B1D">
        <w:t>(</w:t>
      </w:r>
      <w:r w:rsidR="00845097" w:rsidRPr="001C2B1D">
        <w:t>bowelscreening@menzies.edu.au</w:t>
      </w:r>
      <w:r w:rsidR="001C2B1D" w:rsidRPr="001C2B1D">
        <w:t>)</w:t>
      </w:r>
      <w:r w:rsidR="00845097" w:rsidRPr="001C2B1D">
        <w:t>.</w:t>
      </w:r>
    </w:p>
    <w:p w14:paraId="31FE5DD3" w14:textId="07FCD96F" w:rsidR="00F66FB0" w:rsidRPr="007C6BAA" w:rsidRDefault="00845097" w:rsidP="00366EAB">
      <w:pPr>
        <w:pStyle w:val="Heading3"/>
      </w:pPr>
      <w:bookmarkStart w:id="112" w:name="_Toc44279077"/>
      <w:bookmarkStart w:id="113" w:name="_Toc44339194"/>
      <w:bookmarkStart w:id="114" w:name="_Toc44361559"/>
      <w:r w:rsidRPr="007C6BAA">
        <w:t>Training</w:t>
      </w:r>
      <w:bookmarkEnd w:id="112"/>
      <w:bookmarkEnd w:id="113"/>
      <w:bookmarkEnd w:id="114"/>
      <w:r w:rsidRPr="007C6BAA">
        <w:t xml:space="preserve"> </w:t>
      </w:r>
    </w:p>
    <w:p w14:paraId="47F8FCDD" w14:textId="0E17B433" w:rsidR="00C60836" w:rsidRPr="007C6BAA" w:rsidRDefault="006A4053" w:rsidP="00C60836">
      <w:pPr>
        <w:spacing w:before="0" w:after="200"/>
      </w:pPr>
      <w:r w:rsidRPr="007C6BAA">
        <w:t>The needs analysis carried out during Phase One of the project identified</w:t>
      </w:r>
      <w:r w:rsidR="00C60836" w:rsidRPr="007C6BAA">
        <w:t xml:space="preserve"> two </w:t>
      </w:r>
      <w:r w:rsidRPr="007C6BAA">
        <w:t>training requirements for health centre staff:</w:t>
      </w:r>
    </w:p>
    <w:p w14:paraId="360987A6" w14:textId="77777777" w:rsidR="00C60836" w:rsidRPr="007C6BAA" w:rsidRDefault="00C60836" w:rsidP="002E7F8F">
      <w:pPr>
        <w:pStyle w:val="ListParagraph"/>
        <w:numPr>
          <w:ilvl w:val="0"/>
          <w:numId w:val="32"/>
        </w:numPr>
        <w:spacing w:before="0" w:after="200"/>
      </w:pPr>
      <w:r w:rsidRPr="007C6BAA">
        <w:t xml:space="preserve">Semi-formal training (workshop and online module) with a focus on increasing knowledge about bowel screening and bowel cancer, specifically for IHWs. </w:t>
      </w:r>
    </w:p>
    <w:p w14:paraId="3EB18353" w14:textId="359E3744" w:rsidR="00C60836" w:rsidRPr="007C6BAA" w:rsidRDefault="00C60836" w:rsidP="002E7F8F">
      <w:pPr>
        <w:pStyle w:val="ListParagraph"/>
        <w:numPr>
          <w:ilvl w:val="0"/>
          <w:numId w:val="32"/>
        </w:numPr>
        <w:spacing w:before="0" w:after="200"/>
      </w:pPr>
      <w:r w:rsidRPr="007C6BAA">
        <w:t>Provision of information for day</w:t>
      </w:r>
      <w:r w:rsidR="007C6BAA">
        <w:t>-</w:t>
      </w:r>
      <w:r w:rsidRPr="007C6BAA">
        <w:t>to</w:t>
      </w:r>
      <w:r w:rsidR="007C6BAA">
        <w:t>-</w:t>
      </w:r>
      <w:r w:rsidRPr="007C6BAA">
        <w:t xml:space="preserve">day use </w:t>
      </w:r>
      <w:r w:rsidR="007C6BAA">
        <w:t>about</w:t>
      </w:r>
      <w:r w:rsidRPr="007C6BAA">
        <w:t xml:space="preserve"> offering screening through the Alternative Pathway, </w:t>
      </w:r>
      <w:r w:rsidR="007C6BAA">
        <w:t>including</w:t>
      </w:r>
      <w:r w:rsidR="00716982" w:rsidRPr="007C6BAA">
        <w:t xml:space="preserve"> b</w:t>
      </w:r>
      <w:r w:rsidRPr="007C6BAA">
        <w:t>asic procedures to be followed</w:t>
      </w:r>
      <w:r w:rsidR="00561C04">
        <w:t xml:space="preserve"> </w:t>
      </w:r>
      <w:r w:rsidRPr="007C6BAA">
        <w:t xml:space="preserve">to meet the </w:t>
      </w:r>
      <w:r w:rsidR="005B0BA1">
        <w:t xml:space="preserve">NBCSP </w:t>
      </w:r>
      <w:r w:rsidRPr="007C6BAA">
        <w:t xml:space="preserve">requirements </w:t>
      </w:r>
      <w:r w:rsidR="00716982" w:rsidRPr="007C6BAA">
        <w:t>and</w:t>
      </w:r>
      <w:r w:rsidR="00561C04">
        <w:t xml:space="preserve"> </w:t>
      </w:r>
      <w:r w:rsidRPr="007C6BAA">
        <w:t>the health centre’s local procedures</w:t>
      </w:r>
      <w:r w:rsidR="00561C04">
        <w:t xml:space="preserve"> (</w:t>
      </w:r>
      <w:r w:rsidR="005B0BA1">
        <w:t>dependent</w:t>
      </w:r>
      <w:r w:rsidR="00576ADB" w:rsidRPr="007C6BAA">
        <w:t xml:space="preserve"> on local implementation planning</w:t>
      </w:r>
      <w:r w:rsidRPr="007C6BAA">
        <w:t>).</w:t>
      </w:r>
    </w:p>
    <w:p w14:paraId="4C4E7185" w14:textId="36A33BE9" w:rsidR="007F4AD2" w:rsidRPr="007C6BAA" w:rsidRDefault="0090131B" w:rsidP="006A4053">
      <w:pPr>
        <w:spacing w:before="0" w:after="200"/>
      </w:pPr>
      <w:r w:rsidRPr="007C6BAA">
        <w:t>As outlined above, the implementation manual provide</w:t>
      </w:r>
      <w:r w:rsidR="003C14A8" w:rsidRPr="007C6BAA">
        <w:t>d</w:t>
      </w:r>
      <w:r w:rsidRPr="007C6BAA">
        <w:t xml:space="preserve"> the procedural information need</w:t>
      </w:r>
      <w:r w:rsidR="005B0BA1">
        <w:t>ed</w:t>
      </w:r>
      <w:r w:rsidRPr="007C6BAA">
        <w:t xml:space="preserve"> to meet NBCSP requirements and assess clients for screening. </w:t>
      </w:r>
      <w:r w:rsidR="00803A1D" w:rsidRPr="007C6BAA">
        <w:t xml:space="preserve">Within the manual was a checklist for talking with patients and a flowchart of how the Alternative Pathway interacted with the NBCSP and its Register. </w:t>
      </w:r>
      <w:r w:rsidR="00662987" w:rsidRPr="007C6BAA">
        <w:t>U</w:t>
      </w:r>
      <w:r w:rsidR="00576ADB" w:rsidRPr="007C6BAA">
        <w:t xml:space="preserve">nfortunately, </w:t>
      </w:r>
      <w:r w:rsidR="00662987" w:rsidRPr="007C6BAA">
        <w:t>a</w:t>
      </w:r>
      <w:r w:rsidR="003C14A8" w:rsidRPr="007C6BAA">
        <w:t xml:space="preserve"> </w:t>
      </w:r>
      <w:r w:rsidR="00752CFC" w:rsidRPr="007C6BAA">
        <w:t>handy</w:t>
      </w:r>
      <w:r w:rsidR="003C14A8" w:rsidRPr="007C6BAA">
        <w:t xml:space="preserve"> version for day</w:t>
      </w:r>
      <w:r w:rsidR="007C6BAA">
        <w:t>-</w:t>
      </w:r>
      <w:r w:rsidR="003C14A8" w:rsidRPr="007C6BAA">
        <w:t>today use</w:t>
      </w:r>
      <w:r w:rsidR="002744CC" w:rsidRPr="007C6BAA">
        <w:t xml:space="preserve"> </w:t>
      </w:r>
      <w:r w:rsidR="003C14A8" w:rsidRPr="007C6BAA">
        <w:t>by health professionals as they offered the Alternative Pathway</w:t>
      </w:r>
      <w:r w:rsidR="00B80C72" w:rsidRPr="007C6BAA">
        <w:t xml:space="preserve"> was not produced. </w:t>
      </w:r>
      <w:r w:rsidR="00716982" w:rsidRPr="007C6BAA">
        <w:rPr>
          <w:rStyle w:val="FootnoteReference"/>
        </w:rPr>
        <w:footnoteReference w:id="23"/>
      </w:r>
      <w:r w:rsidR="00716982" w:rsidRPr="007C6BAA">
        <w:t xml:space="preserve">  </w:t>
      </w:r>
    </w:p>
    <w:p w14:paraId="3E475757" w14:textId="2F7D52D0" w:rsidR="004013B3" w:rsidRPr="005B0BA1" w:rsidRDefault="002744CC" w:rsidP="004013B3">
      <w:pPr>
        <w:rPr>
          <w:lang w:eastAsia="en-AU"/>
        </w:rPr>
      </w:pPr>
      <w:r w:rsidRPr="005B0BA1">
        <w:t xml:space="preserve">The delivery of training for the Pilot was </w:t>
      </w:r>
      <w:r w:rsidR="005B0BA1">
        <w:t>via the online module and</w:t>
      </w:r>
      <w:r w:rsidRPr="005B0BA1">
        <w:t xml:space="preserve"> face-to-face workshops, with IHWs as the intended audience. </w:t>
      </w:r>
      <w:r w:rsidR="004013B3" w:rsidRPr="005B0BA1">
        <w:rPr>
          <w:lang w:eastAsia="en-AU"/>
        </w:rPr>
        <w:t xml:space="preserve">As outlined in Section 3, </w:t>
      </w:r>
      <w:r w:rsidR="00077FA7" w:rsidRPr="005B0BA1">
        <w:rPr>
          <w:lang w:eastAsia="en-AU"/>
        </w:rPr>
        <w:t xml:space="preserve">Group A (low intensity support) </w:t>
      </w:r>
      <w:r w:rsidR="00872C76" w:rsidRPr="005B0BA1">
        <w:rPr>
          <w:lang w:eastAsia="en-AU"/>
        </w:rPr>
        <w:t xml:space="preserve">received </w:t>
      </w:r>
      <w:r w:rsidR="000C3B58" w:rsidRPr="005B0BA1">
        <w:rPr>
          <w:lang w:eastAsia="en-AU"/>
        </w:rPr>
        <w:t xml:space="preserve">access to the </w:t>
      </w:r>
      <w:r w:rsidR="00077FA7" w:rsidRPr="005B0BA1">
        <w:rPr>
          <w:lang w:eastAsia="en-AU"/>
        </w:rPr>
        <w:t xml:space="preserve">online training </w:t>
      </w:r>
      <w:r w:rsidR="000C3B58" w:rsidRPr="005B0BA1">
        <w:rPr>
          <w:lang w:eastAsia="en-AU"/>
        </w:rPr>
        <w:t xml:space="preserve">module. </w:t>
      </w:r>
      <w:r w:rsidR="00077FA7" w:rsidRPr="005B0BA1">
        <w:rPr>
          <w:lang w:eastAsia="en-AU"/>
        </w:rPr>
        <w:t xml:space="preserve">Group B (high intensity support), had access to </w:t>
      </w:r>
      <w:r w:rsidR="000C3B58" w:rsidRPr="005B0BA1">
        <w:rPr>
          <w:lang w:eastAsia="en-AU"/>
        </w:rPr>
        <w:t xml:space="preserve">the online module and </w:t>
      </w:r>
      <w:r w:rsidR="00077FA7" w:rsidRPr="005B0BA1">
        <w:rPr>
          <w:lang w:eastAsia="en-AU"/>
        </w:rPr>
        <w:t>additional face-to-</w:t>
      </w:r>
      <w:r w:rsidR="00077FA7" w:rsidRPr="005B0BA1">
        <w:rPr>
          <w:lang w:eastAsia="en-AU"/>
        </w:rPr>
        <w:lastRenderedPageBreak/>
        <w:t>face training.</w:t>
      </w:r>
      <w:r w:rsidR="001470BA" w:rsidRPr="005B0BA1">
        <w:rPr>
          <w:lang w:eastAsia="en-AU"/>
        </w:rPr>
        <w:t xml:space="preserve"> Training was not compulsory before </w:t>
      </w:r>
      <w:r w:rsidR="00561C04" w:rsidRPr="005B0BA1">
        <w:rPr>
          <w:lang w:eastAsia="en-AU"/>
        </w:rPr>
        <w:t xml:space="preserve">centres could start </w:t>
      </w:r>
      <w:r w:rsidR="001470BA" w:rsidRPr="005B0BA1">
        <w:rPr>
          <w:lang w:eastAsia="en-AU"/>
        </w:rPr>
        <w:t xml:space="preserve">giving out kits. </w:t>
      </w:r>
      <w:r w:rsidR="000C3B58" w:rsidRPr="005B0BA1">
        <w:rPr>
          <w:lang w:eastAsia="en-AU"/>
        </w:rPr>
        <w:t>E</w:t>
      </w:r>
      <w:r w:rsidR="001470BA" w:rsidRPr="005B0BA1">
        <w:rPr>
          <w:lang w:eastAsia="en-AU"/>
        </w:rPr>
        <w:t>ach health centre implement</w:t>
      </w:r>
      <w:r w:rsidR="005B0BA1">
        <w:rPr>
          <w:lang w:eastAsia="en-AU"/>
        </w:rPr>
        <w:t>ed</w:t>
      </w:r>
      <w:r w:rsidR="001470BA" w:rsidRPr="005B0BA1">
        <w:rPr>
          <w:lang w:eastAsia="en-AU"/>
        </w:rPr>
        <w:t xml:space="preserve"> the Alternative Pathway to suit the</w:t>
      </w:r>
      <w:r w:rsidR="00561C04" w:rsidRPr="005B0BA1">
        <w:rPr>
          <w:lang w:eastAsia="en-AU"/>
        </w:rPr>
        <w:t>ir</w:t>
      </w:r>
      <w:r w:rsidR="001470BA" w:rsidRPr="005B0BA1">
        <w:rPr>
          <w:lang w:eastAsia="en-AU"/>
        </w:rPr>
        <w:t xml:space="preserve"> local setting, </w:t>
      </w:r>
      <w:r w:rsidR="000C3B58" w:rsidRPr="005B0BA1">
        <w:rPr>
          <w:lang w:eastAsia="en-AU"/>
        </w:rPr>
        <w:t xml:space="preserve">so </w:t>
      </w:r>
      <w:r w:rsidR="001470BA" w:rsidRPr="005B0BA1">
        <w:rPr>
          <w:lang w:eastAsia="en-AU"/>
        </w:rPr>
        <w:t xml:space="preserve">the implementation planning </w:t>
      </w:r>
      <w:r w:rsidR="000C3B58" w:rsidRPr="005B0BA1">
        <w:rPr>
          <w:lang w:eastAsia="en-AU"/>
        </w:rPr>
        <w:t>involved in</w:t>
      </w:r>
      <w:r w:rsidR="001470BA" w:rsidRPr="005B0BA1">
        <w:rPr>
          <w:lang w:eastAsia="en-AU"/>
        </w:rPr>
        <w:t xml:space="preserve"> the QSC was more </w:t>
      </w:r>
      <w:r w:rsidR="00561C04" w:rsidRPr="005B0BA1">
        <w:rPr>
          <w:lang w:eastAsia="en-AU"/>
        </w:rPr>
        <w:t>important</w:t>
      </w:r>
      <w:r w:rsidR="000C3B58" w:rsidRPr="005B0BA1">
        <w:rPr>
          <w:lang w:eastAsia="en-AU"/>
        </w:rPr>
        <w:t xml:space="preserve"> t</w:t>
      </w:r>
      <w:r w:rsidR="001470BA" w:rsidRPr="005B0BA1">
        <w:rPr>
          <w:lang w:eastAsia="en-AU"/>
        </w:rPr>
        <w:t xml:space="preserve">han generic training. </w:t>
      </w:r>
    </w:p>
    <w:p w14:paraId="7570617D" w14:textId="40E2D92F" w:rsidR="004013B3" w:rsidRPr="005B0BA1" w:rsidRDefault="004013B3" w:rsidP="004257B1">
      <w:pPr>
        <w:pStyle w:val="Heading4"/>
      </w:pPr>
      <w:r w:rsidRPr="005B0BA1">
        <w:t xml:space="preserve">Online </w:t>
      </w:r>
      <w:r w:rsidR="007360DD" w:rsidRPr="005B0BA1">
        <w:t>training module</w:t>
      </w:r>
    </w:p>
    <w:p w14:paraId="72236F5E" w14:textId="7E139B98" w:rsidR="00077FA7" w:rsidRPr="005B0BA1" w:rsidRDefault="00077FA7" w:rsidP="00A145A1">
      <w:r w:rsidRPr="005B0BA1">
        <w:t>The online</w:t>
      </w:r>
      <w:r w:rsidR="004013B3" w:rsidRPr="005B0BA1">
        <w:t xml:space="preserve"> module was </w:t>
      </w:r>
      <w:r w:rsidRPr="005B0BA1">
        <w:t xml:space="preserve">available </w:t>
      </w:r>
      <w:r w:rsidR="004013B3" w:rsidRPr="005B0BA1">
        <w:t xml:space="preserve">for all </w:t>
      </w:r>
      <w:r w:rsidR="00DC7BDF" w:rsidRPr="005B0BA1">
        <w:t xml:space="preserve">Pilot </w:t>
      </w:r>
      <w:r w:rsidR="004013B3" w:rsidRPr="005B0BA1">
        <w:t>health centres</w:t>
      </w:r>
      <w:r w:rsidRPr="005B0BA1">
        <w:t xml:space="preserve"> to pr</w:t>
      </w:r>
      <w:r w:rsidR="005B0BA1" w:rsidRPr="005B0BA1">
        <w:t>ovide</w:t>
      </w:r>
      <w:r w:rsidRPr="005B0BA1">
        <w:t xml:space="preserve"> staff with the </w:t>
      </w:r>
      <w:r w:rsidR="004013B3" w:rsidRPr="005B0BA1">
        <w:t xml:space="preserve">knowledge, skills and confidence to offer the Alternative Pathway </w:t>
      </w:r>
      <w:r w:rsidRPr="005B0BA1">
        <w:t>to Indigenous patients</w:t>
      </w:r>
      <w:r w:rsidR="004013B3" w:rsidRPr="005B0BA1">
        <w:t xml:space="preserve">. </w:t>
      </w:r>
      <w:r w:rsidR="00AE2D83">
        <w:t>It was designed to take approximately one hour to complete.</w:t>
      </w:r>
    </w:p>
    <w:p w14:paraId="46039FE2" w14:textId="77777777" w:rsidR="00DC7BDF" w:rsidRPr="005B0BA1" w:rsidRDefault="00DC7BDF" w:rsidP="00A145A1">
      <w:r w:rsidRPr="005B0BA1">
        <w:t>Topics within the online training module included:</w:t>
      </w:r>
    </w:p>
    <w:p w14:paraId="14198B21" w14:textId="6615DEF7" w:rsidR="00DC7BDF" w:rsidRPr="005B0BA1" w:rsidRDefault="00DC7BDF" w:rsidP="002E7F8F">
      <w:pPr>
        <w:pStyle w:val="ListParagraph"/>
        <w:numPr>
          <w:ilvl w:val="0"/>
          <w:numId w:val="34"/>
        </w:numPr>
        <w:rPr>
          <w:lang w:eastAsia="en-AU"/>
        </w:rPr>
      </w:pPr>
      <w:r w:rsidRPr="005B0BA1">
        <w:rPr>
          <w:lang w:eastAsia="en-AU"/>
        </w:rPr>
        <w:t>Information about bowel cancer and bowel cancer screening; including risk factors for bowel cancer; bowel cancer treatment; incidence, survival and screening participation rates; as well as the risks and benefits of screening</w:t>
      </w:r>
    </w:p>
    <w:p w14:paraId="32FB254A" w14:textId="221070CD" w:rsidR="00DC7BDF" w:rsidRPr="005B0BA1" w:rsidRDefault="00DC7BDF" w:rsidP="002E7F8F">
      <w:pPr>
        <w:pStyle w:val="ListParagraph"/>
        <w:numPr>
          <w:ilvl w:val="0"/>
          <w:numId w:val="34"/>
        </w:numPr>
        <w:rPr>
          <w:lang w:eastAsia="en-AU"/>
        </w:rPr>
      </w:pPr>
      <w:r w:rsidRPr="005B0BA1">
        <w:rPr>
          <w:lang w:eastAsia="en-AU"/>
        </w:rPr>
        <w:t>Information about the National Bowel Cancer Screening Program and the Alternative Pathway</w:t>
      </w:r>
    </w:p>
    <w:p w14:paraId="67D2597A" w14:textId="48D4AD7D" w:rsidR="00DC7BDF" w:rsidRPr="005B0BA1" w:rsidRDefault="00561C04" w:rsidP="002E7F8F">
      <w:pPr>
        <w:pStyle w:val="ListParagraph"/>
        <w:numPr>
          <w:ilvl w:val="0"/>
          <w:numId w:val="34"/>
        </w:numPr>
        <w:rPr>
          <w:lang w:eastAsia="en-AU"/>
        </w:rPr>
      </w:pPr>
      <w:r w:rsidRPr="005B0BA1">
        <w:rPr>
          <w:lang w:eastAsia="en-AU"/>
        </w:rPr>
        <w:t>Information on t</w:t>
      </w:r>
      <w:r w:rsidR="00DC7BDF" w:rsidRPr="005B0BA1">
        <w:rPr>
          <w:lang w:eastAsia="en-AU"/>
        </w:rPr>
        <w:t xml:space="preserve">alking about bowel screening with Indigenous </w:t>
      </w:r>
      <w:r w:rsidRPr="005B0BA1">
        <w:rPr>
          <w:lang w:eastAsia="en-AU"/>
        </w:rPr>
        <w:t>people</w:t>
      </w:r>
      <w:r w:rsidR="00DC7BDF" w:rsidRPr="005B0BA1">
        <w:rPr>
          <w:lang w:eastAsia="en-AU"/>
        </w:rPr>
        <w:t xml:space="preserve"> (clinical and social aspects)</w:t>
      </w:r>
    </w:p>
    <w:p w14:paraId="0BBF961C" w14:textId="25DC40F2" w:rsidR="00DC7BDF" w:rsidRPr="005B0BA1" w:rsidRDefault="00561C04" w:rsidP="002E7F8F">
      <w:pPr>
        <w:pStyle w:val="ListParagraph"/>
        <w:numPr>
          <w:ilvl w:val="0"/>
          <w:numId w:val="34"/>
        </w:numPr>
        <w:rPr>
          <w:lang w:eastAsia="en-AU"/>
        </w:rPr>
      </w:pPr>
      <w:r w:rsidRPr="005B0BA1">
        <w:rPr>
          <w:lang w:eastAsia="en-AU"/>
        </w:rPr>
        <w:t>Information on a</w:t>
      </w:r>
      <w:r w:rsidR="00DC7BDF" w:rsidRPr="005B0BA1">
        <w:rPr>
          <w:lang w:eastAsia="en-AU"/>
        </w:rPr>
        <w:t xml:space="preserve">ssessing </w:t>
      </w:r>
      <w:r w:rsidRPr="005B0BA1">
        <w:rPr>
          <w:lang w:eastAsia="en-AU"/>
        </w:rPr>
        <w:t xml:space="preserve">a person’s </w:t>
      </w:r>
      <w:r w:rsidR="00DC7BDF" w:rsidRPr="005B0BA1">
        <w:rPr>
          <w:lang w:eastAsia="en-AU"/>
        </w:rPr>
        <w:t xml:space="preserve">suitability for screening </w:t>
      </w:r>
    </w:p>
    <w:p w14:paraId="4FEE5C27" w14:textId="29DCFDDC" w:rsidR="00DC7BDF" w:rsidRPr="005B0BA1" w:rsidRDefault="00DC7BDF" w:rsidP="002E7F8F">
      <w:pPr>
        <w:pStyle w:val="ListParagraph"/>
        <w:numPr>
          <w:ilvl w:val="0"/>
          <w:numId w:val="34"/>
        </w:numPr>
      </w:pPr>
      <w:r w:rsidRPr="005B0BA1">
        <w:rPr>
          <w:lang w:eastAsia="en-AU"/>
        </w:rPr>
        <w:t xml:space="preserve">Understanding test results; </w:t>
      </w:r>
      <w:r w:rsidR="00561C04" w:rsidRPr="005B0BA1">
        <w:rPr>
          <w:lang w:eastAsia="en-AU"/>
        </w:rPr>
        <w:t>GP</w:t>
      </w:r>
      <w:r w:rsidRPr="005B0BA1">
        <w:rPr>
          <w:lang w:eastAsia="en-AU"/>
        </w:rPr>
        <w:t xml:space="preserve"> assessment; and referral to colonoscopy. </w:t>
      </w:r>
    </w:p>
    <w:p w14:paraId="43B18991" w14:textId="6B410E1C" w:rsidR="00DC7BDF" w:rsidRPr="005B0BA1" w:rsidRDefault="00DC7BDF" w:rsidP="00A145A1">
      <w:r w:rsidRPr="005B0BA1">
        <w:rPr>
          <w:lang w:eastAsia="en-AU"/>
        </w:rPr>
        <w:t>The online training module included animations, music video</w:t>
      </w:r>
      <w:r w:rsidR="00A147C5" w:rsidRPr="005B0BA1">
        <w:rPr>
          <w:lang w:eastAsia="en-AU"/>
        </w:rPr>
        <w:t>s</w:t>
      </w:r>
      <w:r w:rsidRPr="005B0BA1">
        <w:rPr>
          <w:lang w:eastAsia="en-AU"/>
        </w:rPr>
        <w:t xml:space="preserve">, and short quizzes to test participant knowledge and learning as they completed the module sections. </w:t>
      </w:r>
      <w:r w:rsidR="00561C04" w:rsidRPr="005B0BA1">
        <w:rPr>
          <w:lang w:eastAsia="en-AU"/>
        </w:rPr>
        <w:t xml:space="preserve">While </w:t>
      </w:r>
      <w:r w:rsidRPr="005B0BA1">
        <w:rPr>
          <w:lang w:eastAsia="en-AU"/>
        </w:rPr>
        <w:t xml:space="preserve">designed primarily for </w:t>
      </w:r>
      <w:r w:rsidR="007360DD" w:rsidRPr="005B0BA1">
        <w:rPr>
          <w:lang w:eastAsia="en-AU"/>
        </w:rPr>
        <w:t>IHWs</w:t>
      </w:r>
      <w:r w:rsidRPr="005B0BA1">
        <w:rPr>
          <w:lang w:eastAsia="en-AU"/>
        </w:rPr>
        <w:t>, the</w:t>
      </w:r>
      <w:r w:rsidR="00561C04" w:rsidRPr="005B0BA1">
        <w:rPr>
          <w:lang w:eastAsia="en-AU"/>
        </w:rPr>
        <w:t xml:space="preserve"> training</w:t>
      </w:r>
      <w:r w:rsidRPr="005B0BA1">
        <w:rPr>
          <w:lang w:eastAsia="en-AU"/>
        </w:rPr>
        <w:t xml:space="preserve"> module could </w:t>
      </w:r>
      <w:r w:rsidR="00561C04" w:rsidRPr="005B0BA1">
        <w:rPr>
          <w:lang w:eastAsia="en-AU"/>
        </w:rPr>
        <w:t xml:space="preserve">also </w:t>
      </w:r>
      <w:r w:rsidRPr="005B0BA1">
        <w:rPr>
          <w:lang w:eastAsia="en-AU"/>
        </w:rPr>
        <w:t>be used by other health professionals.</w:t>
      </w:r>
      <w:r w:rsidR="00327FE2">
        <w:t xml:space="preserve"> </w:t>
      </w:r>
      <w:r w:rsidRPr="005B0BA1">
        <w:t xml:space="preserve">The </w:t>
      </w:r>
      <w:r w:rsidR="003811CB">
        <w:t>one-hour</w:t>
      </w:r>
      <w:r w:rsidRPr="005B0BA1">
        <w:t xml:space="preserve"> module allowed flexibility for users to learn independently, at a time and location that was convenient. It could also be completed </w:t>
      </w:r>
      <w:r w:rsidR="001560EF">
        <w:t>by</w:t>
      </w:r>
      <w:r w:rsidRPr="005B0BA1">
        <w:t xml:space="preserve"> a small group to provide opportunit</w:t>
      </w:r>
      <w:r w:rsidR="001560EF">
        <w:t>ies</w:t>
      </w:r>
      <w:r w:rsidRPr="005B0BA1">
        <w:t xml:space="preserve"> for group discussion.  </w:t>
      </w:r>
    </w:p>
    <w:p w14:paraId="59226F72" w14:textId="2AA3F0AF" w:rsidR="00DC7BDF" w:rsidRPr="005B0BA1" w:rsidRDefault="00554C04" w:rsidP="00DC4022">
      <w:r>
        <w:t xml:space="preserve">The module was </w:t>
      </w:r>
      <w:r w:rsidR="00DC7BDF" w:rsidRPr="005B0BA1">
        <w:t xml:space="preserve">available for use by health centres </w:t>
      </w:r>
      <w:r>
        <w:t xml:space="preserve">from the </w:t>
      </w:r>
      <w:r w:rsidR="00DC7BDF" w:rsidRPr="005B0BA1">
        <w:t>28 November 2018</w:t>
      </w:r>
      <w:r>
        <w:t xml:space="preserve"> and accessible</w:t>
      </w:r>
      <w:r w:rsidRPr="00554C04">
        <w:t xml:space="preserve"> </w:t>
      </w:r>
      <w:r w:rsidRPr="005B0BA1">
        <w:t xml:space="preserve">through the Alternative Pathway </w:t>
      </w:r>
      <w:r>
        <w:t xml:space="preserve">website </w:t>
      </w:r>
      <w:hyperlink r:id="rId20" w:history="1">
        <w:r w:rsidRPr="005B0BA1">
          <w:rPr>
            <w:rStyle w:val="Hyperlink"/>
            <w:rFonts w:cstheme="minorHAnsi"/>
          </w:rPr>
          <w:t>www.indigenousbowelscreen.com.au</w:t>
        </w:r>
      </w:hyperlink>
      <w:r w:rsidRPr="005B0BA1">
        <w:t xml:space="preserve">). </w:t>
      </w:r>
      <w:r w:rsidR="002077FC" w:rsidRPr="005B0BA1">
        <w:t>To log in, training participants needed to g</w:t>
      </w:r>
      <w:r w:rsidR="002077FC">
        <w:t>o through</w:t>
      </w:r>
      <w:r w:rsidR="002077FC" w:rsidRPr="005B0BA1">
        <w:t xml:space="preserve"> two layers of passwords – one on the Alternative Pathway pages, and one to enter the learning management system that housed the online module.  </w:t>
      </w:r>
      <w:r>
        <w:t>Prior to this health centres had access to</w:t>
      </w:r>
      <w:r w:rsidR="007A5BE4">
        <w:t xml:space="preserve"> an equivalent module for the usual pathway.</w:t>
      </w:r>
    </w:p>
    <w:p w14:paraId="561E2BD9" w14:textId="41E7BCE1" w:rsidR="004013B3" w:rsidRPr="005B0BA1" w:rsidRDefault="004013B3" w:rsidP="004257B1">
      <w:pPr>
        <w:pStyle w:val="Heading4"/>
      </w:pPr>
      <w:r w:rsidRPr="005B0BA1">
        <w:t>Face</w:t>
      </w:r>
      <w:r w:rsidR="006D7DA2" w:rsidRPr="005B0BA1">
        <w:t>-to-</w:t>
      </w:r>
      <w:r w:rsidRPr="005B0BA1">
        <w:t xml:space="preserve">face training </w:t>
      </w:r>
    </w:p>
    <w:p w14:paraId="1656B6C2" w14:textId="77777777" w:rsidR="000D2D26" w:rsidRDefault="0053011C" w:rsidP="00A145A1">
      <w:pPr>
        <w:rPr>
          <w:szCs w:val="22"/>
        </w:rPr>
      </w:pPr>
      <w:r w:rsidRPr="005B0BA1">
        <w:t>Health</w:t>
      </w:r>
      <w:r w:rsidR="004013B3" w:rsidRPr="005B0BA1">
        <w:t xml:space="preserve"> centres randomised into Group B (high intensity support) </w:t>
      </w:r>
      <w:r w:rsidR="005B0BA1" w:rsidRPr="005B0BA1">
        <w:t xml:space="preserve">also </w:t>
      </w:r>
      <w:r w:rsidRPr="005B0BA1">
        <w:t>had</w:t>
      </w:r>
      <w:r w:rsidR="004013B3" w:rsidRPr="005B0BA1">
        <w:t xml:space="preserve"> access to face-to</w:t>
      </w:r>
      <w:r w:rsidR="00561C04" w:rsidRPr="005B0BA1">
        <w:t>-</w:t>
      </w:r>
      <w:r w:rsidR="004013B3" w:rsidRPr="005B0BA1">
        <w:t>face training</w:t>
      </w:r>
      <w:r w:rsidR="006D7DA2" w:rsidRPr="005B0BA1">
        <w:t>.</w:t>
      </w:r>
      <w:r w:rsidR="000D2D26">
        <w:t xml:space="preserve"> </w:t>
      </w:r>
      <w:r w:rsidR="007360DD" w:rsidRPr="005B0BA1">
        <w:t>Group B health centres</w:t>
      </w:r>
      <w:r w:rsidR="004013B3" w:rsidRPr="005B0BA1">
        <w:t xml:space="preserve"> were notified through their </w:t>
      </w:r>
      <w:r w:rsidR="0019030A" w:rsidRPr="005B0BA1">
        <w:t xml:space="preserve">letter of enrolment that they were entitled </w:t>
      </w:r>
      <w:r w:rsidR="004013B3" w:rsidRPr="005B0BA1">
        <w:t xml:space="preserve">to a visit from the Menzies Project Team </w:t>
      </w:r>
      <w:r w:rsidR="0019030A" w:rsidRPr="005B0BA1">
        <w:t>to deliver</w:t>
      </w:r>
      <w:r w:rsidR="004013B3" w:rsidRPr="005B0BA1">
        <w:t xml:space="preserve"> on-site training and </w:t>
      </w:r>
      <w:r w:rsidR="007360DD" w:rsidRPr="005B0BA1">
        <w:t xml:space="preserve">provide help, if requested, </w:t>
      </w:r>
      <w:r w:rsidR="006E2F38" w:rsidRPr="005B0BA1">
        <w:t xml:space="preserve">with </w:t>
      </w:r>
      <w:r w:rsidR="006E2F38" w:rsidRPr="005B0BA1">
        <w:rPr>
          <w:szCs w:val="22"/>
        </w:rPr>
        <w:t xml:space="preserve">planning </w:t>
      </w:r>
      <w:r w:rsidR="005B0BA1" w:rsidRPr="005B0BA1">
        <w:rPr>
          <w:szCs w:val="22"/>
        </w:rPr>
        <w:t xml:space="preserve">their </w:t>
      </w:r>
      <w:r w:rsidR="004013B3" w:rsidRPr="005B0BA1">
        <w:rPr>
          <w:szCs w:val="22"/>
        </w:rPr>
        <w:t>implement</w:t>
      </w:r>
      <w:r w:rsidR="005B0BA1" w:rsidRPr="005B0BA1">
        <w:rPr>
          <w:szCs w:val="22"/>
        </w:rPr>
        <w:t>ation of</w:t>
      </w:r>
      <w:r w:rsidR="004013B3" w:rsidRPr="005B0BA1">
        <w:rPr>
          <w:szCs w:val="22"/>
        </w:rPr>
        <w:t xml:space="preserve"> the </w:t>
      </w:r>
      <w:r w:rsidR="006E2F38" w:rsidRPr="005B0BA1">
        <w:rPr>
          <w:szCs w:val="22"/>
        </w:rPr>
        <w:t>Alternative Pathway</w:t>
      </w:r>
      <w:r w:rsidR="004013B3" w:rsidRPr="005B0BA1">
        <w:rPr>
          <w:szCs w:val="22"/>
        </w:rPr>
        <w:t>. </w:t>
      </w:r>
    </w:p>
    <w:p w14:paraId="12331C68" w14:textId="7729B6CC" w:rsidR="00A147C5" w:rsidRPr="000D2D26" w:rsidRDefault="004013B3" w:rsidP="00A145A1">
      <w:r w:rsidRPr="005B0BA1">
        <w:rPr>
          <w:szCs w:val="22"/>
        </w:rPr>
        <w:t xml:space="preserve">A Site Training Menu </w:t>
      </w:r>
      <w:r w:rsidR="00A145A1" w:rsidRPr="005B0BA1">
        <w:rPr>
          <w:szCs w:val="22"/>
        </w:rPr>
        <w:t xml:space="preserve">(Table 4.1) </w:t>
      </w:r>
      <w:r w:rsidRPr="005B0BA1">
        <w:rPr>
          <w:szCs w:val="22"/>
        </w:rPr>
        <w:t xml:space="preserve">was provided </w:t>
      </w:r>
      <w:r w:rsidR="005B0BA1" w:rsidRPr="005B0BA1">
        <w:rPr>
          <w:szCs w:val="22"/>
        </w:rPr>
        <w:t>for</w:t>
      </w:r>
      <w:r w:rsidRPr="005B0BA1">
        <w:rPr>
          <w:szCs w:val="22"/>
        </w:rPr>
        <w:t xml:space="preserve"> health centres to select and plan </w:t>
      </w:r>
      <w:r w:rsidR="005B0BA1" w:rsidRPr="005B0BA1">
        <w:rPr>
          <w:szCs w:val="22"/>
        </w:rPr>
        <w:t xml:space="preserve">training </w:t>
      </w:r>
      <w:r w:rsidRPr="005B0BA1">
        <w:rPr>
          <w:szCs w:val="22"/>
        </w:rPr>
        <w:t xml:space="preserve">sessions </w:t>
      </w:r>
      <w:r w:rsidR="005B0BA1" w:rsidRPr="005B0BA1">
        <w:rPr>
          <w:szCs w:val="22"/>
        </w:rPr>
        <w:t xml:space="preserve">that </w:t>
      </w:r>
      <w:r w:rsidRPr="005B0BA1">
        <w:rPr>
          <w:szCs w:val="22"/>
        </w:rPr>
        <w:t>best suit</w:t>
      </w:r>
      <w:r w:rsidR="00C33009" w:rsidRPr="005B0BA1">
        <w:rPr>
          <w:szCs w:val="22"/>
        </w:rPr>
        <w:t>ed their needs</w:t>
      </w:r>
      <w:r w:rsidR="00A145A1" w:rsidRPr="005B0BA1">
        <w:rPr>
          <w:szCs w:val="22"/>
        </w:rPr>
        <w:t>.</w:t>
      </w:r>
      <w:r w:rsidR="00825D80" w:rsidRPr="005B0BA1">
        <w:rPr>
          <w:szCs w:val="22"/>
        </w:rPr>
        <w:t xml:space="preserve"> </w:t>
      </w:r>
    </w:p>
    <w:p w14:paraId="611C35A3" w14:textId="77777777" w:rsidR="00554C04" w:rsidRDefault="00554C04">
      <w:pPr>
        <w:spacing w:before="0" w:after="0" w:line="240" w:lineRule="auto"/>
        <w:rPr>
          <w:b/>
          <w:bCs/>
          <w:iCs/>
          <w:color w:val="000000" w:themeColor="text1"/>
          <w:sz w:val="20"/>
          <w:szCs w:val="20"/>
        </w:rPr>
      </w:pPr>
      <w:r>
        <w:br w:type="page"/>
      </w:r>
    </w:p>
    <w:p w14:paraId="66039176" w14:textId="69EA6B1D" w:rsidR="006E2F38" w:rsidRPr="005B0BA1" w:rsidRDefault="00DB7CD6" w:rsidP="002E74E6">
      <w:pPr>
        <w:pStyle w:val="Caption"/>
      </w:pPr>
      <w:r w:rsidRPr="005B0BA1">
        <w:lastRenderedPageBreak/>
        <w:t xml:space="preserve">Table </w:t>
      </w:r>
      <w:r w:rsidR="00A147C5" w:rsidRPr="005B0BA1">
        <w:t>4</w:t>
      </w:r>
      <w:r w:rsidR="004F63D6">
        <w:t>.</w:t>
      </w:r>
      <w:r w:rsidR="00FD7360">
        <w:t>1</w:t>
      </w:r>
      <w:r w:rsidR="00825D80" w:rsidRPr="005B0BA1">
        <w:t xml:space="preserve"> </w:t>
      </w:r>
      <w:r w:rsidR="00550905">
        <w:t>S</w:t>
      </w:r>
      <w:r w:rsidRPr="005B0BA1">
        <w:t>ite visit session menu offered to Group B health centres</w:t>
      </w:r>
    </w:p>
    <w:tbl>
      <w:tblPr>
        <w:tblStyle w:val="LightShading"/>
        <w:tblW w:w="9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484"/>
      </w:tblGrid>
      <w:tr w:rsidR="00550905" w:rsidRPr="00832DA4" w14:paraId="756C6977" w14:textId="77777777" w:rsidTr="00CA0599">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9020" w:type="dxa"/>
            <w:gridSpan w:val="2"/>
            <w:shd w:val="clear" w:color="auto" w:fill="auto"/>
          </w:tcPr>
          <w:p w14:paraId="3103AF64" w14:textId="77777777" w:rsidR="00550905" w:rsidRPr="00832DA4" w:rsidRDefault="00550905" w:rsidP="00C8027D">
            <w:pPr>
              <w:pStyle w:val="Normaltextfortables"/>
              <w:framePr w:hSpace="0" w:wrap="auto" w:vAnchor="margin" w:hAnchor="text" w:yAlign="inline"/>
              <w:jc w:val="center"/>
              <w:rPr>
                <w:lang w:eastAsia="en-AU"/>
              </w:rPr>
            </w:pPr>
            <w:r>
              <w:rPr>
                <w:lang w:eastAsia="en-AU"/>
              </w:rPr>
              <w:t>Site visit sessions available</w:t>
            </w:r>
          </w:p>
        </w:tc>
      </w:tr>
      <w:tr w:rsidR="00550905" w:rsidRPr="00832DA4" w14:paraId="131CE1FF" w14:textId="77777777" w:rsidTr="004765F1">
        <w:trPr>
          <w:cnfStyle w:val="000000100000" w:firstRow="0" w:lastRow="0" w:firstColumn="0" w:lastColumn="0" w:oddVBand="0" w:evenVBand="0" w:oddHBand="1" w:evenHBand="0"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right w:val="none" w:sz="0" w:space="0" w:color="auto"/>
            </w:tcBorders>
            <w:shd w:val="clear" w:color="auto" w:fill="D9D9D9" w:themeFill="background1" w:themeFillShade="D9"/>
          </w:tcPr>
          <w:p w14:paraId="5B16E7C6" w14:textId="77777777" w:rsidR="00550905" w:rsidRPr="00832DA4" w:rsidRDefault="00550905" w:rsidP="00C77532">
            <w:pPr>
              <w:pStyle w:val="Normaltextfortables"/>
              <w:framePr w:hSpace="0" w:wrap="auto" w:vAnchor="margin" w:hAnchor="text" w:yAlign="inline"/>
              <w:numPr>
                <w:ilvl w:val="0"/>
                <w:numId w:val="37"/>
              </w:numPr>
              <w:rPr>
                <w:b w:val="0"/>
                <w:bCs w:val="0"/>
                <w:lang w:eastAsia="en-AU"/>
              </w:rPr>
            </w:pPr>
            <w:r w:rsidRPr="00832DA4">
              <w:rPr>
                <w:b w:val="0"/>
                <w:bCs w:val="0"/>
                <w:lang w:eastAsia="en-AU"/>
              </w:rPr>
              <w:t>An introduction to the National Indigenous Bowel Screening Pilot (30 minutes)</w:t>
            </w:r>
          </w:p>
        </w:tc>
        <w:tc>
          <w:tcPr>
            <w:tcW w:w="4484" w:type="dxa"/>
            <w:tcBorders>
              <w:left w:val="none" w:sz="0" w:space="0" w:color="auto"/>
              <w:right w:val="none" w:sz="0" w:space="0" w:color="auto"/>
            </w:tcBorders>
            <w:shd w:val="clear" w:color="auto" w:fill="D9D9D9" w:themeFill="background1" w:themeFillShade="D9"/>
          </w:tcPr>
          <w:p w14:paraId="18C6865A" w14:textId="77777777" w:rsidR="00550905" w:rsidRPr="00832DA4" w:rsidRDefault="00550905" w:rsidP="00C77532">
            <w:pPr>
              <w:pStyle w:val="Normaltextfortables"/>
              <w:framePr w:hSpace="0" w:wrap="auto" w:vAnchor="margin" w:hAnchor="text" w:yAlign="inline"/>
              <w:numPr>
                <w:ilvl w:val="0"/>
                <w:numId w:val="37"/>
              </w:numPr>
              <w:cnfStyle w:val="000000100000" w:firstRow="0" w:lastRow="0" w:firstColumn="0" w:lastColumn="0" w:oddVBand="0" w:evenVBand="0" w:oddHBand="1" w:evenHBand="0" w:firstRowFirstColumn="0" w:firstRowLastColumn="0" w:lastRowFirstColumn="0" w:lastRowLastColumn="0"/>
              <w:rPr>
                <w:lang w:eastAsia="en-AU"/>
              </w:rPr>
            </w:pPr>
            <w:r w:rsidRPr="00832DA4">
              <w:rPr>
                <w:lang w:eastAsia="en-AU"/>
              </w:rPr>
              <w:t>Understanding bowel cancer and bowel screening (45 minutes)</w:t>
            </w:r>
          </w:p>
        </w:tc>
      </w:tr>
      <w:tr w:rsidR="00550905" w:rsidRPr="00832DA4" w14:paraId="50CCD1E6" w14:textId="77777777" w:rsidTr="00C8027D">
        <w:trPr>
          <w:cantSplit/>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shd w:val="clear" w:color="auto" w:fill="FFFFFF" w:themeFill="background1"/>
          </w:tcPr>
          <w:p w14:paraId="5616A90F" w14:textId="77777777" w:rsidR="00550905" w:rsidRPr="00832DA4" w:rsidRDefault="00550905" w:rsidP="00C8027D">
            <w:pPr>
              <w:pStyle w:val="Normaltextfortables"/>
              <w:framePr w:hSpace="0" w:wrap="auto" w:vAnchor="margin" w:hAnchor="text" w:yAlign="inline"/>
              <w:rPr>
                <w:b w:val="0"/>
                <w:bCs w:val="0"/>
                <w:lang w:eastAsia="en-AU"/>
              </w:rPr>
            </w:pPr>
            <w:r w:rsidRPr="00832DA4">
              <w:rPr>
                <w:b w:val="0"/>
                <w:bCs w:val="0"/>
                <w:lang w:eastAsia="en-AU"/>
              </w:rPr>
              <w:t>A general overview of the Pilot. Suitable for all health centre staff; for example, could be presented at a staff meeting. The session includes:</w:t>
            </w:r>
          </w:p>
          <w:p w14:paraId="3E6091D8" w14:textId="77777777" w:rsidR="00550905" w:rsidRPr="00832DA4" w:rsidRDefault="00550905" w:rsidP="00C8027D">
            <w:pPr>
              <w:pStyle w:val="Tabledotpoints"/>
              <w:keepLines/>
              <w:rPr>
                <w:b w:val="0"/>
                <w:bCs w:val="0"/>
              </w:rPr>
            </w:pPr>
            <w:r w:rsidRPr="00832DA4">
              <w:rPr>
                <w:b w:val="0"/>
                <w:bCs w:val="0"/>
              </w:rPr>
              <w:t>About the National Bowel Cancer Screening Program (NBCSP)</w:t>
            </w:r>
          </w:p>
          <w:p w14:paraId="19C7ECCE" w14:textId="77777777" w:rsidR="00550905" w:rsidRPr="00832DA4" w:rsidRDefault="00550905" w:rsidP="00C8027D">
            <w:pPr>
              <w:pStyle w:val="Tabledotpoints"/>
              <w:keepLines/>
              <w:rPr>
                <w:b w:val="0"/>
                <w:bCs w:val="0"/>
              </w:rPr>
            </w:pPr>
            <w:r w:rsidRPr="00832DA4">
              <w:rPr>
                <w:b w:val="0"/>
                <w:bCs w:val="0"/>
              </w:rPr>
              <w:t>Barriers to bowel screening for Indigenous Australians</w:t>
            </w:r>
          </w:p>
          <w:p w14:paraId="25D44C71" w14:textId="77777777" w:rsidR="00550905" w:rsidRPr="00832DA4" w:rsidRDefault="00550905" w:rsidP="00C8027D">
            <w:pPr>
              <w:pStyle w:val="Tabledotpoints"/>
              <w:keepLines/>
              <w:rPr>
                <w:b w:val="0"/>
                <w:bCs w:val="0"/>
              </w:rPr>
            </w:pPr>
            <w:r w:rsidRPr="00832DA4">
              <w:rPr>
                <w:b w:val="0"/>
                <w:bCs w:val="0"/>
              </w:rPr>
              <w:t>Offering an Alternative Pathway to bowel screening: What it means for your health centre</w:t>
            </w:r>
          </w:p>
          <w:p w14:paraId="5C8547F7" w14:textId="77777777" w:rsidR="00550905" w:rsidRPr="00832DA4" w:rsidRDefault="00550905" w:rsidP="00C8027D">
            <w:pPr>
              <w:pStyle w:val="Tabledotpoints"/>
              <w:keepLines/>
            </w:pPr>
            <w:r w:rsidRPr="00832DA4">
              <w:rPr>
                <w:b w:val="0"/>
                <w:bCs w:val="0"/>
              </w:rPr>
              <w:t>Materials and other support available</w:t>
            </w:r>
          </w:p>
        </w:tc>
        <w:tc>
          <w:tcPr>
            <w:tcW w:w="4484" w:type="dxa"/>
            <w:tcBorders>
              <w:bottom w:val="single" w:sz="4" w:space="0" w:color="auto"/>
            </w:tcBorders>
            <w:shd w:val="clear" w:color="auto" w:fill="FFFFFF" w:themeFill="background1"/>
          </w:tcPr>
          <w:p w14:paraId="0026C26D" w14:textId="455B29CA" w:rsidR="00550905" w:rsidRPr="00832DA4" w:rsidRDefault="00550905" w:rsidP="00C8027D">
            <w:pPr>
              <w:pStyle w:val="Normaltextfortables"/>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eastAsia="en-AU"/>
              </w:rPr>
            </w:pPr>
            <w:r w:rsidRPr="00832DA4">
              <w:rPr>
                <w:lang w:eastAsia="en-AU"/>
              </w:rPr>
              <w:t xml:space="preserve">Designed for </w:t>
            </w:r>
            <w:r w:rsidR="002C3688">
              <w:rPr>
                <w:lang w:eastAsia="en-AU"/>
              </w:rPr>
              <w:t>Indigenous Health Worker</w:t>
            </w:r>
            <w:r w:rsidRPr="00832DA4">
              <w:rPr>
                <w:lang w:eastAsia="en-AU"/>
              </w:rPr>
              <w:t>s and includes:</w:t>
            </w:r>
          </w:p>
          <w:p w14:paraId="69FD6E17"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Basic information about bowel cancer and bowel screening</w:t>
            </w:r>
          </w:p>
          <w:p w14:paraId="3A7565CA"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Signs and symptoms of bowel cancer</w:t>
            </w:r>
          </w:p>
          <w:p w14:paraId="44CEBACB"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Risk factors for bowel cancer</w:t>
            </w:r>
          </w:p>
          <w:p w14:paraId="49E0D15E"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Treatment</w:t>
            </w:r>
          </w:p>
        </w:tc>
      </w:tr>
      <w:tr w:rsidR="00550905" w:rsidRPr="00832DA4" w14:paraId="0F3BD689" w14:textId="77777777" w:rsidTr="004765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6" w:type="dxa"/>
            <w:tcBorders>
              <w:left w:val="single" w:sz="4" w:space="0" w:color="auto"/>
              <w:right w:val="single" w:sz="4" w:space="0" w:color="auto"/>
            </w:tcBorders>
            <w:shd w:val="clear" w:color="auto" w:fill="D9D9D9" w:themeFill="background1" w:themeFillShade="D9"/>
          </w:tcPr>
          <w:p w14:paraId="5C9D3AB9" w14:textId="77777777" w:rsidR="00550905" w:rsidRPr="00832DA4" w:rsidRDefault="00550905" w:rsidP="00C77532">
            <w:pPr>
              <w:pStyle w:val="Normaltextfortables"/>
              <w:framePr w:hSpace="0" w:wrap="auto" w:vAnchor="margin" w:hAnchor="text" w:yAlign="inline"/>
              <w:numPr>
                <w:ilvl w:val="0"/>
                <w:numId w:val="37"/>
              </w:numPr>
              <w:rPr>
                <w:b w:val="0"/>
                <w:bCs w:val="0"/>
                <w:lang w:eastAsia="en-AU"/>
              </w:rPr>
            </w:pPr>
            <w:r w:rsidRPr="00832DA4">
              <w:rPr>
                <w:b w:val="0"/>
                <w:bCs w:val="0"/>
                <w:lang w:eastAsia="en-AU"/>
              </w:rPr>
              <w:t>Preparing patients to do the test (45 minutes)</w:t>
            </w:r>
          </w:p>
        </w:tc>
        <w:tc>
          <w:tcPr>
            <w:tcW w:w="4484" w:type="dxa"/>
            <w:tcBorders>
              <w:left w:val="single" w:sz="4" w:space="0" w:color="auto"/>
              <w:right w:val="single" w:sz="4" w:space="0" w:color="auto"/>
            </w:tcBorders>
            <w:shd w:val="clear" w:color="auto" w:fill="D9D9D9" w:themeFill="background1" w:themeFillShade="D9"/>
          </w:tcPr>
          <w:p w14:paraId="16E2A0B4" w14:textId="0DAB3EC4" w:rsidR="00550905" w:rsidRPr="00832DA4" w:rsidRDefault="00550905" w:rsidP="00C77532">
            <w:pPr>
              <w:pStyle w:val="Normaltextfortables"/>
              <w:framePr w:hSpace="0" w:wrap="auto" w:vAnchor="margin" w:hAnchor="text" w:yAlign="inline"/>
              <w:numPr>
                <w:ilvl w:val="0"/>
                <w:numId w:val="37"/>
              </w:numPr>
              <w:cnfStyle w:val="000000100000" w:firstRow="0" w:lastRow="0" w:firstColumn="0" w:lastColumn="0" w:oddVBand="0" w:evenVBand="0" w:oddHBand="1" w:evenHBand="0" w:firstRowFirstColumn="0" w:firstRowLastColumn="0" w:lastRowFirstColumn="0" w:lastRowLastColumn="0"/>
              <w:rPr>
                <w:lang w:eastAsia="en-AU"/>
              </w:rPr>
            </w:pPr>
            <w:r w:rsidRPr="00832DA4">
              <w:rPr>
                <w:lang w:eastAsia="en-AU"/>
              </w:rPr>
              <w:t xml:space="preserve">The Alternative Pathway – Managing </w:t>
            </w:r>
            <w:r w:rsidR="008830FB">
              <w:rPr>
                <w:lang w:eastAsia="en-AU"/>
              </w:rPr>
              <w:t>q</w:t>
            </w:r>
            <w:r w:rsidRPr="00832DA4">
              <w:rPr>
                <w:lang w:eastAsia="en-AU"/>
              </w:rPr>
              <w:t xml:space="preserve">uality and </w:t>
            </w:r>
            <w:r w:rsidR="00F93EC1">
              <w:rPr>
                <w:lang w:eastAsia="en-AU"/>
              </w:rPr>
              <w:t>s</w:t>
            </w:r>
            <w:r w:rsidRPr="00832DA4">
              <w:rPr>
                <w:lang w:eastAsia="en-AU"/>
              </w:rPr>
              <w:t>afety (60 minutes)</w:t>
            </w:r>
          </w:p>
        </w:tc>
      </w:tr>
      <w:tr w:rsidR="00550905" w:rsidRPr="00832DA4" w14:paraId="2774495B" w14:textId="77777777" w:rsidTr="00C8027D">
        <w:trPr>
          <w:cantSplit/>
          <w:trHeight w:val="1853"/>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shd w:val="clear" w:color="auto" w:fill="FFFFFF" w:themeFill="background1"/>
          </w:tcPr>
          <w:p w14:paraId="05A201A4" w14:textId="77777777" w:rsidR="00550905" w:rsidRPr="00832DA4" w:rsidRDefault="00550905" w:rsidP="00C8027D">
            <w:pPr>
              <w:pStyle w:val="Normaltextfortables"/>
              <w:framePr w:hSpace="0" w:wrap="auto" w:vAnchor="margin" w:hAnchor="text" w:yAlign="inline"/>
              <w:rPr>
                <w:b w:val="0"/>
                <w:bCs w:val="0"/>
                <w:lang w:eastAsia="en-AU"/>
              </w:rPr>
            </w:pPr>
            <w:r w:rsidRPr="00832DA4">
              <w:rPr>
                <w:b w:val="0"/>
                <w:bCs w:val="0"/>
                <w:lang w:eastAsia="en-AU"/>
              </w:rPr>
              <w:t>Suitable for staff who will be talking with patients about bowel screening and includes:</w:t>
            </w:r>
          </w:p>
          <w:p w14:paraId="3325A913" w14:textId="77777777" w:rsidR="00550905" w:rsidRPr="00832DA4" w:rsidRDefault="00550905" w:rsidP="00C8027D">
            <w:pPr>
              <w:pStyle w:val="Tabledotpoints"/>
              <w:keepLines/>
              <w:rPr>
                <w:b w:val="0"/>
                <w:bCs w:val="0"/>
              </w:rPr>
            </w:pPr>
            <w:r w:rsidRPr="00832DA4">
              <w:rPr>
                <w:b w:val="0"/>
                <w:bCs w:val="0"/>
              </w:rPr>
              <w:t>Resources available for talking with patients about bowel screening</w:t>
            </w:r>
          </w:p>
          <w:p w14:paraId="46D41618" w14:textId="77777777" w:rsidR="00550905" w:rsidRPr="00832DA4" w:rsidRDefault="00550905" w:rsidP="00C8027D">
            <w:pPr>
              <w:pStyle w:val="Tabledotpoints"/>
              <w:keepLines/>
              <w:rPr>
                <w:b w:val="0"/>
                <w:bCs w:val="0"/>
              </w:rPr>
            </w:pPr>
            <w:r w:rsidRPr="00832DA4">
              <w:rPr>
                <w:b w:val="0"/>
                <w:bCs w:val="0"/>
              </w:rPr>
              <w:t>Getting to know the test kit</w:t>
            </w:r>
          </w:p>
          <w:p w14:paraId="5160688A" w14:textId="77777777" w:rsidR="00550905" w:rsidRPr="00832DA4" w:rsidRDefault="00550905" w:rsidP="00C8027D">
            <w:pPr>
              <w:pStyle w:val="Tabledotpoints"/>
              <w:keepLines/>
              <w:rPr>
                <w:b w:val="0"/>
                <w:bCs w:val="0"/>
              </w:rPr>
            </w:pPr>
            <w:r w:rsidRPr="00832DA4">
              <w:rPr>
                <w:b w:val="0"/>
                <w:bCs w:val="0"/>
              </w:rPr>
              <w:t>What patients need to know to complete a viable test</w:t>
            </w:r>
          </w:p>
          <w:p w14:paraId="7A975D75" w14:textId="77777777" w:rsidR="00550905" w:rsidRPr="00832DA4" w:rsidRDefault="00550905" w:rsidP="00C8027D">
            <w:pPr>
              <w:pStyle w:val="Tabledotpoints"/>
              <w:keepLines/>
              <w:rPr>
                <w:b w:val="0"/>
                <w:bCs w:val="0"/>
              </w:rPr>
            </w:pPr>
            <w:r w:rsidRPr="00832DA4">
              <w:rPr>
                <w:b w:val="0"/>
                <w:bCs w:val="0"/>
              </w:rPr>
              <w:t>What patients need to know about results and follow up</w:t>
            </w:r>
          </w:p>
          <w:p w14:paraId="1BE93DDA" w14:textId="77777777" w:rsidR="00550905" w:rsidRPr="00832DA4" w:rsidRDefault="00550905" w:rsidP="00C8027D">
            <w:pPr>
              <w:pStyle w:val="Tabledotpoints"/>
              <w:keepLines/>
              <w:rPr>
                <w:b w:val="0"/>
                <w:bCs w:val="0"/>
              </w:rPr>
            </w:pPr>
            <w:r w:rsidRPr="00832DA4">
              <w:rPr>
                <w:b w:val="0"/>
                <w:bCs w:val="0"/>
              </w:rPr>
              <w:t>Starting the conversation and some key messages</w:t>
            </w:r>
          </w:p>
          <w:p w14:paraId="5DF6A0D8" w14:textId="77777777" w:rsidR="00550905" w:rsidRPr="00832DA4" w:rsidRDefault="00550905" w:rsidP="00C8027D">
            <w:pPr>
              <w:pStyle w:val="Tabledotpoints"/>
              <w:keepLines/>
              <w:rPr>
                <w:b w:val="0"/>
                <w:bCs w:val="0"/>
              </w:rPr>
            </w:pPr>
            <w:r w:rsidRPr="00832DA4">
              <w:rPr>
                <w:b w:val="0"/>
                <w:bCs w:val="0"/>
              </w:rPr>
              <w:t>What if my patient doesn’t want to screen?</w:t>
            </w:r>
          </w:p>
          <w:p w14:paraId="598577B4" w14:textId="77777777" w:rsidR="00550905" w:rsidRPr="00832DA4" w:rsidRDefault="00550905" w:rsidP="00C8027D">
            <w:pPr>
              <w:pStyle w:val="Tabledotpoints"/>
              <w:keepLines/>
            </w:pPr>
            <w:r w:rsidRPr="00832DA4">
              <w:rPr>
                <w:b w:val="0"/>
                <w:bCs w:val="0"/>
              </w:rPr>
              <w:t>Helpline information for patients</w:t>
            </w:r>
          </w:p>
        </w:tc>
        <w:tc>
          <w:tcPr>
            <w:tcW w:w="4484" w:type="dxa"/>
            <w:tcBorders>
              <w:bottom w:val="single" w:sz="4" w:space="0" w:color="auto"/>
            </w:tcBorders>
            <w:shd w:val="clear" w:color="auto" w:fill="FFFFFF" w:themeFill="background1"/>
          </w:tcPr>
          <w:p w14:paraId="704E0A2E" w14:textId="77777777" w:rsidR="00550905" w:rsidRPr="00832DA4" w:rsidRDefault="00550905" w:rsidP="00C8027D">
            <w:pPr>
              <w:pStyle w:val="Normaltextfortables"/>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eastAsia="en-AU"/>
              </w:rPr>
            </w:pPr>
            <w:r w:rsidRPr="00832DA4">
              <w:rPr>
                <w:lang w:eastAsia="en-AU"/>
              </w:rPr>
              <w:t>This session focuses on preparing the health centre to offer the Alternative Pathway and to manage quality and safety issues. Suitable for clinical and administrative staff, it includes:</w:t>
            </w:r>
          </w:p>
          <w:p w14:paraId="7CE98616"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Management of kits and samples</w:t>
            </w:r>
          </w:p>
          <w:p w14:paraId="25C9F21B"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Identifying eligible patients</w:t>
            </w:r>
          </w:p>
          <w:p w14:paraId="4F59AFE1"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Who is not suitable for screening?</w:t>
            </w:r>
          </w:p>
          <w:p w14:paraId="3EBD1BD0"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The essential admin: Participant Details form</w:t>
            </w:r>
          </w:p>
          <w:p w14:paraId="77E0C291"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After the test: Results, follow up, colonoscopy</w:t>
            </w:r>
          </w:p>
          <w:p w14:paraId="049523E0" w14:textId="77777777" w:rsidR="00550905" w:rsidRPr="00832DA4" w:rsidRDefault="00550905" w:rsidP="00C8027D">
            <w:pPr>
              <w:pStyle w:val="Tabledotpoints"/>
              <w:keepLines/>
              <w:cnfStyle w:val="000000000000" w:firstRow="0" w:lastRow="0" w:firstColumn="0" w:lastColumn="0" w:oddVBand="0" w:evenVBand="0" w:oddHBand="0" w:evenHBand="0" w:firstRowFirstColumn="0" w:firstRowLastColumn="0" w:lastRowFirstColumn="0" w:lastRowLastColumn="0"/>
            </w:pPr>
            <w:r w:rsidRPr="00832DA4">
              <w:t>Helpline information</w:t>
            </w:r>
          </w:p>
          <w:p w14:paraId="688DEAC4" w14:textId="77777777" w:rsidR="00550905" w:rsidRPr="00832DA4" w:rsidRDefault="00550905" w:rsidP="00C8027D">
            <w:pPr>
              <w:pStyle w:val="Normaltextfortables"/>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eastAsia="en-AU"/>
              </w:rPr>
            </w:pPr>
          </w:p>
        </w:tc>
      </w:tr>
      <w:tr w:rsidR="00550905" w:rsidRPr="00832DA4" w14:paraId="2A6C08A1" w14:textId="77777777" w:rsidTr="004765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20" w:type="dxa"/>
            <w:gridSpan w:val="2"/>
            <w:tcBorders>
              <w:left w:val="single" w:sz="4" w:space="0" w:color="auto"/>
              <w:right w:val="single" w:sz="4" w:space="0" w:color="auto"/>
            </w:tcBorders>
            <w:shd w:val="clear" w:color="auto" w:fill="D9D9D9" w:themeFill="background1" w:themeFillShade="D9"/>
          </w:tcPr>
          <w:p w14:paraId="332EEDF8" w14:textId="77777777" w:rsidR="00550905" w:rsidRPr="00832DA4" w:rsidRDefault="00550905" w:rsidP="00C77532">
            <w:pPr>
              <w:pStyle w:val="Normaltextfortables"/>
              <w:framePr w:hSpace="0" w:wrap="auto" w:vAnchor="margin" w:hAnchor="text" w:yAlign="inline"/>
              <w:numPr>
                <w:ilvl w:val="0"/>
                <w:numId w:val="37"/>
              </w:numPr>
              <w:rPr>
                <w:b w:val="0"/>
                <w:bCs w:val="0"/>
                <w:lang w:eastAsia="en-AU"/>
              </w:rPr>
            </w:pPr>
            <w:r w:rsidRPr="00832DA4">
              <w:rPr>
                <w:b w:val="0"/>
                <w:bCs w:val="0"/>
                <w:lang w:eastAsia="en-AU"/>
              </w:rPr>
              <w:t>Your choice: A facilitated discussion about offering the Alternative Pathway (20-45 minutes)</w:t>
            </w:r>
          </w:p>
        </w:tc>
      </w:tr>
      <w:tr w:rsidR="00550905" w:rsidRPr="00832DA4" w14:paraId="7ADA9F27" w14:textId="77777777" w:rsidTr="00C8027D">
        <w:trPr>
          <w:cantSplit/>
          <w:trHeight w:val="1533"/>
        </w:trPr>
        <w:tc>
          <w:tcPr>
            <w:cnfStyle w:val="001000000000" w:firstRow="0" w:lastRow="0" w:firstColumn="1" w:lastColumn="0" w:oddVBand="0" w:evenVBand="0" w:oddHBand="0" w:evenHBand="0" w:firstRowFirstColumn="0" w:firstRowLastColumn="0" w:lastRowFirstColumn="0" w:lastRowLastColumn="0"/>
            <w:tcW w:w="9020" w:type="dxa"/>
            <w:gridSpan w:val="2"/>
            <w:shd w:val="clear" w:color="auto" w:fill="FFFFFF" w:themeFill="background1"/>
          </w:tcPr>
          <w:p w14:paraId="0D93D18C" w14:textId="77777777" w:rsidR="00550905" w:rsidRPr="00832DA4" w:rsidRDefault="00550905" w:rsidP="00C8027D">
            <w:pPr>
              <w:pStyle w:val="Normaltextfortables"/>
              <w:keepNext/>
              <w:framePr w:hSpace="0" w:wrap="auto" w:vAnchor="margin" w:hAnchor="text" w:yAlign="inline"/>
              <w:rPr>
                <w:b w:val="0"/>
                <w:bCs w:val="0"/>
                <w:lang w:eastAsia="en-AU"/>
              </w:rPr>
            </w:pPr>
            <w:r w:rsidRPr="00832DA4">
              <w:rPr>
                <w:b w:val="0"/>
                <w:bCs w:val="0"/>
                <w:lang w:eastAsia="en-AU"/>
              </w:rPr>
              <w:t xml:space="preserve">An opportunity to workshop how you offer the Alternative Pathway to best meet the needs of your patients, drawing on the local knowledge and expertise of health centre staff and the Menzies Project Team’s knowledge of the NBCSP. You can use this as an opportunity to focus on your Quality and Safety Checklist; or talk about community awareness activity and culturally respectful approaches for talking with clients about bowel screening. </w:t>
            </w:r>
          </w:p>
        </w:tc>
      </w:tr>
    </w:tbl>
    <w:p w14:paraId="7787DBAA" w14:textId="77777777" w:rsidR="00816146" w:rsidRDefault="00816146" w:rsidP="00A145A1"/>
    <w:p w14:paraId="6246E39E" w14:textId="3D04300C" w:rsidR="008F1456" w:rsidRPr="004E4B3D" w:rsidRDefault="004E4B3D" w:rsidP="00A145A1">
      <w:pPr>
        <w:rPr>
          <w:rFonts w:ascii="Times New Roman" w:eastAsia="Times New Roman" w:hAnsi="Times New Roman" w:cs="Times New Roman"/>
          <w:szCs w:val="22"/>
        </w:rPr>
      </w:pPr>
      <w:r>
        <w:t>F</w:t>
      </w:r>
      <w:r w:rsidR="008F1456" w:rsidRPr="004E4B3D">
        <w:t xml:space="preserve">ace-to-face sessions were designed to address a specific training need of differing groups of health professionals. The target audience for each session was specified in the menu, and sessions could be repeated several times during the visit in order to allow more staff to access training. </w:t>
      </w:r>
      <w:r w:rsidR="008F1456" w:rsidRPr="004E4B3D">
        <w:rPr>
          <w:rFonts w:ascii="Calibri" w:eastAsia="Times New Roman" w:hAnsi="Calibri" w:cs="Times New Roman"/>
          <w:color w:val="000000"/>
          <w:szCs w:val="22"/>
        </w:rPr>
        <w:t xml:space="preserve">Health centres were also encouraged to involve board members and/or local elders. </w:t>
      </w:r>
      <w:r w:rsidR="00816146">
        <w:rPr>
          <w:rFonts w:ascii="Calibri" w:eastAsia="Times New Roman" w:hAnsi="Calibri" w:cs="Times New Roman"/>
          <w:color w:val="000000"/>
          <w:szCs w:val="22"/>
        </w:rPr>
        <w:t>R</w:t>
      </w:r>
      <w:r w:rsidR="008F1456" w:rsidRPr="004E4B3D">
        <w:rPr>
          <w:rFonts w:ascii="Calibri" w:eastAsia="Times New Roman" w:hAnsi="Calibri" w:cs="Times New Roman"/>
          <w:color w:val="000000"/>
          <w:szCs w:val="22"/>
        </w:rPr>
        <w:t xml:space="preserve">epresentatives from local organisations </w:t>
      </w:r>
      <w:r w:rsidR="008F1456" w:rsidRPr="004E4B3D">
        <w:rPr>
          <w:rFonts w:ascii="Calibri" w:eastAsia="Times New Roman" w:hAnsi="Calibri" w:cs="Times New Roman"/>
          <w:color w:val="000000"/>
          <w:szCs w:val="22"/>
        </w:rPr>
        <w:lastRenderedPageBreak/>
        <w:t xml:space="preserve">such as state or territory screening services, cancer councils, </w:t>
      </w:r>
      <w:r w:rsidR="00A145A1" w:rsidRPr="004E4B3D">
        <w:rPr>
          <w:rFonts w:ascii="Calibri" w:eastAsia="Times New Roman" w:hAnsi="Calibri" w:cs="Times New Roman"/>
          <w:color w:val="000000"/>
          <w:szCs w:val="22"/>
        </w:rPr>
        <w:t xml:space="preserve">PHNs </w:t>
      </w:r>
      <w:r w:rsidR="008F1456" w:rsidRPr="004E4B3D">
        <w:rPr>
          <w:rFonts w:ascii="Calibri" w:eastAsia="Times New Roman" w:hAnsi="Calibri" w:cs="Times New Roman"/>
          <w:color w:val="000000"/>
          <w:szCs w:val="22"/>
        </w:rPr>
        <w:t xml:space="preserve">or </w:t>
      </w:r>
      <w:r w:rsidR="00A145A1" w:rsidRPr="004E4B3D">
        <w:rPr>
          <w:rFonts w:ascii="Calibri" w:eastAsia="Times New Roman" w:hAnsi="Calibri" w:cs="Times New Roman"/>
          <w:color w:val="000000"/>
          <w:szCs w:val="22"/>
        </w:rPr>
        <w:t xml:space="preserve">ACCHO peak bodies </w:t>
      </w:r>
      <w:r w:rsidR="00816146">
        <w:rPr>
          <w:rFonts w:ascii="Calibri" w:eastAsia="Times New Roman" w:hAnsi="Calibri" w:cs="Times New Roman"/>
          <w:color w:val="000000"/>
          <w:szCs w:val="22"/>
        </w:rPr>
        <w:t>were</w:t>
      </w:r>
      <w:r w:rsidR="00A145A1" w:rsidRPr="004E4B3D">
        <w:rPr>
          <w:rFonts w:ascii="Calibri" w:eastAsia="Times New Roman" w:hAnsi="Calibri" w:cs="Times New Roman"/>
          <w:color w:val="000000"/>
          <w:szCs w:val="22"/>
        </w:rPr>
        <w:t xml:space="preserve"> invited to attend the sessions</w:t>
      </w:r>
      <w:r w:rsidR="008C4A47">
        <w:rPr>
          <w:rFonts w:ascii="Calibri" w:eastAsia="Times New Roman" w:hAnsi="Calibri" w:cs="Times New Roman"/>
          <w:color w:val="000000"/>
          <w:szCs w:val="22"/>
        </w:rPr>
        <w:t>, if the health centre was comfortable with this arrangement.</w:t>
      </w:r>
      <w:r w:rsidR="00E66A93">
        <w:rPr>
          <w:rStyle w:val="FootnoteReference"/>
          <w:rFonts w:ascii="Calibri" w:eastAsia="Times New Roman" w:hAnsi="Calibri" w:cs="Times New Roman"/>
          <w:color w:val="000000"/>
          <w:szCs w:val="22"/>
        </w:rPr>
        <w:footnoteReference w:id="24"/>
      </w:r>
    </w:p>
    <w:p w14:paraId="5FA4D993" w14:textId="77777777" w:rsidR="001635E1" w:rsidRPr="004E4B3D" w:rsidRDefault="001635E1" w:rsidP="00366EAB">
      <w:pPr>
        <w:pStyle w:val="Heading3"/>
      </w:pPr>
      <w:bookmarkStart w:id="115" w:name="_Toc44279078"/>
      <w:bookmarkStart w:id="116" w:name="_Toc44339195"/>
      <w:bookmarkStart w:id="117" w:name="_Toc44361560"/>
      <w:r w:rsidRPr="004E4B3D">
        <w:t>Websites</w:t>
      </w:r>
      <w:bookmarkEnd w:id="115"/>
      <w:bookmarkEnd w:id="116"/>
      <w:bookmarkEnd w:id="117"/>
    </w:p>
    <w:p w14:paraId="523BCED1" w14:textId="37711BD7" w:rsidR="001635E1" w:rsidRPr="004E4B3D" w:rsidRDefault="001635E1" w:rsidP="001635E1">
      <w:pPr>
        <w:rPr>
          <w:rFonts w:cstheme="minorHAnsi"/>
        </w:rPr>
      </w:pPr>
      <w:r w:rsidRPr="004E4B3D">
        <w:rPr>
          <w:rFonts w:cstheme="minorHAnsi"/>
        </w:rPr>
        <w:t xml:space="preserve">Menzies built and hosted a website for the project: </w:t>
      </w:r>
      <w:hyperlink r:id="rId21" w:history="1">
        <w:r w:rsidRPr="004E4B3D">
          <w:rPr>
            <w:rStyle w:val="Hyperlink"/>
            <w:rFonts w:cstheme="minorHAnsi"/>
          </w:rPr>
          <w:t>www.indigenousbowelscreen.com.au</w:t>
        </w:r>
      </w:hyperlink>
      <w:r w:rsidR="00DC74E1" w:rsidRPr="004E4B3D">
        <w:rPr>
          <w:rFonts w:cstheme="minorHAnsi"/>
        </w:rPr>
        <w:t>, which</w:t>
      </w:r>
      <w:r w:rsidRPr="004E4B3D">
        <w:rPr>
          <w:rFonts w:cstheme="minorHAnsi"/>
        </w:rPr>
        <w:t xml:space="preserve"> supported two different audiences. It </w:t>
      </w:r>
      <w:r w:rsidR="004E4B3D" w:rsidRPr="004E4B3D">
        <w:rPr>
          <w:rFonts w:cstheme="minorHAnsi"/>
        </w:rPr>
        <w:t>served as</w:t>
      </w:r>
      <w:r w:rsidRPr="004E4B3D">
        <w:rPr>
          <w:rFonts w:cstheme="minorHAnsi"/>
        </w:rPr>
        <w:t xml:space="preserve"> an information and resource hub for health centres involved in the Pilot</w:t>
      </w:r>
      <w:r w:rsidR="004E4B3D" w:rsidRPr="004E4B3D">
        <w:rPr>
          <w:rFonts w:cstheme="minorHAnsi"/>
        </w:rPr>
        <w:t xml:space="preserve"> and</w:t>
      </w:r>
      <w:r w:rsidRPr="004E4B3D">
        <w:rPr>
          <w:rFonts w:cstheme="minorHAnsi"/>
        </w:rPr>
        <w:t xml:space="preserve"> </w:t>
      </w:r>
      <w:r w:rsidR="004E4B3D" w:rsidRPr="004E4B3D">
        <w:rPr>
          <w:rFonts w:cstheme="minorHAnsi"/>
        </w:rPr>
        <w:t>i</w:t>
      </w:r>
      <w:r w:rsidRPr="004E4B3D">
        <w:rPr>
          <w:rFonts w:cstheme="minorHAnsi"/>
        </w:rPr>
        <w:t>t also provided pages for the public</w:t>
      </w:r>
      <w:r w:rsidR="004E4B3D" w:rsidRPr="004E4B3D">
        <w:rPr>
          <w:rFonts w:cstheme="minorHAnsi"/>
        </w:rPr>
        <w:t>. F</w:t>
      </w:r>
      <w:r w:rsidRPr="004E4B3D">
        <w:rPr>
          <w:rFonts w:cstheme="minorHAnsi"/>
        </w:rPr>
        <w:t xml:space="preserve">amilies and communities wanting to know more about bowel cancer and bowel screening, as well as primary health care professionals (doctors, nurses, IHWs) who were not involved in the Pilot but </w:t>
      </w:r>
      <w:r w:rsidR="004E4B3D" w:rsidRPr="004E4B3D">
        <w:rPr>
          <w:rFonts w:cstheme="minorHAnsi"/>
        </w:rPr>
        <w:t xml:space="preserve">who </w:t>
      </w:r>
      <w:r w:rsidRPr="004E4B3D">
        <w:rPr>
          <w:rFonts w:cstheme="minorHAnsi"/>
        </w:rPr>
        <w:t>wanted to learn more about promoting the NBCSP with eligible clients</w:t>
      </w:r>
      <w:r w:rsidR="004E4B3D">
        <w:rPr>
          <w:rFonts w:cstheme="minorHAnsi"/>
        </w:rPr>
        <w:t>,</w:t>
      </w:r>
      <w:r w:rsidR="004E4B3D" w:rsidRPr="004E4B3D">
        <w:rPr>
          <w:rFonts w:cstheme="minorHAnsi"/>
        </w:rPr>
        <w:t xml:space="preserve"> could access the public pages. </w:t>
      </w:r>
      <w:r w:rsidRPr="004E4B3D">
        <w:rPr>
          <w:rFonts w:cstheme="minorHAnsi"/>
        </w:rPr>
        <w:t xml:space="preserve"> </w:t>
      </w:r>
    </w:p>
    <w:p w14:paraId="5B7A0FC6" w14:textId="6C667A00" w:rsidR="001635E1" w:rsidRPr="004E4B3D" w:rsidRDefault="00DC74E1" w:rsidP="001635E1">
      <w:pPr>
        <w:rPr>
          <w:rFonts w:cstheme="minorHAnsi"/>
        </w:rPr>
      </w:pPr>
      <w:r w:rsidRPr="004E4B3D">
        <w:rPr>
          <w:rFonts w:cstheme="minorHAnsi"/>
        </w:rPr>
        <w:t>I</w:t>
      </w:r>
      <w:r w:rsidR="001635E1" w:rsidRPr="004E4B3D">
        <w:rPr>
          <w:rFonts w:cstheme="minorHAnsi"/>
        </w:rPr>
        <w:t xml:space="preserve">nformation for Pilot health centres was in a password protected section of the website (Pilot Resources), accessible only to health centres involved in the Pilot. This section of the website provided access to electronic copies of the implementation manual, QSC, online learning module, checklist for talking with patients, a short animation showing how to do the test, a link to the online Participant Details </w:t>
      </w:r>
      <w:r w:rsidRPr="004E4B3D">
        <w:rPr>
          <w:rFonts w:cstheme="minorHAnsi"/>
        </w:rPr>
        <w:t>F</w:t>
      </w:r>
      <w:r w:rsidR="001635E1" w:rsidRPr="004E4B3D">
        <w:rPr>
          <w:rFonts w:cstheme="minorHAnsi"/>
        </w:rPr>
        <w:t xml:space="preserve">orm, a hardcopy version of the Participant Details </w:t>
      </w:r>
      <w:proofErr w:type="spellStart"/>
      <w:r w:rsidR="001635E1" w:rsidRPr="004E4B3D">
        <w:rPr>
          <w:rFonts w:cstheme="minorHAnsi"/>
        </w:rPr>
        <w:t>SmartForm</w:t>
      </w:r>
      <w:proofErr w:type="spellEnd"/>
      <w:r w:rsidR="001635E1" w:rsidRPr="004E4B3D">
        <w:rPr>
          <w:rFonts w:cstheme="minorHAnsi"/>
        </w:rPr>
        <w:t xml:space="preserve"> and a list of key contacts to assist with the Pilot.</w:t>
      </w:r>
      <w:bookmarkStart w:id="118" w:name="_Hlk36715206"/>
    </w:p>
    <w:p w14:paraId="195A8C57" w14:textId="56F90670" w:rsidR="001635E1" w:rsidRPr="004E4B3D" w:rsidRDefault="001635E1" w:rsidP="001635E1">
      <w:pPr>
        <w:rPr>
          <w:rFonts w:cstheme="minorHAnsi"/>
        </w:rPr>
      </w:pPr>
      <w:r w:rsidRPr="004E4B3D">
        <w:rPr>
          <w:rFonts w:cstheme="minorHAnsi"/>
        </w:rPr>
        <w:t xml:space="preserve">Health centres were also directed to the NBCSP website at cancerscreening.gov.au </w:t>
      </w:r>
      <w:r w:rsidR="009D2647" w:rsidRPr="004E4B3D">
        <w:rPr>
          <w:rFonts w:cstheme="minorHAnsi"/>
        </w:rPr>
        <w:t>where there is an extensive range of information and resources to support the program.</w:t>
      </w:r>
    </w:p>
    <w:p w14:paraId="0D83D934" w14:textId="38855D34" w:rsidR="001635E1" w:rsidRPr="004E4B3D" w:rsidRDefault="001635E1" w:rsidP="00366EAB">
      <w:pPr>
        <w:pStyle w:val="Heading3"/>
      </w:pPr>
      <w:bookmarkStart w:id="119" w:name="_Toc44279079"/>
      <w:bookmarkStart w:id="120" w:name="_Toc44339196"/>
      <w:bookmarkStart w:id="121" w:name="_Toc44361561"/>
      <w:bookmarkEnd w:id="118"/>
      <w:r w:rsidRPr="004E4B3D">
        <w:t>Telephone helplines</w:t>
      </w:r>
      <w:bookmarkEnd w:id="119"/>
      <w:bookmarkEnd w:id="120"/>
      <w:bookmarkEnd w:id="121"/>
    </w:p>
    <w:p w14:paraId="567844B4" w14:textId="18052072" w:rsidR="001635E1" w:rsidRPr="004E4B3D" w:rsidRDefault="004E4B3D" w:rsidP="001635E1">
      <w:pPr>
        <w:rPr>
          <w:rFonts w:cstheme="minorHAnsi"/>
        </w:rPr>
      </w:pPr>
      <w:r w:rsidRPr="004E4B3D">
        <w:rPr>
          <w:rFonts w:cstheme="minorHAnsi"/>
        </w:rPr>
        <w:t>During</w:t>
      </w:r>
      <w:r w:rsidR="001635E1" w:rsidRPr="004E4B3D">
        <w:rPr>
          <w:rFonts w:cstheme="minorHAnsi"/>
        </w:rPr>
        <w:t xml:space="preserve"> the Pilot, health centres </w:t>
      </w:r>
      <w:r w:rsidRPr="004E4B3D">
        <w:rPr>
          <w:rFonts w:cstheme="minorHAnsi"/>
        </w:rPr>
        <w:t>also had access to</w:t>
      </w:r>
      <w:r w:rsidR="001635E1" w:rsidRPr="004E4B3D">
        <w:rPr>
          <w:rFonts w:cstheme="minorHAnsi"/>
        </w:rPr>
        <w:t xml:space="preserve"> three telephone helplines to support their operations in implementing and delivering the Pilot. Each helpline provided a specific aspect of support (e.g. answering questions about the NBCSP Register and Participant Details Form)</w:t>
      </w:r>
      <w:r w:rsidR="00816146">
        <w:rPr>
          <w:rFonts w:cstheme="minorHAnsi"/>
        </w:rPr>
        <w:t>. A</w:t>
      </w:r>
      <w:r w:rsidR="001635E1" w:rsidRPr="004E4B3D">
        <w:rPr>
          <w:rFonts w:cstheme="minorHAnsi"/>
        </w:rPr>
        <w:t xml:space="preserve"> ‘Contact Us’ page was set up on </w:t>
      </w:r>
      <w:hyperlink r:id="rId22" w:history="1">
        <w:r w:rsidR="001635E1" w:rsidRPr="004E4B3D">
          <w:rPr>
            <w:rStyle w:val="Hyperlink"/>
            <w:rFonts w:cstheme="minorHAnsi"/>
          </w:rPr>
          <w:t>www.indigenousbowelscreen.com.au</w:t>
        </w:r>
      </w:hyperlink>
      <w:r w:rsidR="001635E1" w:rsidRPr="004E4B3D">
        <w:rPr>
          <w:rFonts w:cstheme="minorHAnsi"/>
        </w:rPr>
        <w:t xml:space="preserve"> as an additional means to contact Menzies Site Support. The Helplines were also highlighted in face-to-face and online training. </w:t>
      </w:r>
    </w:p>
    <w:p w14:paraId="6318EE12" w14:textId="77777777" w:rsidR="003A0D27" w:rsidRPr="004E4B3D" w:rsidRDefault="003A0D27" w:rsidP="00366EAB">
      <w:pPr>
        <w:pStyle w:val="Heading3"/>
      </w:pPr>
      <w:bookmarkStart w:id="122" w:name="_Toc44279080"/>
      <w:bookmarkStart w:id="123" w:name="_Toc44339197"/>
      <w:bookmarkStart w:id="124" w:name="_Toc44361562"/>
      <w:r w:rsidRPr="004E4B3D">
        <w:t>Changes to planned training and implementation support</w:t>
      </w:r>
      <w:bookmarkEnd w:id="122"/>
      <w:bookmarkEnd w:id="123"/>
      <w:bookmarkEnd w:id="124"/>
    </w:p>
    <w:p w14:paraId="4E72139C" w14:textId="72476DBE" w:rsidR="003A0D27" w:rsidRPr="004E4B3D" w:rsidRDefault="003A0D27" w:rsidP="003A0D27">
      <w:pPr>
        <w:rPr>
          <w:rFonts w:cstheme="minorHAnsi"/>
        </w:rPr>
      </w:pPr>
      <w:r w:rsidRPr="004E4B3D">
        <w:rPr>
          <w:rFonts w:cstheme="minorHAnsi"/>
        </w:rPr>
        <w:t xml:space="preserve">The Pilot protocol originally included plans for two points of follow up contact from the </w:t>
      </w:r>
      <w:r w:rsidR="00DC74E1" w:rsidRPr="004E4B3D">
        <w:rPr>
          <w:rFonts w:cstheme="minorHAnsi"/>
        </w:rPr>
        <w:t>si</w:t>
      </w:r>
      <w:r w:rsidRPr="004E4B3D">
        <w:rPr>
          <w:rFonts w:cstheme="minorHAnsi"/>
        </w:rPr>
        <w:t xml:space="preserve">te </w:t>
      </w:r>
      <w:r w:rsidR="00DC74E1" w:rsidRPr="004E4B3D">
        <w:rPr>
          <w:rFonts w:cstheme="minorHAnsi"/>
        </w:rPr>
        <w:t>s</w:t>
      </w:r>
      <w:r w:rsidRPr="004E4B3D">
        <w:rPr>
          <w:rFonts w:cstheme="minorHAnsi"/>
        </w:rPr>
        <w:t xml:space="preserve">upport officer to Group B sites, and workshops held at regional centres where staff from several participating health centres could come together. Neither of these components of the implementation and training support were proceeded with. </w:t>
      </w:r>
    </w:p>
    <w:p w14:paraId="0967372B" w14:textId="725D3452" w:rsidR="003A0D27" w:rsidRDefault="003A0D27" w:rsidP="003A0D27">
      <w:pPr>
        <w:rPr>
          <w:rFonts w:cstheme="minorHAnsi"/>
        </w:rPr>
      </w:pPr>
      <w:r w:rsidRPr="004E4B3D">
        <w:rPr>
          <w:rFonts w:cstheme="minorHAnsi"/>
        </w:rPr>
        <w:lastRenderedPageBreak/>
        <w:t xml:space="preserve">Extensive contact with site coordinators about the QSC meant that </w:t>
      </w:r>
      <w:r w:rsidR="002A09C9">
        <w:rPr>
          <w:rFonts w:cstheme="minorHAnsi"/>
        </w:rPr>
        <w:t xml:space="preserve">any </w:t>
      </w:r>
      <w:r w:rsidRPr="004E4B3D">
        <w:rPr>
          <w:rFonts w:cstheme="minorHAnsi"/>
        </w:rPr>
        <w:t xml:space="preserve">additional follow up by the </w:t>
      </w:r>
      <w:r w:rsidR="00DC74E1" w:rsidRPr="004E4B3D">
        <w:rPr>
          <w:rFonts w:cstheme="minorHAnsi"/>
        </w:rPr>
        <w:t>s</w:t>
      </w:r>
      <w:r w:rsidRPr="004E4B3D">
        <w:rPr>
          <w:rFonts w:cstheme="minorHAnsi"/>
        </w:rPr>
        <w:t xml:space="preserve">ite </w:t>
      </w:r>
      <w:r w:rsidR="00DC74E1" w:rsidRPr="004E4B3D">
        <w:rPr>
          <w:rFonts w:cstheme="minorHAnsi"/>
        </w:rPr>
        <w:t>s</w:t>
      </w:r>
      <w:r w:rsidRPr="004E4B3D">
        <w:rPr>
          <w:rFonts w:cstheme="minorHAnsi"/>
        </w:rPr>
        <w:t xml:space="preserve">upport </w:t>
      </w:r>
      <w:r w:rsidR="00DC74E1" w:rsidRPr="004E4B3D">
        <w:rPr>
          <w:rFonts w:cstheme="minorHAnsi"/>
        </w:rPr>
        <w:t>o</w:t>
      </w:r>
      <w:r w:rsidRPr="004E4B3D">
        <w:rPr>
          <w:rFonts w:cstheme="minorHAnsi"/>
        </w:rPr>
        <w:t xml:space="preserve">fficer </w:t>
      </w:r>
      <w:r w:rsidR="002A09C9">
        <w:rPr>
          <w:rFonts w:cstheme="minorHAnsi"/>
        </w:rPr>
        <w:t>would have</w:t>
      </w:r>
      <w:r w:rsidRPr="004E4B3D">
        <w:rPr>
          <w:rFonts w:cstheme="minorHAnsi"/>
        </w:rPr>
        <w:t xml:space="preserve"> no discernible effect on the level of support provided.</w:t>
      </w:r>
      <w:r w:rsidR="00DC74E1" w:rsidRPr="004E4B3D">
        <w:rPr>
          <w:rFonts w:cstheme="minorHAnsi"/>
        </w:rPr>
        <w:t xml:space="preserve"> </w:t>
      </w:r>
      <w:r w:rsidR="004E4B3D" w:rsidRPr="004E4B3D">
        <w:rPr>
          <w:rFonts w:cstheme="minorHAnsi"/>
        </w:rPr>
        <w:t>In addition, h</w:t>
      </w:r>
      <w:r w:rsidRPr="004E4B3D">
        <w:rPr>
          <w:rFonts w:cstheme="minorHAnsi"/>
        </w:rPr>
        <w:t xml:space="preserve">ealth centre managers </w:t>
      </w:r>
      <w:r w:rsidR="00DC74E1" w:rsidRPr="004E4B3D">
        <w:rPr>
          <w:rFonts w:cstheme="minorHAnsi"/>
        </w:rPr>
        <w:t xml:space="preserve">were reluctant </w:t>
      </w:r>
      <w:r w:rsidRPr="004E4B3D">
        <w:rPr>
          <w:rFonts w:cstheme="minorHAnsi"/>
        </w:rPr>
        <w:t>to release their staff for onsite training</w:t>
      </w:r>
      <w:r w:rsidR="00380F67">
        <w:rPr>
          <w:rFonts w:cstheme="minorHAnsi"/>
        </w:rPr>
        <w:t>,</w:t>
      </w:r>
      <w:r w:rsidRPr="004E4B3D">
        <w:rPr>
          <w:rFonts w:cstheme="minorHAnsi"/>
        </w:rPr>
        <w:t xml:space="preserve"> and it seemed impractical to offer the same set of health centres (Group B) a regional workshop which would take them away from work for a longer period. </w:t>
      </w:r>
    </w:p>
    <w:p w14:paraId="5B57830E" w14:textId="1BA122FD" w:rsidR="00B27745" w:rsidRPr="004E4B3D" w:rsidRDefault="002532C1" w:rsidP="00366EAB">
      <w:pPr>
        <w:pStyle w:val="Heading3"/>
      </w:pPr>
      <w:bookmarkStart w:id="125" w:name="_Toc44279081"/>
      <w:bookmarkStart w:id="126" w:name="_Toc44339198"/>
      <w:bookmarkStart w:id="127" w:name="_Toc44361563"/>
      <w:r>
        <w:t>S</w:t>
      </w:r>
      <w:r w:rsidR="00B27745" w:rsidRPr="004E4B3D">
        <w:t>upport provided by DHS and Sonic</w:t>
      </w:r>
      <w:r w:rsidR="00DC74E1" w:rsidRPr="004E4B3D">
        <w:t xml:space="preserve"> </w:t>
      </w:r>
      <w:r w:rsidR="00B27745" w:rsidRPr="004E4B3D">
        <w:t>Healthcare</w:t>
      </w:r>
      <w:bookmarkEnd w:id="125"/>
      <w:bookmarkEnd w:id="126"/>
      <w:bookmarkEnd w:id="127"/>
    </w:p>
    <w:p w14:paraId="59D25BC0" w14:textId="463C8CFD" w:rsidR="00E55075" w:rsidRPr="004E4B3D" w:rsidRDefault="007E4FED" w:rsidP="007E4FED">
      <w:r w:rsidRPr="004E4B3D">
        <w:t xml:space="preserve">The Pilot </w:t>
      </w:r>
      <w:r w:rsidR="00E55075" w:rsidRPr="004E4B3D">
        <w:t xml:space="preserve">could only </w:t>
      </w:r>
      <w:r w:rsidR="000F1800" w:rsidRPr="004E4B3D">
        <w:t xml:space="preserve">have taken place as it did with </w:t>
      </w:r>
      <w:r w:rsidRPr="004E4B3D">
        <w:t>support from DHS and Sonic Healthcare</w:t>
      </w:r>
      <w:r w:rsidR="00F93EC1">
        <w:t>.</w:t>
      </w:r>
      <w:r w:rsidR="00380F67">
        <w:t xml:space="preserve"> </w:t>
      </w:r>
      <w:r w:rsidRPr="004E4B3D">
        <w:t xml:space="preserve">DHS provided </w:t>
      </w:r>
      <w:r w:rsidR="00E55075" w:rsidRPr="004E4B3D">
        <w:t xml:space="preserve">the </w:t>
      </w:r>
      <w:r w:rsidR="00D9266A" w:rsidRPr="004E4B3D">
        <w:rPr>
          <w:rFonts w:cstheme="minorHAnsi"/>
          <w:lang w:eastAsia="en-AU"/>
        </w:rPr>
        <w:t xml:space="preserve">National Pilot Support Officer </w:t>
      </w:r>
      <w:r w:rsidR="00E55075" w:rsidRPr="004E4B3D">
        <w:rPr>
          <w:rFonts w:cstheme="minorHAnsi"/>
          <w:lang w:eastAsia="en-AU"/>
        </w:rPr>
        <w:t>and was the interface between the NBCS</w:t>
      </w:r>
      <w:r w:rsidR="00C67CA1">
        <w:rPr>
          <w:rFonts w:cstheme="minorHAnsi"/>
          <w:lang w:eastAsia="en-AU"/>
        </w:rPr>
        <w:t>P</w:t>
      </w:r>
      <w:r w:rsidR="00E55075" w:rsidRPr="004E4B3D">
        <w:rPr>
          <w:rFonts w:cstheme="minorHAnsi"/>
          <w:lang w:eastAsia="en-AU"/>
        </w:rPr>
        <w:t xml:space="preserve"> and health centres.</w:t>
      </w:r>
      <w:r w:rsidR="00CB387F" w:rsidRPr="004E4B3D">
        <w:rPr>
          <w:rFonts w:cstheme="minorHAnsi"/>
          <w:lang w:eastAsia="en-AU"/>
        </w:rPr>
        <w:t xml:space="preserve"> </w:t>
      </w:r>
      <w:r w:rsidR="00E55075" w:rsidRPr="004E4B3D">
        <w:rPr>
          <w:rFonts w:cstheme="minorHAnsi"/>
          <w:lang w:eastAsia="en-AU"/>
        </w:rPr>
        <w:t xml:space="preserve">Sonic </w:t>
      </w:r>
      <w:r w:rsidR="00C67CA1">
        <w:rPr>
          <w:rFonts w:cstheme="minorHAnsi"/>
          <w:lang w:eastAsia="en-AU"/>
        </w:rPr>
        <w:t xml:space="preserve">Healthcare </w:t>
      </w:r>
      <w:r w:rsidR="00E55075" w:rsidRPr="004E4B3D">
        <w:rPr>
          <w:rFonts w:cstheme="minorHAnsi"/>
          <w:lang w:eastAsia="en-AU"/>
        </w:rPr>
        <w:t>distributed kits to Pilot health centres</w:t>
      </w:r>
      <w:r w:rsidRPr="004E4B3D">
        <w:t xml:space="preserve">, </w:t>
      </w:r>
      <w:r w:rsidR="00E55075" w:rsidRPr="004E4B3D">
        <w:t xml:space="preserve">received and tested samples that were returned (as for the usual </w:t>
      </w:r>
      <w:r w:rsidR="00DC74E1" w:rsidRPr="004E4B3D">
        <w:t>P</w:t>
      </w:r>
      <w:r w:rsidR="00E55075" w:rsidRPr="004E4B3D">
        <w:t xml:space="preserve">athway), and mailed results to health centres and patients who had screened. </w:t>
      </w:r>
    </w:p>
    <w:p w14:paraId="122B45D3" w14:textId="661DA3DE" w:rsidR="00946521" w:rsidRPr="004E4B3D" w:rsidRDefault="00CB387F" w:rsidP="007E4FED">
      <w:r w:rsidRPr="004E4B3D">
        <w:t xml:space="preserve">Both organisations provided important input to the process of </w:t>
      </w:r>
      <w:r w:rsidR="00946521" w:rsidRPr="004E4B3D">
        <w:t>re-shaping the way that health centres would interact administratively with the NBCSP</w:t>
      </w:r>
      <w:r w:rsidR="00744AE0" w:rsidRPr="004E4B3D">
        <w:t xml:space="preserve"> after</w:t>
      </w:r>
      <w:r w:rsidR="00946521" w:rsidRPr="004E4B3D">
        <w:t xml:space="preserve"> </w:t>
      </w:r>
      <w:r w:rsidR="00EE499C">
        <w:rPr>
          <w:rFonts w:cstheme="minorHAnsi"/>
        </w:rPr>
        <w:t xml:space="preserve">the </w:t>
      </w:r>
      <w:r w:rsidR="00EE499C">
        <w:rPr>
          <w:rFonts w:eastAsiaTheme="majorEastAsia" w:cstheme="minorHAnsi"/>
        </w:rPr>
        <w:t>Department of Health</w:t>
      </w:r>
      <w:r w:rsidR="00946521" w:rsidRPr="004E4B3D">
        <w:t xml:space="preserve"> decided to carry out the Pilot before</w:t>
      </w:r>
      <w:r w:rsidR="00380F67">
        <w:t>,</w:t>
      </w:r>
      <w:r w:rsidR="00946521" w:rsidRPr="004E4B3D">
        <w:t xml:space="preserve"> rather than after</w:t>
      </w:r>
      <w:r w:rsidR="00380F67">
        <w:t>,</w:t>
      </w:r>
      <w:r w:rsidR="00946521" w:rsidRPr="004E4B3D">
        <w:t xml:space="preserve"> the NBCSP transitioned to the NCSR.</w:t>
      </w:r>
    </w:p>
    <w:p w14:paraId="0BA27996" w14:textId="32FFC4B6" w:rsidR="00946521" w:rsidRPr="00660F97" w:rsidRDefault="00946521" w:rsidP="000920C7">
      <w:pPr>
        <w:pStyle w:val="Quote"/>
      </w:pPr>
      <w:r w:rsidRPr="00660F97">
        <w:t xml:space="preserve">‘When [Menzies] … and Health started planning </w:t>
      </w:r>
      <w:r w:rsidR="002077FC">
        <w:t xml:space="preserve">(the Pilot) </w:t>
      </w:r>
      <w:r w:rsidRPr="00660F97">
        <w:t>for the NCSR there was a whole lot of assumptions that you had to make and you had to plan for, about how different aspects were going to work and what was possible and not possible. And then when it was switched to fit in the DHS space [to be run through the old Register instead of the NCSR], there’s a different set of assumptions that have to be overlaid on that. Something that is simple but has such a big impact is being able to change someone’s addresses because that’s not how the DHS Register design was first endorsed by Health, so it was, ‘How do we get around the fact that we know that someone is likely to have a different address and the requirements that were beyond all of our control, how do we work within those to get it to work?’</w:t>
      </w:r>
    </w:p>
    <w:p w14:paraId="0433BBEC" w14:textId="03AA01BC" w:rsidR="005E5297" w:rsidRPr="00A23904" w:rsidRDefault="005E5297" w:rsidP="005E5297">
      <w:r w:rsidRPr="00A23904">
        <w:t xml:space="preserve">DHS </w:t>
      </w:r>
      <w:r w:rsidR="00DC4022">
        <w:t>closely monitored</w:t>
      </w:r>
      <w:r w:rsidRPr="00A23904">
        <w:t xml:space="preserve"> the Pilot screening activity using a manual process of recording data and directly overseeing contact with health centres</w:t>
      </w:r>
      <w:r>
        <w:t xml:space="preserve">. </w:t>
      </w:r>
      <w:r w:rsidR="00DC4022">
        <w:t>This</w:t>
      </w:r>
      <w:r>
        <w:t xml:space="preserve"> oversight</w:t>
      </w:r>
      <w:r w:rsidRPr="00455DB0">
        <w:t xml:space="preserve"> </w:t>
      </w:r>
      <w:r>
        <w:t xml:space="preserve">allowed </w:t>
      </w:r>
      <w:r w:rsidRPr="00A23904">
        <w:t>identif</w:t>
      </w:r>
      <w:r>
        <w:t>ication</w:t>
      </w:r>
      <w:r w:rsidRPr="00A23904">
        <w:t xml:space="preserve"> </w:t>
      </w:r>
      <w:r>
        <w:t xml:space="preserve">of </w:t>
      </w:r>
      <w:r w:rsidRPr="00A23904">
        <w:t xml:space="preserve">any problems and </w:t>
      </w:r>
      <w:r w:rsidR="002077FC">
        <w:t>capacity</w:t>
      </w:r>
      <w:r w:rsidR="00DC4022">
        <w:t xml:space="preserve"> to quickly </w:t>
      </w:r>
      <w:r w:rsidRPr="00A23904">
        <w:t xml:space="preserve">troubleshoot cases or improve systems. </w:t>
      </w:r>
    </w:p>
    <w:p w14:paraId="3D3B098F" w14:textId="1A24793B" w:rsidR="00DC74E1" w:rsidRPr="00A23904" w:rsidRDefault="00917F76" w:rsidP="004566A4">
      <w:r w:rsidRPr="00A23904">
        <w:t xml:space="preserve">The DHS </w:t>
      </w:r>
      <w:r w:rsidR="00C0500A">
        <w:t xml:space="preserve">National Pilot Support Officer </w:t>
      </w:r>
      <w:r w:rsidRPr="00A23904">
        <w:t xml:space="preserve">received Participant Details </w:t>
      </w:r>
      <w:r w:rsidR="00DC74E1" w:rsidRPr="00A23904">
        <w:t>F</w:t>
      </w:r>
      <w:r w:rsidRPr="00A23904">
        <w:t xml:space="preserve">orms </w:t>
      </w:r>
      <w:r w:rsidR="003A0D27" w:rsidRPr="00A23904">
        <w:t>(</w:t>
      </w:r>
      <w:r w:rsidRPr="00A23904">
        <w:t>Part A</w:t>
      </w:r>
      <w:r w:rsidR="003A0D27" w:rsidRPr="00A23904">
        <w:t xml:space="preserve">) online and by fax </w:t>
      </w:r>
      <w:r w:rsidRPr="00A23904">
        <w:t xml:space="preserve">from health centres and would </w:t>
      </w:r>
      <w:r w:rsidR="00D76883" w:rsidRPr="00A23904">
        <w:t>liaise with health centres over any problems with the forms.</w:t>
      </w:r>
      <w:r w:rsidR="00DC74E1" w:rsidRPr="00A23904">
        <w:t xml:space="preserve"> </w:t>
      </w:r>
      <w:r w:rsidR="00D76883" w:rsidRPr="00A23904">
        <w:t xml:space="preserve">Examples of the problems that could occur included health centres filling out a hard copy of the form on double-sided paper but faxing only one side of the pages. </w:t>
      </w:r>
      <w:r w:rsidR="00FE687F" w:rsidRPr="00A23904">
        <w:t>If faxes weren’t sent immediately, the samples could arrive for testing before Part A of the form did</w:t>
      </w:r>
      <w:r w:rsidR="005E5297">
        <w:t xml:space="preserve">. In addition, </w:t>
      </w:r>
      <w:r w:rsidR="0064376E" w:rsidRPr="00A23904">
        <w:t xml:space="preserve">if </w:t>
      </w:r>
      <w:r w:rsidR="00F93EC1">
        <w:t>a</w:t>
      </w:r>
      <w:r w:rsidR="00F93EC1" w:rsidRPr="00A23904">
        <w:t xml:space="preserve"> </w:t>
      </w:r>
      <w:r w:rsidR="0064376E" w:rsidRPr="00A23904">
        <w:t>patient had forgotten to include their copy of the Participant Details form with the samples, as frequently occurred, the sample would be treated as from an unknown source</w:t>
      </w:r>
      <w:r w:rsidR="009D2647" w:rsidRPr="00A23904">
        <w:t xml:space="preserve"> and not recognised as part of the Pilot</w:t>
      </w:r>
      <w:r w:rsidR="0064376E" w:rsidRPr="00A23904">
        <w:t>.</w:t>
      </w:r>
      <w:r w:rsidR="00FE687F" w:rsidRPr="00A23904">
        <w:t xml:space="preserve"> </w:t>
      </w:r>
    </w:p>
    <w:p w14:paraId="03DF2790" w14:textId="5AB2F905" w:rsidR="009D2647" w:rsidRPr="00A23904" w:rsidRDefault="009D2647" w:rsidP="004566A4">
      <w:r w:rsidRPr="00A23904">
        <w:t>DHS also fielded general questions from participating health centres, including some who asked how they got paid for filling out the forms (they did not); and entered data about screening participants into the Register.</w:t>
      </w:r>
      <w:r w:rsidR="007547A5" w:rsidRPr="00A23904">
        <w:t xml:space="preserve"> One aspect of the Register that was an uneasy fit with the Alternative Pathway </w:t>
      </w:r>
      <w:r w:rsidR="00A23904" w:rsidRPr="00A23904">
        <w:t>wa</w:t>
      </w:r>
      <w:r w:rsidR="007547A5" w:rsidRPr="00A23904">
        <w:t xml:space="preserve">s that </w:t>
      </w:r>
      <w:r w:rsidR="003A0D27" w:rsidRPr="00A23904">
        <w:t>the Register</w:t>
      </w:r>
      <w:r w:rsidR="007547A5" w:rsidRPr="00A23904">
        <w:t xml:space="preserve"> identif</w:t>
      </w:r>
      <w:r w:rsidR="00DC74E1" w:rsidRPr="00A23904">
        <w:t>i</w:t>
      </w:r>
      <w:r w:rsidR="003A0D27" w:rsidRPr="00A23904">
        <w:t>ed</w:t>
      </w:r>
      <w:r w:rsidR="007547A5" w:rsidRPr="00A23904">
        <w:t xml:space="preserve"> cohorts of individuals invited at the same time</w:t>
      </w:r>
      <w:r w:rsidR="003A0D27" w:rsidRPr="00A23904">
        <w:t xml:space="preserve"> and did not easily accommodate people being invited to screen outside of those cycles. </w:t>
      </w:r>
    </w:p>
    <w:p w14:paraId="55189D23" w14:textId="7BDDC694" w:rsidR="007E4FED" w:rsidRPr="00A23904" w:rsidRDefault="00265CF8" w:rsidP="004566A4">
      <w:r w:rsidRPr="00A23904">
        <w:lastRenderedPageBreak/>
        <w:t xml:space="preserve">Once a health centre was approved to distribute kits, Menzies would notify DHS and Sonic </w:t>
      </w:r>
      <w:r w:rsidR="00C67CA1">
        <w:t xml:space="preserve">Healthcare </w:t>
      </w:r>
      <w:r w:rsidR="007E4FED" w:rsidRPr="00A23904">
        <w:t xml:space="preserve">(and </w:t>
      </w:r>
      <w:r w:rsidR="00C67CA1">
        <w:t xml:space="preserve">the Department of </w:t>
      </w:r>
      <w:r w:rsidRPr="00A23904">
        <w:t>Health</w:t>
      </w:r>
      <w:r w:rsidR="007E4FED" w:rsidRPr="00A23904">
        <w:t>) via email, providing the health centre</w:t>
      </w:r>
      <w:r w:rsidRPr="00A23904">
        <w:t>’s</w:t>
      </w:r>
      <w:r w:rsidR="007E4FED" w:rsidRPr="00A23904">
        <w:t xml:space="preserve"> name, address and a contact person</w:t>
      </w:r>
      <w:r w:rsidRPr="00A23904">
        <w:t xml:space="preserve"> to receive the kits</w:t>
      </w:r>
      <w:r w:rsidR="007E4FED" w:rsidRPr="00A23904">
        <w:t>.</w:t>
      </w:r>
      <w:r w:rsidRPr="00A23904">
        <w:t xml:space="preserve"> </w:t>
      </w:r>
      <w:r w:rsidR="00C67CA1">
        <w:t>Sonic Healthcare</w:t>
      </w:r>
      <w:r w:rsidR="007E4FED" w:rsidRPr="00A23904">
        <w:t xml:space="preserve"> </w:t>
      </w:r>
      <w:r w:rsidR="000427D6">
        <w:t>had</w:t>
      </w:r>
      <w:r w:rsidR="007E4FED" w:rsidRPr="00A23904">
        <w:t xml:space="preserve"> a supply of NBCSP kits and </w:t>
      </w:r>
      <w:r w:rsidR="00490E56" w:rsidRPr="00A23904">
        <w:t>the colour</w:t>
      </w:r>
      <w:r w:rsidR="000427D6">
        <w:t xml:space="preserve">ful </w:t>
      </w:r>
      <w:r w:rsidR="007E4FED" w:rsidRPr="00A23904">
        <w:t>Indigenous Bowel Screening stickers</w:t>
      </w:r>
      <w:r w:rsidR="00490E56" w:rsidRPr="00A23904">
        <w:t xml:space="preserve"> (designed for the Pilot)</w:t>
      </w:r>
      <w:r w:rsidR="007E4FED" w:rsidRPr="00A23904">
        <w:t xml:space="preserve"> and would adhere the stickers </w:t>
      </w:r>
      <w:r w:rsidR="00490E56" w:rsidRPr="00A23904">
        <w:t xml:space="preserve">to </w:t>
      </w:r>
      <w:r w:rsidR="007E4FED" w:rsidRPr="00A23904">
        <w:t>kits prior to sending.</w:t>
      </w:r>
    </w:p>
    <w:p w14:paraId="6406AD3E" w14:textId="58C9032A" w:rsidR="007E4FED" w:rsidRPr="00A23904" w:rsidRDefault="007E4FED" w:rsidP="004566A4">
      <w:r w:rsidRPr="00A23904">
        <w:t xml:space="preserve">To order additional NBCSP kits, health centres </w:t>
      </w:r>
      <w:r w:rsidR="00490E56" w:rsidRPr="00A23904">
        <w:t>would</w:t>
      </w:r>
      <w:r w:rsidRPr="00A23904">
        <w:t xml:space="preserve"> email </w:t>
      </w:r>
      <w:r w:rsidR="00C67CA1">
        <w:t>Sonic Healthcare</w:t>
      </w:r>
      <w:r w:rsidRPr="00A23904">
        <w:t xml:space="preserve"> providing the</w:t>
      </w:r>
      <w:r w:rsidR="00490E56" w:rsidRPr="00A23904">
        <w:t xml:space="preserve"> same information (health centre name, address, contact person), plus the</w:t>
      </w:r>
      <w:r w:rsidRPr="00A23904">
        <w:t xml:space="preserve"> number of kits required to be sent.  </w:t>
      </w:r>
      <w:r w:rsidR="00490E56" w:rsidRPr="00A23904">
        <w:t>From the second lot of kits sent out, the</w:t>
      </w:r>
      <w:r w:rsidR="0064376E" w:rsidRPr="00A23904">
        <w:t xml:space="preserve"> </w:t>
      </w:r>
      <w:r w:rsidRPr="00A23904">
        <w:t xml:space="preserve">stickers were supplied with </w:t>
      </w:r>
      <w:r w:rsidR="00490E56" w:rsidRPr="00A23904">
        <w:t xml:space="preserve">the kits, but not </w:t>
      </w:r>
      <w:r w:rsidR="00F93EC1">
        <w:t>adhered</w:t>
      </w:r>
      <w:r w:rsidR="00490E56" w:rsidRPr="00A23904">
        <w:t xml:space="preserve">. </w:t>
      </w:r>
    </w:p>
    <w:p w14:paraId="4FA386D7" w14:textId="77777777" w:rsidR="00DC74E1" w:rsidRPr="00A23904" w:rsidRDefault="007E4FED" w:rsidP="004566A4">
      <w:r w:rsidRPr="00A23904">
        <w:t xml:space="preserve">Upon receiving completed kits from </w:t>
      </w:r>
      <w:r w:rsidR="00490E56" w:rsidRPr="00A23904">
        <w:t xml:space="preserve">an </w:t>
      </w:r>
      <w:r w:rsidRPr="00A23904">
        <w:t>Alternative Pathway</w:t>
      </w:r>
      <w:r w:rsidR="00490E56" w:rsidRPr="00A23904">
        <w:t xml:space="preserve"> </w:t>
      </w:r>
      <w:r w:rsidR="00AA4471" w:rsidRPr="00A23904">
        <w:t>screening participant, the</w:t>
      </w:r>
      <w:r w:rsidRPr="00A23904">
        <w:t xml:space="preserve"> samples were tested and all results (positive, negative, no result or inconclusive) </w:t>
      </w:r>
      <w:r w:rsidR="00AA4471" w:rsidRPr="00A23904">
        <w:t xml:space="preserve">sent </w:t>
      </w:r>
      <w:r w:rsidRPr="00A23904">
        <w:t xml:space="preserve">to both the patient and health centre (participating in the Pilot) by mail. </w:t>
      </w:r>
    </w:p>
    <w:p w14:paraId="238CF8FD" w14:textId="190B0480" w:rsidR="00CB387F" w:rsidRDefault="006A6220" w:rsidP="004566A4">
      <w:r w:rsidRPr="00A23904">
        <w:t xml:space="preserve">On a number of occasions, </w:t>
      </w:r>
      <w:r w:rsidR="00C67CA1">
        <w:t>Sonic Healthcare</w:t>
      </w:r>
      <w:r w:rsidRPr="00A23904">
        <w:t xml:space="preserve"> reported, screening participants did not enclose the Participant Details </w:t>
      </w:r>
      <w:r w:rsidR="00DC74E1" w:rsidRPr="00A23904">
        <w:t>F</w:t>
      </w:r>
      <w:r w:rsidRPr="00A23904">
        <w:t xml:space="preserve">orm with their samples, and </w:t>
      </w:r>
      <w:r w:rsidR="00DC74E1" w:rsidRPr="00A23904">
        <w:t>i</w:t>
      </w:r>
      <w:r w:rsidR="007E4FED" w:rsidRPr="00A23904">
        <w:t xml:space="preserve">f </w:t>
      </w:r>
      <w:r w:rsidR="000F127C" w:rsidRPr="00A23904">
        <w:t xml:space="preserve">a health centre had not submitted Part A of the form, </w:t>
      </w:r>
      <w:r w:rsidR="00C67CA1">
        <w:t>Sonic Healthcare</w:t>
      </w:r>
      <w:r w:rsidR="007E4FED" w:rsidRPr="00A23904">
        <w:t xml:space="preserve"> </w:t>
      </w:r>
      <w:r w:rsidRPr="00A23904">
        <w:t xml:space="preserve">could have difficulty </w:t>
      </w:r>
      <w:r w:rsidR="00DC74E1" w:rsidRPr="00A23904">
        <w:t xml:space="preserve">identifying </w:t>
      </w:r>
      <w:r w:rsidR="00AA4471" w:rsidRPr="00A23904">
        <w:t>which health centre the results should be sent</w:t>
      </w:r>
      <w:r w:rsidR="00BA3A87" w:rsidRPr="00A23904">
        <w:t xml:space="preserve"> to</w:t>
      </w:r>
      <w:r w:rsidR="00AA4471" w:rsidRPr="00A23904">
        <w:t>.</w:t>
      </w:r>
      <w:r w:rsidR="00AA4471">
        <w:t xml:space="preserve"> </w:t>
      </w:r>
      <w:r w:rsidR="007E4FED" w:rsidRPr="0058563E">
        <w:t xml:space="preserve"> </w:t>
      </w:r>
    </w:p>
    <w:p w14:paraId="08101DBB" w14:textId="54819A2D" w:rsidR="00380F67" w:rsidRDefault="001F760D" w:rsidP="001F760D">
      <w:r w:rsidRPr="001F760D">
        <w:t>To</w:t>
      </w:r>
      <w:r>
        <w:t xml:space="preserve"> reduce the impact of hot zone restrictions and </w:t>
      </w:r>
      <w:r w:rsidR="00F93EC1">
        <w:t>enable</w:t>
      </w:r>
      <w:r>
        <w:t xml:space="preserve"> some </w:t>
      </w:r>
      <w:r w:rsidRPr="001F760D">
        <w:t xml:space="preserve">health centres </w:t>
      </w:r>
      <w:r>
        <w:t xml:space="preserve">to give out kits over a longer period, </w:t>
      </w:r>
      <w:r w:rsidR="00C67CA1">
        <w:t>Sonic Healthcare</w:t>
      </w:r>
      <w:r w:rsidRPr="001F760D">
        <w:t xml:space="preserve"> supplied Menzies </w:t>
      </w:r>
      <w:r w:rsidR="00F93EC1">
        <w:t xml:space="preserve">with </w:t>
      </w:r>
      <w:r w:rsidRPr="001F760D">
        <w:t xml:space="preserve">a list of </w:t>
      </w:r>
      <w:r>
        <w:t>six pathology c</w:t>
      </w:r>
      <w:r w:rsidRPr="001F760D">
        <w:t xml:space="preserve">ollection </w:t>
      </w:r>
      <w:r>
        <w:t>c</w:t>
      </w:r>
      <w:r w:rsidRPr="001F760D">
        <w:t xml:space="preserve">entres </w:t>
      </w:r>
      <w:r>
        <w:t>that</w:t>
      </w:r>
      <w:r w:rsidRPr="001F760D">
        <w:t xml:space="preserve"> </w:t>
      </w:r>
      <w:r>
        <w:t xml:space="preserve">were located near Pilot sites in hot zones. These collection centres </w:t>
      </w:r>
      <w:r w:rsidRPr="001F760D">
        <w:t xml:space="preserve">may have been able to support Pilot health centres in returning samples to </w:t>
      </w:r>
      <w:r>
        <w:t xml:space="preserve">one of the three </w:t>
      </w:r>
      <w:r w:rsidR="00C67CA1">
        <w:t>Sonic Healthcare</w:t>
      </w:r>
      <w:r w:rsidRPr="001F760D">
        <w:t xml:space="preserve"> lab</w:t>
      </w:r>
      <w:r w:rsidR="00145438">
        <w:t xml:space="preserve">s that conduct NBCSP testing. Each </w:t>
      </w:r>
      <w:r w:rsidRPr="001F760D">
        <w:t>health centre</w:t>
      </w:r>
      <w:r w:rsidR="000427D6">
        <w:t xml:space="preserve"> </w:t>
      </w:r>
      <w:r w:rsidR="00145438">
        <w:t xml:space="preserve">was sent </w:t>
      </w:r>
      <w:r w:rsidRPr="001F760D">
        <w:t>an email explaining th</w:t>
      </w:r>
      <w:r w:rsidR="00145438">
        <w:t xml:space="preserve">is </w:t>
      </w:r>
      <w:r w:rsidRPr="001F760D">
        <w:t>possibility.</w:t>
      </w:r>
      <w:r w:rsidR="00145438">
        <w:t xml:space="preserve"> As far as the evaluation has been able to determine, only two health centres tried to make such an arrangement</w:t>
      </w:r>
      <w:r w:rsidR="00F93EC1">
        <w:t xml:space="preserve"> </w:t>
      </w:r>
      <w:r w:rsidR="006D1C24">
        <w:t>and in neither case was an arrangement possible</w:t>
      </w:r>
      <w:r w:rsidR="00145438">
        <w:t xml:space="preserve">. </w:t>
      </w:r>
    </w:p>
    <w:p w14:paraId="3713BA70" w14:textId="175BBA6B" w:rsidR="001F760D" w:rsidRPr="001F760D" w:rsidRDefault="00380F67" w:rsidP="0069783C">
      <w:pPr>
        <w:spacing w:before="0" w:after="0" w:line="240" w:lineRule="auto"/>
      </w:pPr>
      <w:r>
        <w:br w:type="page"/>
      </w:r>
    </w:p>
    <w:p w14:paraId="2D0A96B3" w14:textId="2CA0A405" w:rsidR="00D37503" w:rsidRPr="00132044" w:rsidRDefault="00D27E8F" w:rsidP="00510A67">
      <w:pPr>
        <w:pStyle w:val="Heading1"/>
      </w:pPr>
      <w:bookmarkStart w:id="128" w:name="_Toc38539096"/>
      <w:bookmarkStart w:id="129" w:name="_Toc38540031"/>
      <w:bookmarkStart w:id="130" w:name="_Toc38540086"/>
      <w:bookmarkStart w:id="131" w:name="_Toc44339199"/>
      <w:bookmarkStart w:id="132" w:name="_Toc45539257"/>
      <w:bookmarkStart w:id="133" w:name="_Toc54954844"/>
      <w:r w:rsidRPr="00132044">
        <w:lastRenderedPageBreak/>
        <w:t xml:space="preserve">5. </w:t>
      </w:r>
      <w:r w:rsidR="002C70CB" w:rsidRPr="00132044">
        <w:t>RESULTS</w:t>
      </w:r>
      <w:bookmarkEnd w:id="128"/>
      <w:bookmarkEnd w:id="129"/>
      <w:bookmarkEnd w:id="130"/>
      <w:r w:rsidR="00D37503" w:rsidRPr="00132044">
        <w:t xml:space="preserve">: CHARACTERISTICS OF PARTICIPATING HEALTH </w:t>
      </w:r>
      <w:r w:rsidR="003B08AB" w:rsidRPr="00132044">
        <w:t>CENTRES</w:t>
      </w:r>
      <w:bookmarkEnd w:id="131"/>
      <w:bookmarkEnd w:id="132"/>
      <w:bookmarkEnd w:id="133"/>
    </w:p>
    <w:p w14:paraId="19002D1F" w14:textId="0ED2B4B6" w:rsidR="003B08AB" w:rsidRDefault="003B08AB" w:rsidP="00070C12">
      <w:pPr>
        <w:pStyle w:val="Heading2"/>
      </w:pPr>
      <w:bookmarkStart w:id="134" w:name="_Toc44339200"/>
      <w:bookmarkStart w:id="135" w:name="_Toc45539258"/>
      <w:bookmarkStart w:id="136" w:name="_Toc54954845"/>
      <w:r>
        <w:t>5.1 Overview</w:t>
      </w:r>
      <w:bookmarkEnd w:id="134"/>
      <w:bookmarkEnd w:id="135"/>
      <w:bookmarkEnd w:id="136"/>
    </w:p>
    <w:p w14:paraId="3733A650" w14:textId="7D71FCE7" w:rsidR="002C70CB" w:rsidRPr="00D37503" w:rsidRDefault="002C70CB" w:rsidP="00D37503">
      <w:r w:rsidRPr="00D37503">
        <w:t>This section describes the characteristics of the 47 Pilot health</w:t>
      </w:r>
      <w:r w:rsidR="00CF1B85" w:rsidRPr="00D37503">
        <w:t xml:space="preserve"> centres</w:t>
      </w:r>
      <w:r w:rsidRPr="00D37503">
        <w:t xml:space="preserve"> and</w:t>
      </w:r>
      <w:r w:rsidR="001F20F7" w:rsidRPr="00D37503">
        <w:t>, where data are available,</w:t>
      </w:r>
      <w:r w:rsidRPr="00D37503">
        <w:t xml:space="preserve"> compares them to Indigenous primary health care centres that reported in the 2016-17 Online Services Report (OSR).</w:t>
      </w:r>
      <w:r w:rsidRPr="00457A26">
        <w:rPr>
          <w:rStyle w:val="FootnoteReference"/>
          <w:rFonts w:cstheme="minorHAnsi"/>
          <w:color w:val="000000" w:themeColor="text1"/>
        </w:rPr>
        <w:footnoteReference w:id="25"/>
      </w:r>
      <w:r w:rsidRPr="00D37503">
        <w:t xml:space="preserve"> </w:t>
      </w:r>
    </w:p>
    <w:p w14:paraId="48577003" w14:textId="0402B6F0" w:rsidR="00A84714" w:rsidRDefault="00D37503" w:rsidP="002C70CB">
      <w:pPr>
        <w:rPr>
          <w:rFonts w:cstheme="minorHAnsi"/>
          <w:color w:val="000000" w:themeColor="text1"/>
        </w:rPr>
      </w:pPr>
      <w:r>
        <w:rPr>
          <w:rFonts w:cstheme="minorHAnsi"/>
          <w:color w:val="000000" w:themeColor="text1"/>
        </w:rPr>
        <w:t xml:space="preserve">The Evaluation Plan </w:t>
      </w:r>
      <w:r w:rsidR="00254EB8">
        <w:rPr>
          <w:rFonts w:cstheme="minorHAnsi"/>
          <w:color w:val="000000" w:themeColor="text1"/>
        </w:rPr>
        <w:t>emphasised the need to understand</w:t>
      </w:r>
      <w:r>
        <w:rPr>
          <w:rFonts w:cstheme="minorHAnsi"/>
          <w:color w:val="000000" w:themeColor="text1"/>
        </w:rPr>
        <w:t xml:space="preserve"> </w:t>
      </w:r>
      <w:r w:rsidRPr="00457A26">
        <w:rPr>
          <w:rFonts w:cstheme="minorHAnsi"/>
          <w:color w:val="000000" w:themeColor="text1"/>
        </w:rPr>
        <w:t>the extent to which Pilot health centres were representative of Indigenous primary health care centres more broadly</w:t>
      </w:r>
      <w:r w:rsidR="003B08AB">
        <w:rPr>
          <w:rFonts w:cstheme="minorHAnsi"/>
          <w:color w:val="000000" w:themeColor="text1"/>
        </w:rPr>
        <w:t xml:space="preserve">, in order to consider the generalisability of Pilot findings and </w:t>
      </w:r>
      <w:r w:rsidR="002C70CB" w:rsidRPr="00457A26">
        <w:rPr>
          <w:rFonts w:cstheme="minorHAnsi"/>
          <w:color w:val="000000" w:themeColor="text1"/>
        </w:rPr>
        <w:t>potential for wider uptake of an Alternative Pathway</w:t>
      </w:r>
      <w:r w:rsidR="003B08AB">
        <w:rPr>
          <w:rFonts w:cstheme="minorHAnsi"/>
          <w:color w:val="000000" w:themeColor="text1"/>
        </w:rPr>
        <w:t>.</w:t>
      </w:r>
      <w:r w:rsidR="002C70CB" w:rsidRPr="00457A26">
        <w:rPr>
          <w:rFonts w:cstheme="minorHAnsi"/>
          <w:color w:val="000000" w:themeColor="text1"/>
        </w:rPr>
        <w:t xml:space="preserve"> </w:t>
      </w:r>
    </w:p>
    <w:p w14:paraId="538023ED" w14:textId="2262EE29" w:rsidR="002C70CB" w:rsidRPr="00457A26" w:rsidRDefault="002C70CB" w:rsidP="002C70CB">
      <w:pPr>
        <w:rPr>
          <w:rFonts w:cstheme="minorHAnsi"/>
          <w:color w:val="000000" w:themeColor="text1"/>
        </w:rPr>
      </w:pPr>
      <w:r w:rsidRPr="00457A26">
        <w:rPr>
          <w:rFonts w:cstheme="minorHAnsi"/>
          <w:color w:val="000000" w:themeColor="text1"/>
        </w:rPr>
        <w:t xml:space="preserve">The OSR summarises the annual activities of </w:t>
      </w:r>
      <w:r w:rsidR="00AF21F2" w:rsidRPr="00457A26">
        <w:rPr>
          <w:rFonts w:cstheme="minorHAnsi"/>
          <w:color w:val="000000" w:themeColor="text1"/>
        </w:rPr>
        <w:t xml:space="preserve">around 200 </w:t>
      </w:r>
      <w:r w:rsidRPr="00457A26">
        <w:rPr>
          <w:rFonts w:cstheme="minorHAnsi"/>
          <w:color w:val="000000" w:themeColor="text1"/>
        </w:rPr>
        <w:t>organisations funded by the Department of Health’s Indigenous Health Division to deliver primary health care, maternal and child health care, social and emotional wellbeing and drug and alcohol services for Indigenous Australians. A total of 19</w:t>
      </w:r>
      <w:r w:rsidR="00AF21F2" w:rsidRPr="00457A26">
        <w:rPr>
          <w:rFonts w:cstheme="minorHAnsi"/>
          <w:color w:val="000000" w:themeColor="text1"/>
        </w:rPr>
        <w:t>8</w:t>
      </w:r>
      <w:r w:rsidRPr="00457A26">
        <w:rPr>
          <w:rFonts w:cstheme="minorHAnsi"/>
          <w:color w:val="000000" w:themeColor="text1"/>
        </w:rPr>
        <w:t xml:space="preserve"> organisations contributed to the </w:t>
      </w:r>
      <w:r w:rsidR="00AF21F2" w:rsidRPr="00457A26">
        <w:rPr>
          <w:rFonts w:cstheme="minorHAnsi"/>
          <w:color w:val="000000" w:themeColor="text1"/>
        </w:rPr>
        <w:t>2017-2018</w:t>
      </w:r>
      <w:r w:rsidRPr="00457A26">
        <w:rPr>
          <w:rFonts w:cstheme="minorHAnsi"/>
          <w:color w:val="000000" w:themeColor="text1"/>
        </w:rPr>
        <w:t xml:space="preserve"> OSR, although not all centres reported on all variables.</w:t>
      </w:r>
    </w:p>
    <w:p w14:paraId="755CAE64" w14:textId="2A14733B" w:rsidR="006C2D16" w:rsidRPr="00457A26" w:rsidRDefault="006C2D16" w:rsidP="006C2D16">
      <w:pPr>
        <w:rPr>
          <w:rFonts w:cstheme="minorHAnsi"/>
          <w:color w:val="000000" w:themeColor="text1"/>
        </w:rPr>
      </w:pPr>
      <w:r w:rsidRPr="00457A26">
        <w:rPr>
          <w:rFonts w:cstheme="minorHAnsi"/>
          <w:color w:val="000000" w:themeColor="text1"/>
        </w:rPr>
        <w:t xml:space="preserve">As shown in </w:t>
      </w:r>
      <w:r w:rsidRPr="006C2D16">
        <w:rPr>
          <w:rFonts w:cstheme="minorHAnsi"/>
          <w:color w:val="000000" w:themeColor="text1"/>
        </w:rPr>
        <w:t xml:space="preserve">figures </w:t>
      </w:r>
      <w:r w:rsidRPr="000D2D26">
        <w:rPr>
          <w:rFonts w:cstheme="minorHAnsi"/>
          <w:color w:val="000000" w:themeColor="text1"/>
        </w:rPr>
        <w:t>5.1, 5.2 and 5.3</w:t>
      </w:r>
      <w:r w:rsidRPr="006C2D16">
        <w:rPr>
          <w:rFonts w:cstheme="minorHAnsi"/>
          <w:color w:val="000000" w:themeColor="text1"/>
        </w:rPr>
        <w:t xml:space="preserve"> below</w:t>
      </w:r>
      <w:r w:rsidRPr="00457A26">
        <w:rPr>
          <w:rFonts w:cstheme="minorHAnsi"/>
          <w:color w:val="000000" w:themeColor="text1"/>
        </w:rPr>
        <w:t xml:space="preserve">, </w:t>
      </w:r>
      <w:r>
        <w:rPr>
          <w:rFonts w:cstheme="minorHAnsi"/>
          <w:color w:val="000000" w:themeColor="text1"/>
        </w:rPr>
        <w:t>P</w:t>
      </w:r>
      <w:r w:rsidRPr="00457A26">
        <w:rPr>
          <w:rFonts w:cstheme="minorHAnsi"/>
          <w:color w:val="000000" w:themeColor="text1"/>
        </w:rPr>
        <w:t xml:space="preserve">ilot health centres were </w:t>
      </w:r>
      <w:r>
        <w:rPr>
          <w:rFonts w:cstheme="minorHAnsi"/>
          <w:color w:val="000000" w:themeColor="text1"/>
        </w:rPr>
        <w:t xml:space="preserve">more likely to be in Queensland, in more urban and regional geographical areas and slightly more likely to be Aboriginal Community Controlled Health Organisations. </w:t>
      </w:r>
    </w:p>
    <w:p w14:paraId="7275B0AA" w14:textId="14FC2113" w:rsidR="002C70CB" w:rsidRPr="00457A26" w:rsidRDefault="002C70CB" w:rsidP="002C70CB">
      <w:pPr>
        <w:rPr>
          <w:rFonts w:cstheme="minorHAnsi"/>
          <w:color w:val="000000" w:themeColor="text1"/>
        </w:rPr>
      </w:pPr>
      <w:r w:rsidRPr="00457A26">
        <w:rPr>
          <w:rFonts w:cstheme="minorHAnsi"/>
          <w:color w:val="000000" w:themeColor="text1"/>
        </w:rPr>
        <w:t>This profile of the Pilot sites could be explained by a number of factors including competing priorities for health centres and/or communities; the eligibility criteria of the Pilot (at least 50 Indigenous clients aged 50-74; ab</w:t>
      </w:r>
      <w:r w:rsidR="00A84714">
        <w:rPr>
          <w:rFonts w:cstheme="minorHAnsi"/>
          <w:color w:val="000000" w:themeColor="text1"/>
        </w:rPr>
        <w:t>ility</w:t>
      </w:r>
      <w:r w:rsidRPr="00457A26">
        <w:rPr>
          <w:rFonts w:cstheme="minorHAnsi"/>
          <w:color w:val="000000" w:themeColor="text1"/>
        </w:rPr>
        <w:t xml:space="preserve"> to </w:t>
      </w:r>
      <w:r w:rsidRPr="00550905">
        <w:rPr>
          <w:rFonts w:cstheme="minorHAnsi"/>
          <w:color w:val="000000" w:themeColor="text1"/>
        </w:rPr>
        <w:t xml:space="preserve">ensure samples </w:t>
      </w:r>
      <w:r w:rsidR="00F93EC1">
        <w:rPr>
          <w:rFonts w:cstheme="minorHAnsi"/>
          <w:color w:val="000000" w:themeColor="text1"/>
        </w:rPr>
        <w:t>we</w:t>
      </w:r>
      <w:r w:rsidRPr="00550905">
        <w:rPr>
          <w:rFonts w:cstheme="minorHAnsi"/>
          <w:color w:val="000000" w:themeColor="text1"/>
        </w:rPr>
        <w:t xml:space="preserve">re stored and transported at cool temperatures and </w:t>
      </w:r>
      <w:r w:rsidRPr="00756058">
        <w:rPr>
          <w:rFonts w:cstheme="minorHAnsi"/>
          <w:color w:val="000000" w:themeColor="text1"/>
        </w:rPr>
        <w:t xml:space="preserve">tested in a timely </w:t>
      </w:r>
      <w:r w:rsidRPr="00CB34E4">
        <w:rPr>
          <w:rFonts w:cstheme="minorHAnsi"/>
          <w:color w:val="000000" w:themeColor="text1"/>
        </w:rPr>
        <w:t>manner</w:t>
      </w:r>
      <w:r w:rsidR="00756058" w:rsidRPr="00CB34E4">
        <w:t xml:space="preserve">; </w:t>
      </w:r>
      <w:r w:rsidR="00CB34E4">
        <w:t>hot</w:t>
      </w:r>
      <w:r w:rsidR="00CB34E4" w:rsidRPr="00CB34E4">
        <w:t xml:space="preserve"> zone </w:t>
      </w:r>
      <w:r w:rsidR="00F93EC1" w:rsidRPr="00CB34E4">
        <w:t>restriction</w:t>
      </w:r>
      <w:r w:rsidR="00CB34E4">
        <w:t xml:space="preserve"> aff</w:t>
      </w:r>
      <w:r w:rsidR="004C7072" w:rsidRPr="00CB34E4">
        <w:t>ecting</w:t>
      </w:r>
      <w:r w:rsidR="004C7072" w:rsidRPr="00550905">
        <w:rPr>
          <w:rFonts w:cstheme="minorHAnsi"/>
          <w:color w:val="000000" w:themeColor="text1"/>
        </w:rPr>
        <w:t xml:space="preserve"> central and northern parts of Australia</w:t>
      </w:r>
      <w:r w:rsidRPr="00550905">
        <w:rPr>
          <w:rFonts w:cstheme="minorHAnsi"/>
          <w:color w:val="000000" w:themeColor="text1"/>
        </w:rPr>
        <w:t>; perceived or actual barriers to client interest or willingness to complete a screening test; and actual or perceived barriers to timely access to diagnostic colonoscopy for those who receive a</w:t>
      </w:r>
      <w:r w:rsidRPr="00457A26">
        <w:rPr>
          <w:rFonts w:cstheme="minorHAnsi"/>
          <w:color w:val="000000" w:themeColor="text1"/>
        </w:rPr>
        <w:t xml:space="preserve"> positive </w:t>
      </w:r>
      <w:proofErr w:type="spellStart"/>
      <w:r w:rsidRPr="00457A26">
        <w:rPr>
          <w:rFonts w:cstheme="minorHAnsi"/>
          <w:color w:val="000000" w:themeColor="text1"/>
        </w:rPr>
        <w:t>iFOBT</w:t>
      </w:r>
      <w:proofErr w:type="spellEnd"/>
      <w:r w:rsidRPr="00457A26">
        <w:rPr>
          <w:rFonts w:cstheme="minorHAnsi"/>
          <w:color w:val="000000" w:themeColor="text1"/>
        </w:rPr>
        <w:t xml:space="preserve"> result.</w:t>
      </w:r>
      <w:r w:rsidRPr="00457A26">
        <w:rPr>
          <w:rStyle w:val="FootnoteReference"/>
          <w:rFonts w:cstheme="minorHAnsi"/>
          <w:color w:val="000000" w:themeColor="text1"/>
        </w:rPr>
        <w:footnoteReference w:id="26"/>
      </w:r>
      <w:r w:rsidRPr="00457A26">
        <w:rPr>
          <w:rFonts w:cstheme="minorHAnsi"/>
          <w:color w:val="000000" w:themeColor="text1"/>
        </w:rPr>
        <w:t xml:space="preserve">  </w:t>
      </w:r>
    </w:p>
    <w:p w14:paraId="36858C34" w14:textId="77777777" w:rsidR="0036115C" w:rsidRDefault="002C70CB" w:rsidP="002C70CB">
      <w:pPr>
        <w:rPr>
          <w:rFonts w:cstheme="minorHAnsi"/>
          <w:color w:val="000000" w:themeColor="text1"/>
        </w:rPr>
      </w:pPr>
      <w:r w:rsidRPr="00457A26">
        <w:rPr>
          <w:rFonts w:cstheme="minorHAnsi"/>
          <w:color w:val="000000" w:themeColor="text1"/>
        </w:rPr>
        <w:t>The under-representation of NT, remote and small health centres in the Pilot may also be explained to some extent by the relative</w:t>
      </w:r>
      <w:r w:rsidR="00AF21F2" w:rsidRPr="00457A26">
        <w:rPr>
          <w:rFonts w:cstheme="minorHAnsi"/>
          <w:color w:val="000000" w:themeColor="text1"/>
        </w:rPr>
        <w:t xml:space="preserve">ly high </w:t>
      </w:r>
      <w:r w:rsidRPr="00457A26">
        <w:rPr>
          <w:rFonts w:cstheme="minorHAnsi"/>
          <w:color w:val="000000" w:themeColor="text1"/>
        </w:rPr>
        <w:t>representation of these centres in the OSR. With approximately 10% of Australia’s Indigenous population, the NT had more OSR centres (n=56) than any other state. Nearest in number was NSW, with 43 health centres and 32% of the Indigenous population.</w:t>
      </w:r>
      <w:r w:rsidRPr="00457A26">
        <w:rPr>
          <w:rStyle w:val="FootnoteReference"/>
          <w:rFonts w:cstheme="minorHAnsi"/>
          <w:color w:val="000000" w:themeColor="text1"/>
        </w:rPr>
        <w:footnoteReference w:id="27"/>
      </w:r>
      <w:r w:rsidRPr="00457A26">
        <w:rPr>
          <w:rFonts w:cstheme="minorHAnsi"/>
          <w:color w:val="000000" w:themeColor="text1"/>
        </w:rPr>
        <w:t xml:space="preserve">  </w:t>
      </w:r>
    </w:p>
    <w:p w14:paraId="3D007091" w14:textId="336EA390" w:rsidR="002C70CB" w:rsidRPr="00720D14" w:rsidRDefault="002C70CB" w:rsidP="002C70CB">
      <w:pPr>
        <w:rPr>
          <w:rFonts w:cstheme="minorHAnsi"/>
          <w:color w:val="767171" w:themeColor="background2" w:themeShade="80"/>
        </w:rPr>
      </w:pPr>
      <w:r w:rsidRPr="00457A26">
        <w:rPr>
          <w:rFonts w:cstheme="minorHAnsi"/>
          <w:color w:val="000000" w:themeColor="text1"/>
        </w:rPr>
        <w:lastRenderedPageBreak/>
        <w:t xml:space="preserve">OSR centres in the NT were also more likely to be small, with about two-thirds of them small remote health centres run by the NT Government.  </w:t>
      </w:r>
    </w:p>
    <w:p w14:paraId="1692A17B" w14:textId="2F770A09" w:rsidR="00CE2F14" w:rsidRPr="0058563E" w:rsidRDefault="003B759E" w:rsidP="00366EAB">
      <w:pPr>
        <w:pStyle w:val="Heading3"/>
        <w:rPr>
          <w:color w:val="767171" w:themeColor="background2" w:themeShade="80"/>
        </w:rPr>
      </w:pPr>
      <w:bookmarkStart w:id="137" w:name="_Toc44339201"/>
      <w:bookmarkStart w:id="138" w:name="_Toc44361566"/>
      <w:r>
        <w:t>Jurisdiction</w:t>
      </w:r>
      <w:bookmarkEnd w:id="137"/>
      <w:bookmarkEnd w:id="138"/>
    </w:p>
    <w:p w14:paraId="08942274" w14:textId="29B480CC" w:rsidR="00A84714" w:rsidRDefault="00457A26" w:rsidP="00CF1FB5">
      <w:r>
        <w:t xml:space="preserve">Pilot health centres were distributed in similar proportions to OSR health centres across NSW, Victoria, WA </w:t>
      </w:r>
      <w:r w:rsidRPr="000D2D26">
        <w:t xml:space="preserve">and SA (Figure </w:t>
      </w:r>
      <w:r w:rsidR="000D2D26" w:rsidRPr="000D2D26">
        <w:t>5</w:t>
      </w:r>
      <w:r w:rsidR="00C66763" w:rsidRPr="000D2D26">
        <w:t>.1</w:t>
      </w:r>
      <w:r w:rsidRPr="000D2D26">
        <w:t>).  The</w:t>
      </w:r>
      <w:r>
        <w:t xml:space="preserve"> proportion of Pilot sites from Queensland and Tasmania w</w:t>
      </w:r>
      <w:r w:rsidR="00427FA4">
        <w:t>as</w:t>
      </w:r>
      <w:r>
        <w:t xml:space="preserve"> higher than OSR centres; and in the Northern Territory, markedly lower</w:t>
      </w:r>
      <w:r w:rsidR="00301F1D">
        <w:t xml:space="preserve"> as discussed above</w:t>
      </w:r>
      <w:r>
        <w:t>.</w:t>
      </w:r>
      <w:r w:rsidR="00427FA4">
        <w:t xml:space="preserve"> </w:t>
      </w:r>
      <w:r>
        <w:t xml:space="preserve">To some extent these variations may reflect differences in whether health centres were counted as single or multi-sites in the OSR and the Pilot. </w:t>
      </w:r>
    </w:p>
    <w:p w14:paraId="30811DE3" w14:textId="389BB009" w:rsidR="00FF7745" w:rsidRDefault="00457A26" w:rsidP="00CF1FB5">
      <w:r>
        <w:t xml:space="preserve">In Queensland and Tasmania, for example, there were </w:t>
      </w:r>
      <w:r w:rsidR="00254EB8">
        <w:t>several</w:t>
      </w:r>
      <w:r>
        <w:t xml:space="preserve"> health centres counted in the Pilot as separate health </w:t>
      </w:r>
      <w:r w:rsidR="00D26A7C">
        <w:t>centres,</w:t>
      </w:r>
      <w:r>
        <w:t xml:space="preserve"> but which were counted as a single multi-site organisation in the OSR. </w:t>
      </w:r>
    </w:p>
    <w:p w14:paraId="5C63434B" w14:textId="612701E8" w:rsidR="00C80C67" w:rsidRPr="00457A26" w:rsidRDefault="00457A26" w:rsidP="00CF1FB5">
      <w:r>
        <w:t xml:space="preserve">The location of the Menzies Pilot project team in Brisbane may also have </w:t>
      </w:r>
      <w:r w:rsidR="00A84714">
        <w:t>influenced</w:t>
      </w:r>
      <w:r>
        <w:t xml:space="preserve"> the high proportion of Pilot sites in Queensland, with long-standing relationships between individuals and organisations involved in Indigenous health and Indigenous cancer issues. </w:t>
      </w:r>
    </w:p>
    <w:p w14:paraId="05CB5730" w14:textId="77777777" w:rsidR="00C80C67" w:rsidRDefault="002209AB" w:rsidP="00633C45">
      <w:pPr>
        <w:keepNext/>
        <w:jc w:val="center"/>
      </w:pPr>
      <w:r w:rsidRPr="002209AB">
        <w:rPr>
          <w:rFonts w:cstheme="minorHAnsi"/>
          <w:noProof/>
          <w:color w:val="767171" w:themeColor="background2" w:themeShade="80"/>
          <w:lang w:eastAsia="en-AU"/>
        </w:rPr>
        <w:drawing>
          <wp:inline distT="0" distB="0" distL="0" distR="0" wp14:anchorId="563534D5" wp14:editId="2F80AF1D">
            <wp:extent cx="5486400" cy="3200400"/>
            <wp:effectExtent l="0" t="0" r="12700" b="12700"/>
            <wp:docPr id="9" name="Chart 9" descr="Chart showing distribution of pilot centres across states/territories compared with distribution of health centres submitting Online Services Repor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81233B" w14:textId="28EAE69B" w:rsidR="00457A26" w:rsidRPr="002209AB" w:rsidRDefault="00D70FD9" w:rsidP="002E74E6">
      <w:pPr>
        <w:pStyle w:val="Caption"/>
      </w:pPr>
      <w:r w:rsidRPr="001E2B6A">
        <w:t xml:space="preserve">Figure </w:t>
      </w:r>
      <w:r w:rsidR="00015F21">
        <w:t>5</w:t>
      </w:r>
      <w:r w:rsidR="00C8027D">
        <w:t>.</w:t>
      </w:r>
      <w:r w:rsidR="00FD7360">
        <w:t>1</w:t>
      </w:r>
      <w:r w:rsidRPr="001E2B6A">
        <w:t xml:space="preserve">: Pilot health centres (June 2019) and OSR health centres (2017-2018), by </w:t>
      </w:r>
      <w:r w:rsidR="001F20F7" w:rsidRPr="001E2B6A">
        <w:t>state and territory</w:t>
      </w:r>
      <w:r w:rsidR="000E6906">
        <w:t>.</w:t>
      </w:r>
    </w:p>
    <w:p w14:paraId="7290F44F" w14:textId="65A85277" w:rsidR="00A377FF" w:rsidRDefault="002209AB" w:rsidP="00A377FF">
      <w:pPr>
        <w:pStyle w:val="FigureTableNote"/>
        <w:rPr>
          <w:i w:val="0"/>
          <w:iCs w:val="0"/>
          <w:lang w:val="en-GB"/>
        </w:rPr>
      </w:pPr>
      <w:r w:rsidRPr="00A84714">
        <w:rPr>
          <w:i w:val="0"/>
          <w:iCs w:val="0"/>
          <w:lang w:val="en-GB"/>
        </w:rPr>
        <w:t>Source: National Indigenous Bowel Screening Pilot – Health Centre Profile and Australian Institute of Health and Welfare 2018. Aboriginal and Torres Strait Islander Health Organisations: Online Services Report – Key results 2017-18.</w:t>
      </w:r>
    </w:p>
    <w:p w14:paraId="05708091" w14:textId="77777777" w:rsidR="00A377FF" w:rsidRDefault="00A377FF" w:rsidP="00A377FF">
      <w:pPr>
        <w:pStyle w:val="FigureTableNote"/>
        <w:rPr>
          <w:i w:val="0"/>
          <w:iCs w:val="0"/>
          <w:lang w:val="en-GB"/>
        </w:rPr>
      </w:pPr>
    </w:p>
    <w:p w14:paraId="1E7704D0" w14:textId="646FA31F" w:rsidR="0020637C" w:rsidRPr="00A377FF" w:rsidRDefault="0020637C" w:rsidP="00366EAB">
      <w:pPr>
        <w:pStyle w:val="Heading3"/>
        <w:rPr>
          <w:lang w:val="en-GB"/>
        </w:rPr>
      </w:pPr>
      <w:bookmarkStart w:id="139" w:name="_Toc44339202"/>
      <w:bookmarkStart w:id="140" w:name="_Toc44361567"/>
      <w:r>
        <w:lastRenderedPageBreak/>
        <w:t>Remoteness</w:t>
      </w:r>
      <w:bookmarkEnd w:id="139"/>
      <w:bookmarkEnd w:id="140"/>
    </w:p>
    <w:p w14:paraId="524832A0" w14:textId="5F7AFF2B" w:rsidR="00D70FD9" w:rsidRPr="00D70FD9" w:rsidRDefault="00D70FD9" w:rsidP="00D70FD9">
      <w:pPr>
        <w:keepNext/>
        <w:keepLines/>
      </w:pPr>
      <w:r w:rsidRPr="00A96359">
        <w:t>A higher proportion of Pilot health centres were from major cities and inner and outer regional areas than those reported in the OSR</w:t>
      </w:r>
      <w:r w:rsidR="007B43C5">
        <w:t xml:space="preserve">, as illustrated in </w:t>
      </w:r>
      <w:r w:rsidR="007B43C5" w:rsidRPr="001C60AE">
        <w:t xml:space="preserve">Figure </w:t>
      </w:r>
      <w:r w:rsidR="00CE2F14" w:rsidRPr="001C60AE">
        <w:t>5</w:t>
      </w:r>
      <w:r w:rsidR="00A84714" w:rsidRPr="001C60AE">
        <w:t>.2</w:t>
      </w:r>
      <w:r w:rsidRPr="001C60AE">
        <w:t>.  Remote</w:t>
      </w:r>
      <w:r w:rsidRPr="00A96359">
        <w:t xml:space="preserve"> and Very Remote regions are under-represented in the Pilot sample</w:t>
      </w:r>
      <w:r w:rsidR="00DE4B05">
        <w:t>.</w:t>
      </w:r>
      <w:r w:rsidR="00CE33FD">
        <w:t xml:space="preserve"> </w:t>
      </w:r>
      <w:r w:rsidRPr="00A96359">
        <w:t xml:space="preserve"> </w:t>
      </w:r>
    </w:p>
    <w:p w14:paraId="2BCA5922" w14:textId="77777777" w:rsidR="00D70FD9" w:rsidRDefault="00E6468B" w:rsidP="00633C45">
      <w:pPr>
        <w:keepNext/>
        <w:jc w:val="center"/>
      </w:pPr>
      <w:r w:rsidRPr="00E6468B">
        <w:rPr>
          <w:noProof/>
          <w:lang w:eastAsia="en-AU"/>
        </w:rPr>
        <w:drawing>
          <wp:inline distT="0" distB="0" distL="0" distR="0" wp14:anchorId="3C2BAA1A" wp14:editId="6632D819">
            <wp:extent cx="5486400" cy="3200400"/>
            <wp:effectExtent l="0" t="0" r="12700" b="12700"/>
            <wp:docPr id="21" name="Chart 21" descr="Chart showing how pilot centres and centres submitting Online Services Reports are distributed across remoteness areas. There were more pilot centres in urban regional areas compared with remote and very remot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5F299F" w14:textId="06278ACE" w:rsidR="00E6468B" w:rsidRPr="00E6468B" w:rsidRDefault="00D70FD9" w:rsidP="002E74E6">
      <w:pPr>
        <w:pStyle w:val="Caption"/>
        <w:rPr>
          <w:lang w:val="en-GB" w:eastAsia="en-AU"/>
        </w:rPr>
      </w:pPr>
      <w:r>
        <w:t>Figure</w:t>
      </w:r>
      <w:r w:rsidR="00CB34E4">
        <w:t xml:space="preserve"> 5</w:t>
      </w:r>
      <w:r w:rsidR="000E6F20">
        <w:t>.2</w:t>
      </w:r>
      <w:r>
        <w:t xml:space="preserve">: </w:t>
      </w:r>
      <w:r w:rsidRPr="00E6468B">
        <w:rPr>
          <w:lang w:eastAsia="en-AU"/>
        </w:rPr>
        <w:t>Pilot health centres (June 2019) and OSR health centres (2017-2018), by classified level of remoteness.</w:t>
      </w:r>
    </w:p>
    <w:p w14:paraId="1E34DF7D" w14:textId="40C2518D" w:rsidR="00DE4B05" w:rsidRPr="00A84714" w:rsidRDefault="00E6468B" w:rsidP="00E6468B">
      <w:pPr>
        <w:rPr>
          <w:sz w:val="20"/>
          <w:szCs w:val="20"/>
          <w:lang w:val="en-GB" w:eastAsia="en-AU"/>
        </w:rPr>
      </w:pPr>
      <w:r w:rsidRPr="00A84714">
        <w:rPr>
          <w:sz w:val="20"/>
          <w:szCs w:val="20"/>
          <w:lang w:val="en-GB" w:eastAsia="en-AU"/>
        </w:rPr>
        <w:t xml:space="preserve">Source: National Indigenous Bowel Screening Pilot – Health Centre Profile and Australian Institute of Health and Welfare 2018. Aboriginal and Torres Strait Islander Health Organisations: </w:t>
      </w:r>
      <w:r w:rsidR="00A23904">
        <w:rPr>
          <w:sz w:val="20"/>
          <w:szCs w:val="20"/>
          <w:lang w:val="en-GB" w:eastAsia="en-AU"/>
        </w:rPr>
        <w:t xml:space="preserve">Online Services Report </w:t>
      </w:r>
      <w:r w:rsidRPr="00A84714">
        <w:rPr>
          <w:sz w:val="20"/>
          <w:szCs w:val="20"/>
          <w:lang w:val="en-GB" w:eastAsia="en-AU"/>
        </w:rPr>
        <w:t>– Key results 2017-18. Postcodes provided by Pilot applicants were converted to Australian Standard Geographical Classification (ASGC) Remoteness Areas.</w:t>
      </w:r>
    </w:p>
    <w:p w14:paraId="4AC7E20A" w14:textId="629D5C8E" w:rsidR="00A053B6" w:rsidRPr="0058563E" w:rsidRDefault="00A053B6" w:rsidP="00366EAB">
      <w:pPr>
        <w:pStyle w:val="Heading3"/>
        <w:rPr>
          <w:color w:val="767171" w:themeColor="background2" w:themeShade="80"/>
        </w:rPr>
      </w:pPr>
      <w:bookmarkStart w:id="141" w:name="_Toc44339203"/>
      <w:bookmarkStart w:id="142" w:name="_Toc44361568"/>
      <w:r>
        <w:t>Type of organisation</w:t>
      </w:r>
      <w:bookmarkEnd w:id="141"/>
      <w:bookmarkEnd w:id="142"/>
    </w:p>
    <w:p w14:paraId="5337E138" w14:textId="2E445F79" w:rsidR="00CA43C5" w:rsidRPr="00E81025" w:rsidRDefault="00B0768D" w:rsidP="00CA43C5">
      <w:pPr>
        <w:rPr>
          <w:lang w:eastAsia="en-AU"/>
        </w:rPr>
      </w:pPr>
      <w:r>
        <w:rPr>
          <w:lang w:eastAsia="en-AU"/>
        </w:rPr>
        <w:t>Most</w:t>
      </w:r>
      <w:r w:rsidR="00CA43C5">
        <w:rPr>
          <w:lang w:eastAsia="en-AU"/>
        </w:rPr>
        <w:t xml:space="preserve"> Pilot health centres </w:t>
      </w:r>
      <w:r w:rsidR="007B43C5">
        <w:rPr>
          <w:lang w:eastAsia="en-AU"/>
        </w:rPr>
        <w:t xml:space="preserve">(77%) </w:t>
      </w:r>
      <w:r w:rsidR="00CA43C5">
        <w:rPr>
          <w:lang w:eastAsia="en-AU"/>
        </w:rPr>
        <w:t xml:space="preserve">were Aboriginal Community Controlled Health Organisations (ACCHOs), </w:t>
      </w:r>
      <w:r w:rsidR="007B43C5">
        <w:rPr>
          <w:lang w:eastAsia="en-AU"/>
        </w:rPr>
        <w:t>similar to</w:t>
      </w:r>
      <w:r w:rsidR="00CA43C5">
        <w:rPr>
          <w:lang w:eastAsia="en-AU"/>
        </w:rPr>
        <w:t xml:space="preserve"> th</w:t>
      </w:r>
      <w:r w:rsidR="007B43C5">
        <w:rPr>
          <w:lang w:eastAsia="en-AU"/>
        </w:rPr>
        <w:t>ose who reported to the</w:t>
      </w:r>
      <w:r w:rsidR="00CA43C5">
        <w:rPr>
          <w:lang w:eastAsia="en-AU"/>
        </w:rPr>
        <w:t xml:space="preserve"> OSR</w:t>
      </w:r>
      <w:r w:rsidR="007B43C5">
        <w:rPr>
          <w:lang w:eastAsia="en-AU"/>
        </w:rPr>
        <w:t xml:space="preserve"> (71%). </w:t>
      </w:r>
      <w:r w:rsidR="00E81025">
        <w:rPr>
          <w:lang w:eastAsia="en-AU"/>
        </w:rPr>
        <w:t xml:space="preserve"> </w:t>
      </w:r>
      <w:r w:rsidR="00E81025">
        <w:t xml:space="preserve">The proportion of Pilot sites that were state or territory government services was around half that of the OSR (13% compared to 24%). The </w:t>
      </w:r>
      <w:r w:rsidR="001F20F7">
        <w:t>major</w:t>
      </w:r>
      <w:r w:rsidR="00E81025">
        <w:t xml:space="preserve"> difference was that while eight per cent of Pilot sites were private practices (GP owned), the OSR report did not include any GP owned services.  </w:t>
      </w:r>
    </w:p>
    <w:p w14:paraId="7FC59A6A" w14:textId="77777777" w:rsidR="00CE33FD" w:rsidRDefault="00CE33FD" w:rsidP="002E74E6">
      <w:pPr>
        <w:pStyle w:val="Caption"/>
      </w:pPr>
      <w:r w:rsidRPr="007C0903">
        <w:rPr>
          <w:noProof/>
          <w:lang w:eastAsia="en-AU"/>
        </w:rPr>
        <w:lastRenderedPageBreak/>
        <w:drawing>
          <wp:inline distT="0" distB="0" distL="0" distR="0" wp14:anchorId="76F7B891" wp14:editId="2C4532E8">
            <wp:extent cx="5486400" cy="3200400"/>
            <wp:effectExtent l="0" t="0" r="12700" b="12700"/>
            <wp:docPr id="23" name="Chart 23" descr="Chart comparing pilot centres and OSR centres by organisation type (ACCHO, state/territory, private practice and other non-govern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B44719" w14:textId="7620E0CF" w:rsidR="00CE33FD" w:rsidRPr="007C0903" w:rsidRDefault="00CE33FD" w:rsidP="002E74E6">
      <w:pPr>
        <w:pStyle w:val="Caption"/>
      </w:pPr>
      <w:r>
        <w:t xml:space="preserve">Figure </w:t>
      </w:r>
      <w:r w:rsidR="00CB34E4">
        <w:t>5.</w:t>
      </w:r>
      <w:r w:rsidR="000E6F20">
        <w:t>3</w:t>
      </w:r>
      <w:r>
        <w:t xml:space="preserve">: </w:t>
      </w:r>
      <w:r w:rsidRPr="007C0903">
        <w:t>Distribution of Pilot health centres (June 2019) and OSR health centres (2017-18), by governance/organisation type.</w:t>
      </w:r>
    </w:p>
    <w:p w14:paraId="3830153B" w14:textId="1BE00286" w:rsidR="006E7BC2" w:rsidRPr="00A84714" w:rsidRDefault="00CE33FD" w:rsidP="00CE33FD">
      <w:pPr>
        <w:pStyle w:val="FigureTableNote"/>
        <w:rPr>
          <w:i w:val="0"/>
          <w:iCs w:val="0"/>
        </w:rPr>
      </w:pPr>
      <w:r w:rsidRPr="00A84714">
        <w:rPr>
          <w:i w:val="0"/>
          <w:iCs w:val="0"/>
        </w:rPr>
        <w:t xml:space="preserve">Source: National Indigenous Bowel Screening Pilot – Health Centre Profile and Australian Institute of Health and Welfare 2018. Aboriginal and Torres Strait Islander Health Organisations: Online </w:t>
      </w:r>
      <w:r w:rsidR="00A23904">
        <w:rPr>
          <w:i w:val="0"/>
          <w:iCs w:val="0"/>
        </w:rPr>
        <w:t>S</w:t>
      </w:r>
      <w:r w:rsidRPr="00A84714">
        <w:rPr>
          <w:i w:val="0"/>
          <w:iCs w:val="0"/>
        </w:rPr>
        <w:t>ervices Report – Key results 2017-18.</w:t>
      </w:r>
    </w:p>
    <w:p w14:paraId="7B1C771B" w14:textId="655385F4" w:rsidR="00A053B6" w:rsidRPr="0058563E" w:rsidRDefault="00A053B6" w:rsidP="00366EAB">
      <w:pPr>
        <w:pStyle w:val="Heading3"/>
        <w:rPr>
          <w:color w:val="767171" w:themeColor="background2" w:themeShade="80"/>
        </w:rPr>
      </w:pPr>
      <w:bookmarkStart w:id="143" w:name="_Toc44339204"/>
      <w:bookmarkStart w:id="144" w:name="_Toc44361569"/>
      <w:r>
        <w:t>Patient numbers</w:t>
      </w:r>
      <w:bookmarkEnd w:id="143"/>
      <w:bookmarkEnd w:id="144"/>
    </w:p>
    <w:p w14:paraId="7F63DC84" w14:textId="1B83CD89" w:rsidR="00E01583" w:rsidRDefault="006458A3" w:rsidP="00E01583">
      <w:r>
        <w:t xml:space="preserve">Of </w:t>
      </w:r>
      <w:r w:rsidR="00E01583">
        <w:t xml:space="preserve">the 47 health centres enrolled in the Pilot, 46 reported </w:t>
      </w:r>
      <w:r w:rsidR="001654F6">
        <w:t xml:space="preserve">total </w:t>
      </w:r>
      <w:r w:rsidR="00E01583">
        <w:t>patient numbers</w:t>
      </w:r>
      <w:r>
        <w:t>.</w:t>
      </w:r>
      <w:r w:rsidR="00E01583" w:rsidRPr="0020222A">
        <w:rPr>
          <w:rStyle w:val="FootnoteReference"/>
          <w:sz w:val="20"/>
          <w:szCs w:val="20"/>
        </w:rPr>
        <w:footnoteReference w:id="28"/>
      </w:r>
      <w:r w:rsidRPr="006D1C24">
        <w:rPr>
          <w:sz w:val="20"/>
          <w:szCs w:val="20"/>
        </w:rPr>
        <w:t xml:space="preserve"> </w:t>
      </w:r>
      <w:r w:rsidR="00E01583">
        <w:t xml:space="preserve">Total patient numbers ranged from just under 600, to more than 15,000, </w:t>
      </w:r>
      <w:r>
        <w:t xml:space="preserve">with </w:t>
      </w:r>
      <w:r w:rsidR="00E01583">
        <w:t xml:space="preserve">an average of 3436 patients per health centre. </w:t>
      </w:r>
    </w:p>
    <w:p w14:paraId="6EBC9842" w14:textId="77777777" w:rsidR="00380F67" w:rsidRDefault="00E01583" w:rsidP="00E01583">
      <w:r>
        <w:t>These total patient numbers included both Indigenous and non-Indigenous patients</w:t>
      </w:r>
      <w:r w:rsidR="006458A3">
        <w:t>.</w:t>
      </w:r>
      <w:r w:rsidR="0092371E" w:rsidRPr="0020222A">
        <w:rPr>
          <w:rStyle w:val="FootnoteReference"/>
          <w:sz w:val="20"/>
          <w:szCs w:val="20"/>
        </w:rPr>
        <w:footnoteReference w:id="29"/>
      </w:r>
      <w:r w:rsidR="00A84714">
        <w:t xml:space="preserve"> </w:t>
      </w:r>
      <w:r>
        <w:t>The four private practices enrolled in the Pilot each averaged nearly 6000 patients in total, but fewer than 10</w:t>
      </w:r>
      <w:r w:rsidR="006458A3">
        <w:t>%</w:t>
      </w:r>
      <w:r>
        <w:t xml:space="preserve"> of these were identified as Indigenous. </w:t>
      </w:r>
    </w:p>
    <w:p w14:paraId="350FB26F" w14:textId="068D1DCB" w:rsidR="00E01583" w:rsidRDefault="00E01583" w:rsidP="00E01583">
      <w:r>
        <w:t xml:space="preserve">Nearly 80% of health centres however had a majority of Indigenous patients, as shown in Table </w:t>
      </w:r>
      <w:r w:rsidR="00DA1E57">
        <w:t>5</w:t>
      </w:r>
      <w:r w:rsidR="00A84714">
        <w:t>.1</w:t>
      </w:r>
      <w:r w:rsidR="00DA1E57">
        <w:t xml:space="preserve"> below</w:t>
      </w:r>
      <w:r>
        <w:t>.</w:t>
      </w:r>
      <w:r w:rsidRPr="002F2148">
        <w:t xml:space="preserve"> </w:t>
      </w:r>
      <w:r w:rsidR="00746E72">
        <w:t xml:space="preserve">Several ACCHOs –in regional </w:t>
      </w:r>
      <w:r w:rsidR="0092371E">
        <w:t>and</w:t>
      </w:r>
      <w:r w:rsidR="00746E72">
        <w:t xml:space="preserve"> remote areas – also had a low ratio of Indigenous to non-Indigenous patients. </w:t>
      </w:r>
    </w:p>
    <w:p w14:paraId="252ACCAF" w14:textId="77777777" w:rsidR="00A23904" w:rsidRDefault="00A23904" w:rsidP="00E01583"/>
    <w:p w14:paraId="7ACE2B6F" w14:textId="394F763B" w:rsidR="00746E72" w:rsidRDefault="00746E72" w:rsidP="002E74E6">
      <w:pPr>
        <w:pStyle w:val="Caption"/>
      </w:pPr>
      <w:r>
        <w:lastRenderedPageBreak/>
        <w:t xml:space="preserve">Table </w:t>
      </w:r>
      <w:r w:rsidR="00CE2F14">
        <w:t>5</w:t>
      </w:r>
      <w:r w:rsidR="000510F0">
        <w:t>.</w:t>
      </w:r>
      <w:r w:rsidR="00BE18AD">
        <w:t>1</w:t>
      </w:r>
      <w:r w:rsidR="006458A3">
        <w:t>:</w:t>
      </w:r>
      <w:r>
        <w:t xml:space="preserve"> Percentage of Indigenous patients at Pilot health centres</w:t>
      </w:r>
    </w:p>
    <w:tbl>
      <w:tblPr>
        <w:tblW w:w="0" w:type="auto"/>
        <w:shd w:val="clear" w:color="auto" w:fill="000000" w:themeFill="text1"/>
        <w:tblLayout w:type="fixed"/>
        <w:tblLook w:val="04A0" w:firstRow="1" w:lastRow="0" w:firstColumn="1" w:lastColumn="0" w:noHBand="0" w:noVBand="1"/>
      </w:tblPr>
      <w:tblGrid>
        <w:gridCol w:w="4390"/>
        <w:gridCol w:w="1647"/>
        <w:gridCol w:w="1051"/>
      </w:tblGrid>
      <w:tr w:rsidR="00E01583" w:rsidRPr="008C7E40" w14:paraId="042F21DF" w14:textId="77777777" w:rsidTr="007E6850">
        <w:trPr>
          <w:cantSplit/>
          <w:trHeight w:hRule="exact" w:val="414"/>
        </w:trPr>
        <w:tc>
          <w:tcPr>
            <w:tcW w:w="4390" w:type="dxa"/>
            <w:tcBorders>
              <w:top w:val="single" w:sz="2" w:space="0" w:color="auto"/>
              <w:left w:val="nil"/>
              <w:bottom w:val="single" w:sz="2" w:space="0" w:color="auto"/>
            </w:tcBorders>
            <w:shd w:val="clear" w:color="auto" w:fill="auto"/>
          </w:tcPr>
          <w:p w14:paraId="60AF04CB" w14:textId="77777777" w:rsidR="00E01583" w:rsidRPr="008C7E40" w:rsidRDefault="00E01583" w:rsidP="005004A6">
            <w:pPr>
              <w:rPr>
                <w:b/>
                <w:bCs/>
                <w:sz w:val="20"/>
                <w:szCs w:val="20"/>
              </w:rPr>
            </w:pPr>
            <w:r w:rsidRPr="008C7E40">
              <w:rPr>
                <w:b/>
                <w:bCs/>
                <w:sz w:val="20"/>
                <w:szCs w:val="20"/>
              </w:rPr>
              <w:t>% of total patients who identified as Indigenous</w:t>
            </w:r>
          </w:p>
        </w:tc>
        <w:tc>
          <w:tcPr>
            <w:tcW w:w="2698" w:type="dxa"/>
            <w:gridSpan w:val="2"/>
            <w:tcBorders>
              <w:top w:val="single" w:sz="2" w:space="0" w:color="auto"/>
              <w:bottom w:val="single" w:sz="2" w:space="0" w:color="auto"/>
              <w:right w:val="nil"/>
            </w:tcBorders>
            <w:shd w:val="clear" w:color="auto" w:fill="auto"/>
          </w:tcPr>
          <w:p w14:paraId="4096CC43" w14:textId="5632FAF3" w:rsidR="00E01583" w:rsidRPr="008C7E40" w:rsidRDefault="00E01583" w:rsidP="005004A6">
            <w:pPr>
              <w:jc w:val="center"/>
              <w:rPr>
                <w:b/>
                <w:bCs/>
                <w:sz w:val="20"/>
                <w:szCs w:val="20"/>
              </w:rPr>
            </w:pPr>
            <w:r w:rsidRPr="008C7E40">
              <w:rPr>
                <w:b/>
                <w:bCs/>
                <w:sz w:val="20"/>
                <w:szCs w:val="20"/>
              </w:rPr>
              <w:t>Health centres (N= 46)</w:t>
            </w:r>
          </w:p>
          <w:p w14:paraId="7CD21656" w14:textId="77777777" w:rsidR="00D64A13" w:rsidRPr="008C7E40" w:rsidRDefault="00D64A13" w:rsidP="005004A6">
            <w:pPr>
              <w:jc w:val="center"/>
              <w:rPr>
                <w:b/>
                <w:bCs/>
                <w:sz w:val="20"/>
                <w:szCs w:val="20"/>
              </w:rPr>
            </w:pPr>
          </w:p>
          <w:p w14:paraId="1608445A" w14:textId="77777777" w:rsidR="00D64A13" w:rsidRPr="008C7E40" w:rsidRDefault="00D64A13" w:rsidP="005004A6">
            <w:pPr>
              <w:jc w:val="center"/>
              <w:rPr>
                <w:b/>
                <w:bCs/>
                <w:sz w:val="20"/>
                <w:szCs w:val="20"/>
              </w:rPr>
            </w:pPr>
          </w:p>
          <w:p w14:paraId="3557CBB8" w14:textId="3B622E4B" w:rsidR="00D64A13" w:rsidRPr="008C7E40" w:rsidRDefault="00D64A13" w:rsidP="005004A6">
            <w:pPr>
              <w:jc w:val="center"/>
              <w:rPr>
                <w:b/>
                <w:bCs/>
                <w:sz w:val="20"/>
                <w:szCs w:val="20"/>
              </w:rPr>
            </w:pPr>
          </w:p>
        </w:tc>
      </w:tr>
      <w:tr w:rsidR="00D64A13" w:rsidRPr="008C7E40" w14:paraId="567C2C3B" w14:textId="77777777" w:rsidTr="007E6850">
        <w:trPr>
          <w:cantSplit/>
          <w:trHeight w:val="2433"/>
        </w:trPr>
        <w:tc>
          <w:tcPr>
            <w:tcW w:w="4390" w:type="dxa"/>
            <w:tcBorders>
              <w:top w:val="single" w:sz="2" w:space="0" w:color="auto"/>
              <w:left w:val="nil"/>
              <w:bottom w:val="single" w:sz="2" w:space="0" w:color="auto"/>
            </w:tcBorders>
            <w:shd w:val="clear" w:color="auto" w:fill="auto"/>
          </w:tcPr>
          <w:p w14:paraId="3AA6D589" w14:textId="77777777" w:rsidR="00D64A13" w:rsidRPr="008C7E40" w:rsidRDefault="00D64A13" w:rsidP="00107236">
            <w:pPr>
              <w:spacing w:line="240" w:lineRule="auto"/>
              <w:rPr>
                <w:sz w:val="20"/>
                <w:szCs w:val="20"/>
              </w:rPr>
            </w:pPr>
          </w:p>
          <w:p w14:paraId="738ADCED" w14:textId="64DAD83F" w:rsidR="00D64A13" w:rsidRPr="008C7E40" w:rsidRDefault="00D64A13" w:rsidP="00107236">
            <w:pPr>
              <w:spacing w:line="240" w:lineRule="auto"/>
              <w:rPr>
                <w:sz w:val="20"/>
                <w:szCs w:val="20"/>
              </w:rPr>
            </w:pPr>
            <w:r w:rsidRPr="008C7E40">
              <w:rPr>
                <w:sz w:val="20"/>
                <w:szCs w:val="20"/>
              </w:rPr>
              <w:t>0-25%</w:t>
            </w:r>
          </w:p>
          <w:p w14:paraId="314A6BA8" w14:textId="77777777" w:rsidR="00D64A13" w:rsidRPr="008C7E40" w:rsidRDefault="00D64A13" w:rsidP="00107236">
            <w:pPr>
              <w:spacing w:line="240" w:lineRule="auto"/>
              <w:rPr>
                <w:sz w:val="20"/>
                <w:szCs w:val="20"/>
              </w:rPr>
            </w:pPr>
            <w:r w:rsidRPr="008C7E40">
              <w:rPr>
                <w:sz w:val="20"/>
                <w:szCs w:val="20"/>
              </w:rPr>
              <w:t>&gt;25%-50%</w:t>
            </w:r>
          </w:p>
          <w:p w14:paraId="0F10D3BE" w14:textId="77777777" w:rsidR="00D64A13" w:rsidRPr="008C7E40" w:rsidRDefault="00D64A13" w:rsidP="00107236">
            <w:pPr>
              <w:spacing w:line="240" w:lineRule="auto"/>
              <w:rPr>
                <w:sz w:val="20"/>
                <w:szCs w:val="20"/>
              </w:rPr>
            </w:pPr>
            <w:r w:rsidRPr="008C7E40">
              <w:rPr>
                <w:sz w:val="20"/>
                <w:szCs w:val="20"/>
              </w:rPr>
              <w:t>&gt;50%-75%</w:t>
            </w:r>
          </w:p>
          <w:p w14:paraId="1F331B31" w14:textId="1397CCFC" w:rsidR="00D64A13" w:rsidRPr="008C7E40" w:rsidRDefault="00D64A13" w:rsidP="00107236">
            <w:pPr>
              <w:spacing w:line="240" w:lineRule="auto"/>
              <w:rPr>
                <w:sz w:val="20"/>
                <w:szCs w:val="20"/>
              </w:rPr>
            </w:pPr>
            <w:r w:rsidRPr="008C7E40">
              <w:rPr>
                <w:sz w:val="20"/>
                <w:szCs w:val="20"/>
              </w:rPr>
              <w:t>&gt;75%-100%</w:t>
            </w:r>
          </w:p>
        </w:tc>
        <w:tc>
          <w:tcPr>
            <w:tcW w:w="1647" w:type="dxa"/>
            <w:tcBorders>
              <w:top w:val="single" w:sz="2" w:space="0" w:color="auto"/>
              <w:bottom w:val="single" w:sz="2" w:space="0" w:color="auto"/>
            </w:tcBorders>
            <w:shd w:val="clear" w:color="auto" w:fill="auto"/>
            <w:vAlign w:val="center"/>
          </w:tcPr>
          <w:p w14:paraId="27EE658F" w14:textId="3689ED6F" w:rsidR="00D64A13" w:rsidRPr="008C7E40" w:rsidRDefault="00D64A13" w:rsidP="00107236">
            <w:pPr>
              <w:spacing w:before="0" w:after="0" w:line="240" w:lineRule="auto"/>
              <w:jc w:val="center"/>
              <w:rPr>
                <w:b/>
                <w:bCs/>
                <w:sz w:val="20"/>
                <w:szCs w:val="20"/>
              </w:rPr>
            </w:pPr>
            <w:r w:rsidRPr="008C7E40">
              <w:rPr>
                <w:b/>
                <w:bCs/>
                <w:sz w:val="20"/>
                <w:szCs w:val="20"/>
              </w:rPr>
              <w:t>n</w:t>
            </w:r>
          </w:p>
          <w:p w14:paraId="7FBAF111" w14:textId="77777777" w:rsidR="00D64A13" w:rsidRPr="008C7E40" w:rsidRDefault="00D64A13" w:rsidP="00107236">
            <w:pPr>
              <w:spacing w:line="240" w:lineRule="auto"/>
              <w:jc w:val="center"/>
              <w:rPr>
                <w:sz w:val="20"/>
                <w:szCs w:val="20"/>
              </w:rPr>
            </w:pPr>
            <w:r w:rsidRPr="008C7E40">
              <w:rPr>
                <w:sz w:val="20"/>
                <w:szCs w:val="20"/>
              </w:rPr>
              <w:t>5</w:t>
            </w:r>
          </w:p>
          <w:p w14:paraId="41BF1C60" w14:textId="77777777" w:rsidR="00D64A13" w:rsidRPr="008C7E40" w:rsidRDefault="00D64A13" w:rsidP="00107236">
            <w:pPr>
              <w:spacing w:line="240" w:lineRule="auto"/>
              <w:jc w:val="center"/>
              <w:rPr>
                <w:sz w:val="20"/>
                <w:szCs w:val="20"/>
              </w:rPr>
            </w:pPr>
            <w:r w:rsidRPr="008C7E40">
              <w:rPr>
                <w:sz w:val="20"/>
                <w:szCs w:val="20"/>
              </w:rPr>
              <w:t>5</w:t>
            </w:r>
          </w:p>
          <w:p w14:paraId="5BB06AD0" w14:textId="77777777" w:rsidR="00D64A13" w:rsidRPr="008C7E40" w:rsidRDefault="00D64A13" w:rsidP="00107236">
            <w:pPr>
              <w:spacing w:line="240" w:lineRule="auto"/>
              <w:jc w:val="center"/>
              <w:rPr>
                <w:sz w:val="20"/>
                <w:szCs w:val="20"/>
              </w:rPr>
            </w:pPr>
            <w:r w:rsidRPr="008C7E40">
              <w:rPr>
                <w:sz w:val="20"/>
                <w:szCs w:val="20"/>
              </w:rPr>
              <w:t>4</w:t>
            </w:r>
          </w:p>
          <w:p w14:paraId="06A6DC9A" w14:textId="19FE8289" w:rsidR="00D64A13" w:rsidRPr="008C7E40" w:rsidRDefault="00D64A13" w:rsidP="00107236">
            <w:pPr>
              <w:spacing w:line="240" w:lineRule="auto"/>
              <w:jc w:val="center"/>
              <w:rPr>
                <w:b/>
                <w:bCs/>
                <w:sz w:val="20"/>
                <w:szCs w:val="20"/>
              </w:rPr>
            </w:pPr>
            <w:r w:rsidRPr="008C7E40">
              <w:rPr>
                <w:sz w:val="20"/>
                <w:szCs w:val="20"/>
              </w:rPr>
              <w:t>32</w:t>
            </w:r>
          </w:p>
        </w:tc>
        <w:tc>
          <w:tcPr>
            <w:tcW w:w="1051" w:type="dxa"/>
            <w:tcBorders>
              <w:top w:val="single" w:sz="2" w:space="0" w:color="auto"/>
              <w:bottom w:val="single" w:sz="2" w:space="0" w:color="auto"/>
              <w:right w:val="nil"/>
            </w:tcBorders>
            <w:shd w:val="clear" w:color="auto" w:fill="auto"/>
            <w:vAlign w:val="center"/>
          </w:tcPr>
          <w:p w14:paraId="5836B49D" w14:textId="77777777" w:rsidR="00D64A13" w:rsidRPr="008C7E40" w:rsidRDefault="00D64A13" w:rsidP="00107236">
            <w:pPr>
              <w:spacing w:before="0" w:after="0" w:line="240" w:lineRule="auto"/>
              <w:jc w:val="center"/>
              <w:rPr>
                <w:b/>
                <w:bCs/>
                <w:sz w:val="20"/>
                <w:szCs w:val="20"/>
              </w:rPr>
            </w:pPr>
            <w:r w:rsidRPr="008C7E40">
              <w:rPr>
                <w:b/>
                <w:bCs/>
                <w:sz w:val="20"/>
                <w:szCs w:val="20"/>
              </w:rPr>
              <w:t>%</w:t>
            </w:r>
          </w:p>
          <w:p w14:paraId="45BBD549" w14:textId="77777777" w:rsidR="00D64A13" w:rsidRPr="008C7E40" w:rsidRDefault="00D64A13" w:rsidP="00107236">
            <w:pPr>
              <w:spacing w:line="240" w:lineRule="auto"/>
              <w:jc w:val="center"/>
              <w:rPr>
                <w:sz w:val="20"/>
                <w:szCs w:val="20"/>
              </w:rPr>
            </w:pPr>
            <w:r w:rsidRPr="008C7E40">
              <w:rPr>
                <w:sz w:val="20"/>
                <w:szCs w:val="20"/>
              </w:rPr>
              <w:t>11</w:t>
            </w:r>
          </w:p>
          <w:p w14:paraId="51F21AB9" w14:textId="77777777" w:rsidR="00D64A13" w:rsidRPr="008C7E40" w:rsidRDefault="00D64A13" w:rsidP="00107236">
            <w:pPr>
              <w:spacing w:line="240" w:lineRule="auto"/>
              <w:jc w:val="center"/>
              <w:rPr>
                <w:sz w:val="20"/>
                <w:szCs w:val="20"/>
              </w:rPr>
            </w:pPr>
            <w:r w:rsidRPr="008C7E40">
              <w:rPr>
                <w:sz w:val="20"/>
                <w:szCs w:val="20"/>
              </w:rPr>
              <w:t>11</w:t>
            </w:r>
          </w:p>
          <w:p w14:paraId="4FF816CE" w14:textId="77777777" w:rsidR="00D64A13" w:rsidRPr="008C7E40" w:rsidRDefault="00D64A13" w:rsidP="00107236">
            <w:pPr>
              <w:spacing w:line="240" w:lineRule="auto"/>
              <w:jc w:val="center"/>
              <w:rPr>
                <w:sz w:val="20"/>
                <w:szCs w:val="20"/>
              </w:rPr>
            </w:pPr>
            <w:r w:rsidRPr="008C7E40">
              <w:rPr>
                <w:sz w:val="20"/>
                <w:szCs w:val="20"/>
              </w:rPr>
              <w:t>9</w:t>
            </w:r>
          </w:p>
          <w:p w14:paraId="4A69C375" w14:textId="7B8FB061" w:rsidR="00D64A13" w:rsidRPr="008C7E40" w:rsidRDefault="00D64A13" w:rsidP="00107236">
            <w:pPr>
              <w:spacing w:line="240" w:lineRule="auto"/>
              <w:jc w:val="center"/>
              <w:rPr>
                <w:b/>
                <w:bCs/>
                <w:sz w:val="20"/>
                <w:szCs w:val="20"/>
              </w:rPr>
            </w:pPr>
            <w:r w:rsidRPr="008C7E40">
              <w:rPr>
                <w:sz w:val="20"/>
                <w:szCs w:val="20"/>
              </w:rPr>
              <w:t>70</w:t>
            </w:r>
          </w:p>
        </w:tc>
      </w:tr>
      <w:tr w:rsidR="00E01583" w:rsidRPr="008C7E40" w14:paraId="2C653DE8" w14:textId="77777777" w:rsidTr="007E6850">
        <w:trPr>
          <w:cantSplit/>
          <w:trHeight w:hRule="exact" w:val="397"/>
        </w:trPr>
        <w:tc>
          <w:tcPr>
            <w:tcW w:w="4390" w:type="dxa"/>
            <w:tcBorders>
              <w:top w:val="single" w:sz="2" w:space="0" w:color="auto"/>
              <w:left w:val="nil"/>
              <w:bottom w:val="nil"/>
            </w:tcBorders>
            <w:shd w:val="clear" w:color="auto" w:fill="auto"/>
          </w:tcPr>
          <w:p w14:paraId="4A418BE0" w14:textId="77777777" w:rsidR="00E01583" w:rsidRPr="008C7E40" w:rsidRDefault="00E01583" w:rsidP="005004A6">
            <w:pPr>
              <w:rPr>
                <w:b/>
                <w:bCs/>
                <w:sz w:val="20"/>
                <w:szCs w:val="20"/>
              </w:rPr>
            </w:pPr>
            <w:r w:rsidRPr="008C7E40">
              <w:rPr>
                <w:b/>
                <w:bCs/>
                <w:sz w:val="20"/>
                <w:szCs w:val="20"/>
              </w:rPr>
              <w:t>Total</w:t>
            </w:r>
          </w:p>
        </w:tc>
        <w:tc>
          <w:tcPr>
            <w:tcW w:w="1647" w:type="dxa"/>
            <w:tcBorders>
              <w:top w:val="single" w:sz="2" w:space="0" w:color="auto"/>
              <w:bottom w:val="nil"/>
            </w:tcBorders>
            <w:shd w:val="clear" w:color="auto" w:fill="auto"/>
            <w:vAlign w:val="center"/>
          </w:tcPr>
          <w:p w14:paraId="4F9FF1DB" w14:textId="77777777" w:rsidR="00E01583" w:rsidRPr="008C7E40" w:rsidRDefault="00E01583" w:rsidP="0021726C">
            <w:pPr>
              <w:jc w:val="center"/>
              <w:rPr>
                <w:b/>
                <w:bCs/>
                <w:sz w:val="20"/>
                <w:szCs w:val="20"/>
              </w:rPr>
            </w:pPr>
            <w:r w:rsidRPr="008C7E40">
              <w:rPr>
                <w:b/>
                <w:bCs/>
                <w:sz w:val="20"/>
                <w:szCs w:val="20"/>
              </w:rPr>
              <w:t>46</w:t>
            </w:r>
          </w:p>
        </w:tc>
        <w:tc>
          <w:tcPr>
            <w:tcW w:w="1051" w:type="dxa"/>
            <w:tcBorders>
              <w:top w:val="single" w:sz="2" w:space="0" w:color="auto"/>
              <w:bottom w:val="nil"/>
              <w:right w:val="nil"/>
            </w:tcBorders>
            <w:shd w:val="clear" w:color="auto" w:fill="auto"/>
            <w:vAlign w:val="center"/>
          </w:tcPr>
          <w:p w14:paraId="460E4476" w14:textId="0CDCAA9E" w:rsidR="00E01583" w:rsidRPr="008C7E40" w:rsidRDefault="00E01583" w:rsidP="0021726C">
            <w:pPr>
              <w:jc w:val="center"/>
              <w:rPr>
                <w:b/>
                <w:bCs/>
                <w:sz w:val="20"/>
                <w:szCs w:val="20"/>
              </w:rPr>
            </w:pPr>
            <w:r w:rsidRPr="008C7E40">
              <w:rPr>
                <w:b/>
                <w:bCs/>
                <w:sz w:val="20"/>
                <w:szCs w:val="20"/>
              </w:rPr>
              <w:t>100</w:t>
            </w:r>
          </w:p>
        </w:tc>
      </w:tr>
    </w:tbl>
    <w:p w14:paraId="4304BB5B" w14:textId="4F4072FF" w:rsidR="00E01583" w:rsidRPr="00A84714" w:rsidRDefault="00E01583" w:rsidP="00E01583">
      <w:pPr>
        <w:rPr>
          <w:sz w:val="20"/>
          <w:szCs w:val="20"/>
        </w:rPr>
      </w:pPr>
      <w:r w:rsidRPr="00A84714">
        <w:rPr>
          <w:sz w:val="20"/>
          <w:szCs w:val="20"/>
        </w:rPr>
        <w:t>Note: One health centre was excluded from these data as no patient numbers were reported.</w:t>
      </w:r>
      <w:r w:rsidRPr="00A84714">
        <w:rPr>
          <w:sz w:val="20"/>
          <w:szCs w:val="20"/>
        </w:rPr>
        <w:tab/>
      </w:r>
    </w:p>
    <w:p w14:paraId="2794763D" w14:textId="4A18F7A8" w:rsidR="00E01583" w:rsidRDefault="00E01583" w:rsidP="00E01583">
      <w:r>
        <w:t>The total number of Indigenous people reported as patients across all health centres (N=46) was more than 100,000. A much smaller proportion (</w:t>
      </w:r>
      <w:r w:rsidR="002C549D">
        <w:t>n</w:t>
      </w:r>
      <w:r>
        <w:t xml:space="preserve"> = 17,963, almost 18%) were in the NBCSP eligible age range of 50 to 74 years. The average number of </w:t>
      </w:r>
      <w:r w:rsidRPr="003C254F">
        <w:t>eligible Indigenous patients per health centre</w:t>
      </w:r>
      <w:r>
        <w:t xml:space="preserve"> was 390; individual health centre numbers ranged from 40 to 2356.  </w:t>
      </w:r>
    </w:p>
    <w:p w14:paraId="0E9ACC1B" w14:textId="2E06C262" w:rsidR="00871B36" w:rsidRPr="0058563E" w:rsidRDefault="00871B36" w:rsidP="00366EAB">
      <w:pPr>
        <w:pStyle w:val="Heading3"/>
        <w:rPr>
          <w:color w:val="767171" w:themeColor="background2" w:themeShade="80"/>
        </w:rPr>
      </w:pPr>
      <w:bookmarkStart w:id="145" w:name="_Toc44339205"/>
      <w:bookmarkStart w:id="146" w:name="_Toc44361570"/>
      <w:r>
        <w:t>Size</w:t>
      </w:r>
      <w:bookmarkEnd w:id="145"/>
      <w:bookmarkEnd w:id="146"/>
    </w:p>
    <w:p w14:paraId="0CD198FA" w14:textId="4CFF1BFC" w:rsidR="00FC4C1E" w:rsidRDefault="00DE4B05" w:rsidP="00FC4C1E">
      <w:r>
        <w:rPr>
          <w:lang w:val="en-US"/>
        </w:rPr>
        <w:t xml:space="preserve">The OSR </w:t>
      </w:r>
      <w:r w:rsidR="00263B34">
        <w:rPr>
          <w:lang w:val="en-US"/>
        </w:rPr>
        <w:t>determines</w:t>
      </w:r>
      <w:r>
        <w:rPr>
          <w:lang w:val="en-US"/>
        </w:rPr>
        <w:t xml:space="preserve"> health </w:t>
      </w:r>
      <w:proofErr w:type="spellStart"/>
      <w:r>
        <w:rPr>
          <w:lang w:val="en-US"/>
        </w:rPr>
        <w:t>centre</w:t>
      </w:r>
      <w:proofErr w:type="spellEnd"/>
      <w:r>
        <w:rPr>
          <w:lang w:val="en-US"/>
        </w:rPr>
        <w:t xml:space="preserve"> size by the number of individual clients receiving services at a health </w:t>
      </w:r>
      <w:proofErr w:type="spellStart"/>
      <w:r>
        <w:rPr>
          <w:lang w:val="en-US"/>
        </w:rPr>
        <w:t>centre</w:t>
      </w:r>
      <w:proofErr w:type="spellEnd"/>
      <w:r>
        <w:rPr>
          <w:lang w:val="en-US"/>
        </w:rPr>
        <w:t xml:space="preserve"> in the reporting year, grouped as shown in </w:t>
      </w:r>
      <w:r w:rsidRPr="00A84714">
        <w:rPr>
          <w:lang w:val="en-US"/>
        </w:rPr>
        <w:t xml:space="preserve">Figure </w:t>
      </w:r>
      <w:r w:rsidR="00CE2F14">
        <w:rPr>
          <w:lang w:val="en-US"/>
        </w:rPr>
        <w:t>5</w:t>
      </w:r>
      <w:r w:rsidR="00A84714" w:rsidRPr="00A84714">
        <w:rPr>
          <w:lang w:val="en-US"/>
        </w:rPr>
        <w:t>.4</w:t>
      </w:r>
      <w:r>
        <w:rPr>
          <w:lang w:val="en-US"/>
        </w:rPr>
        <w:t xml:space="preserve"> </w:t>
      </w:r>
      <w:r w:rsidR="00CE2F14">
        <w:rPr>
          <w:lang w:val="en-US"/>
        </w:rPr>
        <w:t xml:space="preserve">below </w:t>
      </w:r>
      <w:r>
        <w:rPr>
          <w:lang w:val="en-US"/>
        </w:rPr>
        <w:t xml:space="preserve">as Small, Medium, Large or Very Large. </w:t>
      </w:r>
    </w:p>
    <w:p w14:paraId="24AD90B5" w14:textId="4DCEAD0D" w:rsidR="00DE4B05" w:rsidRDefault="00C202ED" w:rsidP="00FC4C1E">
      <w:r>
        <w:t xml:space="preserve">In comparison to the </w:t>
      </w:r>
      <w:r w:rsidR="002D2FD0">
        <w:t>OSR health centres, f</w:t>
      </w:r>
      <w:r w:rsidR="00E41D93">
        <w:t>ewer</w:t>
      </w:r>
      <w:r w:rsidR="00E81025">
        <w:t xml:space="preserve"> Pilot sites were classified as </w:t>
      </w:r>
      <w:r w:rsidR="002C549D">
        <w:t>S</w:t>
      </w:r>
      <w:r w:rsidR="00E81025">
        <w:t>mall</w:t>
      </w:r>
      <w:r w:rsidR="002D2FD0">
        <w:t xml:space="preserve">. </w:t>
      </w:r>
      <w:r w:rsidR="00746E72">
        <w:t>A</w:t>
      </w:r>
      <w:r w:rsidR="0098000C">
        <w:t xml:space="preserve"> </w:t>
      </w:r>
      <w:r w:rsidR="00DE4B05">
        <w:t>greater proportion of health centres in the Pilot were of Medium, Large or Very Large size.</w:t>
      </w:r>
      <w:r w:rsidR="00A72F1C">
        <w:t xml:space="preserve"> </w:t>
      </w:r>
    </w:p>
    <w:p w14:paraId="48C4F533" w14:textId="77777777" w:rsidR="00A72F1C" w:rsidRDefault="00DE4B05" w:rsidP="00661F5C">
      <w:pPr>
        <w:keepNext/>
        <w:jc w:val="center"/>
      </w:pPr>
      <w:bookmarkStart w:id="147" w:name="_Toc38539099"/>
      <w:bookmarkStart w:id="148" w:name="_Toc38540034"/>
      <w:bookmarkStart w:id="149" w:name="_Toc38540089"/>
      <w:r w:rsidRPr="007C0903">
        <w:rPr>
          <w:rFonts w:cstheme="minorHAnsi"/>
          <w:noProof/>
          <w:lang w:eastAsia="en-AU"/>
        </w:rPr>
        <w:lastRenderedPageBreak/>
        <w:drawing>
          <wp:inline distT="0" distB="0" distL="0" distR="0" wp14:anchorId="146AACFA" wp14:editId="1993A37A">
            <wp:extent cx="5486400" cy="3200400"/>
            <wp:effectExtent l="0" t="0" r="12700" b="12700"/>
            <wp:docPr id="24" name="Chart 24" descr="Chart comparing pilot and OSR centres by size (small, medium, large, very lar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96346D" w14:textId="50CB1DCE" w:rsidR="00DE4B05" w:rsidRPr="00A84714" w:rsidRDefault="00830946" w:rsidP="002E74E6">
      <w:pPr>
        <w:pStyle w:val="Caption"/>
        <w:rPr>
          <w:rFonts w:cstheme="minorHAnsi"/>
        </w:rPr>
      </w:pPr>
      <w:r>
        <w:t>Figure 5.1:</w:t>
      </w:r>
      <w:r w:rsidR="00A72F1C" w:rsidRPr="00A84714">
        <w:t xml:space="preserve"> Distribution of Pilot (June 2019) and OSR (2016-2017) health centres by size, using Indigenous client numbers as</w:t>
      </w:r>
      <w:r w:rsidR="00FF7745">
        <w:t xml:space="preserve"> the measure</w:t>
      </w:r>
      <w:r w:rsidR="00A72F1C" w:rsidRPr="00A84714">
        <w:t>.</w:t>
      </w:r>
    </w:p>
    <w:p w14:paraId="57244B72" w14:textId="77777777" w:rsidR="00DE4B05" w:rsidRPr="00A84714" w:rsidRDefault="00DE4B05" w:rsidP="00A72F1C">
      <w:pPr>
        <w:contextualSpacing/>
        <w:rPr>
          <w:rFonts w:cstheme="minorHAnsi"/>
          <w:iCs/>
          <w:sz w:val="20"/>
          <w:szCs w:val="20"/>
        </w:rPr>
      </w:pPr>
      <w:r w:rsidRPr="00A84714">
        <w:rPr>
          <w:rFonts w:cstheme="minorHAnsi"/>
          <w:iCs/>
          <w:sz w:val="20"/>
          <w:szCs w:val="20"/>
        </w:rPr>
        <w:t xml:space="preserve">Note: One Pilot health centre was excluded from this analysis as they did not report total Indigenous client numbers.  </w:t>
      </w:r>
    </w:p>
    <w:p w14:paraId="6A4F41A6" w14:textId="1A345A19" w:rsidR="00254EB8" w:rsidRPr="00254EB8" w:rsidRDefault="00DE4B05" w:rsidP="001E50F2">
      <w:pPr>
        <w:contextualSpacing/>
        <w:rPr>
          <w:rFonts w:cstheme="minorHAnsi"/>
          <w:iCs/>
          <w:sz w:val="20"/>
          <w:szCs w:val="20"/>
        </w:rPr>
      </w:pPr>
      <w:r w:rsidRPr="00A84714">
        <w:rPr>
          <w:rFonts w:cstheme="minorHAnsi"/>
          <w:iCs/>
          <w:sz w:val="20"/>
          <w:szCs w:val="20"/>
        </w:rPr>
        <w:t xml:space="preserve">Source: National Indigenous Bowel Screening Pilot – Health Centre Profile 2018 and Health Centre Report 2019; and Australian Institute of Health and Welfare 2018. Aboriginal and Torres Strait Islander Health Organisations: </w:t>
      </w:r>
      <w:r w:rsidR="00A23904">
        <w:rPr>
          <w:rFonts w:cstheme="minorHAnsi"/>
          <w:iCs/>
          <w:sz w:val="20"/>
          <w:szCs w:val="20"/>
        </w:rPr>
        <w:t xml:space="preserve">Online Services Report </w:t>
      </w:r>
      <w:r w:rsidRPr="00A84714">
        <w:rPr>
          <w:rFonts w:cstheme="minorHAnsi"/>
          <w:iCs/>
          <w:sz w:val="20"/>
          <w:szCs w:val="20"/>
        </w:rPr>
        <w:t>– Key results 2017-18</w:t>
      </w:r>
      <w:bookmarkEnd w:id="147"/>
      <w:bookmarkEnd w:id="148"/>
      <w:bookmarkEnd w:id="149"/>
    </w:p>
    <w:p w14:paraId="223C5D91" w14:textId="2E2ABBC6" w:rsidR="00254EB8" w:rsidRDefault="00254EB8" w:rsidP="00366EAB">
      <w:pPr>
        <w:pStyle w:val="Heading3"/>
      </w:pPr>
      <w:bookmarkStart w:id="150" w:name="_Toc44339206"/>
      <w:bookmarkStart w:id="151" w:name="_Toc44361571"/>
      <w:r>
        <w:t>Hot zones</w:t>
      </w:r>
      <w:bookmarkEnd w:id="150"/>
      <w:bookmarkEnd w:id="151"/>
    </w:p>
    <w:p w14:paraId="0D5CF757" w14:textId="67C807F9" w:rsidR="001E50F2" w:rsidRDefault="001E50F2" w:rsidP="001E50F2">
      <w:pPr>
        <w:rPr>
          <w:rFonts w:cstheme="minorHAnsi"/>
        </w:rPr>
      </w:pPr>
      <w:r>
        <w:rPr>
          <w:rFonts w:cstheme="minorHAnsi"/>
        </w:rPr>
        <w:t>T</w:t>
      </w:r>
      <w:r w:rsidRPr="00874345">
        <w:rPr>
          <w:rFonts w:cstheme="minorHAnsi"/>
        </w:rPr>
        <w:t xml:space="preserve">o minimise the risk of samples being exposed to high temperatures, the NBCSP restricts the distribution of kits in areas classified as </w:t>
      </w:r>
      <w:r w:rsidRPr="003C254F">
        <w:rPr>
          <w:rFonts w:cstheme="minorHAnsi"/>
        </w:rPr>
        <w:t>hot zones.</w:t>
      </w:r>
      <w:r w:rsidRPr="00874345">
        <w:rPr>
          <w:rFonts w:cstheme="minorHAnsi"/>
        </w:rPr>
        <w:t xml:space="preserve"> In the usual Pathway this means kits are not sent to people who live in hot zones during months classified as having an average temperature </w:t>
      </w:r>
      <w:r>
        <w:rPr>
          <w:rFonts w:cstheme="minorHAnsi"/>
        </w:rPr>
        <w:t xml:space="preserve">greater than </w:t>
      </w:r>
      <w:r w:rsidRPr="00874345">
        <w:rPr>
          <w:rFonts w:cstheme="minorHAnsi"/>
        </w:rPr>
        <w:t xml:space="preserve">30.4 degrees. </w:t>
      </w:r>
    </w:p>
    <w:p w14:paraId="428984AB" w14:textId="3C42D8AE" w:rsidR="001E50F2" w:rsidRDefault="001E50F2" w:rsidP="001E50F2">
      <w:pPr>
        <w:rPr>
          <w:rFonts w:cstheme="minorHAnsi"/>
        </w:rPr>
      </w:pPr>
      <w:r w:rsidRPr="00874345">
        <w:rPr>
          <w:rFonts w:cstheme="minorHAnsi"/>
        </w:rPr>
        <w:t xml:space="preserve">The intent </w:t>
      </w:r>
      <w:r>
        <w:rPr>
          <w:rFonts w:cstheme="minorHAnsi"/>
        </w:rPr>
        <w:t>of the hot zone policy is to reduce the likelihood of a false negative test result. Over time, heat can break down blood that may be in the sample</w:t>
      </w:r>
      <w:r w:rsidRPr="00874345">
        <w:rPr>
          <w:rFonts w:cstheme="minorHAnsi"/>
        </w:rPr>
        <w:t>. In</w:t>
      </w:r>
      <w:r w:rsidR="00842FF9">
        <w:rPr>
          <w:rFonts w:cstheme="minorHAnsi"/>
        </w:rPr>
        <w:t>form</w:t>
      </w:r>
      <w:r w:rsidRPr="00874345">
        <w:rPr>
          <w:rFonts w:cstheme="minorHAnsi"/>
        </w:rPr>
        <w:t>ation in the screening invitation letter</w:t>
      </w:r>
      <w:r>
        <w:rPr>
          <w:rFonts w:cstheme="minorHAnsi"/>
        </w:rPr>
        <w:t xml:space="preserve"> and</w:t>
      </w:r>
      <w:r w:rsidRPr="00874345">
        <w:rPr>
          <w:rFonts w:cstheme="minorHAnsi"/>
        </w:rPr>
        <w:t xml:space="preserve"> user instructions in the test kit and in</w:t>
      </w:r>
      <w:r w:rsidR="00842FF9">
        <w:rPr>
          <w:rFonts w:cstheme="minorHAnsi"/>
        </w:rPr>
        <w:t>form</w:t>
      </w:r>
      <w:r w:rsidRPr="00874345">
        <w:rPr>
          <w:rFonts w:cstheme="minorHAnsi"/>
        </w:rPr>
        <w:t>ation booklet advise participants of the importance of keeping the completed kit cool and how to handle and return kits to minimise heat exposure.</w:t>
      </w:r>
      <w:r>
        <w:rPr>
          <w:rFonts w:cstheme="minorHAnsi"/>
        </w:rPr>
        <w:t xml:space="preserve"> </w:t>
      </w:r>
      <w:r w:rsidR="006458A3">
        <w:rPr>
          <w:rFonts w:cstheme="minorHAnsi"/>
        </w:rPr>
        <w:t>In l</w:t>
      </w:r>
      <w:r w:rsidRPr="00874345">
        <w:rPr>
          <w:rFonts w:cstheme="minorHAnsi"/>
        </w:rPr>
        <w:t xml:space="preserve">ocations </w:t>
      </w:r>
      <w:r>
        <w:rPr>
          <w:rFonts w:cstheme="minorHAnsi"/>
        </w:rPr>
        <w:t>where all months a</w:t>
      </w:r>
      <w:r w:rsidRPr="00874345">
        <w:rPr>
          <w:rFonts w:cstheme="minorHAnsi"/>
        </w:rPr>
        <w:t xml:space="preserve">verage </w:t>
      </w:r>
      <w:r>
        <w:rPr>
          <w:rFonts w:cstheme="minorHAnsi"/>
        </w:rPr>
        <w:t>more than</w:t>
      </w:r>
      <w:r w:rsidRPr="00874345">
        <w:rPr>
          <w:rFonts w:cstheme="minorHAnsi"/>
        </w:rPr>
        <w:t xml:space="preserve"> 30 degrees </w:t>
      </w:r>
      <w:r w:rsidR="006458A3">
        <w:rPr>
          <w:rFonts w:cstheme="minorHAnsi"/>
        </w:rPr>
        <w:t xml:space="preserve">kits </w:t>
      </w:r>
      <w:r>
        <w:rPr>
          <w:rFonts w:cstheme="minorHAnsi"/>
        </w:rPr>
        <w:t>are</w:t>
      </w:r>
      <w:r w:rsidRPr="00874345">
        <w:rPr>
          <w:rFonts w:cstheme="minorHAnsi"/>
        </w:rPr>
        <w:t xml:space="preserve"> mailed in the coolest couple of months, usually around May or June. </w:t>
      </w:r>
    </w:p>
    <w:p w14:paraId="30B37993" w14:textId="13D69876" w:rsidR="001E50F2" w:rsidRPr="00874345" w:rsidRDefault="001E50F2" w:rsidP="001E50F2">
      <w:pPr>
        <w:rPr>
          <w:rFonts w:cstheme="minorHAnsi"/>
        </w:rPr>
      </w:pPr>
      <w:r w:rsidRPr="00874345">
        <w:rPr>
          <w:rFonts w:cstheme="minorHAnsi"/>
        </w:rPr>
        <w:t xml:space="preserve">With the Alternative Pathway, health centres </w:t>
      </w:r>
      <w:r>
        <w:rPr>
          <w:rFonts w:cstheme="minorHAnsi"/>
        </w:rPr>
        <w:t>were</w:t>
      </w:r>
      <w:r w:rsidRPr="00874345">
        <w:rPr>
          <w:rFonts w:cstheme="minorHAnsi"/>
        </w:rPr>
        <w:t xml:space="preserve"> required to adhere to the hot zone policy</w:t>
      </w:r>
      <w:r>
        <w:rPr>
          <w:rFonts w:cstheme="minorHAnsi"/>
        </w:rPr>
        <w:t xml:space="preserve"> </w:t>
      </w:r>
      <w:r w:rsidRPr="00874345">
        <w:rPr>
          <w:rFonts w:cstheme="minorHAnsi"/>
        </w:rPr>
        <w:t xml:space="preserve">and only distribute kits during unrestricted months, unless they </w:t>
      </w:r>
      <w:r w:rsidR="00D67B64">
        <w:rPr>
          <w:rFonts w:cstheme="minorHAnsi"/>
        </w:rPr>
        <w:t>could</w:t>
      </w:r>
      <w:r w:rsidRPr="00874345">
        <w:rPr>
          <w:rFonts w:cstheme="minorHAnsi"/>
        </w:rPr>
        <w:t xml:space="preserve"> demonstrate that procedures </w:t>
      </w:r>
      <w:r>
        <w:rPr>
          <w:rFonts w:cstheme="minorHAnsi"/>
        </w:rPr>
        <w:t>were</w:t>
      </w:r>
      <w:r w:rsidRPr="00874345">
        <w:rPr>
          <w:rFonts w:cstheme="minorHAnsi"/>
        </w:rPr>
        <w:t xml:space="preserve"> in place to transport samples as quickly as possible</w:t>
      </w:r>
      <w:r>
        <w:rPr>
          <w:rFonts w:cstheme="minorHAnsi"/>
        </w:rPr>
        <w:t>,</w:t>
      </w:r>
      <w:r w:rsidRPr="00874345">
        <w:rPr>
          <w:rFonts w:cstheme="minorHAnsi"/>
        </w:rPr>
        <w:t xml:space="preserve"> and with minimal risk of </w:t>
      </w:r>
      <w:r>
        <w:rPr>
          <w:rFonts w:cstheme="minorHAnsi"/>
        </w:rPr>
        <w:t xml:space="preserve">heat </w:t>
      </w:r>
      <w:r w:rsidRPr="00874345">
        <w:rPr>
          <w:rFonts w:cstheme="minorHAnsi"/>
        </w:rPr>
        <w:t>exposure</w:t>
      </w:r>
      <w:r>
        <w:rPr>
          <w:rFonts w:cstheme="minorHAnsi"/>
        </w:rPr>
        <w:t>,</w:t>
      </w:r>
      <w:r w:rsidRPr="00874345">
        <w:rPr>
          <w:rFonts w:cstheme="minorHAnsi"/>
        </w:rPr>
        <w:t xml:space="preserve"> to </w:t>
      </w:r>
      <w:r>
        <w:rPr>
          <w:rFonts w:cstheme="minorHAnsi"/>
        </w:rPr>
        <w:t>a</w:t>
      </w:r>
      <w:r w:rsidRPr="00874345">
        <w:rPr>
          <w:rFonts w:cstheme="minorHAnsi"/>
        </w:rPr>
        <w:t xml:space="preserve"> </w:t>
      </w:r>
      <w:r w:rsidR="00C67CA1">
        <w:rPr>
          <w:rFonts w:cstheme="minorHAnsi"/>
        </w:rPr>
        <w:t>Sonic Healthcare</w:t>
      </w:r>
      <w:r w:rsidRPr="00874345">
        <w:rPr>
          <w:rFonts w:cstheme="minorHAnsi"/>
        </w:rPr>
        <w:t xml:space="preserve"> laborato</w:t>
      </w:r>
      <w:r>
        <w:rPr>
          <w:rFonts w:cstheme="minorHAnsi"/>
        </w:rPr>
        <w:t>ry</w:t>
      </w:r>
      <w:r w:rsidRPr="00874345">
        <w:rPr>
          <w:rFonts w:cstheme="minorHAnsi"/>
        </w:rPr>
        <w:t xml:space="preserve"> in Sydney, Brisbane or Perth.</w:t>
      </w:r>
    </w:p>
    <w:p w14:paraId="412E6D10" w14:textId="0F610223" w:rsidR="00FF7745" w:rsidRPr="005076AA" w:rsidRDefault="001E50F2" w:rsidP="005076AA">
      <w:pPr>
        <w:rPr>
          <w:rFonts w:cstheme="minorHAnsi"/>
        </w:rPr>
      </w:pPr>
      <w:r w:rsidRPr="00874345">
        <w:rPr>
          <w:rFonts w:cstheme="minorHAnsi"/>
        </w:rPr>
        <w:lastRenderedPageBreak/>
        <w:t>Pilot health centre postcodes were matched to their corresponding hot zone classification using the NBCSP Hot Zone Catchments and Postal Allocation list</w:t>
      </w:r>
      <w:r w:rsidRPr="0020222A">
        <w:rPr>
          <w:rStyle w:val="FootnoteReference"/>
          <w:rFonts w:cstheme="minorHAnsi"/>
          <w:sz w:val="20"/>
          <w:szCs w:val="20"/>
        </w:rPr>
        <w:footnoteReference w:id="30"/>
      </w:r>
      <w:r w:rsidRPr="00874345">
        <w:rPr>
          <w:rFonts w:cstheme="minorHAnsi"/>
        </w:rPr>
        <w:t xml:space="preserve">. </w:t>
      </w:r>
      <w:r>
        <w:rPr>
          <w:rFonts w:cstheme="minorHAnsi"/>
        </w:rPr>
        <w:t xml:space="preserve">Twenty-five Pilot health centres (55%) were not located in areas classified as hot zones. As shown in Table </w:t>
      </w:r>
      <w:r w:rsidR="00CE2F14">
        <w:rPr>
          <w:rFonts w:cstheme="minorHAnsi"/>
        </w:rPr>
        <w:t>5</w:t>
      </w:r>
      <w:r w:rsidR="00D67B64">
        <w:rPr>
          <w:rFonts w:cstheme="minorHAnsi"/>
        </w:rPr>
        <w:t>.</w:t>
      </w:r>
      <w:r w:rsidR="001C60AE">
        <w:rPr>
          <w:rFonts w:cstheme="minorHAnsi"/>
        </w:rPr>
        <w:t>2</w:t>
      </w:r>
      <w:r>
        <w:rPr>
          <w:rFonts w:cstheme="minorHAnsi"/>
        </w:rPr>
        <w:t>, the remaining 21 pilot health centres were subject to h</w:t>
      </w:r>
      <w:r w:rsidRPr="00874345">
        <w:rPr>
          <w:rFonts w:cstheme="minorHAnsi"/>
        </w:rPr>
        <w:t>ot zone restrictions</w:t>
      </w:r>
      <w:r>
        <w:rPr>
          <w:rFonts w:cstheme="minorHAnsi"/>
        </w:rPr>
        <w:t xml:space="preserve"> and </w:t>
      </w:r>
      <w:r w:rsidRPr="00874345">
        <w:rPr>
          <w:rFonts w:cstheme="minorHAnsi"/>
        </w:rPr>
        <w:t>could only distribute kits during two or three months of the Pilot.</w:t>
      </w:r>
    </w:p>
    <w:p w14:paraId="1597D0CC" w14:textId="6FD2092D" w:rsidR="00863437" w:rsidRDefault="00863437" w:rsidP="002E74E6">
      <w:pPr>
        <w:pStyle w:val="Caption"/>
      </w:pPr>
      <w:r>
        <w:t xml:space="preserve">Table </w:t>
      </w:r>
      <w:r w:rsidR="00CE2F14">
        <w:t>5.</w:t>
      </w:r>
      <w:r w:rsidR="001C60AE">
        <w:t>2</w:t>
      </w:r>
      <w:r w:rsidR="006458A3">
        <w:t>:</w:t>
      </w:r>
      <w:r>
        <w:t xml:space="preserve"> </w:t>
      </w:r>
      <w:r w:rsidRPr="007179B3">
        <w:t>Hot zone status of Pilot health centres</w:t>
      </w:r>
    </w:p>
    <w:tbl>
      <w:tblPr>
        <w:tblStyle w:val="GridTable2"/>
        <w:tblW w:w="0" w:type="auto"/>
        <w:tblLook w:val="04A0" w:firstRow="1" w:lastRow="0" w:firstColumn="1" w:lastColumn="0" w:noHBand="0" w:noVBand="1"/>
      </w:tblPr>
      <w:tblGrid>
        <w:gridCol w:w="4505"/>
        <w:gridCol w:w="2158"/>
        <w:gridCol w:w="2158"/>
      </w:tblGrid>
      <w:tr w:rsidR="004A17D7" w:rsidRPr="008C7E40" w14:paraId="40012FF2" w14:textId="16830186" w:rsidTr="00CA05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3F702ADD" w14:textId="77777777" w:rsidR="004A17D7" w:rsidRPr="008C7E40" w:rsidRDefault="004A17D7" w:rsidP="00DB2ABF">
            <w:pPr>
              <w:pStyle w:val="Normaltextfortables"/>
              <w:framePr w:wrap="around" w:hAnchor="page" w:x="1384" w:y="189"/>
              <w:rPr>
                <w:rFonts w:asciiTheme="minorHAnsi" w:hAnsiTheme="minorHAnsi" w:cstheme="minorHAnsi"/>
                <w:szCs w:val="20"/>
              </w:rPr>
            </w:pPr>
            <w:bookmarkStart w:id="152" w:name="_Hlk43105720"/>
            <w:r w:rsidRPr="008C7E40">
              <w:rPr>
                <w:rFonts w:asciiTheme="minorHAnsi" w:hAnsiTheme="minorHAnsi" w:cstheme="minorHAnsi"/>
                <w:szCs w:val="20"/>
              </w:rPr>
              <w:t>Hot zone restrictions</w:t>
            </w:r>
          </w:p>
        </w:tc>
        <w:tc>
          <w:tcPr>
            <w:tcW w:w="2158" w:type="dxa"/>
            <w:shd w:val="clear" w:color="auto" w:fill="auto"/>
          </w:tcPr>
          <w:p w14:paraId="4D292F1C" w14:textId="77777777" w:rsidR="004A17D7" w:rsidRPr="008C7E40" w:rsidRDefault="004A17D7" w:rsidP="00DB2ABF">
            <w:pPr>
              <w:pStyle w:val="Normaltextfortables"/>
              <w:framePr w:wrap="around" w:hAnchor="page" w:x="1384" w:y="18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C7E40">
              <w:rPr>
                <w:rFonts w:asciiTheme="minorHAnsi" w:hAnsiTheme="minorHAnsi" w:cstheme="minorHAnsi"/>
                <w:szCs w:val="20"/>
              </w:rPr>
              <w:t>No. of health centres</w:t>
            </w:r>
          </w:p>
        </w:tc>
        <w:tc>
          <w:tcPr>
            <w:tcW w:w="2158" w:type="dxa"/>
            <w:shd w:val="clear" w:color="auto" w:fill="auto"/>
          </w:tcPr>
          <w:p w14:paraId="3ADE277B" w14:textId="6A1B003F" w:rsidR="004A17D7" w:rsidRPr="008C7E40" w:rsidRDefault="004A17D7" w:rsidP="00DB2ABF">
            <w:pPr>
              <w:pStyle w:val="Normaltextfortables"/>
              <w:framePr w:wrap="around" w:hAnchor="page" w:x="1384" w:y="18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C7E40">
              <w:rPr>
                <w:rFonts w:asciiTheme="minorHAnsi" w:hAnsiTheme="minorHAnsi" w:cstheme="minorHAnsi"/>
                <w:szCs w:val="20"/>
              </w:rPr>
              <w:t>%</w:t>
            </w:r>
          </w:p>
        </w:tc>
      </w:tr>
      <w:tr w:rsidR="004A17D7" w:rsidRPr="008C7E40" w14:paraId="1344FC7D" w14:textId="779D5D31" w:rsidTr="00863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08992A8A" w14:textId="3EF17C69" w:rsidR="004A17D7" w:rsidRPr="008C7E40" w:rsidRDefault="004A17D7" w:rsidP="00DB2ABF">
            <w:pPr>
              <w:pStyle w:val="Normaltextfortables"/>
              <w:framePr w:wrap="around" w:hAnchor="page" w:x="1384" w:y="189"/>
              <w:rPr>
                <w:rFonts w:asciiTheme="minorHAnsi" w:hAnsiTheme="minorHAnsi" w:cstheme="minorHAnsi"/>
                <w:b w:val="0"/>
                <w:bCs w:val="0"/>
                <w:szCs w:val="20"/>
              </w:rPr>
            </w:pPr>
            <w:r w:rsidRPr="008C7E40">
              <w:rPr>
                <w:rFonts w:asciiTheme="minorHAnsi" w:hAnsiTheme="minorHAnsi" w:cstheme="minorHAnsi"/>
                <w:szCs w:val="20"/>
              </w:rPr>
              <w:t>No restrictions</w:t>
            </w:r>
          </w:p>
        </w:tc>
        <w:tc>
          <w:tcPr>
            <w:tcW w:w="2158" w:type="dxa"/>
            <w:shd w:val="clear" w:color="auto" w:fill="auto"/>
          </w:tcPr>
          <w:p w14:paraId="77019884" w14:textId="6734F2A3" w:rsidR="004A17D7" w:rsidRPr="008C7E40" w:rsidRDefault="004A17D7" w:rsidP="00763C22">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C7E40">
              <w:rPr>
                <w:rFonts w:asciiTheme="minorHAnsi" w:hAnsiTheme="minorHAnsi" w:cstheme="minorHAnsi"/>
                <w:szCs w:val="20"/>
              </w:rPr>
              <w:t>26</w:t>
            </w:r>
          </w:p>
        </w:tc>
        <w:tc>
          <w:tcPr>
            <w:tcW w:w="2158" w:type="dxa"/>
            <w:shd w:val="clear" w:color="auto" w:fill="auto"/>
          </w:tcPr>
          <w:p w14:paraId="6B0D13E3" w14:textId="66FE1774" w:rsidR="004A17D7" w:rsidRPr="008C7E40" w:rsidRDefault="004A17D7" w:rsidP="00763C22">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C7E40">
              <w:rPr>
                <w:rFonts w:asciiTheme="minorHAnsi" w:hAnsiTheme="minorHAnsi" w:cstheme="minorHAnsi"/>
                <w:szCs w:val="20"/>
              </w:rPr>
              <w:t>55</w:t>
            </w:r>
          </w:p>
        </w:tc>
      </w:tr>
      <w:tr w:rsidR="004A17D7" w:rsidRPr="008C7E40" w14:paraId="5A8EF63A" w14:textId="6FC0EBAA" w:rsidTr="00863437">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5896F6B0" w14:textId="390C26E0" w:rsidR="004A17D7" w:rsidRPr="008C7E40" w:rsidRDefault="004A17D7" w:rsidP="00DB2ABF">
            <w:pPr>
              <w:pStyle w:val="Normaltextfortables"/>
              <w:framePr w:wrap="around" w:hAnchor="page" w:x="1384" w:y="189"/>
              <w:rPr>
                <w:rFonts w:asciiTheme="minorHAnsi" w:hAnsiTheme="minorHAnsi" w:cstheme="minorHAnsi"/>
                <w:b w:val="0"/>
                <w:bCs w:val="0"/>
                <w:szCs w:val="20"/>
              </w:rPr>
            </w:pPr>
            <w:r w:rsidRPr="008C7E40">
              <w:rPr>
                <w:rFonts w:asciiTheme="minorHAnsi" w:hAnsiTheme="minorHAnsi" w:cstheme="minorHAnsi"/>
                <w:szCs w:val="20"/>
              </w:rPr>
              <w:t>Hot zone affected</w:t>
            </w:r>
          </w:p>
        </w:tc>
        <w:tc>
          <w:tcPr>
            <w:tcW w:w="2158" w:type="dxa"/>
            <w:shd w:val="clear" w:color="auto" w:fill="auto"/>
          </w:tcPr>
          <w:p w14:paraId="3282AF61" w14:textId="754D3EEA" w:rsidR="004A17D7" w:rsidRPr="008C7E40" w:rsidRDefault="004A17D7" w:rsidP="00ED426B">
            <w:pPr>
              <w:pStyle w:val="Normaltextfortables"/>
              <w:framePr w:wrap="around" w:hAnchor="page" w:x="1384" w:y="18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2158" w:type="dxa"/>
            <w:shd w:val="clear" w:color="auto" w:fill="auto"/>
          </w:tcPr>
          <w:p w14:paraId="571DD0DE" w14:textId="77777777" w:rsidR="004A17D7" w:rsidRPr="008C7E40" w:rsidRDefault="004A17D7" w:rsidP="00ED426B">
            <w:pPr>
              <w:pStyle w:val="Normaltextfortables"/>
              <w:framePr w:wrap="around" w:hAnchor="page" w:x="1384" w:y="18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4A17D7" w:rsidRPr="008C7E40" w14:paraId="144C4A66" w14:textId="2DE2B515" w:rsidTr="00863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3988EEAE" w14:textId="6AD1C2B2" w:rsidR="004A17D7" w:rsidRPr="003C254F" w:rsidRDefault="004A17D7" w:rsidP="003C5848">
            <w:pPr>
              <w:pStyle w:val="Normaltextfortables"/>
              <w:framePr w:wrap="around" w:hAnchor="page" w:x="1384" w:y="189"/>
              <w:ind w:left="720"/>
              <w:rPr>
                <w:rFonts w:asciiTheme="minorHAnsi" w:hAnsiTheme="minorHAnsi" w:cstheme="minorHAnsi"/>
                <w:b w:val="0"/>
                <w:bCs w:val="0"/>
                <w:szCs w:val="20"/>
              </w:rPr>
            </w:pPr>
            <w:r w:rsidRPr="003C254F">
              <w:rPr>
                <w:rFonts w:asciiTheme="minorHAnsi" w:hAnsiTheme="minorHAnsi" w:cstheme="minorHAnsi"/>
                <w:b w:val="0"/>
                <w:bCs w:val="0"/>
                <w:szCs w:val="20"/>
              </w:rPr>
              <w:t>1- 3 months restricted</w:t>
            </w:r>
          </w:p>
        </w:tc>
        <w:tc>
          <w:tcPr>
            <w:tcW w:w="2158" w:type="dxa"/>
            <w:shd w:val="clear" w:color="auto" w:fill="auto"/>
          </w:tcPr>
          <w:p w14:paraId="55395A5B" w14:textId="2F737FD5" w:rsidR="004A17D7" w:rsidRPr="003C254F" w:rsidRDefault="004A17D7" w:rsidP="003C5848">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6</w:t>
            </w:r>
          </w:p>
        </w:tc>
        <w:tc>
          <w:tcPr>
            <w:tcW w:w="2158" w:type="dxa"/>
            <w:shd w:val="clear" w:color="auto" w:fill="auto"/>
          </w:tcPr>
          <w:p w14:paraId="6D49B7B3" w14:textId="3DBC65B3" w:rsidR="004A17D7" w:rsidRPr="003C254F" w:rsidRDefault="00863437" w:rsidP="003C5848">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13</w:t>
            </w:r>
          </w:p>
        </w:tc>
      </w:tr>
      <w:tr w:rsidR="004A17D7" w:rsidRPr="008C7E40" w14:paraId="6A46D081" w14:textId="40193C66" w:rsidTr="00863437">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4DCEEFC3" w14:textId="7CFBECB6" w:rsidR="004A17D7" w:rsidRPr="003C254F" w:rsidRDefault="004A17D7" w:rsidP="003C5848">
            <w:pPr>
              <w:pStyle w:val="Normaltextfortables"/>
              <w:framePr w:wrap="around" w:hAnchor="page" w:x="1384" w:y="189"/>
              <w:ind w:left="720"/>
              <w:rPr>
                <w:rFonts w:asciiTheme="minorHAnsi" w:hAnsiTheme="minorHAnsi" w:cstheme="minorHAnsi"/>
                <w:b w:val="0"/>
                <w:bCs w:val="0"/>
                <w:szCs w:val="20"/>
              </w:rPr>
            </w:pPr>
            <w:r w:rsidRPr="003C254F">
              <w:rPr>
                <w:rFonts w:asciiTheme="minorHAnsi" w:hAnsiTheme="minorHAnsi" w:cstheme="minorHAnsi"/>
                <w:b w:val="0"/>
                <w:bCs w:val="0"/>
                <w:szCs w:val="20"/>
              </w:rPr>
              <w:t>4-6 months restricted</w:t>
            </w:r>
          </w:p>
        </w:tc>
        <w:tc>
          <w:tcPr>
            <w:tcW w:w="2158" w:type="dxa"/>
            <w:shd w:val="clear" w:color="auto" w:fill="auto"/>
          </w:tcPr>
          <w:p w14:paraId="16D0FB56" w14:textId="67B4F641" w:rsidR="004A17D7" w:rsidRPr="003C254F" w:rsidRDefault="004A17D7" w:rsidP="003C5848">
            <w:pPr>
              <w:pStyle w:val="Normaltextfortables"/>
              <w:framePr w:wrap="around" w:hAnchor="page" w:x="1384" w:y="18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7</w:t>
            </w:r>
          </w:p>
        </w:tc>
        <w:tc>
          <w:tcPr>
            <w:tcW w:w="2158" w:type="dxa"/>
            <w:shd w:val="clear" w:color="auto" w:fill="auto"/>
          </w:tcPr>
          <w:p w14:paraId="232EDDF6" w14:textId="1A67469F" w:rsidR="004A17D7" w:rsidRPr="003C254F" w:rsidRDefault="004A17D7" w:rsidP="003C5848">
            <w:pPr>
              <w:pStyle w:val="Normaltextfortables"/>
              <w:framePr w:wrap="around" w:hAnchor="page" w:x="1384" w:y="18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1</w:t>
            </w:r>
            <w:r w:rsidR="00863437" w:rsidRPr="003C254F">
              <w:rPr>
                <w:rFonts w:asciiTheme="minorHAnsi" w:hAnsiTheme="minorHAnsi" w:cstheme="minorHAnsi"/>
                <w:szCs w:val="20"/>
              </w:rPr>
              <w:t>5</w:t>
            </w:r>
          </w:p>
        </w:tc>
      </w:tr>
      <w:tr w:rsidR="004A17D7" w:rsidRPr="008C7E40" w14:paraId="259BF565" w14:textId="5805F617" w:rsidTr="00863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39B9E2E5" w14:textId="24580A6F" w:rsidR="004A17D7" w:rsidRPr="003C254F" w:rsidRDefault="004A17D7" w:rsidP="003C5848">
            <w:pPr>
              <w:pStyle w:val="Normaltextfortables"/>
              <w:framePr w:wrap="around" w:hAnchor="page" w:x="1384" w:y="189"/>
              <w:ind w:left="720"/>
              <w:rPr>
                <w:rFonts w:asciiTheme="minorHAnsi" w:hAnsiTheme="minorHAnsi" w:cstheme="minorHAnsi"/>
                <w:b w:val="0"/>
                <w:bCs w:val="0"/>
                <w:szCs w:val="20"/>
              </w:rPr>
            </w:pPr>
            <w:r w:rsidRPr="003C254F">
              <w:rPr>
                <w:rFonts w:asciiTheme="minorHAnsi" w:hAnsiTheme="minorHAnsi" w:cstheme="minorHAnsi"/>
                <w:b w:val="0"/>
                <w:bCs w:val="0"/>
                <w:szCs w:val="20"/>
              </w:rPr>
              <w:t>7-9 month</w:t>
            </w:r>
            <w:r w:rsidR="00447897" w:rsidRPr="003C254F">
              <w:rPr>
                <w:rFonts w:asciiTheme="minorHAnsi" w:hAnsiTheme="minorHAnsi" w:cstheme="minorHAnsi"/>
                <w:b w:val="0"/>
                <w:bCs w:val="0"/>
                <w:szCs w:val="20"/>
              </w:rPr>
              <w:t>s</w:t>
            </w:r>
            <w:r w:rsidRPr="003C254F">
              <w:rPr>
                <w:rFonts w:asciiTheme="minorHAnsi" w:hAnsiTheme="minorHAnsi" w:cstheme="minorHAnsi"/>
                <w:b w:val="0"/>
                <w:bCs w:val="0"/>
                <w:szCs w:val="20"/>
              </w:rPr>
              <w:t xml:space="preserve"> restricted</w:t>
            </w:r>
          </w:p>
        </w:tc>
        <w:tc>
          <w:tcPr>
            <w:tcW w:w="2158" w:type="dxa"/>
            <w:shd w:val="clear" w:color="auto" w:fill="auto"/>
          </w:tcPr>
          <w:p w14:paraId="2B42329A" w14:textId="60951099" w:rsidR="004A17D7" w:rsidRPr="003C254F" w:rsidRDefault="00447897" w:rsidP="003C5848">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3</w:t>
            </w:r>
          </w:p>
        </w:tc>
        <w:tc>
          <w:tcPr>
            <w:tcW w:w="2158" w:type="dxa"/>
            <w:shd w:val="clear" w:color="auto" w:fill="auto"/>
          </w:tcPr>
          <w:p w14:paraId="77BEB462" w14:textId="26929FD1" w:rsidR="004A17D7" w:rsidRPr="003C254F" w:rsidRDefault="00447897" w:rsidP="003C5848">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6</w:t>
            </w:r>
          </w:p>
        </w:tc>
      </w:tr>
      <w:tr w:rsidR="00447897" w:rsidRPr="008C7E40" w14:paraId="0DB81F7B" w14:textId="77777777" w:rsidTr="004A17D7">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4300877A" w14:textId="7F888950" w:rsidR="00447897" w:rsidRPr="003C254F" w:rsidRDefault="00447897" w:rsidP="00CA6733">
            <w:pPr>
              <w:pStyle w:val="Normaltextfortables"/>
              <w:framePr w:wrap="around" w:hAnchor="page" w:x="1384" w:y="189"/>
              <w:ind w:left="720"/>
              <w:rPr>
                <w:rFonts w:asciiTheme="minorHAnsi" w:hAnsiTheme="minorHAnsi" w:cstheme="minorHAnsi"/>
                <w:b w:val="0"/>
                <w:bCs w:val="0"/>
                <w:szCs w:val="20"/>
              </w:rPr>
            </w:pPr>
            <w:r w:rsidRPr="003C254F">
              <w:rPr>
                <w:rFonts w:asciiTheme="minorHAnsi" w:hAnsiTheme="minorHAnsi" w:cstheme="minorHAnsi"/>
                <w:b w:val="0"/>
                <w:bCs w:val="0"/>
                <w:szCs w:val="20"/>
              </w:rPr>
              <w:t>&gt; 9 months restricted</w:t>
            </w:r>
          </w:p>
        </w:tc>
        <w:tc>
          <w:tcPr>
            <w:tcW w:w="2158" w:type="dxa"/>
            <w:shd w:val="clear" w:color="auto" w:fill="auto"/>
          </w:tcPr>
          <w:p w14:paraId="065A351B" w14:textId="3408BD05" w:rsidR="00447897" w:rsidRPr="003C254F" w:rsidDel="00447897" w:rsidRDefault="00447897" w:rsidP="003C5848">
            <w:pPr>
              <w:pStyle w:val="Normaltextfortables"/>
              <w:framePr w:wrap="around" w:hAnchor="page" w:x="1384" w:y="18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5</w:t>
            </w:r>
          </w:p>
        </w:tc>
        <w:tc>
          <w:tcPr>
            <w:tcW w:w="2158" w:type="dxa"/>
            <w:shd w:val="clear" w:color="auto" w:fill="auto"/>
          </w:tcPr>
          <w:p w14:paraId="4DB401DB" w14:textId="463A6481" w:rsidR="00447897" w:rsidRPr="003C254F" w:rsidRDefault="00447897" w:rsidP="003C5848">
            <w:pPr>
              <w:pStyle w:val="Normaltextfortables"/>
              <w:framePr w:wrap="around" w:hAnchor="page" w:x="1384" w:y="18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C254F">
              <w:rPr>
                <w:rFonts w:asciiTheme="minorHAnsi" w:hAnsiTheme="minorHAnsi" w:cstheme="minorHAnsi"/>
                <w:szCs w:val="20"/>
              </w:rPr>
              <w:t>1</w:t>
            </w:r>
            <w:r w:rsidR="00863437" w:rsidRPr="003C254F">
              <w:rPr>
                <w:rFonts w:asciiTheme="minorHAnsi" w:hAnsiTheme="minorHAnsi" w:cstheme="minorHAnsi"/>
                <w:szCs w:val="20"/>
              </w:rPr>
              <w:t>1</w:t>
            </w:r>
          </w:p>
        </w:tc>
      </w:tr>
      <w:tr w:rsidR="00447897" w:rsidRPr="008C7E40" w14:paraId="231D3B76" w14:textId="77777777" w:rsidTr="004A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283A317F" w14:textId="45A5C882" w:rsidR="00447897" w:rsidRPr="008C7E40" w:rsidRDefault="00447897" w:rsidP="00863437">
            <w:pPr>
              <w:pStyle w:val="Normaltextfortables"/>
              <w:framePr w:wrap="around" w:hAnchor="page" w:x="1384" w:y="189"/>
              <w:rPr>
                <w:rFonts w:asciiTheme="minorHAnsi" w:hAnsiTheme="minorHAnsi" w:cstheme="minorHAnsi"/>
                <w:szCs w:val="20"/>
              </w:rPr>
            </w:pPr>
            <w:r w:rsidRPr="008C7E40">
              <w:rPr>
                <w:rFonts w:asciiTheme="minorHAnsi" w:hAnsiTheme="minorHAnsi" w:cstheme="minorHAnsi"/>
                <w:szCs w:val="20"/>
              </w:rPr>
              <w:t>Total</w:t>
            </w:r>
          </w:p>
        </w:tc>
        <w:tc>
          <w:tcPr>
            <w:tcW w:w="2158" w:type="dxa"/>
            <w:shd w:val="clear" w:color="auto" w:fill="auto"/>
          </w:tcPr>
          <w:p w14:paraId="5B898C82" w14:textId="100A3229" w:rsidR="00447897" w:rsidRPr="008C7E40" w:rsidDel="00447897" w:rsidRDefault="00447897" w:rsidP="003C5848">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0"/>
              </w:rPr>
            </w:pPr>
            <w:r w:rsidRPr="008C7E40">
              <w:rPr>
                <w:rFonts w:asciiTheme="minorHAnsi" w:hAnsiTheme="minorHAnsi" w:cstheme="minorHAnsi"/>
                <w:b/>
                <w:bCs/>
                <w:szCs w:val="20"/>
              </w:rPr>
              <w:t>47</w:t>
            </w:r>
          </w:p>
        </w:tc>
        <w:tc>
          <w:tcPr>
            <w:tcW w:w="2158" w:type="dxa"/>
            <w:shd w:val="clear" w:color="auto" w:fill="auto"/>
          </w:tcPr>
          <w:p w14:paraId="46E039FB" w14:textId="58745B9D" w:rsidR="00447897" w:rsidRPr="008C7E40" w:rsidRDefault="00447897" w:rsidP="003C5848">
            <w:pPr>
              <w:pStyle w:val="Normaltextfortables"/>
              <w:framePr w:wrap="around" w:hAnchor="page" w:x="1384" w:y="18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0"/>
              </w:rPr>
            </w:pPr>
            <w:r w:rsidRPr="008C7E40">
              <w:rPr>
                <w:rFonts w:asciiTheme="minorHAnsi" w:hAnsiTheme="minorHAnsi" w:cstheme="minorHAnsi"/>
                <w:b/>
                <w:bCs/>
                <w:szCs w:val="20"/>
              </w:rPr>
              <w:t>100</w:t>
            </w:r>
          </w:p>
        </w:tc>
      </w:tr>
    </w:tbl>
    <w:bookmarkEnd w:id="152"/>
    <w:p w14:paraId="65CCB516" w14:textId="1E7F5FE0" w:rsidR="00700D85" w:rsidRPr="00A84714" w:rsidRDefault="003C5848" w:rsidP="00863437">
      <w:pPr>
        <w:pStyle w:val="Tablenotes"/>
        <w:rPr>
          <w:sz w:val="20"/>
          <w:szCs w:val="20"/>
        </w:rPr>
      </w:pPr>
      <w:r w:rsidRPr="00A84714">
        <w:rPr>
          <w:sz w:val="20"/>
          <w:szCs w:val="20"/>
        </w:rPr>
        <w:t xml:space="preserve">Source: </w:t>
      </w:r>
      <w:r w:rsidR="00E113D2" w:rsidRPr="00A84714">
        <w:rPr>
          <w:sz w:val="20"/>
          <w:szCs w:val="20"/>
        </w:rPr>
        <w:t xml:space="preserve">NBCSP Hot Zone Catchments and Postal Allocation, March 2018 and National Indigenous Bowel Screening Pilot – Health Centre Profile, </w:t>
      </w:r>
      <w:r w:rsidR="00E928C1" w:rsidRPr="00A84714">
        <w:rPr>
          <w:sz w:val="20"/>
          <w:szCs w:val="20"/>
        </w:rPr>
        <w:t>June 2019.</w:t>
      </w:r>
    </w:p>
    <w:p w14:paraId="69002FF8" w14:textId="473D3DF8" w:rsidR="0064694A" w:rsidRPr="00874345" w:rsidRDefault="0064694A" w:rsidP="002E74E6">
      <w:pPr>
        <w:pStyle w:val="FigureCaptions"/>
      </w:pPr>
    </w:p>
    <w:p w14:paraId="137F3D1F" w14:textId="36C99C41" w:rsidR="0064694A" w:rsidRPr="000C629F" w:rsidRDefault="00FF3CE6" w:rsidP="00366EAB">
      <w:pPr>
        <w:pStyle w:val="Heading3"/>
      </w:pPr>
      <w:bookmarkStart w:id="153" w:name="_Toc38539101"/>
      <w:bookmarkStart w:id="154" w:name="_Toc38540036"/>
      <w:bookmarkStart w:id="155" w:name="_Toc38540091"/>
      <w:bookmarkStart w:id="156" w:name="_Toc44339207"/>
      <w:bookmarkStart w:id="157" w:name="_Toc44361572"/>
      <w:r w:rsidRPr="000C629F">
        <w:t>Characteristics of the c</w:t>
      </w:r>
      <w:r w:rsidR="0064694A" w:rsidRPr="000C629F">
        <w:t>ontext</w:t>
      </w:r>
      <w:r w:rsidR="000C629F" w:rsidRPr="000C629F">
        <w:t xml:space="preserve"> </w:t>
      </w:r>
      <w:r w:rsidR="0064694A" w:rsidRPr="000C629F">
        <w:t xml:space="preserve">in </w:t>
      </w:r>
      <w:r w:rsidR="000E6906" w:rsidRPr="000C629F">
        <w:t xml:space="preserve">which </w:t>
      </w:r>
      <w:bookmarkEnd w:id="153"/>
      <w:bookmarkEnd w:id="154"/>
      <w:bookmarkEnd w:id="155"/>
      <w:r w:rsidRPr="000C629F">
        <w:t>the Pilot took place</w:t>
      </w:r>
      <w:bookmarkEnd w:id="156"/>
      <w:bookmarkEnd w:id="157"/>
    </w:p>
    <w:p w14:paraId="0F173813" w14:textId="77777777" w:rsidR="00FF3CE6" w:rsidRDefault="00FF3CE6" w:rsidP="004257B1">
      <w:pPr>
        <w:pStyle w:val="Heading4"/>
      </w:pPr>
      <w:r>
        <w:t>Cancer screening</w:t>
      </w:r>
    </w:p>
    <w:p w14:paraId="6276C0BB" w14:textId="6E41B811" w:rsidR="00FF3CE6" w:rsidRPr="00FF3CE6" w:rsidRDefault="00FF3CE6" w:rsidP="00FF3CE6">
      <w:pPr>
        <w:rPr>
          <w:lang w:eastAsia="en-AU"/>
        </w:rPr>
      </w:pPr>
      <w:r w:rsidRPr="00FF3CE6">
        <w:rPr>
          <w:lang w:eastAsia="en-AU"/>
        </w:rPr>
        <w:t xml:space="preserve">Within the Australian public health system there are three national population-based cancer screening programs – breast, bowel and cervical screening. Each service aims to reduce illness and death from their </w:t>
      </w:r>
      <w:r w:rsidR="00380F67">
        <w:rPr>
          <w:lang w:eastAsia="en-AU"/>
        </w:rPr>
        <w:t>respective</w:t>
      </w:r>
      <w:r w:rsidRPr="00FF3CE6">
        <w:rPr>
          <w:lang w:eastAsia="en-AU"/>
        </w:rPr>
        <w:t xml:space="preserve"> cancer by actively recruiting and screening eligible persons by detecting the disease early.</w:t>
      </w:r>
    </w:p>
    <w:p w14:paraId="00CCA612" w14:textId="0986CD5B" w:rsidR="00FF3CE6" w:rsidRPr="00FF3CE6" w:rsidRDefault="00FF3CE6" w:rsidP="00FF3CE6">
      <w:pPr>
        <w:rPr>
          <w:lang w:eastAsia="en-AU"/>
        </w:rPr>
      </w:pPr>
      <w:r w:rsidRPr="00FF3CE6">
        <w:rPr>
          <w:lang w:eastAsia="en-AU"/>
        </w:rPr>
        <w:t xml:space="preserve">Each service is delivered with </w:t>
      </w:r>
      <w:r w:rsidR="00117E87">
        <w:rPr>
          <w:lang w:eastAsia="en-AU"/>
        </w:rPr>
        <w:t xml:space="preserve">the </w:t>
      </w:r>
      <w:r w:rsidRPr="00FF3CE6">
        <w:rPr>
          <w:lang w:eastAsia="en-AU"/>
        </w:rPr>
        <w:t>cooperation</w:t>
      </w:r>
      <w:r w:rsidR="00117E87">
        <w:rPr>
          <w:lang w:eastAsia="en-AU"/>
        </w:rPr>
        <w:t xml:space="preserve"> and support of</w:t>
      </w:r>
      <w:r w:rsidRPr="00FF3CE6">
        <w:rPr>
          <w:lang w:eastAsia="en-AU"/>
        </w:rPr>
        <w:t xml:space="preserve"> different levels of government (federal and state governments) as well as other government and non-government organisations such as </w:t>
      </w:r>
      <w:r w:rsidR="00434185">
        <w:rPr>
          <w:lang w:eastAsia="en-AU"/>
        </w:rPr>
        <w:t xml:space="preserve">Primary Health Networks, </w:t>
      </w:r>
      <w:r w:rsidRPr="00FF3CE6">
        <w:rPr>
          <w:lang w:eastAsia="en-AU"/>
        </w:rPr>
        <w:t>Cancer Councils</w:t>
      </w:r>
      <w:r w:rsidR="00434185">
        <w:rPr>
          <w:lang w:eastAsia="en-AU"/>
        </w:rPr>
        <w:t xml:space="preserve"> and other charities.</w:t>
      </w:r>
      <w:r w:rsidRPr="00FF3CE6">
        <w:rPr>
          <w:lang w:eastAsia="en-AU"/>
        </w:rPr>
        <w:t xml:space="preserve"> </w:t>
      </w:r>
    </w:p>
    <w:p w14:paraId="423ED125" w14:textId="77777777" w:rsidR="00380F67" w:rsidRDefault="00434185" w:rsidP="00FF3CE6">
      <w:pPr>
        <w:rPr>
          <w:lang w:eastAsia="en-AU"/>
        </w:rPr>
      </w:pPr>
      <w:r>
        <w:rPr>
          <w:lang w:eastAsia="en-AU"/>
        </w:rPr>
        <w:t>The role of the A</w:t>
      </w:r>
      <w:r w:rsidR="00783321">
        <w:rPr>
          <w:lang w:eastAsia="en-AU"/>
        </w:rPr>
        <w:t xml:space="preserve">ustralian Government in relation to bowel screening </w:t>
      </w:r>
      <w:r w:rsidR="00FF3CE6" w:rsidRPr="00FF3CE6">
        <w:rPr>
          <w:lang w:eastAsia="en-AU"/>
        </w:rPr>
        <w:t>is to deliver program management and governance, including policy development</w:t>
      </w:r>
      <w:r w:rsidR="00783321">
        <w:rPr>
          <w:lang w:eastAsia="en-AU"/>
        </w:rPr>
        <w:t xml:space="preserve"> and the </w:t>
      </w:r>
      <w:r w:rsidR="004A750B">
        <w:rPr>
          <w:lang w:eastAsia="en-AU"/>
        </w:rPr>
        <w:t>Register</w:t>
      </w:r>
      <w:r w:rsidR="00FF3CE6" w:rsidRPr="00FF3CE6">
        <w:rPr>
          <w:lang w:eastAsia="en-AU"/>
        </w:rPr>
        <w:t xml:space="preserve">; expenditure of program funds (for example, </w:t>
      </w:r>
      <w:proofErr w:type="spellStart"/>
      <w:r w:rsidR="00FF3CE6" w:rsidRPr="00FF3CE6">
        <w:rPr>
          <w:lang w:eastAsia="en-AU"/>
        </w:rPr>
        <w:t>iFOBT</w:t>
      </w:r>
      <w:proofErr w:type="spellEnd"/>
      <w:r w:rsidR="00FF3CE6" w:rsidRPr="00FF3CE6">
        <w:rPr>
          <w:lang w:eastAsia="en-AU"/>
        </w:rPr>
        <w:t xml:space="preserve"> screening and partnership follow-up support delivered via states and territories); and Medicare Benefits Schedule </w:t>
      </w:r>
      <w:r w:rsidR="00783321">
        <w:rPr>
          <w:lang w:eastAsia="en-AU"/>
        </w:rPr>
        <w:t xml:space="preserve">(MBS) coverage for </w:t>
      </w:r>
      <w:r w:rsidR="00FF3CE6" w:rsidRPr="00FF3CE6">
        <w:rPr>
          <w:lang w:eastAsia="en-AU"/>
        </w:rPr>
        <w:t>relevant colonoscopy</w:t>
      </w:r>
      <w:r w:rsidR="00783321">
        <w:rPr>
          <w:lang w:eastAsia="en-AU"/>
        </w:rPr>
        <w:t xml:space="preserve"> costs. </w:t>
      </w:r>
    </w:p>
    <w:p w14:paraId="64C83EF9" w14:textId="64191F54" w:rsidR="00380F67" w:rsidRDefault="00380F67" w:rsidP="00FF3CE6">
      <w:pPr>
        <w:rPr>
          <w:lang w:eastAsia="en-AU"/>
        </w:rPr>
      </w:pPr>
      <w:r>
        <w:rPr>
          <w:lang w:eastAsia="en-AU"/>
        </w:rPr>
        <w:t>S</w:t>
      </w:r>
      <w:r w:rsidR="00FF3CE6" w:rsidRPr="00FF3CE6">
        <w:rPr>
          <w:lang w:eastAsia="en-AU"/>
        </w:rPr>
        <w:t xml:space="preserve">tate and territory governments have responsibility for providing care services for </w:t>
      </w:r>
      <w:r>
        <w:rPr>
          <w:lang w:eastAsia="en-AU"/>
        </w:rPr>
        <w:t>p</w:t>
      </w:r>
      <w:r w:rsidR="00FF3CE6" w:rsidRPr="00FF3CE6">
        <w:rPr>
          <w:lang w:eastAsia="en-AU"/>
        </w:rPr>
        <w:t xml:space="preserve">rogram participants following a positive screening test; local coordination of the </w:t>
      </w:r>
      <w:r>
        <w:rPr>
          <w:lang w:eastAsia="en-AU"/>
        </w:rPr>
        <w:t>p</w:t>
      </w:r>
      <w:r w:rsidR="00FF3CE6" w:rsidRPr="00FF3CE6">
        <w:rPr>
          <w:lang w:eastAsia="en-AU"/>
        </w:rPr>
        <w:t xml:space="preserve">rogram, including health system workforce and </w:t>
      </w:r>
      <w:r w:rsidR="00FF3CE6" w:rsidRPr="00FF3CE6">
        <w:rPr>
          <w:lang w:eastAsia="en-AU"/>
        </w:rPr>
        <w:lastRenderedPageBreak/>
        <w:t xml:space="preserve">colonoscopy capacity; as well as activities to improve the awareness of the </w:t>
      </w:r>
      <w:r>
        <w:rPr>
          <w:lang w:eastAsia="en-AU"/>
        </w:rPr>
        <w:t>p</w:t>
      </w:r>
      <w:r w:rsidR="00FF3CE6" w:rsidRPr="00FF3CE6">
        <w:rPr>
          <w:lang w:eastAsia="en-AU"/>
        </w:rPr>
        <w:t xml:space="preserve">rogram and increase participation and follow-up. </w:t>
      </w:r>
    </w:p>
    <w:p w14:paraId="460BB5BD" w14:textId="78D6D577" w:rsidR="00FF3CE6" w:rsidRPr="00FF3CE6" w:rsidRDefault="00D05DF2" w:rsidP="00FF3CE6">
      <w:pPr>
        <w:rPr>
          <w:lang w:eastAsia="en-AU"/>
        </w:rPr>
      </w:pPr>
      <w:r>
        <w:rPr>
          <w:lang w:eastAsia="en-AU"/>
        </w:rPr>
        <w:t>They</w:t>
      </w:r>
      <w:r w:rsidR="001E79C1" w:rsidRPr="00FF3CE6">
        <w:rPr>
          <w:lang w:eastAsia="en-AU"/>
        </w:rPr>
        <w:t xml:space="preserve"> also have an advisory role in program policy and management through the Standing Committee on Screening of the Community Care and Population Health Principal Committee</w:t>
      </w:r>
      <w:r>
        <w:rPr>
          <w:lang w:eastAsia="en-AU"/>
        </w:rPr>
        <w:t>,</w:t>
      </w:r>
      <w:r w:rsidR="001E79C1" w:rsidRPr="00FF3CE6">
        <w:rPr>
          <w:lang w:eastAsia="en-AU"/>
        </w:rPr>
        <w:t xml:space="preserve"> and the Program Delivery Advisory Group (PDAG). </w:t>
      </w:r>
    </w:p>
    <w:p w14:paraId="1074E0D5" w14:textId="1879CF70" w:rsidR="008C0DB0" w:rsidRPr="00FF3CE6" w:rsidRDefault="00117E87" w:rsidP="00F25E4F">
      <w:pPr>
        <w:rPr>
          <w:lang w:eastAsia="en-AU"/>
        </w:rPr>
      </w:pPr>
      <w:r>
        <w:rPr>
          <w:lang w:eastAsia="en-AU"/>
        </w:rPr>
        <w:t>Several</w:t>
      </w:r>
      <w:r w:rsidR="004A750B">
        <w:rPr>
          <w:lang w:eastAsia="en-AU"/>
        </w:rPr>
        <w:t xml:space="preserve"> </w:t>
      </w:r>
      <w:r>
        <w:rPr>
          <w:lang w:eastAsia="en-AU"/>
        </w:rPr>
        <w:t xml:space="preserve">promotional </w:t>
      </w:r>
      <w:r w:rsidR="00F25E4F">
        <w:rPr>
          <w:lang w:eastAsia="en-AU"/>
        </w:rPr>
        <w:t>bowel screening campaigns were run</w:t>
      </w:r>
      <w:r w:rsidR="000C2BB0">
        <w:rPr>
          <w:lang w:eastAsia="en-AU"/>
        </w:rPr>
        <w:t xml:space="preserve"> in Australia </w:t>
      </w:r>
      <w:r w:rsidR="00F25E4F">
        <w:rPr>
          <w:lang w:eastAsia="en-AU"/>
        </w:rPr>
        <w:t xml:space="preserve">during the same time as the Pilot. </w:t>
      </w:r>
      <w:r w:rsidR="000D0E77">
        <w:rPr>
          <w:lang w:eastAsia="en-AU"/>
        </w:rPr>
        <w:t xml:space="preserve">The Cancer Institute of NSW ran a </w:t>
      </w:r>
      <w:r>
        <w:rPr>
          <w:lang w:eastAsia="en-AU"/>
        </w:rPr>
        <w:t>six-month</w:t>
      </w:r>
      <w:r w:rsidR="000D0E77">
        <w:rPr>
          <w:lang w:eastAsia="en-AU"/>
        </w:rPr>
        <w:t xml:space="preserve"> campaign called </w:t>
      </w:r>
      <w:r w:rsidR="000D0E77" w:rsidRPr="00D03418">
        <w:rPr>
          <w:i/>
          <w:iCs/>
          <w:lang w:eastAsia="en-AU"/>
        </w:rPr>
        <w:t>Do the Test</w:t>
      </w:r>
      <w:r w:rsidR="000D0E77">
        <w:rPr>
          <w:lang w:eastAsia="en-AU"/>
        </w:rPr>
        <w:t xml:space="preserve">, in the first half of 2019.  </w:t>
      </w:r>
      <w:r w:rsidR="00F25E4F">
        <w:rPr>
          <w:lang w:eastAsia="en-AU"/>
        </w:rPr>
        <w:t xml:space="preserve">The Australian Government funded a $10million advertising campaign through Cancer Council Australia, which ran </w:t>
      </w:r>
      <w:r w:rsidR="00FF3CE6" w:rsidRPr="00FF3CE6">
        <w:rPr>
          <w:lang w:eastAsia="en-AU"/>
        </w:rPr>
        <w:t>a mass media campaign</w:t>
      </w:r>
      <w:r w:rsidR="00F25E4F">
        <w:rPr>
          <w:lang w:eastAsia="en-AU"/>
        </w:rPr>
        <w:t xml:space="preserve"> including</w:t>
      </w:r>
      <w:r w:rsidR="00FF3CE6" w:rsidRPr="00FF3CE6">
        <w:rPr>
          <w:lang w:eastAsia="en-AU"/>
        </w:rPr>
        <w:t xml:space="preserve"> TV, radio, digital and social media advertising, over three separate seven-week bursts in 2019</w:t>
      </w:r>
      <w:r w:rsidR="00F25E4F">
        <w:rPr>
          <w:lang w:eastAsia="en-AU"/>
        </w:rPr>
        <w:t xml:space="preserve">. The advertising campaign was accompanied by </w:t>
      </w:r>
      <w:r w:rsidR="00B76AFB">
        <w:rPr>
          <w:lang w:eastAsia="en-AU"/>
        </w:rPr>
        <w:t xml:space="preserve">additional </w:t>
      </w:r>
      <w:r w:rsidR="00FF3CE6" w:rsidRPr="00FF3CE6">
        <w:rPr>
          <w:lang w:eastAsia="en-AU"/>
        </w:rPr>
        <w:t xml:space="preserve">communication support from </w:t>
      </w:r>
      <w:r w:rsidR="00B76AFB">
        <w:rPr>
          <w:lang w:eastAsia="en-AU"/>
        </w:rPr>
        <w:t xml:space="preserve">the </w:t>
      </w:r>
      <w:r w:rsidR="00FF3CE6" w:rsidRPr="00FF3CE6">
        <w:rPr>
          <w:lang w:eastAsia="en-AU"/>
        </w:rPr>
        <w:t xml:space="preserve">Cancer Council, including outreach to GPs to encourage them to </w:t>
      </w:r>
      <w:r>
        <w:rPr>
          <w:lang w:eastAsia="en-AU"/>
        </w:rPr>
        <w:t>tell</w:t>
      </w:r>
      <w:r w:rsidR="00FF3CE6" w:rsidRPr="00FF3CE6">
        <w:rPr>
          <w:lang w:eastAsia="en-AU"/>
        </w:rPr>
        <w:t xml:space="preserve"> patients to do the test</w:t>
      </w:r>
      <w:r w:rsidR="00B76AFB">
        <w:rPr>
          <w:lang w:eastAsia="en-AU"/>
        </w:rPr>
        <w:t>.</w:t>
      </w:r>
      <w:r w:rsidR="000C2BB0">
        <w:rPr>
          <w:rStyle w:val="FootnoteReference"/>
          <w:lang w:eastAsia="en-AU"/>
        </w:rPr>
        <w:footnoteReference w:id="31"/>
      </w:r>
    </w:p>
    <w:p w14:paraId="56B09F36" w14:textId="4AA20063" w:rsidR="000C629F" w:rsidRPr="000C629F" w:rsidRDefault="000C629F" w:rsidP="004257B1">
      <w:pPr>
        <w:pStyle w:val="Heading4"/>
      </w:pPr>
      <w:r>
        <w:t>Switching</w:t>
      </w:r>
      <w:r w:rsidRPr="000C629F">
        <w:t xml:space="preserve"> to a new Register</w:t>
      </w:r>
    </w:p>
    <w:p w14:paraId="4B8AB262" w14:textId="15D86848" w:rsidR="000C629F" w:rsidRDefault="00FF3CE6" w:rsidP="00FF3CE6">
      <w:pPr>
        <w:rPr>
          <w:lang w:eastAsia="en-AU"/>
        </w:rPr>
      </w:pPr>
      <w:r w:rsidRPr="00FF3CE6">
        <w:rPr>
          <w:lang w:eastAsia="en-AU"/>
        </w:rPr>
        <w:t>In November 2019, the NBCSP transitioned to the National Cancer Screening Register</w:t>
      </w:r>
      <w:r w:rsidR="000C629F">
        <w:rPr>
          <w:lang w:eastAsia="en-AU"/>
        </w:rPr>
        <w:t xml:space="preserve"> (NCSR). As discussed elsewh</w:t>
      </w:r>
      <w:r w:rsidR="00117E87">
        <w:rPr>
          <w:lang w:eastAsia="en-AU"/>
        </w:rPr>
        <w:t>ere in this report</w:t>
      </w:r>
      <w:r w:rsidR="000C629F">
        <w:rPr>
          <w:lang w:eastAsia="en-AU"/>
        </w:rPr>
        <w:t xml:space="preserve">, this transition was initially intended to have occurred in 2017. The delay in commencement of the NCSR’s bowel screening component caused significant disruption </w:t>
      </w:r>
      <w:r w:rsidR="00117E87">
        <w:rPr>
          <w:lang w:eastAsia="en-AU"/>
        </w:rPr>
        <w:t>to</w:t>
      </w:r>
      <w:r w:rsidR="000C629F">
        <w:rPr>
          <w:lang w:eastAsia="en-AU"/>
        </w:rPr>
        <w:t xml:space="preserve"> the Pilot. </w:t>
      </w:r>
    </w:p>
    <w:p w14:paraId="3D2A193F" w14:textId="77777777" w:rsidR="008C0DB0" w:rsidRDefault="008C0DB0" w:rsidP="004257B1">
      <w:pPr>
        <w:pStyle w:val="Heading4"/>
      </w:pPr>
      <w:r>
        <w:t>Supporting Agency activity</w:t>
      </w:r>
    </w:p>
    <w:p w14:paraId="365F1215" w14:textId="2180C3E7" w:rsidR="008F25FB" w:rsidRDefault="008F25FB" w:rsidP="008F25FB">
      <w:r>
        <w:t>‘Supporting Agencies’ were a diverse group of organisations identified early in the National Indigenous Bowel Screening Project as important stakeholders and potential contributors to developing or sustaining the Alternative Pathway. They included state and territory health departments, ACCHO peak bodies, Cancer Councils, Primary Health Networks and others. In December 2019 Menzies invited Supporting Agencies located in or active near Pilot health centres to complete an activity report via an online survey. The survey aimed to identify activities that might directly or indirectly have affected health centres in the Pilot or the uptake of the usual pathway</w:t>
      </w:r>
      <w:r w:rsidR="009E6620">
        <w:t xml:space="preserve"> in the broader public</w:t>
      </w:r>
      <w:r>
        <w:t>.</w:t>
      </w:r>
    </w:p>
    <w:p w14:paraId="19FDAA91" w14:textId="00F752EF" w:rsidR="00B7303A" w:rsidRDefault="008F25FB" w:rsidP="008F25FB">
      <w:r>
        <w:t xml:space="preserve">The </w:t>
      </w:r>
      <w:r w:rsidR="009E6620">
        <w:t xml:space="preserve">reports from these agencies indicated that there was a considerable amount of activity occurring that would promote bowel screening and strengthen the capacity </w:t>
      </w:r>
      <w:r w:rsidR="007F5410">
        <w:t xml:space="preserve">of health professionals and organisations to support or promote bowel screening. Activities ranged from a touring Bowel Comedy, which visited three of the Pilot sites, to </w:t>
      </w:r>
      <w:r w:rsidR="00F218D8">
        <w:t xml:space="preserve">development of a </w:t>
      </w:r>
      <w:r w:rsidR="00F218D8" w:rsidRPr="004743C9">
        <w:rPr>
          <w:rFonts w:cstheme="minorHAnsi"/>
        </w:rPr>
        <w:t>co-design model for effective Aboriginal governance and engagement and a framework to oversee cancer control activities</w:t>
      </w:r>
      <w:r w:rsidR="00F218D8">
        <w:rPr>
          <w:rFonts w:cstheme="minorHAnsi"/>
        </w:rPr>
        <w:t xml:space="preserve"> for Aboriginal people. </w:t>
      </w:r>
      <w:r w:rsidR="007F5410">
        <w:t xml:space="preserve"> </w:t>
      </w:r>
    </w:p>
    <w:p w14:paraId="2B353E44" w14:textId="3B7498C8" w:rsidR="00F218D8" w:rsidRPr="00874345" w:rsidRDefault="00F218D8" w:rsidP="008F25FB">
      <w:r>
        <w:t>The f</w:t>
      </w:r>
      <w:r w:rsidR="004E7739">
        <w:t>ull report of Supporting Agency activity is included in Appendix G.</w:t>
      </w:r>
    </w:p>
    <w:p w14:paraId="16B4E3EE" w14:textId="37057627" w:rsidR="00B7303A" w:rsidRPr="001C6675" w:rsidRDefault="00300B19" w:rsidP="00510A67">
      <w:pPr>
        <w:pStyle w:val="Heading1"/>
      </w:pPr>
      <w:bookmarkStart w:id="158" w:name="_Toc38539103"/>
      <w:bookmarkStart w:id="159" w:name="_Toc38540038"/>
      <w:bookmarkStart w:id="160" w:name="_Toc38540093"/>
      <w:bookmarkStart w:id="161" w:name="_Toc44339208"/>
      <w:bookmarkStart w:id="162" w:name="_Toc45539259"/>
      <w:bookmarkStart w:id="163" w:name="_Toc54954846"/>
      <w:r>
        <w:lastRenderedPageBreak/>
        <w:t>6</w:t>
      </w:r>
      <w:r w:rsidR="00D25CAC">
        <w:t xml:space="preserve">. </w:t>
      </w:r>
      <w:r w:rsidR="00594009">
        <w:t>RESULTS:</w:t>
      </w:r>
      <w:r w:rsidR="00E73FEB">
        <w:t xml:space="preserve"> </w:t>
      </w:r>
      <w:bookmarkEnd w:id="158"/>
      <w:bookmarkEnd w:id="159"/>
      <w:bookmarkEnd w:id="160"/>
      <w:r w:rsidR="00256ACE">
        <w:t>IMPACT OF IMPLEMENTATION SUPPORT AND TRAINING</w:t>
      </w:r>
      <w:bookmarkEnd w:id="161"/>
      <w:bookmarkEnd w:id="162"/>
      <w:bookmarkEnd w:id="163"/>
    </w:p>
    <w:p w14:paraId="298493BA" w14:textId="22E6427D" w:rsidR="00B7303A" w:rsidRDefault="006F16FB" w:rsidP="00070C12">
      <w:pPr>
        <w:pStyle w:val="Heading2"/>
      </w:pPr>
      <w:bookmarkStart w:id="164" w:name="_Toc38539104"/>
      <w:bookmarkStart w:id="165" w:name="_Toc38540039"/>
      <w:bookmarkStart w:id="166" w:name="_Toc38540094"/>
      <w:bookmarkStart w:id="167" w:name="_Toc44339209"/>
      <w:bookmarkStart w:id="168" w:name="_Toc45539260"/>
      <w:bookmarkStart w:id="169" w:name="_Toc54954847"/>
      <w:r>
        <w:t xml:space="preserve">6.1 </w:t>
      </w:r>
      <w:bookmarkEnd w:id="164"/>
      <w:bookmarkEnd w:id="165"/>
      <w:bookmarkEnd w:id="166"/>
      <w:r w:rsidR="00F77352">
        <w:t>Overview</w:t>
      </w:r>
      <w:bookmarkEnd w:id="167"/>
      <w:bookmarkEnd w:id="168"/>
      <w:bookmarkEnd w:id="169"/>
    </w:p>
    <w:p w14:paraId="23EAC46A" w14:textId="77777777" w:rsidR="00CF18D1" w:rsidRPr="005B62D4" w:rsidRDefault="00CF18D1" w:rsidP="00CF18D1">
      <w:pPr>
        <w:rPr>
          <w:szCs w:val="22"/>
        </w:rPr>
      </w:pPr>
      <w:r w:rsidRPr="005B62D4">
        <w:rPr>
          <w:szCs w:val="22"/>
        </w:rPr>
        <w:t>The Pilot Evaluation Plan asked three questions about the impact and effectiveness of the implementation support and training provided to the staff at participating health centres. These questions included:</w:t>
      </w:r>
    </w:p>
    <w:p w14:paraId="007DE304" w14:textId="77777777" w:rsidR="00CF18D1" w:rsidRPr="005B62D4" w:rsidRDefault="00CF18D1" w:rsidP="00402F9A">
      <w:pPr>
        <w:pStyle w:val="level3textandnumbering"/>
        <w:numPr>
          <w:ilvl w:val="0"/>
          <w:numId w:val="24"/>
        </w:numPr>
        <w:spacing w:before="0" w:line="240" w:lineRule="auto"/>
        <w:rPr>
          <w:i/>
          <w:iCs/>
          <w:szCs w:val="22"/>
        </w:rPr>
      </w:pPr>
      <w:r w:rsidRPr="005B62D4">
        <w:rPr>
          <w:i/>
          <w:iCs/>
          <w:szCs w:val="22"/>
        </w:rPr>
        <w:t xml:space="preserve">How effective and fit-for-purpose were the training opportunities, resources and supporting materials? </w:t>
      </w:r>
    </w:p>
    <w:p w14:paraId="787AAF05" w14:textId="77777777" w:rsidR="00CF18D1" w:rsidRPr="0089478F" w:rsidRDefault="00CF18D1" w:rsidP="00CF18D1">
      <w:pPr>
        <w:pStyle w:val="level3textandnumbering"/>
        <w:numPr>
          <w:ilvl w:val="0"/>
          <w:numId w:val="0"/>
        </w:numPr>
        <w:ind w:left="720"/>
        <w:rPr>
          <w:iCs/>
          <w:szCs w:val="22"/>
        </w:rPr>
      </w:pPr>
      <w:r w:rsidRPr="005B62D4">
        <w:rPr>
          <w:iCs/>
          <w:szCs w:val="22"/>
        </w:rPr>
        <w:t xml:space="preserve">In answering this question, ‘fit for purpose’ was defined as whether the support provided through the Pilot addressed key knowledge and skill requirements to deliver the Alternative Pathway; barriers identified through earlier phases of the project such as lack of motivation/confidence, or a shortage of suitable resources for use with Indigenous patients; and was delivered in modes that were suitable for the target audience (primary health care </w:t>
      </w:r>
      <w:proofErr w:type="spellStart"/>
      <w:r w:rsidRPr="005B62D4">
        <w:rPr>
          <w:iCs/>
          <w:szCs w:val="22"/>
        </w:rPr>
        <w:t>centre</w:t>
      </w:r>
      <w:proofErr w:type="spellEnd"/>
      <w:r w:rsidRPr="005B62D4">
        <w:rPr>
          <w:iCs/>
          <w:szCs w:val="22"/>
        </w:rPr>
        <w:t xml:space="preserve"> staff).  </w:t>
      </w:r>
    </w:p>
    <w:p w14:paraId="15995738" w14:textId="77777777" w:rsidR="00CF18D1" w:rsidRPr="005B62D4" w:rsidRDefault="00CF18D1" w:rsidP="00402F9A">
      <w:pPr>
        <w:pStyle w:val="ListParagraph"/>
        <w:numPr>
          <w:ilvl w:val="0"/>
          <w:numId w:val="24"/>
        </w:numPr>
        <w:spacing w:before="0" w:after="240" w:line="240" w:lineRule="auto"/>
        <w:contextualSpacing w:val="0"/>
        <w:rPr>
          <w:szCs w:val="22"/>
        </w:rPr>
      </w:pPr>
      <w:r w:rsidRPr="005B62D4">
        <w:rPr>
          <w:i/>
          <w:iCs/>
          <w:szCs w:val="22"/>
        </w:rPr>
        <w:t>Did [health centre] staff report increased knowledge and skill about bowel screening, and increased confidence and capability to deliver the Alternative Pathway as a result of the training and implementation support activities?</w:t>
      </w:r>
    </w:p>
    <w:p w14:paraId="36B3BCDC" w14:textId="77777777" w:rsidR="00CF18D1" w:rsidRPr="005B62D4" w:rsidRDefault="00CF18D1" w:rsidP="00402F9A">
      <w:pPr>
        <w:pStyle w:val="ListParagraph"/>
        <w:numPr>
          <w:ilvl w:val="0"/>
          <w:numId w:val="24"/>
        </w:numPr>
        <w:spacing w:before="0" w:after="240" w:line="240" w:lineRule="auto"/>
        <w:contextualSpacing w:val="0"/>
        <w:rPr>
          <w:szCs w:val="22"/>
        </w:rPr>
      </w:pPr>
      <w:r w:rsidRPr="005B62D4">
        <w:rPr>
          <w:i/>
          <w:iCs/>
          <w:szCs w:val="22"/>
        </w:rPr>
        <w:t>Did [health centre] staff view the support provided as sufficient to prepare them to offer the Alternative Pathway?</w:t>
      </w:r>
    </w:p>
    <w:p w14:paraId="286122A2" w14:textId="77777777" w:rsidR="00CF18D1" w:rsidRDefault="00CF18D1" w:rsidP="00CF18D1">
      <w:pPr>
        <w:spacing w:after="240" w:line="240" w:lineRule="auto"/>
        <w:rPr>
          <w:szCs w:val="22"/>
        </w:rPr>
      </w:pPr>
      <w:r w:rsidRPr="005B62D4">
        <w:rPr>
          <w:szCs w:val="22"/>
        </w:rPr>
        <w:t>All three questions were answered using data from interviews with health centre staff and a pre- and post-training survey of staff who took part in either of the two modes of training offered through the Pilot (</w:t>
      </w:r>
      <w:r w:rsidRPr="005B62D4">
        <w:rPr>
          <w:iCs/>
          <w:szCs w:val="22"/>
        </w:rPr>
        <w:t>face-to-face training and online training</w:t>
      </w:r>
      <w:r w:rsidRPr="005B62D4">
        <w:rPr>
          <w:szCs w:val="22"/>
        </w:rPr>
        <w:t>).</w:t>
      </w:r>
      <w:r w:rsidRPr="00815249">
        <w:rPr>
          <w:szCs w:val="22"/>
        </w:rPr>
        <w:t xml:space="preserve"> </w:t>
      </w:r>
    </w:p>
    <w:p w14:paraId="317A6B1B" w14:textId="77777777" w:rsidR="00CF18D1" w:rsidRPr="005B62D4" w:rsidRDefault="00CF18D1" w:rsidP="00CF18D1">
      <w:pPr>
        <w:spacing w:after="240" w:line="240" w:lineRule="auto"/>
        <w:rPr>
          <w:szCs w:val="22"/>
        </w:rPr>
      </w:pPr>
      <w:r w:rsidRPr="005B62D4">
        <w:rPr>
          <w:szCs w:val="22"/>
        </w:rPr>
        <w:t xml:space="preserve">To answer the question of effectiveness, data from DHS monthly reports of screening activity and Helpline call logs were used to identify frequently asked questions and any failures to adhere to NBCSP reporting requirements. </w:t>
      </w:r>
    </w:p>
    <w:p w14:paraId="406BC4DF" w14:textId="77777777" w:rsidR="00CF18D1" w:rsidRDefault="00CF18D1" w:rsidP="00CF18D1">
      <w:pPr>
        <w:spacing w:after="240" w:line="240" w:lineRule="auto"/>
        <w:rPr>
          <w:szCs w:val="22"/>
        </w:rPr>
      </w:pPr>
      <w:r>
        <w:rPr>
          <w:szCs w:val="22"/>
        </w:rPr>
        <w:t xml:space="preserve">Also relevant to these evaluation questions is the extent to which health centres took up the opportunities for implementation support and training. In medical clinical trials, dosage is tightly controlled. In a pragmatic health services trial such as the Pilot, it was important to see what the effect would be in a real-world situation where health centres could choose whether to take up the opportunities offered. </w:t>
      </w:r>
      <w:r w:rsidRPr="00300B19">
        <w:t>Interview data, scheduling logs, and project team member journals were used to document the uptake of implementation support and training.</w:t>
      </w:r>
    </w:p>
    <w:p w14:paraId="016C8598" w14:textId="3FF826AF" w:rsidR="00CF18D1" w:rsidRPr="00A92A47" w:rsidRDefault="00CF18D1" w:rsidP="00CF18D1">
      <w:pPr>
        <w:spacing w:after="240" w:line="240" w:lineRule="auto"/>
        <w:rPr>
          <w:szCs w:val="22"/>
        </w:rPr>
      </w:pPr>
      <w:r w:rsidRPr="00922FCC">
        <w:rPr>
          <w:szCs w:val="22"/>
        </w:rPr>
        <w:t xml:space="preserve">As described in </w:t>
      </w:r>
      <w:r w:rsidR="00010BBE" w:rsidRPr="00922FCC">
        <w:rPr>
          <w:szCs w:val="22"/>
        </w:rPr>
        <w:t>Section 3</w:t>
      </w:r>
      <w:r w:rsidRPr="00922FCC">
        <w:rPr>
          <w:szCs w:val="22"/>
        </w:rPr>
        <w:t>,</w:t>
      </w:r>
      <w:r w:rsidRPr="00A92A47">
        <w:rPr>
          <w:szCs w:val="22"/>
        </w:rPr>
        <w:t xml:space="preserve"> health centres were randomised to either Group A or Group B</w:t>
      </w:r>
      <w:r w:rsidR="00922FCC">
        <w:rPr>
          <w:szCs w:val="22"/>
        </w:rPr>
        <w:t xml:space="preserve"> to receive different levels of support in preparing to implement the Alternative Pathway</w:t>
      </w:r>
      <w:r w:rsidRPr="00A92A47">
        <w:rPr>
          <w:szCs w:val="22"/>
        </w:rPr>
        <w:t>. The key difference</w:t>
      </w:r>
      <w:r>
        <w:rPr>
          <w:szCs w:val="22"/>
        </w:rPr>
        <w:t xml:space="preserve"> between the</w:t>
      </w:r>
      <w:r w:rsidR="00010BBE">
        <w:rPr>
          <w:szCs w:val="22"/>
        </w:rPr>
        <w:t xml:space="preserve"> two groups</w:t>
      </w:r>
      <w:r>
        <w:rPr>
          <w:szCs w:val="22"/>
        </w:rPr>
        <w:t xml:space="preserve"> was</w:t>
      </w:r>
      <w:r w:rsidRPr="00A92A47">
        <w:rPr>
          <w:szCs w:val="22"/>
        </w:rPr>
        <w:t xml:space="preserve"> that Group B received access to face-to-face training and implementation support </w:t>
      </w:r>
      <w:r w:rsidR="00922FCC">
        <w:rPr>
          <w:szCs w:val="22"/>
        </w:rPr>
        <w:t>on location a</w:t>
      </w:r>
      <w:r w:rsidRPr="00A92A47">
        <w:rPr>
          <w:szCs w:val="22"/>
        </w:rPr>
        <w:t xml:space="preserve">t the participating health centre, in addition to the </w:t>
      </w:r>
      <w:r>
        <w:rPr>
          <w:szCs w:val="22"/>
        </w:rPr>
        <w:t xml:space="preserve">online </w:t>
      </w:r>
      <w:r w:rsidRPr="00A92A47">
        <w:rPr>
          <w:szCs w:val="22"/>
        </w:rPr>
        <w:t xml:space="preserve">implementation support and training provided to Group A. </w:t>
      </w:r>
    </w:p>
    <w:p w14:paraId="3B4DBEE2" w14:textId="77777777" w:rsidR="00CF18D1" w:rsidRPr="00A92A47" w:rsidRDefault="00CF18D1" w:rsidP="00CF18D1">
      <w:pPr>
        <w:rPr>
          <w:szCs w:val="22"/>
        </w:rPr>
      </w:pPr>
      <w:r w:rsidRPr="00A92A47">
        <w:rPr>
          <w:szCs w:val="22"/>
        </w:rPr>
        <w:t xml:space="preserve">The following sections describe the data collection, analysis and findings from these sources, as relevant to the evaluation questions set out above. </w:t>
      </w:r>
    </w:p>
    <w:p w14:paraId="30A0B374" w14:textId="7D0C39B0" w:rsidR="00CF18D1" w:rsidRDefault="00CF18D1" w:rsidP="00070C12">
      <w:pPr>
        <w:pStyle w:val="Heading2"/>
      </w:pPr>
      <w:bookmarkStart w:id="170" w:name="_Toc44339210"/>
      <w:bookmarkStart w:id="171" w:name="_Toc45539261"/>
      <w:bookmarkStart w:id="172" w:name="_Toc54954848"/>
      <w:r>
        <w:lastRenderedPageBreak/>
        <w:t>6.2 Uptake of implementation and training support</w:t>
      </w:r>
      <w:bookmarkEnd w:id="170"/>
      <w:bookmarkEnd w:id="171"/>
      <w:bookmarkEnd w:id="172"/>
    </w:p>
    <w:p w14:paraId="201135CB" w14:textId="77777777" w:rsidR="00CF18D1" w:rsidRPr="00D90B1D" w:rsidRDefault="00CF18D1" w:rsidP="00366EAB">
      <w:pPr>
        <w:pStyle w:val="Heading3"/>
      </w:pPr>
      <w:bookmarkStart w:id="173" w:name="_Toc44279094"/>
      <w:bookmarkStart w:id="174" w:name="_Toc44339211"/>
      <w:bookmarkStart w:id="175" w:name="_Toc44361576"/>
      <w:r w:rsidRPr="00D90B1D">
        <w:t>Uptake of Quality and Safety Checklist</w:t>
      </w:r>
      <w:r>
        <w:t xml:space="preserve"> (QSC)</w:t>
      </w:r>
      <w:bookmarkEnd w:id="173"/>
      <w:bookmarkEnd w:id="174"/>
      <w:bookmarkEnd w:id="175"/>
    </w:p>
    <w:p w14:paraId="4F497F9E" w14:textId="77994A00" w:rsidR="00CF18D1" w:rsidRPr="00412879" w:rsidRDefault="00CF18D1" w:rsidP="00CF18D1">
      <w:r w:rsidRPr="00412879">
        <w:t xml:space="preserve">The QSC process took much longer to complete, was more challenging for health centre staff, and required a greater degree of feedback and follow-up from Menzies Site Support than was anticipated. </w:t>
      </w:r>
    </w:p>
    <w:p w14:paraId="51B1A631" w14:textId="4EB8EC9E" w:rsidR="00CF18D1" w:rsidRPr="00412879" w:rsidRDefault="00CF18D1" w:rsidP="00CF18D1">
      <w:r w:rsidRPr="00412879">
        <w:t xml:space="preserve">The QSC process was impacted by the </w:t>
      </w:r>
      <w:r w:rsidR="002077FC">
        <w:t xml:space="preserve">Pilot’s </w:t>
      </w:r>
      <w:r w:rsidRPr="00412879">
        <w:t xml:space="preserve">complex enrolment phase, requirements for randomisation and the diverse governance arrangements of health centres </w:t>
      </w:r>
      <w:r w:rsidR="0045496B">
        <w:t>across</w:t>
      </w:r>
      <w:r w:rsidRPr="00412879">
        <w:t xml:space="preserve"> regions. As a result, the commencement of sites and their invitation to complete the QSC was </w:t>
      </w:r>
      <w:r w:rsidR="00713CE6">
        <w:t xml:space="preserve">unintentionally </w:t>
      </w:r>
      <w:r w:rsidRPr="00412879">
        <w:t xml:space="preserve">staggered over the full 12 months of the Pilot. Most health centres (43/47) were invited between 1 November 2018 and 16 May 2019 (nearly 7 months).  </w:t>
      </w:r>
    </w:p>
    <w:p w14:paraId="06116794" w14:textId="437C74D1" w:rsidR="00CF18D1" w:rsidRPr="00412879" w:rsidRDefault="00713CE6" w:rsidP="00CF18D1">
      <w:r>
        <w:t xml:space="preserve">As it became apparent that health centres found the QSC difficult to complete, </w:t>
      </w:r>
      <w:r w:rsidR="00DF6E9C">
        <w:t xml:space="preserve">the </w:t>
      </w:r>
      <w:r w:rsidR="00DF6E9C" w:rsidRPr="00412879">
        <w:t>project protocol</w:t>
      </w:r>
      <w:r w:rsidR="00DF6E9C">
        <w:t xml:space="preserve"> was varied</w:t>
      </w:r>
      <w:r>
        <w:t xml:space="preserve"> to allow increased contact with sites</w:t>
      </w:r>
      <w:r w:rsidR="00DF6E9C" w:rsidRPr="00412879">
        <w:t>.</w:t>
      </w:r>
      <w:r>
        <w:t xml:space="preserve"> O</w:t>
      </w:r>
      <w:r w:rsidR="00CF18D1" w:rsidRPr="00412879">
        <w:t>n average, health centres required three follow up contacts</w:t>
      </w:r>
      <w:r w:rsidR="00CF18D1" w:rsidRPr="00412879">
        <w:rPr>
          <w:vertAlign w:val="superscript"/>
        </w:rPr>
        <w:footnoteReference w:id="32"/>
      </w:r>
      <w:r w:rsidR="00CF18D1" w:rsidRPr="00412879">
        <w:t>. Most health centres received no more than six follow-up contacts before completing the QSC to a satisfactory standard. In one case, 30 contacts were made.</w:t>
      </w:r>
      <w:r w:rsidR="00574F5C">
        <w:t xml:space="preserve"> </w:t>
      </w:r>
      <w:r w:rsidR="00DD6BBE">
        <w:t>Overall, a</w:t>
      </w:r>
      <w:r w:rsidR="00DD6BBE" w:rsidRPr="00412879">
        <w:t xml:space="preserve"> </w:t>
      </w:r>
      <w:r w:rsidR="00CF18D1" w:rsidRPr="00412879">
        <w:t xml:space="preserve">total </w:t>
      </w:r>
      <w:r w:rsidR="00DD6BBE">
        <w:t xml:space="preserve">of </w:t>
      </w:r>
      <w:r w:rsidR="00CF18D1" w:rsidRPr="00412879">
        <w:t xml:space="preserve">117 follow up contacts (not including QSC feedback) were made, mostly </w:t>
      </w:r>
      <w:r w:rsidR="00CF18D1" w:rsidRPr="00412879">
        <w:rPr>
          <w:i/>
          <w:iCs/>
        </w:rPr>
        <w:t>from</w:t>
      </w:r>
      <w:r w:rsidR="00CF18D1" w:rsidRPr="00412879">
        <w:t xml:space="preserve"> Menzies </w:t>
      </w:r>
      <w:r w:rsidR="00CF18D1" w:rsidRPr="00412879">
        <w:rPr>
          <w:i/>
          <w:iCs/>
        </w:rPr>
        <w:t>to</w:t>
      </w:r>
      <w:r w:rsidR="00CF18D1" w:rsidRPr="00412879">
        <w:t xml:space="preserve"> health centres. Five health centres rec</w:t>
      </w:r>
      <w:r w:rsidR="00497AC1">
        <w:t>ei</w:t>
      </w:r>
      <w:r w:rsidR="00CF18D1" w:rsidRPr="00412879">
        <w:t>ved help completing their QSC step by step, either during site visits or over the phone.</w:t>
      </w:r>
    </w:p>
    <w:p w14:paraId="6F3D7D8F" w14:textId="44A1701B" w:rsidR="00CF18D1" w:rsidRPr="00412879" w:rsidRDefault="00CF18D1" w:rsidP="00CF18D1">
      <w:r w:rsidRPr="00412879">
        <w:t>On average it took 49 days from when a health centre was sent the QSC (next steps letter) till the first QSC was returned. Once a QSC was assessed by the Menzies team, the health centre</w:t>
      </w:r>
      <w:r w:rsidR="00574F5C">
        <w:t xml:space="preserve"> was</w:t>
      </w:r>
      <w:r w:rsidRPr="00412879">
        <w:t xml:space="preserve"> notified if it was of a satisfactory standard or would be offered feedback on areas requir</w:t>
      </w:r>
      <w:r w:rsidR="00574F5C">
        <w:t>ing</w:t>
      </w:r>
      <w:r w:rsidRPr="00412879">
        <w:t xml:space="preserve"> further consideration. Feedback was provided 54 times</w:t>
      </w:r>
      <w:r w:rsidR="00574F5C">
        <w:t xml:space="preserve"> to </w:t>
      </w:r>
      <w:r w:rsidR="00574F5C" w:rsidRPr="00412879">
        <w:t>health centres</w:t>
      </w:r>
      <w:r w:rsidR="00574F5C">
        <w:t xml:space="preserve">. </w:t>
      </w:r>
      <w:r w:rsidR="00574F5C" w:rsidRPr="00412879">
        <w:t xml:space="preserve"> </w:t>
      </w:r>
      <w:r w:rsidR="00574F5C">
        <w:t>S</w:t>
      </w:r>
      <w:r w:rsidRPr="00412879">
        <w:t xml:space="preserve">ixty percent (26/44) </w:t>
      </w:r>
      <w:r w:rsidR="00574F5C">
        <w:t xml:space="preserve">of health centres </w:t>
      </w:r>
      <w:r w:rsidR="00574F5C" w:rsidRPr="00412879">
        <w:t xml:space="preserve">successfully </w:t>
      </w:r>
      <w:r w:rsidRPr="00412879">
        <w:t>completed the QSC after two attempts</w:t>
      </w:r>
      <w:r w:rsidR="00574F5C">
        <w:t>;</w:t>
      </w:r>
      <w:r w:rsidRPr="00412879">
        <w:t xml:space="preserve"> </w:t>
      </w:r>
      <w:r w:rsidR="00574F5C">
        <w:t>t</w:t>
      </w:r>
      <w:r w:rsidRPr="00412879">
        <w:t>en</w:t>
      </w:r>
      <w:r w:rsidR="00574F5C">
        <w:t xml:space="preserve"> </w:t>
      </w:r>
      <w:r w:rsidRPr="00412879">
        <w:t>on the first attempt; seven on the third attempt</w:t>
      </w:r>
      <w:r w:rsidR="00574F5C">
        <w:t>; and o</w:t>
      </w:r>
      <w:r w:rsidRPr="00412879">
        <w:t xml:space="preserve">ne centre took four attempts. </w:t>
      </w:r>
    </w:p>
    <w:p w14:paraId="2506D3B5" w14:textId="135C02A1" w:rsidR="00CF18D1" w:rsidRDefault="00CF18D1" w:rsidP="00CF18D1">
      <w:r w:rsidRPr="00412879">
        <w:t xml:space="preserve">Health centres took an average of 64 days from when the QSC was sent to them, </w:t>
      </w:r>
      <w:r w:rsidR="000D2D26">
        <w:t>until</w:t>
      </w:r>
      <w:r w:rsidRPr="00412879">
        <w:t xml:space="preserve"> their QSC was approved as satisfactory. </w:t>
      </w:r>
      <w:r>
        <w:t xml:space="preserve">Figure </w:t>
      </w:r>
      <w:r w:rsidR="001717CB">
        <w:t xml:space="preserve">6.1 </w:t>
      </w:r>
      <w:r>
        <w:t>provides a visual depiction of the times of commencement and completion of the QSC by each health centre.</w:t>
      </w:r>
    </w:p>
    <w:p w14:paraId="0904E44A" w14:textId="189A44AE" w:rsidR="002E74E6" w:rsidRPr="00412879" w:rsidRDefault="00E0353A" w:rsidP="00E0353A">
      <w:r w:rsidRPr="00412879">
        <w:rPr>
          <w:bCs/>
        </w:rPr>
        <w:t>The QSC question that</w:t>
      </w:r>
      <w:r w:rsidRPr="00412879">
        <w:t xml:space="preserve"> most frequently required resubmission was: </w:t>
      </w:r>
    </w:p>
    <w:p w14:paraId="28C9C6B0" w14:textId="71497703" w:rsidR="00D44B32" w:rsidRPr="0034109C" w:rsidRDefault="00E0353A" w:rsidP="0034109C">
      <w:pPr>
        <w:rPr>
          <w:iCs/>
        </w:rPr>
      </w:pPr>
      <w:r w:rsidRPr="0034109C">
        <w:rPr>
          <w:iCs/>
        </w:rPr>
        <w:t>What systems will your health centre use to ensure that the Participant Details (Health Centre Initiated) form includes the patient’s name, date of birth, Medicare number and contact details; is submitted for every patient who is assessed for bowel screening (not just those who are given a kit); and that each patient who accepts a kit also gets a copy of their Participant Details form (Part A and B) to be included with the samples when they are returned for testing?</w:t>
      </w:r>
    </w:p>
    <w:p w14:paraId="5592D8A5" w14:textId="3B2FD0C9" w:rsidR="00E0353A" w:rsidRDefault="008210F7" w:rsidP="0034109C">
      <w:pPr>
        <w:spacing w:before="0" w:after="0" w:line="240" w:lineRule="auto"/>
      </w:pPr>
      <w:r>
        <w:br w:type="page"/>
      </w:r>
      <w:r w:rsidR="0034109C">
        <w:lastRenderedPageBreak/>
        <w:t>Other q</w:t>
      </w:r>
      <w:r w:rsidR="00E0353A" w:rsidRPr="00412879">
        <w:t>uestions where further clarification was frequently required included:</w:t>
      </w:r>
    </w:p>
    <w:p w14:paraId="7D8E1A77" w14:textId="77777777" w:rsidR="00E0353A" w:rsidRPr="008210F7" w:rsidRDefault="00E0353A" w:rsidP="00C77532">
      <w:pPr>
        <w:pStyle w:val="Quote"/>
        <w:numPr>
          <w:ilvl w:val="0"/>
          <w:numId w:val="50"/>
        </w:numPr>
      </w:pPr>
      <w:r w:rsidRPr="008210F7">
        <w:t>Who will be responsible for overseeing the distribution of kits?</w:t>
      </w:r>
    </w:p>
    <w:p w14:paraId="4F9A2FFB" w14:textId="77777777" w:rsidR="00E0353A" w:rsidRPr="008210F7" w:rsidRDefault="00E0353A" w:rsidP="00C77532">
      <w:pPr>
        <w:pStyle w:val="Quote"/>
        <w:numPr>
          <w:ilvl w:val="0"/>
          <w:numId w:val="50"/>
        </w:numPr>
      </w:pPr>
      <w:r w:rsidRPr="008210F7">
        <w:t>How will you make sure that staff have the skills, knowledge and confidence, and the time, to talk about bowel screening and the NBCSP with patients?</w:t>
      </w:r>
    </w:p>
    <w:p w14:paraId="692F879F" w14:textId="77777777" w:rsidR="00E0353A" w:rsidRPr="008210F7" w:rsidRDefault="00E0353A" w:rsidP="00C77532">
      <w:pPr>
        <w:pStyle w:val="Quote"/>
        <w:numPr>
          <w:ilvl w:val="0"/>
          <w:numId w:val="50"/>
        </w:numPr>
      </w:pPr>
      <w:r w:rsidRPr="008210F7">
        <w:t>How will you embed bowel screening so that it becomes part of your health centre’s usual practice?</w:t>
      </w:r>
    </w:p>
    <w:p w14:paraId="65908856" w14:textId="08458180" w:rsidR="00883476" w:rsidRDefault="00E0353A" w:rsidP="002B60D1">
      <w:r w:rsidRPr="00412879">
        <w:t>The question ‘</w:t>
      </w:r>
      <w:r w:rsidRPr="0034109C">
        <w:rPr>
          <w:i/>
        </w:rPr>
        <w:t>How will you manage the impact of staff turnover during the Pilot</w:t>
      </w:r>
      <w:r w:rsidRPr="00412879">
        <w:t>?’ resulted in a large number of health centres reporting that staff turnover was ‘not an issue’. This proved incorrect in most cases</w:t>
      </w:r>
      <w:r w:rsidR="002E74E6">
        <w:t xml:space="preserve"> as follow</w:t>
      </w:r>
      <w:r w:rsidRPr="00412879">
        <w:t xml:space="preserve"> up contact often revealed that the nominated site coordinator was no longer working at the health centre (often with no further means of contact). In those instances, it could take considerable time and discussion with the organisation to identify a new site coordinator and orient them to the Pilot.</w:t>
      </w:r>
    </w:p>
    <w:p w14:paraId="6D85CE09" w14:textId="77777777" w:rsidR="007C5765" w:rsidRDefault="007C5765" w:rsidP="002B60D1"/>
    <w:p w14:paraId="13636AA2" w14:textId="77777777" w:rsidR="0034109C" w:rsidRDefault="00883476">
      <w:pPr>
        <w:keepNext/>
      </w:pPr>
      <w:r w:rsidRPr="00883476">
        <w:rPr>
          <w:noProof/>
          <w:lang w:eastAsia="en-AU"/>
        </w:rPr>
        <w:drawing>
          <wp:inline distT="0" distB="0" distL="0" distR="0" wp14:anchorId="460D9E17" wp14:editId="55C81620">
            <wp:extent cx="4594485" cy="5193561"/>
            <wp:effectExtent l="0" t="0" r="3175" b="1270"/>
            <wp:docPr id="22" name="Picture 22" descr="Chart showing time taken in days between a centre enrolling in the pilot and completing their quality and safety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howing time taken in days between a centre enrolling in the pilot and completing their quality and safety checklist."/>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636183" cy="5240696"/>
                    </a:xfrm>
                    <a:prstGeom prst="rect">
                      <a:avLst/>
                    </a:prstGeom>
                    <a:noFill/>
                    <a:ln>
                      <a:noFill/>
                    </a:ln>
                  </pic:spPr>
                </pic:pic>
              </a:graphicData>
            </a:graphic>
          </wp:inline>
        </w:drawing>
      </w:r>
    </w:p>
    <w:p w14:paraId="7C6075F4" w14:textId="77777777" w:rsidR="0034109C" w:rsidRDefault="0034109C">
      <w:pPr>
        <w:spacing w:before="0" w:after="0" w:line="240" w:lineRule="auto"/>
      </w:pPr>
      <w:r>
        <w:br w:type="page"/>
      </w:r>
    </w:p>
    <w:p w14:paraId="0C721A48" w14:textId="09938BA2" w:rsidR="00CF18D1" w:rsidRPr="0034109C" w:rsidRDefault="00CF18D1" w:rsidP="0034109C">
      <w:pPr>
        <w:keepNext/>
        <w:rPr>
          <w:b/>
          <w:bCs/>
        </w:rPr>
      </w:pPr>
      <w:r w:rsidRPr="0034109C">
        <w:rPr>
          <w:b/>
          <w:bCs/>
        </w:rPr>
        <w:lastRenderedPageBreak/>
        <w:t>Uptake of face-to-face training</w:t>
      </w:r>
    </w:p>
    <w:p w14:paraId="1066EA64" w14:textId="6A3A89DF" w:rsidR="00CF18D1" w:rsidRPr="0069397C" w:rsidRDefault="00CF18D1" w:rsidP="00CF18D1">
      <w:r w:rsidRPr="0069397C">
        <w:t>Once formally enrolled, health centres randomised to Group B (high intensity support</w:t>
      </w:r>
      <w:r w:rsidR="00193EED">
        <w:t>, n=23</w:t>
      </w:r>
      <w:r w:rsidRPr="0069397C">
        <w:t>) were offered training and implementation planning support during a site visit from the Menzies Project Team.</w:t>
      </w:r>
      <w:r w:rsidR="004257B1">
        <w:t xml:space="preserve"> Site visits were conducted with at least two trainers, usually the Site Support Officer and a </w:t>
      </w:r>
      <w:r w:rsidR="008D1868">
        <w:t xml:space="preserve">part-time cancer nurse. </w:t>
      </w:r>
    </w:p>
    <w:p w14:paraId="573AB493" w14:textId="78B78C23" w:rsidR="00CF18D1" w:rsidRPr="0069397C" w:rsidRDefault="00CF18D1" w:rsidP="00CF18D1">
      <w:r w:rsidRPr="0069397C">
        <w:t>Sit</w:t>
      </w:r>
      <w:r>
        <w:t>e</w:t>
      </w:r>
      <w:r w:rsidRPr="0069397C">
        <w:t xml:space="preserve"> visits were planned as soon as possible after </w:t>
      </w:r>
      <w:r>
        <w:t>a</w:t>
      </w:r>
      <w:r w:rsidRPr="0069397C">
        <w:t xml:space="preserve"> health centre was enrolled. As</w:t>
      </w:r>
      <w:r>
        <w:t xml:space="preserve"> </w:t>
      </w:r>
      <w:r w:rsidR="00CE03D8">
        <w:t>mentioned</w:t>
      </w:r>
      <w:r w:rsidR="00CE03D8" w:rsidRPr="0069397C">
        <w:t xml:space="preserve"> </w:t>
      </w:r>
      <w:r w:rsidRPr="0069397C">
        <w:t xml:space="preserve">earlier, training was not a pre-requisite for giving out kits, and completion of the QSC was not a prerequisite for training. Sometimes face-to-face training occurred after the QSC was complete; at other times the QSC was completed during or after the site visit. </w:t>
      </w:r>
    </w:p>
    <w:p w14:paraId="4EDA69BF" w14:textId="4943D6B2" w:rsidR="00CF18D1" w:rsidRPr="0069397C" w:rsidRDefault="00CF18D1" w:rsidP="00FF3368">
      <w:pPr>
        <w:keepLines/>
      </w:pPr>
      <w:r w:rsidRPr="0069397C">
        <w:t xml:space="preserve">Group B health centres were offered </w:t>
      </w:r>
      <w:r>
        <w:t>training</w:t>
      </w:r>
      <w:r w:rsidRPr="0069397C">
        <w:t xml:space="preserve"> sessions</w:t>
      </w:r>
      <w:r>
        <w:t xml:space="preserve"> (shown in Figure </w:t>
      </w:r>
      <w:r w:rsidR="00651EAB">
        <w:t>4</w:t>
      </w:r>
      <w:r w:rsidR="00A57D64">
        <w:t>.2</w:t>
      </w:r>
      <w:r>
        <w:t>)</w:t>
      </w:r>
      <w:r w:rsidR="00152AA2">
        <w:t xml:space="preserve"> and</w:t>
      </w:r>
      <w:r>
        <w:t xml:space="preserve"> </w:t>
      </w:r>
      <w:r w:rsidR="00152AA2">
        <w:t>s</w:t>
      </w:r>
      <w:r w:rsidRPr="0069397C">
        <w:t>ite visits were scheduled through negotiation with health centres</w:t>
      </w:r>
      <w:r w:rsidR="00E420CD">
        <w:t xml:space="preserve"> and</w:t>
      </w:r>
      <w:r>
        <w:t xml:space="preserve"> </w:t>
      </w:r>
      <w:r w:rsidR="00FB7D8A">
        <w:t xml:space="preserve">the </w:t>
      </w:r>
      <w:r>
        <w:t>Menzies</w:t>
      </w:r>
      <w:r w:rsidRPr="0069397C">
        <w:t xml:space="preserve"> </w:t>
      </w:r>
      <w:r w:rsidR="00FB7D8A">
        <w:t>project team</w:t>
      </w:r>
      <w:r w:rsidRPr="0069397C">
        <w:t>. For health centres in a hot zone, visits were organised when the hot zone period was over or almost over, to</w:t>
      </w:r>
      <w:r>
        <w:t xml:space="preserve"> reduce the time</w:t>
      </w:r>
      <w:r w:rsidRPr="0069397C">
        <w:t xml:space="preserve"> between training and when staff could </w:t>
      </w:r>
      <w:r>
        <w:t>start giving</w:t>
      </w:r>
      <w:r w:rsidRPr="0069397C">
        <w:t xml:space="preserve"> out kits.</w:t>
      </w:r>
      <w:r w:rsidR="008210F7">
        <w:t xml:space="preserve"> </w:t>
      </w:r>
      <w:r w:rsidR="002343F1">
        <w:t>Nineteen</w:t>
      </w:r>
      <w:r w:rsidRPr="0069397C">
        <w:t xml:space="preserve"> </w:t>
      </w:r>
      <w:r w:rsidR="00193EED">
        <w:t xml:space="preserve">health centres from </w:t>
      </w:r>
      <w:r w:rsidRPr="0069397C">
        <w:t xml:space="preserve">Group B </w:t>
      </w:r>
      <w:r w:rsidR="00193EED">
        <w:t xml:space="preserve">received site visits </w:t>
      </w:r>
      <w:r w:rsidRPr="0069397C">
        <w:t>over</w:t>
      </w:r>
      <w:r w:rsidR="00193EED">
        <w:t xml:space="preserve"> a</w:t>
      </w:r>
      <w:r w:rsidRPr="0069397C">
        <w:t xml:space="preserve"> </w:t>
      </w:r>
      <w:r w:rsidR="00FC2E7A" w:rsidRPr="0069397C">
        <w:t>five</w:t>
      </w:r>
      <w:r w:rsidR="00FC2E7A">
        <w:t>-month</w:t>
      </w:r>
      <w:r w:rsidR="00193EED">
        <w:t xml:space="preserve"> period</w:t>
      </w:r>
      <w:r w:rsidRPr="0069397C">
        <w:t xml:space="preserve">. Four Group B sites did not receive a site visit </w:t>
      </w:r>
      <w:r w:rsidR="00193EED">
        <w:t xml:space="preserve">due to the timing of their </w:t>
      </w:r>
      <w:r w:rsidRPr="0069397C">
        <w:t xml:space="preserve">formal enrolment </w:t>
      </w:r>
      <w:r w:rsidR="00193EED">
        <w:t xml:space="preserve">in </w:t>
      </w:r>
      <w:r w:rsidRPr="0069397C">
        <w:t>the Pilot</w:t>
      </w:r>
      <w:r w:rsidRPr="0069397C">
        <w:rPr>
          <w:vertAlign w:val="superscript"/>
        </w:rPr>
        <w:footnoteReference w:id="33"/>
      </w:r>
      <w:r w:rsidRPr="0069397C">
        <w:t xml:space="preserve">. </w:t>
      </w:r>
    </w:p>
    <w:p w14:paraId="230692C2" w14:textId="00CE8711" w:rsidR="00CF18D1" w:rsidRDefault="00CF18D1" w:rsidP="00CF18D1">
      <w:r w:rsidRPr="0069397C">
        <w:t xml:space="preserve">Some health centres were well prepared, with highly motivated staff and a clear idea of </w:t>
      </w:r>
      <w:r w:rsidR="00152AA2">
        <w:t xml:space="preserve">how they would implement the Alternative Pathway. </w:t>
      </w:r>
      <w:r>
        <w:t>O</w:t>
      </w:r>
      <w:r w:rsidRPr="0069397C">
        <w:t xml:space="preserve">thers expected the Menzies trainers to tell them what </w:t>
      </w:r>
      <w:r w:rsidR="00152AA2">
        <w:t>they should</w:t>
      </w:r>
      <w:r w:rsidRPr="0069397C">
        <w:t xml:space="preserve"> do. In a few instances, sessions were conducted with no attendance or input from managers about how screening</w:t>
      </w:r>
      <w:r>
        <w:t xml:space="preserve"> would be offered</w:t>
      </w:r>
      <w:r w:rsidRPr="0069397C">
        <w:t xml:space="preserve"> (for example, how the health centre would go about distributing kits)</w:t>
      </w:r>
      <w:r>
        <w:t xml:space="preserve"> and</w:t>
      </w:r>
      <w:r w:rsidRPr="0069397C">
        <w:t xml:space="preserve"> with staff</w:t>
      </w:r>
      <w:r>
        <w:t xml:space="preserve"> with</w:t>
      </w:r>
      <w:r w:rsidRPr="0069397C">
        <w:t xml:space="preserve"> little or no prior information about the Pilot. In these cases, the Menzies trainers were able to generalise about what might happen, but lack of clarity about processes made it difficult to prepare staff for the essential tasks </w:t>
      </w:r>
      <w:r>
        <w:t>of</w:t>
      </w:r>
      <w:r w:rsidRPr="0069397C">
        <w:t xml:space="preserve"> the Pilot. </w:t>
      </w:r>
    </w:p>
    <w:p w14:paraId="4E38EBD3" w14:textId="4DACFE93" w:rsidR="00CF18D1" w:rsidRPr="0069397C" w:rsidRDefault="00193EED" w:rsidP="00CF18D1">
      <w:r w:rsidRPr="0069397C">
        <w:t>Site visits and training sessions worked best whe</w:t>
      </w:r>
      <w:r>
        <w:t>n</w:t>
      </w:r>
      <w:r w:rsidRPr="0069397C">
        <w:t xml:space="preserve"> there was </w:t>
      </w:r>
      <w:r>
        <w:t>significant</w:t>
      </w:r>
      <w:r w:rsidRPr="0069397C">
        <w:t xml:space="preserve"> input from health centre managers about how the centre proposed to offer the Alternative Pathway to their patients. </w:t>
      </w:r>
      <w:proofErr w:type="gramStart"/>
      <w:r w:rsidR="00CF18D1" w:rsidRPr="0069397C">
        <w:t>A</w:t>
      </w:r>
      <w:r w:rsidR="008210F7">
        <w:t xml:space="preserve">nother </w:t>
      </w:r>
      <w:r w:rsidR="00CF18D1" w:rsidRPr="0069397C">
        <w:t xml:space="preserve"> factor</w:t>
      </w:r>
      <w:proofErr w:type="gramEnd"/>
      <w:r w:rsidR="00CF18D1" w:rsidRPr="0069397C">
        <w:t xml:space="preserve"> </w:t>
      </w:r>
      <w:r w:rsidR="005671E3">
        <w:t xml:space="preserve">in the success of implementation </w:t>
      </w:r>
      <w:r w:rsidR="00CF18D1" w:rsidRPr="0069397C">
        <w:t>wa</w:t>
      </w:r>
      <w:r w:rsidR="00CF18D1">
        <w:t xml:space="preserve">s </w:t>
      </w:r>
      <w:r w:rsidR="00CF18D1" w:rsidRPr="0069397C">
        <w:t>buy</w:t>
      </w:r>
      <w:r w:rsidR="00C84BD1">
        <w:t>-</w:t>
      </w:r>
      <w:r w:rsidR="00CF18D1" w:rsidRPr="0069397C">
        <w:t>in from a dedicated staff member to organis</w:t>
      </w:r>
      <w:r w:rsidR="005671E3">
        <w:t>e</w:t>
      </w:r>
      <w:r w:rsidR="00CF18D1" w:rsidRPr="0069397C">
        <w:t xml:space="preserve"> staff</w:t>
      </w:r>
      <w:r w:rsidR="005671E3">
        <w:t xml:space="preserve"> training</w:t>
      </w:r>
      <w:r w:rsidR="00CF18D1" w:rsidRPr="0069397C">
        <w:t xml:space="preserve"> and/or determin</w:t>
      </w:r>
      <w:r w:rsidR="005671E3">
        <w:t>e</w:t>
      </w:r>
      <w:r w:rsidR="00CF18D1" w:rsidRPr="0069397C">
        <w:t xml:space="preserve"> systems for delivery. Some sites </w:t>
      </w:r>
      <w:r w:rsidR="005671E3">
        <w:t xml:space="preserve">had already appointed </w:t>
      </w:r>
      <w:r w:rsidR="00CF18D1" w:rsidRPr="0069397C">
        <w:t>Pilot champions at the time of the site visit.</w:t>
      </w:r>
    </w:p>
    <w:p w14:paraId="60C076DE" w14:textId="287D9D61" w:rsidR="00CF18D1" w:rsidRPr="0069397C" w:rsidRDefault="00CF18D1" w:rsidP="00CF18D1">
      <w:r w:rsidRPr="0069397C">
        <w:t xml:space="preserve">Although the Pilot offered flexible options for training as described above, </w:t>
      </w:r>
      <w:r>
        <w:t>most</w:t>
      </w:r>
      <w:r w:rsidRPr="0069397C">
        <w:t xml:space="preserve"> health centres requested the full training package (sessions 1 to 4), so as ‘not to miss out’ on ‘essential’ information. However, this request conflicted with the amount of time some health centres allocated for the delivery. </w:t>
      </w:r>
      <w:r w:rsidR="00883476">
        <w:t>The time allocated to training varied greatly, from one-hour sessions to full day training</w:t>
      </w:r>
      <w:r w:rsidR="00772F2B">
        <w:t>, with almost half of these centres requesting 3 or more hours of training</w:t>
      </w:r>
      <w:r w:rsidR="00883476">
        <w:t>.</w:t>
      </w:r>
      <w:r w:rsidR="00772F2B">
        <w:t xml:space="preserve"> </w:t>
      </w:r>
      <w:r w:rsidRPr="0069397C">
        <w:t xml:space="preserve">These conflicting requests from health centres </w:t>
      </w:r>
      <w:r>
        <w:t>affected</w:t>
      </w:r>
      <w:r w:rsidRPr="0069397C">
        <w:t xml:space="preserve"> what </w:t>
      </w:r>
      <w:r w:rsidRPr="0069397C">
        <w:lastRenderedPageBreak/>
        <w:t>could be delivered.</w:t>
      </w:r>
      <w:r>
        <w:t xml:space="preserve"> </w:t>
      </w:r>
      <w:r w:rsidRPr="0069397C">
        <w:t>The Menzies trainers condensed and streamlined sessions 1, 3 and 4 into a single session covering the key details necessary to offer the Alternative Pathway, that could</w:t>
      </w:r>
      <w:r>
        <w:t xml:space="preserve">, </w:t>
      </w:r>
      <w:r w:rsidRPr="0069397C">
        <w:t>if necessary</w:t>
      </w:r>
      <w:r>
        <w:t>,</w:t>
      </w:r>
      <w:r w:rsidRPr="0069397C">
        <w:t xml:space="preserve"> be delivered in 90 minutes. </w:t>
      </w:r>
    </w:p>
    <w:p w14:paraId="6F634CFB" w14:textId="5F3CB72D" w:rsidR="00CF18D1" w:rsidRDefault="00CF18D1" w:rsidP="00315867">
      <w:r>
        <w:t>Attendees at face-to-face sessions included nurses (n = 5</w:t>
      </w:r>
      <w:r w:rsidR="00A0328B">
        <w:t>9</w:t>
      </w:r>
      <w:r>
        <w:t>), GPs (n = 5</w:t>
      </w:r>
      <w:r w:rsidR="00A0328B">
        <w:t>4</w:t>
      </w:r>
      <w:r>
        <w:t>) and IHWs or IHPs (n = 3</w:t>
      </w:r>
      <w:r w:rsidR="00A0328B">
        <w:t>9</w:t>
      </w:r>
      <w:r>
        <w:t>). A large number of health centre staff who described their roles or positions as ‘Other’ (n = 4</w:t>
      </w:r>
      <w:r w:rsidR="00A0328B">
        <w:t>9</w:t>
      </w:r>
      <w:r>
        <w:t>) also attended</w:t>
      </w:r>
      <w:r w:rsidR="000510F0">
        <w:t xml:space="preserve"> (total registered attendees, n = 201)</w:t>
      </w:r>
      <w:r>
        <w:t xml:space="preserve">. </w:t>
      </w:r>
      <w:r w:rsidRPr="00FC4B01">
        <w:t xml:space="preserve">Despite the Menzies project team emphasising that some sessions, such as </w:t>
      </w:r>
      <w:r w:rsidRPr="002A7057">
        <w:rPr>
          <w:i/>
          <w:iCs/>
        </w:rPr>
        <w:t xml:space="preserve">Understanding Bowel Cancer and </w:t>
      </w:r>
      <w:r>
        <w:rPr>
          <w:i/>
          <w:iCs/>
        </w:rPr>
        <w:t xml:space="preserve">Bowel </w:t>
      </w:r>
      <w:r w:rsidRPr="002A7057">
        <w:rPr>
          <w:i/>
          <w:iCs/>
        </w:rPr>
        <w:t>Screening</w:t>
      </w:r>
      <w:r w:rsidRPr="00FC4B01">
        <w:t xml:space="preserve">, were designed to address the training gaps identified by </w:t>
      </w:r>
      <w:r>
        <w:t xml:space="preserve">IHWs/IHPs, </w:t>
      </w:r>
      <w:r w:rsidRPr="00FC4B01">
        <w:t>many health centres still had GPs a</w:t>
      </w:r>
      <w:r>
        <w:t>ttend</w:t>
      </w:r>
      <w:r w:rsidRPr="00FC4B01">
        <w:t xml:space="preserve">. </w:t>
      </w:r>
    </w:p>
    <w:p w14:paraId="4F8D20BC" w14:textId="654141DA" w:rsidR="00CF18D1" w:rsidRDefault="00CF18D1" w:rsidP="00315867">
      <w:r w:rsidRPr="00FC4B01">
        <w:t xml:space="preserve">When sessions were attended by a mix of health professions that included GPs, the </w:t>
      </w:r>
      <w:r w:rsidR="00766800">
        <w:t>conversation was often dominated by the GPs</w:t>
      </w:r>
      <w:r w:rsidRPr="00FC4B01">
        <w:t>. When sessions were conducted without GPs</w:t>
      </w:r>
      <w:r w:rsidR="00766800">
        <w:t xml:space="preserve"> in attendance</w:t>
      </w:r>
      <w:r w:rsidRPr="00FC4B01">
        <w:t xml:space="preserve">, </w:t>
      </w:r>
      <w:r>
        <w:t>IHW</w:t>
      </w:r>
      <w:r w:rsidRPr="00FC4B01">
        <w:t xml:space="preserve">s appeared more comfortable and participated more fully.  </w:t>
      </w:r>
      <w:r>
        <w:t>These observations were added to the advice Menzies provided to health centres about scheduling training, but health centres continued to invite GPs.</w:t>
      </w:r>
    </w:p>
    <w:p w14:paraId="742DA755" w14:textId="53487774" w:rsidR="00CF18D1" w:rsidRDefault="009A634F" w:rsidP="00315867">
      <w:r>
        <w:t>On-site t</w:t>
      </w:r>
      <w:r w:rsidR="00CF18D1">
        <w:t>raining occurred in a variety of settings, ranging from a spacious function room with a commercial kitchen attached, to in one case, a waiting room surrounded by patients. This affected the ability to present the content effectively and inhibited health centre staff participation.</w:t>
      </w:r>
    </w:p>
    <w:p w14:paraId="48D773C1" w14:textId="42D6F621" w:rsidR="00CF18D1" w:rsidRPr="0069397C" w:rsidRDefault="00CF18D1" w:rsidP="00315867">
      <w:r>
        <w:t>As mentioned earlier, Menzies liaised with each health centre about whether the session could also be attended by local or regional representatives of other key stakeholder groups (such as state and territory screening services, cancer councils, PHNs, ACCHO peak bodies). This occurred at 14 of the 19 health centres who received training (11 different attendees) and attendance of these agencies assisted conversation and offered insight into local avenues of support (</w:t>
      </w:r>
      <w:r w:rsidR="004F1897">
        <w:t>e.g.</w:t>
      </w:r>
      <w:r>
        <w:t xml:space="preserve"> support available if a patient received a positive result). </w:t>
      </w:r>
    </w:p>
    <w:p w14:paraId="651EBC27" w14:textId="77777777" w:rsidR="00753898" w:rsidRDefault="00753898" w:rsidP="00366EAB">
      <w:pPr>
        <w:pStyle w:val="Heading3"/>
      </w:pPr>
      <w:bookmarkStart w:id="176" w:name="_Toc44279095"/>
      <w:r>
        <w:t>Uptake of online training</w:t>
      </w:r>
      <w:r w:rsidRPr="00491B9D">
        <w:t xml:space="preserve"> </w:t>
      </w:r>
    </w:p>
    <w:p w14:paraId="67250799" w14:textId="1B348797" w:rsidR="00753898" w:rsidRDefault="00753898" w:rsidP="00753898">
      <w:pPr>
        <w:rPr>
          <w:lang w:val="en-US" w:eastAsia="en-AU"/>
        </w:rPr>
      </w:pPr>
      <w:r>
        <w:rPr>
          <w:lang w:val="en-US" w:eastAsia="en-AU"/>
        </w:rPr>
        <w:t xml:space="preserve">Fewer people </w:t>
      </w:r>
      <w:r w:rsidR="005A509A">
        <w:rPr>
          <w:lang w:val="en-US" w:eastAsia="en-AU"/>
        </w:rPr>
        <w:t>registered to do</w:t>
      </w:r>
      <w:r>
        <w:rPr>
          <w:lang w:val="en-US" w:eastAsia="en-AU"/>
        </w:rPr>
        <w:t xml:space="preserve"> online training (n = 11</w:t>
      </w:r>
      <w:r w:rsidR="008D1868">
        <w:rPr>
          <w:lang w:val="en-US" w:eastAsia="en-AU"/>
        </w:rPr>
        <w:t>5</w:t>
      </w:r>
      <w:r>
        <w:rPr>
          <w:lang w:val="en-US" w:eastAsia="en-AU"/>
        </w:rPr>
        <w:t>) than face-to-face training (n = 201). The number of nurses who did the online module was similar (n = 56) to the number of nurses who attended face-to-face training (n = 59). Far fewer GPs took part in online training (n = 19</w:t>
      </w:r>
      <w:r w:rsidR="00BE18AD">
        <w:rPr>
          <w:lang w:val="en-US" w:eastAsia="en-AU"/>
        </w:rPr>
        <w:t>, compared to n = 54 for face-to-face training</w:t>
      </w:r>
      <w:r>
        <w:rPr>
          <w:lang w:val="en-US" w:eastAsia="en-AU"/>
        </w:rPr>
        <w:t xml:space="preserve">). </w:t>
      </w:r>
      <w:r w:rsidR="008D1868">
        <w:rPr>
          <w:lang w:val="en-US" w:eastAsia="en-AU"/>
        </w:rPr>
        <w:t xml:space="preserve">Fewer IHWs took part </w:t>
      </w:r>
      <w:r w:rsidR="00916E46">
        <w:rPr>
          <w:lang w:val="en-US" w:eastAsia="en-AU"/>
        </w:rPr>
        <w:t>(</w:t>
      </w:r>
      <w:r>
        <w:rPr>
          <w:lang w:val="en-US" w:eastAsia="en-AU"/>
        </w:rPr>
        <w:t xml:space="preserve">n = </w:t>
      </w:r>
      <w:r w:rsidR="00BE18AD">
        <w:rPr>
          <w:lang w:val="en-US" w:eastAsia="en-AU"/>
        </w:rPr>
        <w:t>25 compared to n = 39</w:t>
      </w:r>
      <w:r>
        <w:rPr>
          <w:lang w:val="en-US" w:eastAsia="en-AU"/>
        </w:rPr>
        <w:t>)</w:t>
      </w:r>
      <w:r w:rsidR="008D1868">
        <w:rPr>
          <w:lang w:val="en-US" w:eastAsia="en-AU"/>
        </w:rPr>
        <w:t>. The</w:t>
      </w:r>
      <w:r w:rsidR="005A509A">
        <w:rPr>
          <w:lang w:val="en-US" w:eastAsia="en-AU"/>
        </w:rPr>
        <w:t xml:space="preserve"> number of </w:t>
      </w:r>
      <w:r>
        <w:rPr>
          <w:lang w:val="en-US" w:eastAsia="en-AU"/>
        </w:rPr>
        <w:t xml:space="preserve">people who described their role as ‘Other’ in the enrolment for the online module was less than a quarter of those who registered for face-to-face training. </w:t>
      </w:r>
    </w:p>
    <w:p w14:paraId="49DA5B13" w14:textId="77777777" w:rsidR="002856EB" w:rsidRDefault="002856EB" w:rsidP="002856EB">
      <w:pPr>
        <w:keepNext/>
      </w:pPr>
      <w:r>
        <w:rPr>
          <w:noProof/>
          <w:lang w:eastAsia="en-AU"/>
        </w:rPr>
        <w:lastRenderedPageBreak/>
        <w:drawing>
          <wp:inline distT="0" distB="0" distL="0" distR="0" wp14:anchorId="2F2392FB" wp14:editId="3B308B5C">
            <wp:extent cx="5740400" cy="2743200"/>
            <wp:effectExtent l="0" t="0" r="12700" b="12700"/>
            <wp:docPr id="4" name="Chart 4" descr="Chart comparing online training attendance with face-to-face attendance by professional role (GPs, nurses, IHWs, other). ">
              <a:extLst xmlns:a="http://schemas.openxmlformats.org/drawingml/2006/main">
                <a:ext uri="{FF2B5EF4-FFF2-40B4-BE49-F238E27FC236}">
                  <a16:creationId xmlns:a16="http://schemas.microsoft.com/office/drawing/2014/main" id="{2F5C7993-9762-4B3C-892F-2801A0FB5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B1C55D" w14:textId="7A8579D0" w:rsidR="002856EB" w:rsidRDefault="002856EB" w:rsidP="002E74E6">
      <w:pPr>
        <w:pStyle w:val="Caption"/>
        <w:rPr>
          <w:lang w:val="en-US" w:eastAsia="en-AU"/>
        </w:rPr>
      </w:pPr>
      <w:r>
        <w:t>Figure 6</w:t>
      </w:r>
      <w:r w:rsidR="00BE18AD">
        <w:t>.2</w:t>
      </w:r>
      <w:r>
        <w:t>: Training attendees by professional role</w:t>
      </w:r>
    </w:p>
    <w:p w14:paraId="2F7ACACA" w14:textId="2B277817" w:rsidR="00A349AD" w:rsidRDefault="00A349AD" w:rsidP="00A349AD">
      <w:pPr>
        <w:rPr>
          <w:szCs w:val="22"/>
        </w:rPr>
      </w:pPr>
      <w:r>
        <w:rPr>
          <w:lang w:val="en-US" w:eastAsia="en-AU"/>
        </w:rPr>
        <w:t xml:space="preserve">Site </w:t>
      </w:r>
      <w:r>
        <w:rPr>
          <w:szCs w:val="22"/>
        </w:rPr>
        <w:t>C</w:t>
      </w:r>
      <w:r w:rsidRPr="00A92A47">
        <w:rPr>
          <w:szCs w:val="22"/>
        </w:rPr>
        <w:t>oordinators reported that approximately 30 staff accessed the online</w:t>
      </w:r>
      <w:r w:rsidRPr="00A92A47">
        <w:rPr>
          <w:i/>
          <w:iCs/>
          <w:szCs w:val="22"/>
        </w:rPr>
        <w:t xml:space="preserve"> </w:t>
      </w:r>
      <w:r w:rsidRPr="00A92A47">
        <w:rPr>
          <w:szCs w:val="22"/>
        </w:rPr>
        <w:t>module in group sessions.</w:t>
      </w:r>
      <w:r w:rsidRPr="00A92A47">
        <w:rPr>
          <w:rStyle w:val="FootnoteReference"/>
          <w:szCs w:val="22"/>
        </w:rPr>
        <w:footnoteReference w:id="34"/>
      </w:r>
      <w:r w:rsidRPr="00A92A47">
        <w:rPr>
          <w:szCs w:val="22"/>
        </w:rPr>
        <w:t xml:space="preserve"> </w:t>
      </w:r>
      <w:r>
        <w:rPr>
          <w:lang w:val="en-US" w:eastAsia="en-AU"/>
        </w:rPr>
        <w:t>No demographic data was available for these attendees, and the pre- and post-training questionnaire report</w:t>
      </w:r>
      <w:r w:rsidR="00FA45DC">
        <w:rPr>
          <w:lang w:val="en-US" w:eastAsia="en-AU"/>
        </w:rPr>
        <w:t>ed</w:t>
      </w:r>
      <w:r>
        <w:rPr>
          <w:lang w:val="en-US" w:eastAsia="en-AU"/>
        </w:rPr>
        <w:t xml:space="preserve"> in Section 6.3 </w:t>
      </w:r>
      <w:r w:rsidR="00FA45DC">
        <w:rPr>
          <w:lang w:val="en-US" w:eastAsia="en-AU"/>
        </w:rPr>
        <w:t xml:space="preserve">was not </w:t>
      </w:r>
      <w:r w:rsidRPr="00A92A47">
        <w:rPr>
          <w:szCs w:val="22"/>
        </w:rPr>
        <w:t xml:space="preserve">administered to individual </w:t>
      </w:r>
      <w:r w:rsidR="00BE18AD">
        <w:rPr>
          <w:szCs w:val="22"/>
        </w:rPr>
        <w:t>attendees</w:t>
      </w:r>
      <w:r w:rsidRPr="00A92A47">
        <w:rPr>
          <w:szCs w:val="22"/>
        </w:rPr>
        <w:t xml:space="preserve"> in online</w:t>
      </w:r>
      <w:r w:rsidRPr="00A92A47">
        <w:rPr>
          <w:i/>
          <w:iCs/>
          <w:szCs w:val="22"/>
        </w:rPr>
        <w:t xml:space="preserve"> </w:t>
      </w:r>
      <w:r w:rsidRPr="00A92A47">
        <w:rPr>
          <w:szCs w:val="22"/>
        </w:rPr>
        <w:t>group training sessions</w:t>
      </w:r>
      <w:r w:rsidR="00FA45DC">
        <w:rPr>
          <w:szCs w:val="22"/>
        </w:rPr>
        <w:t>. These attendees have been excluded from the data reported above and in Section 6.3.</w:t>
      </w:r>
    </w:p>
    <w:p w14:paraId="12C56744" w14:textId="77777777" w:rsidR="002A5482" w:rsidRDefault="002A5482" w:rsidP="00366EAB">
      <w:pPr>
        <w:pStyle w:val="Heading3"/>
      </w:pPr>
      <w:bookmarkStart w:id="177" w:name="_Toc44339212"/>
      <w:bookmarkStart w:id="178" w:name="_Toc44361577"/>
      <w:r>
        <w:t>Costs of providing implementation support and training</w:t>
      </w:r>
    </w:p>
    <w:p w14:paraId="3A176968" w14:textId="63DD6A98" w:rsidR="002A5482" w:rsidRDefault="002A5482" w:rsidP="002A5482">
      <w:pPr>
        <w:rPr>
          <w:lang w:val="en-US" w:eastAsia="en-AU"/>
        </w:rPr>
      </w:pPr>
      <w:r>
        <w:rPr>
          <w:lang w:val="en-US" w:eastAsia="en-AU"/>
        </w:rPr>
        <w:t xml:space="preserve">The direct costs of delivering implementation support and training for all health </w:t>
      </w:r>
      <w:proofErr w:type="spellStart"/>
      <w:r>
        <w:rPr>
          <w:lang w:val="en-US" w:eastAsia="en-AU"/>
        </w:rPr>
        <w:t>centres</w:t>
      </w:r>
      <w:proofErr w:type="spellEnd"/>
      <w:r>
        <w:rPr>
          <w:lang w:val="en-US" w:eastAsia="en-AU"/>
        </w:rPr>
        <w:t xml:space="preserve"> during the 12-month Pilot period included salaries, travel and catering costs, operational costs such as phone calls, administrative and technical assistance and the costs of hosting the online module and website, as shown in Table </w:t>
      </w:r>
      <w:r w:rsidR="00710F1B">
        <w:rPr>
          <w:lang w:val="en-US" w:eastAsia="en-AU"/>
        </w:rPr>
        <w:t>6.2.</w:t>
      </w:r>
    </w:p>
    <w:p w14:paraId="2F337C1F" w14:textId="38CCB36E" w:rsidR="002A5482" w:rsidRDefault="002A5482" w:rsidP="002E74E6">
      <w:pPr>
        <w:pStyle w:val="Caption"/>
      </w:pPr>
      <w:r>
        <w:t xml:space="preserve">Table </w:t>
      </w:r>
      <w:r w:rsidR="00A32577">
        <w:t>6</w:t>
      </w:r>
      <w:r>
        <w:t>.</w:t>
      </w:r>
      <w:r w:rsidR="00710F1B">
        <w:t>2</w:t>
      </w:r>
      <w:r>
        <w:t>: Costs to deliver implementation support and training, all Pilot health centres</w:t>
      </w:r>
    </w:p>
    <w:tbl>
      <w:tblPr>
        <w:tblStyle w:val="TableGrid"/>
        <w:tblW w:w="0" w:type="auto"/>
        <w:tblBorders>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4678"/>
        <w:gridCol w:w="2268"/>
        <w:gridCol w:w="284"/>
      </w:tblGrid>
      <w:tr w:rsidR="002A5482" w:rsidRPr="00D36555" w14:paraId="3E2983D8" w14:textId="77777777" w:rsidTr="00CA0599">
        <w:trPr>
          <w:tblHeader/>
        </w:trPr>
        <w:tc>
          <w:tcPr>
            <w:tcW w:w="4678" w:type="dxa"/>
            <w:tcBorders>
              <w:top w:val="single" w:sz="4" w:space="0" w:color="auto"/>
              <w:left w:val="nil"/>
              <w:bottom w:val="single" w:sz="4" w:space="0" w:color="auto"/>
            </w:tcBorders>
          </w:tcPr>
          <w:p w14:paraId="652D73B9" w14:textId="77777777" w:rsidR="002A5482" w:rsidRPr="00D36555" w:rsidRDefault="002A5482" w:rsidP="00FF3368">
            <w:pPr>
              <w:pStyle w:val="Normaltextfortables"/>
              <w:framePr w:hSpace="0" w:wrap="auto" w:vAnchor="margin" w:hAnchor="text" w:yAlign="inline"/>
              <w:contextualSpacing/>
              <w:rPr>
                <w:b/>
                <w:bCs/>
                <w:lang w:val="en-US" w:eastAsia="en-AU"/>
              </w:rPr>
            </w:pPr>
            <w:r w:rsidRPr="00D36555">
              <w:rPr>
                <w:b/>
                <w:bCs/>
                <w:lang w:val="en-US" w:eastAsia="en-AU"/>
              </w:rPr>
              <w:t>Items</w:t>
            </w:r>
          </w:p>
        </w:tc>
        <w:tc>
          <w:tcPr>
            <w:tcW w:w="2268" w:type="dxa"/>
            <w:tcBorders>
              <w:top w:val="single" w:sz="4" w:space="0" w:color="auto"/>
              <w:bottom w:val="single" w:sz="4" w:space="0" w:color="auto"/>
            </w:tcBorders>
            <w:vAlign w:val="center"/>
          </w:tcPr>
          <w:p w14:paraId="1BBD5E78" w14:textId="77777777" w:rsidR="002A5482" w:rsidRPr="00D36555" w:rsidRDefault="002A5482" w:rsidP="00FF3368">
            <w:pPr>
              <w:pStyle w:val="Normaltextfortables"/>
              <w:framePr w:hSpace="0" w:wrap="auto" w:vAnchor="margin" w:hAnchor="text" w:yAlign="inline"/>
              <w:contextualSpacing/>
              <w:jc w:val="right"/>
              <w:rPr>
                <w:b/>
                <w:bCs/>
                <w:lang w:val="en-US" w:eastAsia="en-AU"/>
              </w:rPr>
            </w:pPr>
            <w:r w:rsidRPr="00D36555">
              <w:rPr>
                <w:b/>
                <w:bCs/>
                <w:lang w:val="en-US" w:eastAsia="en-AU"/>
              </w:rPr>
              <w:t>Costs</w:t>
            </w:r>
          </w:p>
        </w:tc>
        <w:tc>
          <w:tcPr>
            <w:tcW w:w="284" w:type="dxa"/>
            <w:tcBorders>
              <w:top w:val="single" w:sz="4" w:space="0" w:color="auto"/>
              <w:bottom w:val="single" w:sz="4" w:space="0" w:color="auto"/>
              <w:right w:val="nil"/>
            </w:tcBorders>
          </w:tcPr>
          <w:p w14:paraId="4ADDE867" w14:textId="77777777" w:rsidR="002A5482" w:rsidRDefault="002A5482" w:rsidP="00FF3368">
            <w:pPr>
              <w:pStyle w:val="Normaltextfortables"/>
              <w:framePr w:hSpace="0" w:wrap="auto" w:vAnchor="margin" w:hAnchor="text" w:yAlign="inline"/>
              <w:contextualSpacing/>
              <w:jc w:val="center"/>
              <w:rPr>
                <w:b/>
                <w:bCs/>
                <w:lang w:val="en-US" w:eastAsia="en-AU"/>
              </w:rPr>
            </w:pPr>
          </w:p>
        </w:tc>
      </w:tr>
      <w:tr w:rsidR="002A5482" w14:paraId="7C028B02" w14:textId="77777777" w:rsidTr="00D8776A">
        <w:trPr>
          <w:cantSplit/>
          <w:trHeight w:val="20"/>
        </w:trPr>
        <w:tc>
          <w:tcPr>
            <w:tcW w:w="4678" w:type="dxa"/>
            <w:tcBorders>
              <w:top w:val="nil"/>
              <w:left w:val="nil"/>
              <w:bottom w:val="nil"/>
            </w:tcBorders>
          </w:tcPr>
          <w:p w14:paraId="4DDF1EDA" w14:textId="77777777" w:rsidR="002A5482" w:rsidRPr="00955AE6" w:rsidRDefault="002A5482" w:rsidP="00FF3368">
            <w:pPr>
              <w:pStyle w:val="Normaltextfortables"/>
              <w:framePr w:hSpace="0" w:wrap="auto" w:vAnchor="margin" w:hAnchor="text" w:yAlign="inline"/>
              <w:spacing w:before="20"/>
              <w:contextualSpacing/>
              <w:rPr>
                <w:lang w:val="en-US" w:eastAsia="en-AU"/>
              </w:rPr>
            </w:pPr>
            <w:r>
              <w:rPr>
                <w:lang w:val="en-US" w:eastAsia="en-AU"/>
              </w:rPr>
              <w:t>Salaries</w:t>
            </w:r>
          </w:p>
        </w:tc>
        <w:tc>
          <w:tcPr>
            <w:tcW w:w="2268" w:type="dxa"/>
            <w:tcBorders>
              <w:top w:val="nil"/>
              <w:bottom w:val="nil"/>
            </w:tcBorders>
          </w:tcPr>
          <w:p w14:paraId="03AF7C1F" w14:textId="77777777" w:rsidR="002A5482" w:rsidRDefault="002A5482" w:rsidP="00FF3368">
            <w:pPr>
              <w:pStyle w:val="Normaltextfortables"/>
              <w:framePr w:hSpace="0" w:wrap="auto" w:vAnchor="margin" w:hAnchor="text" w:yAlign="inline"/>
              <w:spacing w:before="20"/>
              <w:contextualSpacing/>
              <w:jc w:val="right"/>
              <w:rPr>
                <w:lang w:val="en-US" w:eastAsia="en-AU"/>
              </w:rPr>
            </w:pPr>
            <w:r>
              <w:rPr>
                <w:lang w:val="en-US" w:eastAsia="en-AU"/>
              </w:rPr>
              <w:fldChar w:fldCharType="begin"/>
            </w:r>
            <w:r>
              <w:rPr>
                <w:lang w:val="en-US" w:eastAsia="en-AU"/>
              </w:rPr>
              <w:instrText xml:space="preserve"> =SUM(BELOW) </w:instrText>
            </w:r>
            <w:r>
              <w:rPr>
                <w:lang w:val="en-US" w:eastAsia="en-AU"/>
              </w:rPr>
              <w:fldChar w:fldCharType="separate"/>
            </w:r>
            <w:r>
              <w:rPr>
                <w:noProof/>
                <w:lang w:val="en-US" w:eastAsia="en-AU"/>
              </w:rPr>
              <w:t>$132,365</w:t>
            </w:r>
            <w:r>
              <w:rPr>
                <w:lang w:val="en-US" w:eastAsia="en-AU"/>
              </w:rPr>
              <w:fldChar w:fldCharType="end"/>
            </w:r>
          </w:p>
        </w:tc>
        <w:tc>
          <w:tcPr>
            <w:tcW w:w="284" w:type="dxa"/>
            <w:tcBorders>
              <w:top w:val="nil"/>
              <w:bottom w:val="nil"/>
              <w:right w:val="nil"/>
            </w:tcBorders>
          </w:tcPr>
          <w:p w14:paraId="7E396C74" w14:textId="77777777" w:rsidR="002A5482" w:rsidRDefault="002A5482" w:rsidP="00FF3368">
            <w:pPr>
              <w:pStyle w:val="Normaltextfortables"/>
              <w:framePr w:hSpace="0" w:wrap="auto" w:vAnchor="margin" w:hAnchor="text" w:yAlign="inline"/>
              <w:spacing w:before="20"/>
              <w:contextualSpacing/>
              <w:rPr>
                <w:lang w:val="en-US" w:eastAsia="en-AU"/>
              </w:rPr>
            </w:pPr>
          </w:p>
        </w:tc>
      </w:tr>
      <w:tr w:rsidR="002A5482" w14:paraId="66A6A96F" w14:textId="77777777" w:rsidTr="00D8776A">
        <w:trPr>
          <w:cantSplit/>
        </w:trPr>
        <w:tc>
          <w:tcPr>
            <w:tcW w:w="4678" w:type="dxa"/>
            <w:tcBorders>
              <w:top w:val="nil"/>
              <w:left w:val="nil"/>
              <w:bottom w:val="nil"/>
            </w:tcBorders>
          </w:tcPr>
          <w:p w14:paraId="089BC916" w14:textId="77777777" w:rsidR="002A5482" w:rsidRDefault="002A5482" w:rsidP="00FF3368">
            <w:pPr>
              <w:pStyle w:val="Normaltextfortables"/>
              <w:framePr w:hSpace="0" w:wrap="auto" w:vAnchor="margin" w:hAnchor="text" w:yAlign="inline"/>
              <w:spacing w:before="20"/>
              <w:contextualSpacing/>
              <w:rPr>
                <w:lang w:val="en-US" w:eastAsia="en-AU"/>
              </w:rPr>
            </w:pPr>
            <w:r>
              <w:rPr>
                <w:lang w:val="en-US" w:eastAsia="en-AU"/>
              </w:rPr>
              <w:t xml:space="preserve">Travel and catering (site visits to 19 health </w:t>
            </w:r>
            <w:proofErr w:type="spellStart"/>
            <w:r>
              <w:rPr>
                <w:lang w:val="en-US" w:eastAsia="en-AU"/>
              </w:rPr>
              <w:t>centres</w:t>
            </w:r>
            <w:proofErr w:type="spellEnd"/>
            <w:r>
              <w:rPr>
                <w:lang w:val="en-US" w:eastAsia="en-AU"/>
              </w:rPr>
              <w:t>)</w:t>
            </w:r>
          </w:p>
        </w:tc>
        <w:tc>
          <w:tcPr>
            <w:tcW w:w="2268" w:type="dxa"/>
            <w:tcBorders>
              <w:top w:val="nil"/>
              <w:bottom w:val="nil"/>
            </w:tcBorders>
          </w:tcPr>
          <w:p w14:paraId="5B7E001F" w14:textId="77777777" w:rsidR="002A5482" w:rsidRDefault="002A5482" w:rsidP="00FF3368">
            <w:pPr>
              <w:pStyle w:val="Normaltextfortables"/>
              <w:framePr w:hSpace="0" w:wrap="auto" w:vAnchor="margin" w:hAnchor="text" w:yAlign="inline"/>
              <w:spacing w:before="20"/>
              <w:contextualSpacing/>
              <w:jc w:val="right"/>
              <w:rPr>
                <w:lang w:val="en-US" w:eastAsia="en-AU"/>
              </w:rPr>
            </w:pPr>
            <w:r>
              <w:rPr>
                <w:lang w:val="en-US" w:eastAsia="en-AU"/>
              </w:rPr>
              <w:t>$32,600</w:t>
            </w:r>
          </w:p>
        </w:tc>
        <w:tc>
          <w:tcPr>
            <w:tcW w:w="284" w:type="dxa"/>
            <w:tcBorders>
              <w:top w:val="nil"/>
              <w:bottom w:val="nil"/>
              <w:right w:val="nil"/>
            </w:tcBorders>
          </w:tcPr>
          <w:p w14:paraId="0BD788C5" w14:textId="77777777" w:rsidR="002A5482" w:rsidRDefault="002A5482" w:rsidP="00FF3368">
            <w:pPr>
              <w:pStyle w:val="Normaltextfortables"/>
              <w:framePr w:hSpace="0" w:wrap="auto" w:vAnchor="margin" w:hAnchor="text" w:yAlign="inline"/>
              <w:contextualSpacing/>
              <w:rPr>
                <w:lang w:val="en-US" w:eastAsia="en-AU"/>
              </w:rPr>
            </w:pPr>
          </w:p>
        </w:tc>
      </w:tr>
      <w:tr w:rsidR="002A5482" w14:paraId="0E676F02" w14:textId="77777777" w:rsidTr="00D8776A">
        <w:trPr>
          <w:cantSplit/>
        </w:trPr>
        <w:tc>
          <w:tcPr>
            <w:tcW w:w="4678" w:type="dxa"/>
            <w:tcBorders>
              <w:top w:val="nil"/>
              <w:left w:val="nil"/>
              <w:bottom w:val="nil"/>
            </w:tcBorders>
          </w:tcPr>
          <w:p w14:paraId="22BEE630" w14:textId="77777777" w:rsidR="002A5482" w:rsidRDefault="002A5482" w:rsidP="00FF3368">
            <w:pPr>
              <w:pStyle w:val="Normaltextfortables"/>
              <w:framePr w:hSpace="0" w:wrap="auto" w:vAnchor="margin" w:hAnchor="text" w:yAlign="inline"/>
              <w:spacing w:before="20"/>
              <w:contextualSpacing/>
              <w:rPr>
                <w:lang w:val="en-US" w:eastAsia="en-AU"/>
              </w:rPr>
            </w:pPr>
            <w:r>
              <w:rPr>
                <w:lang w:val="en-US" w:eastAsia="en-AU"/>
              </w:rPr>
              <w:t>Learning management system costs</w:t>
            </w:r>
          </w:p>
        </w:tc>
        <w:tc>
          <w:tcPr>
            <w:tcW w:w="2268" w:type="dxa"/>
            <w:tcBorders>
              <w:top w:val="nil"/>
              <w:bottom w:val="nil"/>
            </w:tcBorders>
          </w:tcPr>
          <w:p w14:paraId="10917145" w14:textId="77777777" w:rsidR="002A5482" w:rsidRDefault="002A5482" w:rsidP="00FF3368">
            <w:pPr>
              <w:pStyle w:val="Normaltextfortables"/>
              <w:framePr w:hSpace="0" w:wrap="auto" w:vAnchor="margin" w:hAnchor="text" w:yAlign="inline"/>
              <w:spacing w:before="20"/>
              <w:contextualSpacing/>
              <w:jc w:val="right"/>
              <w:rPr>
                <w:lang w:val="en-US" w:eastAsia="en-AU"/>
              </w:rPr>
            </w:pPr>
            <w:r>
              <w:rPr>
                <w:lang w:val="en-US" w:eastAsia="en-AU"/>
              </w:rPr>
              <w:t>$2345</w:t>
            </w:r>
          </w:p>
        </w:tc>
        <w:tc>
          <w:tcPr>
            <w:tcW w:w="284" w:type="dxa"/>
            <w:tcBorders>
              <w:top w:val="nil"/>
              <w:bottom w:val="nil"/>
              <w:right w:val="nil"/>
            </w:tcBorders>
          </w:tcPr>
          <w:p w14:paraId="36B30F87" w14:textId="77777777" w:rsidR="002A5482" w:rsidRDefault="002A5482" w:rsidP="00FF3368">
            <w:pPr>
              <w:pStyle w:val="Normaltextfortables"/>
              <w:framePr w:hSpace="0" w:wrap="auto" w:vAnchor="margin" w:hAnchor="text" w:yAlign="inline"/>
              <w:contextualSpacing/>
              <w:rPr>
                <w:lang w:val="en-US" w:eastAsia="en-AU"/>
              </w:rPr>
            </w:pPr>
          </w:p>
        </w:tc>
      </w:tr>
      <w:tr w:rsidR="002A5482" w14:paraId="0F2EDDB4" w14:textId="77777777" w:rsidTr="00D8776A">
        <w:trPr>
          <w:cantSplit/>
        </w:trPr>
        <w:tc>
          <w:tcPr>
            <w:tcW w:w="4678" w:type="dxa"/>
            <w:tcBorders>
              <w:top w:val="nil"/>
              <w:left w:val="nil"/>
              <w:bottom w:val="nil"/>
            </w:tcBorders>
          </w:tcPr>
          <w:p w14:paraId="311A65B6" w14:textId="77777777" w:rsidR="002A5482" w:rsidRDefault="002A5482" w:rsidP="00FF3368">
            <w:pPr>
              <w:pStyle w:val="Normaltextfortables"/>
              <w:framePr w:hSpace="0" w:wrap="auto" w:vAnchor="margin" w:hAnchor="text" w:yAlign="inline"/>
              <w:spacing w:before="20"/>
              <w:contextualSpacing/>
              <w:rPr>
                <w:lang w:val="en-US" w:eastAsia="en-AU"/>
              </w:rPr>
            </w:pPr>
            <w:r>
              <w:rPr>
                <w:lang w:val="en-US" w:eastAsia="en-AU"/>
              </w:rPr>
              <w:t>Website hosting</w:t>
            </w:r>
          </w:p>
        </w:tc>
        <w:tc>
          <w:tcPr>
            <w:tcW w:w="2268" w:type="dxa"/>
            <w:tcBorders>
              <w:top w:val="nil"/>
              <w:bottom w:val="nil"/>
            </w:tcBorders>
          </w:tcPr>
          <w:p w14:paraId="5CBCC39E" w14:textId="77777777" w:rsidR="002A5482" w:rsidRDefault="002A5482" w:rsidP="00FF3368">
            <w:pPr>
              <w:pStyle w:val="Normaltextfortables"/>
              <w:framePr w:hSpace="0" w:wrap="auto" w:vAnchor="margin" w:hAnchor="text" w:yAlign="inline"/>
              <w:spacing w:before="20"/>
              <w:contextualSpacing/>
              <w:jc w:val="right"/>
              <w:rPr>
                <w:lang w:val="en-US" w:eastAsia="en-AU"/>
              </w:rPr>
            </w:pPr>
            <w:r>
              <w:rPr>
                <w:lang w:val="en-US" w:eastAsia="en-AU"/>
              </w:rPr>
              <w:t>$240</w:t>
            </w:r>
          </w:p>
        </w:tc>
        <w:tc>
          <w:tcPr>
            <w:tcW w:w="284" w:type="dxa"/>
            <w:tcBorders>
              <w:top w:val="nil"/>
              <w:bottom w:val="nil"/>
              <w:right w:val="nil"/>
            </w:tcBorders>
          </w:tcPr>
          <w:p w14:paraId="50A96FB2" w14:textId="77777777" w:rsidR="002A5482" w:rsidRDefault="002A5482" w:rsidP="00FF3368">
            <w:pPr>
              <w:pStyle w:val="Normaltextfortables"/>
              <w:framePr w:hSpace="0" w:wrap="auto" w:vAnchor="margin" w:hAnchor="text" w:yAlign="inline"/>
              <w:contextualSpacing/>
              <w:rPr>
                <w:lang w:val="en-US" w:eastAsia="en-AU"/>
              </w:rPr>
            </w:pPr>
          </w:p>
        </w:tc>
      </w:tr>
      <w:tr w:rsidR="002A5482" w14:paraId="5AE5E4AD" w14:textId="77777777" w:rsidTr="00D8776A">
        <w:trPr>
          <w:cantSplit/>
        </w:trPr>
        <w:tc>
          <w:tcPr>
            <w:tcW w:w="4678" w:type="dxa"/>
            <w:tcBorders>
              <w:top w:val="nil"/>
              <w:left w:val="nil"/>
              <w:bottom w:val="nil"/>
            </w:tcBorders>
          </w:tcPr>
          <w:p w14:paraId="13FBF44C" w14:textId="77777777" w:rsidR="002A5482" w:rsidRDefault="002A5482" w:rsidP="00FF3368">
            <w:pPr>
              <w:pStyle w:val="Normaltextfortables"/>
              <w:framePr w:hSpace="0" w:wrap="auto" w:vAnchor="margin" w:hAnchor="text" w:yAlign="inline"/>
              <w:spacing w:before="20"/>
              <w:contextualSpacing/>
              <w:rPr>
                <w:lang w:val="en-US" w:eastAsia="en-AU"/>
              </w:rPr>
            </w:pPr>
            <w:r>
              <w:rPr>
                <w:lang w:val="en-US" w:eastAsia="en-AU"/>
              </w:rPr>
              <w:t>Basic operational costs</w:t>
            </w:r>
          </w:p>
        </w:tc>
        <w:tc>
          <w:tcPr>
            <w:tcW w:w="2268" w:type="dxa"/>
            <w:tcBorders>
              <w:top w:val="nil"/>
              <w:bottom w:val="nil"/>
            </w:tcBorders>
          </w:tcPr>
          <w:p w14:paraId="43D7BA09" w14:textId="77777777" w:rsidR="002A5482" w:rsidRDefault="002A5482" w:rsidP="00FF3368">
            <w:pPr>
              <w:pStyle w:val="Normaltextfortables"/>
              <w:framePr w:hSpace="0" w:wrap="auto" w:vAnchor="margin" w:hAnchor="text" w:yAlign="inline"/>
              <w:spacing w:before="20"/>
              <w:contextualSpacing/>
              <w:jc w:val="right"/>
              <w:rPr>
                <w:lang w:val="en-US" w:eastAsia="en-AU"/>
              </w:rPr>
            </w:pPr>
            <w:r>
              <w:rPr>
                <w:lang w:val="en-US" w:eastAsia="en-AU"/>
              </w:rPr>
              <w:t>$3500</w:t>
            </w:r>
          </w:p>
        </w:tc>
        <w:tc>
          <w:tcPr>
            <w:tcW w:w="284" w:type="dxa"/>
            <w:tcBorders>
              <w:top w:val="nil"/>
              <w:bottom w:val="nil"/>
              <w:right w:val="nil"/>
            </w:tcBorders>
          </w:tcPr>
          <w:p w14:paraId="4608CE79" w14:textId="77777777" w:rsidR="002A5482" w:rsidRDefault="002A5482" w:rsidP="00FF3368">
            <w:pPr>
              <w:pStyle w:val="Normaltextfortables"/>
              <w:framePr w:hSpace="0" w:wrap="auto" w:vAnchor="margin" w:hAnchor="text" w:yAlign="inline"/>
              <w:contextualSpacing/>
              <w:rPr>
                <w:lang w:val="en-US" w:eastAsia="en-AU"/>
              </w:rPr>
            </w:pPr>
          </w:p>
        </w:tc>
      </w:tr>
      <w:tr w:rsidR="002A5482" w14:paraId="1331AB3C" w14:textId="77777777" w:rsidTr="00D8776A">
        <w:trPr>
          <w:cantSplit/>
        </w:trPr>
        <w:tc>
          <w:tcPr>
            <w:tcW w:w="4678" w:type="dxa"/>
            <w:tcBorders>
              <w:top w:val="nil"/>
              <w:left w:val="nil"/>
              <w:bottom w:val="single" w:sz="4" w:space="0" w:color="auto"/>
            </w:tcBorders>
          </w:tcPr>
          <w:p w14:paraId="4082B031" w14:textId="77777777" w:rsidR="002A5482" w:rsidRPr="00446AD2" w:rsidRDefault="002A5482" w:rsidP="00FF3368">
            <w:pPr>
              <w:pStyle w:val="Normaltextfortables"/>
              <w:framePr w:hSpace="0" w:wrap="auto" w:vAnchor="margin" w:hAnchor="text" w:yAlign="inline"/>
              <w:spacing w:before="20"/>
              <w:contextualSpacing/>
              <w:rPr>
                <w:b/>
                <w:bCs/>
                <w:lang w:val="en-US" w:eastAsia="en-AU"/>
              </w:rPr>
            </w:pPr>
            <w:r w:rsidRPr="00446AD2">
              <w:rPr>
                <w:b/>
                <w:bCs/>
                <w:lang w:val="en-US" w:eastAsia="en-AU"/>
              </w:rPr>
              <w:t>Total</w:t>
            </w:r>
          </w:p>
        </w:tc>
        <w:tc>
          <w:tcPr>
            <w:tcW w:w="2268" w:type="dxa"/>
            <w:tcBorders>
              <w:top w:val="nil"/>
              <w:bottom w:val="single" w:sz="4" w:space="0" w:color="auto"/>
            </w:tcBorders>
          </w:tcPr>
          <w:p w14:paraId="70AE1E7D" w14:textId="77777777" w:rsidR="002A5482" w:rsidRPr="00446AD2" w:rsidRDefault="002A5482" w:rsidP="00FF3368">
            <w:pPr>
              <w:pStyle w:val="Normaltextfortables"/>
              <w:framePr w:hSpace="0" w:wrap="auto" w:vAnchor="margin" w:hAnchor="text" w:yAlign="inline"/>
              <w:spacing w:before="20"/>
              <w:contextualSpacing/>
              <w:jc w:val="right"/>
              <w:rPr>
                <w:b/>
                <w:bCs/>
                <w:lang w:val="en-US" w:eastAsia="en-AU"/>
              </w:rPr>
            </w:pPr>
            <w:r w:rsidRPr="00446AD2">
              <w:rPr>
                <w:b/>
                <w:bCs/>
                <w:lang w:val="en-US" w:eastAsia="en-AU"/>
              </w:rPr>
              <w:fldChar w:fldCharType="begin"/>
            </w:r>
            <w:r w:rsidRPr="00446AD2">
              <w:rPr>
                <w:b/>
                <w:bCs/>
                <w:lang w:val="en-US" w:eastAsia="en-AU"/>
              </w:rPr>
              <w:instrText xml:space="preserve"> =SUM(ABOVE) </w:instrText>
            </w:r>
            <w:r w:rsidRPr="00446AD2">
              <w:rPr>
                <w:b/>
                <w:bCs/>
                <w:lang w:val="en-US" w:eastAsia="en-AU"/>
              </w:rPr>
              <w:fldChar w:fldCharType="separate"/>
            </w:r>
            <w:r>
              <w:rPr>
                <w:b/>
                <w:bCs/>
                <w:noProof/>
                <w:lang w:val="en-US" w:eastAsia="en-AU"/>
              </w:rPr>
              <w:t>$171,050</w:t>
            </w:r>
            <w:r w:rsidRPr="00446AD2">
              <w:rPr>
                <w:b/>
                <w:bCs/>
                <w:lang w:val="en-US" w:eastAsia="en-AU"/>
              </w:rPr>
              <w:fldChar w:fldCharType="end"/>
            </w:r>
            <w:r w:rsidRPr="00446AD2">
              <w:rPr>
                <w:b/>
                <w:bCs/>
                <w:lang w:val="en-US" w:eastAsia="en-AU"/>
              </w:rPr>
              <w:t xml:space="preserve"> </w:t>
            </w:r>
          </w:p>
        </w:tc>
        <w:tc>
          <w:tcPr>
            <w:tcW w:w="284" w:type="dxa"/>
            <w:tcBorders>
              <w:top w:val="nil"/>
              <w:bottom w:val="single" w:sz="4" w:space="0" w:color="auto"/>
              <w:right w:val="nil"/>
            </w:tcBorders>
          </w:tcPr>
          <w:p w14:paraId="62D4A7AE" w14:textId="77777777" w:rsidR="002A5482" w:rsidRPr="00446AD2" w:rsidRDefault="002A5482" w:rsidP="00FF3368">
            <w:pPr>
              <w:pStyle w:val="Normaltextfortables"/>
              <w:framePr w:hSpace="0" w:wrap="auto" w:vAnchor="margin" w:hAnchor="text" w:yAlign="inline"/>
              <w:contextualSpacing/>
              <w:rPr>
                <w:b/>
                <w:bCs/>
                <w:lang w:val="en-US" w:eastAsia="en-AU"/>
              </w:rPr>
            </w:pPr>
          </w:p>
        </w:tc>
      </w:tr>
    </w:tbl>
    <w:p w14:paraId="7E236C16" w14:textId="77777777" w:rsidR="002A5482" w:rsidRDefault="002A5482" w:rsidP="002A5482">
      <w:pPr>
        <w:rPr>
          <w:lang w:val="en-US" w:eastAsia="en-AU"/>
        </w:rPr>
      </w:pPr>
      <w:r>
        <w:rPr>
          <w:lang w:val="en-US" w:eastAsia="en-AU"/>
        </w:rPr>
        <w:lastRenderedPageBreak/>
        <w:t xml:space="preserve">Salary costs included a full-time Training and Site Support Officer, two casual facilitators and 0.1 FTE administrative and technical support. </w:t>
      </w:r>
    </w:p>
    <w:p w14:paraId="2FF68FD7" w14:textId="77777777" w:rsidR="002A5482" w:rsidRDefault="002A5482" w:rsidP="002A5482">
      <w:pPr>
        <w:rPr>
          <w:lang w:val="en-US" w:eastAsia="en-AU"/>
        </w:rPr>
      </w:pPr>
      <w:r>
        <w:rPr>
          <w:lang w:val="en-US" w:eastAsia="en-AU"/>
        </w:rPr>
        <w:t>The Training and Site Support Officer role was to</w:t>
      </w:r>
    </w:p>
    <w:p w14:paraId="20F8EAB9" w14:textId="77777777" w:rsidR="002A5482" w:rsidRPr="00CC26ED" w:rsidRDefault="002A5482" w:rsidP="00C77532">
      <w:pPr>
        <w:pStyle w:val="ListParagraph"/>
        <w:numPr>
          <w:ilvl w:val="0"/>
          <w:numId w:val="57"/>
        </w:numPr>
        <w:rPr>
          <w:lang w:val="en-US" w:eastAsia="en-AU"/>
        </w:rPr>
      </w:pPr>
      <w:r w:rsidRPr="00CC26ED">
        <w:rPr>
          <w:lang w:val="en-US" w:eastAsia="en-AU"/>
        </w:rPr>
        <w:t xml:space="preserve">facilitate </w:t>
      </w:r>
      <w:r>
        <w:rPr>
          <w:lang w:val="en-US" w:eastAsia="en-AU"/>
        </w:rPr>
        <w:t xml:space="preserve">the </w:t>
      </w:r>
      <w:r w:rsidRPr="00CC26ED">
        <w:rPr>
          <w:lang w:val="en-US" w:eastAsia="en-AU"/>
        </w:rPr>
        <w:t xml:space="preserve">Quality and Safety Checklist process (reminding health </w:t>
      </w:r>
      <w:proofErr w:type="spellStart"/>
      <w:r w:rsidRPr="00CC26ED">
        <w:rPr>
          <w:lang w:val="en-US" w:eastAsia="en-AU"/>
        </w:rPr>
        <w:t>centres</w:t>
      </w:r>
      <w:proofErr w:type="spellEnd"/>
      <w:r w:rsidRPr="00CC26ED">
        <w:rPr>
          <w:lang w:val="en-US" w:eastAsia="en-AU"/>
        </w:rPr>
        <w:t xml:space="preserve"> they needed to complete the QSC; coordinating Menzies’ QSC assessment panel; providing feedback to health </w:t>
      </w:r>
      <w:proofErr w:type="spellStart"/>
      <w:r w:rsidRPr="00CC26ED">
        <w:rPr>
          <w:lang w:val="en-US" w:eastAsia="en-AU"/>
        </w:rPr>
        <w:t>centres</w:t>
      </w:r>
      <w:proofErr w:type="spellEnd"/>
      <w:r w:rsidRPr="00CC26ED">
        <w:rPr>
          <w:lang w:val="en-US" w:eastAsia="en-AU"/>
        </w:rPr>
        <w:t>)</w:t>
      </w:r>
    </w:p>
    <w:p w14:paraId="085176DB" w14:textId="77777777" w:rsidR="002A5482" w:rsidRPr="00CC26ED" w:rsidRDefault="002A5482" w:rsidP="00C77532">
      <w:pPr>
        <w:pStyle w:val="ListParagraph"/>
        <w:numPr>
          <w:ilvl w:val="0"/>
          <w:numId w:val="57"/>
        </w:numPr>
        <w:rPr>
          <w:lang w:val="en-US" w:eastAsia="en-AU"/>
        </w:rPr>
      </w:pPr>
      <w:r w:rsidRPr="00CC26ED">
        <w:rPr>
          <w:lang w:val="en-US" w:eastAsia="en-AU"/>
        </w:rPr>
        <w:t>respond to inquiries to the Menzies Helpline</w:t>
      </w:r>
    </w:p>
    <w:p w14:paraId="38495326" w14:textId="77777777" w:rsidR="002A5482" w:rsidRPr="00CC26ED" w:rsidRDefault="002A5482" w:rsidP="00C77532">
      <w:pPr>
        <w:pStyle w:val="ListParagraph"/>
        <w:numPr>
          <w:ilvl w:val="0"/>
          <w:numId w:val="57"/>
        </w:numPr>
        <w:rPr>
          <w:lang w:val="en-US" w:eastAsia="en-AU"/>
        </w:rPr>
      </w:pPr>
      <w:r w:rsidRPr="00CC26ED">
        <w:rPr>
          <w:lang w:val="en-US" w:eastAsia="en-AU"/>
        </w:rPr>
        <w:t>negotiate and schedule site visits</w:t>
      </w:r>
      <w:r>
        <w:rPr>
          <w:lang w:val="en-US" w:eastAsia="en-AU"/>
        </w:rPr>
        <w:t>, including the availability of co-facilitators and attendance of Supporting Agency staff if appropriate</w:t>
      </w:r>
    </w:p>
    <w:p w14:paraId="7007BD5B" w14:textId="77777777" w:rsidR="002A5482" w:rsidRPr="00CC26ED" w:rsidRDefault="002A5482" w:rsidP="00C77532">
      <w:pPr>
        <w:pStyle w:val="ListParagraph"/>
        <w:numPr>
          <w:ilvl w:val="0"/>
          <w:numId w:val="57"/>
        </w:numPr>
        <w:rPr>
          <w:lang w:val="en-US" w:eastAsia="en-AU"/>
        </w:rPr>
      </w:pPr>
      <w:r w:rsidRPr="00CC26ED">
        <w:rPr>
          <w:lang w:val="en-US" w:eastAsia="en-AU"/>
        </w:rPr>
        <w:t>deliver training</w:t>
      </w:r>
    </w:p>
    <w:p w14:paraId="73F8431E" w14:textId="77777777" w:rsidR="002A5482" w:rsidRPr="00CC26ED" w:rsidRDefault="002A5482" w:rsidP="00C77532">
      <w:pPr>
        <w:pStyle w:val="ListParagraph"/>
        <w:numPr>
          <w:ilvl w:val="0"/>
          <w:numId w:val="57"/>
        </w:numPr>
        <w:rPr>
          <w:lang w:val="en-US" w:eastAsia="en-AU"/>
        </w:rPr>
      </w:pPr>
      <w:r w:rsidRPr="00CC26ED">
        <w:rPr>
          <w:lang w:val="en-US" w:eastAsia="en-AU"/>
        </w:rPr>
        <w:t>liaise with the Department of Health, DHS and Sonic Healthcare</w:t>
      </w:r>
      <w:r>
        <w:rPr>
          <w:lang w:val="en-US" w:eastAsia="en-AU"/>
        </w:rPr>
        <w:t xml:space="preserve"> </w:t>
      </w:r>
    </w:p>
    <w:p w14:paraId="1633C7DE" w14:textId="77777777" w:rsidR="002A5482" w:rsidRPr="00CC26ED" w:rsidRDefault="002A5482" w:rsidP="00C77532">
      <w:pPr>
        <w:pStyle w:val="ListParagraph"/>
        <w:numPr>
          <w:ilvl w:val="0"/>
          <w:numId w:val="57"/>
        </w:numPr>
        <w:rPr>
          <w:lang w:val="en-US" w:eastAsia="en-AU"/>
        </w:rPr>
      </w:pPr>
      <w:r w:rsidRPr="00CC26ED">
        <w:rPr>
          <w:lang w:val="en-US" w:eastAsia="en-AU"/>
        </w:rPr>
        <w:t>maintain records of training participation.</w:t>
      </w:r>
    </w:p>
    <w:p w14:paraId="5B874DC3" w14:textId="77777777" w:rsidR="002A5482" w:rsidRDefault="002A5482" w:rsidP="002A5482">
      <w:pPr>
        <w:rPr>
          <w:lang w:val="en-US" w:eastAsia="en-AU"/>
        </w:rPr>
      </w:pPr>
      <w:r>
        <w:rPr>
          <w:lang w:val="en-US" w:eastAsia="en-AU"/>
        </w:rPr>
        <w:t xml:space="preserve">Prior to the commencement of the 12-month Pilot period, the Training and Site Support Officer was closely involved in the development of educational and implementation materials for the Pilot, including the development and testing of the online Participation Details form. This equipped the officer with a detailed knowledge of the NBCSP’s operational features, particularly those relevant to the Alternative Pathway, essential knowledge for the role. Other skills the Training and Support Officer brought to the role included training delivery and presentation skills, a strong orientation to customer service, and experience in coordinating and providing cancer support services at the community level with the Cancer Council. </w:t>
      </w:r>
    </w:p>
    <w:p w14:paraId="70BF21EE" w14:textId="367A7BAF" w:rsidR="002A5482" w:rsidRDefault="002A5482" w:rsidP="002A5482">
      <w:pPr>
        <w:rPr>
          <w:lang w:val="en-US" w:eastAsia="en-AU"/>
        </w:rPr>
      </w:pPr>
      <w:r>
        <w:rPr>
          <w:lang w:val="en-US" w:eastAsia="en-AU"/>
        </w:rPr>
        <w:t xml:space="preserve">The casual co-facilitator role was shared between two experienced cancer nurses, with </w:t>
      </w:r>
      <w:r w:rsidR="004F1897">
        <w:rPr>
          <w:lang w:val="en-US" w:eastAsia="en-AU"/>
        </w:rPr>
        <w:t xml:space="preserve">skills in </w:t>
      </w:r>
      <w:r>
        <w:rPr>
          <w:lang w:val="en-US" w:eastAsia="en-AU"/>
        </w:rPr>
        <w:t xml:space="preserve">training. These part-time staff delivered training about </w:t>
      </w:r>
      <w:r w:rsidRPr="0068519D">
        <w:rPr>
          <w:i/>
          <w:iCs/>
          <w:lang w:val="en-US" w:eastAsia="en-AU"/>
        </w:rPr>
        <w:t>Understanding Bowel Cancer and Bowel Screening</w:t>
      </w:r>
      <w:r>
        <w:rPr>
          <w:i/>
          <w:iCs/>
          <w:lang w:val="en-US" w:eastAsia="en-AU"/>
        </w:rPr>
        <w:t xml:space="preserve">. </w:t>
      </w:r>
      <w:r>
        <w:rPr>
          <w:lang w:val="en-US" w:eastAsia="en-AU"/>
        </w:rPr>
        <w:t xml:space="preserve">The content of the training did not require a high level of clinical </w:t>
      </w:r>
      <w:r w:rsidR="00315D5B">
        <w:rPr>
          <w:lang w:val="en-US" w:eastAsia="en-AU"/>
        </w:rPr>
        <w:t>expertise;</w:t>
      </w:r>
      <w:r>
        <w:rPr>
          <w:lang w:val="en-US" w:eastAsia="en-AU"/>
        </w:rPr>
        <w:t xml:space="preserve"> </w:t>
      </w:r>
      <w:r w:rsidR="00315D5B">
        <w:rPr>
          <w:lang w:val="en-US" w:eastAsia="en-AU"/>
        </w:rPr>
        <w:t>however,</w:t>
      </w:r>
      <w:r>
        <w:rPr>
          <w:lang w:val="en-US" w:eastAsia="en-AU"/>
        </w:rPr>
        <w:t xml:space="preserve"> the experience of the cancer nurses strengthened the clinical authority of the training team. </w:t>
      </w:r>
    </w:p>
    <w:p w14:paraId="3D5AFE85" w14:textId="770887DC" w:rsidR="00FF3368" w:rsidRDefault="002A5482" w:rsidP="002A5482">
      <w:pPr>
        <w:rPr>
          <w:lang w:val="en-US" w:eastAsia="en-AU"/>
        </w:rPr>
      </w:pPr>
      <w:r>
        <w:rPr>
          <w:lang w:val="en-US" w:eastAsia="en-AU"/>
        </w:rPr>
        <w:t xml:space="preserve">Both models of support incurred the base costs of delivering the low-intensity model, as shown in Table 4.3. The high intensity model of support was comprised of the low intensity model plus face-to-face training delivery. The costs of travel, catering and co-facilitators applied only to face-to-face training delivered as part of the high intensity model of support (Group B). The high intensity model also required more time from the Training and Site Support Officer and administrative assistant than the low intensity model, as shown in Table </w:t>
      </w:r>
      <w:r w:rsidR="00710F1B">
        <w:rPr>
          <w:lang w:val="en-US" w:eastAsia="en-AU"/>
        </w:rPr>
        <w:t>6.3</w:t>
      </w:r>
      <w:r>
        <w:rPr>
          <w:lang w:val="en-US" w:eastAsia="en-AU"/>
        </w:rPr>
        <w:t xml:space="preserve">. </w:t>
      </w:r>
    </w:p>
    <w:p w14:paraId="1D50ECF7" w14:textId="3CBBDBE4" w:rsidR="00467DF2" w:rsidRDefault="00467DF2">
      <w:pPr>
        <w:spacing w:before="0" w:after="0" w:line="240" w:lineRule="auto"/>
        <w:rPr>
          <w:lang w:val="en-US" w:eastAsia="en-AU"/>
        </w:rPr>
      </w:pPr>
      <w:r>
        <w:rPr>
          <w:lang w:val="en-US" w:eastAsia="en-AU"/>
        </w:rPr>
        <w:br w:type="page"/>
      </w:r>
    </w:p>
    <w:p w14:paraId="73F70817" w14:textId="2570C779" w:rsidR="002A5482" w:rsidRDefault="002A5482" w:rsidP="002E74E6">
      <w:pPr>
        <w:pStyle w:val="Caption"/>
        <w:rPr>
          <w:lang w:val="en-US" w:eastAsia="en-AU"/>
        </w:rPr>
      </w:pPr>
      <w:r>
        <w:rPr>
          <w:lang w:val="en-US" w:eastAsia="en-AU"/>
        </w:rPr>
        <w:lastRenderedPageBreak/>
        <w:t xml:space="preserve">Table </w:t>
      </w:r>
      <w:r w:rsidR="00710F1B">
        <w:rPr>
          <w:lang w:val="en-US" w:eastAsia="en-AU"/>
        </w:rPr>
        <w:t>6</w:t>
      </w:r>
      <w:r>
        <w:rPr>
          <w:lang w:val="en-US" w:eastAsia="en-AU"/>
        </w:rPr>
        <w:t xml:space="preserve">.3: Breakdown of costs to deliver low and high intensity models of support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410"/>
        <w:gridCol w:w="1845"/>
        <w:gridCol w:w="138"/>
        <w:gridCol w:w="1983"/>
      </w:tblGrid>
      <w:tr w:rsidR="002A5482" w:rsidRPr="001C6F1A" w14:paraId="64A50B92" w14:textId="77777777" w:rsidTr="00D8776A">
        <w:trPr>
          <w:trHeight w:val="260"/>
        </w:trPr>
        <w:tc>
          <w:tcPr>
            <w:tcW w:w="3258" w:type="dxa"/>
            <w:tcBorders>
              <w:top w:val="single" w:sz="4" w:space="0" w:color="auto"/>
              <w:left w:val="nil"/>
              <w:bottom w:val="nil"/>
              <w:right w:val="nil"/>
            </w:tcBorders>
          </w:tcPr>
          <w:p w14:paraId="66FE522A" w14:textId="77777777" w:rsidR="002A5482" w:rsidRPr="001C6F1A" w:rsidRDefault="002A5482" w:rsidP="00467DF2">
            <w:pPr>
              <w:spacing w:before="0" w:after="40" w:line="240" w:lineRule="auto"/>
              <w:rPr>
                <w:rFonts w:eastAsia="Times New Roman" w:cstheme="minorHAnsi"/>
                <w:sz w:val="20"/>
                <w:szCs w:val="20"/>
              </w:rPr>
            </w:pPr>
          </w:p>
        </w:tc>
        <w:tc>
          <w:tcPr>
            <w:tcW w:w="2410" w:type="dxa"/>
            <w:tcBorders>
              <w:top w:val="single" w:sz="4" w:space="0" w:color="auto"/>
              <w:left w:val="nil"/>
              <w:bottom w:val="nil"/>
              <w:right w:val="nil"/>
            </w:tcBorders>
            <w:shd w:val="clear" w:color="auto" w:fill="auto"/>
            <w:noWrap/>
          </w:tcPr>
          <w:p w14:paraId="45A3002E" w14:textId="77777777" w:rsidR="002A5482" w:rsidRPr="001C6F1A" w:rsidRDefault="002A5482" w:rsidP="00467DF2">
            <w:pPr>
              <w:spacing w:before="0" w:after="40" w:line="240" w:lineRule="auto"/>
              <w:jc w:val="center"/>
              <w:rPr>
                <w:rFonts w:eastAsia="Times New Roman" w:cstheme="minorHAnsi"/>
                <w:b/>
                <w:bCs/>
                <w:sz w:val="20"/>
                <w:szCs w:val="20"/>
              </w:rPr>
            </w:pPr>
            <w:r w:rsidRPr="001C6F1A">
              <w:rPr>
                <w:rFonts w:eastAsia="Times New Roman" w:cstheme="minorHAnsi"/>
                <w:b/>
                <w:bCs/>
                <w:sz w:val="20"/>
                <w:szCs w:val="20"/>
              </w:rPr>
              <w:t>Low intensity support</w:t>
            </w:r>
          </w:p>
        </w:tc>
        <w:tc>
          <w:tcPr>
            <w:tcW w:w="3966" w:type="dxa"/>
            <w:gridSpan w:val="3"/>
            <w:tcBorders>
              <w:top w:val="single" w:sz="4" w:space="0" w:color="auto"/>
              <w:left w:val="nil"/>
              <w:bottom w:val="nil"/>
              <w:right w:val="nil"/>
            </w:tcBorders>
          </w:tcPr>
          <w:p w14:paraId="194AC645" w14:textId="77777777" w:rsidR="002A5482" w:rsidRPr="001C6F1A" w:rsidRDefault="002A5482" w:rsidP="00467DF2">
            <w:pPr>
              <w:spacing w:before="0" w:after="40" w:line="240" w:lineRule="auto"/>
              <w:jc w:val="center"/>
              <w:rPr>
                <w:rFonts w:eastAsia="Times New Roman" w:cstheme="minorHAnsi"/>
                <w:b/>
                <w:bCs/>
                <w:sz w:val="20"/>
                <w:szCs w:val="20"/>
              </w:rPr>
            </w:pPr>
            <w:r w:rsidRPr="001C6F1A">
              <w:rPr>
                <w:rFonts w:eastAsia="Times New Roman" w:cstheme="minorHAnsi"/>
                <w:b/>
                <w:bCs/>
                <w:sz w:val="20"/>
                <w:szCs w:val="20"/>
              </w:rPr>
              <w:t>High intensity support</w:t>
            </w:r>
          </w:p>
        </w:tc>
      </w:tr>
      <w:tr w:rsidR="002A5482" w:rsidRPr="001C6F1A" w14:paraId="0CADE50E" w14:textId="77777777" w:rsidTr="00D8776A">
        <w:trPr>
          <w:trHeight w:val="260"/>
        </w:trPr>
        <w:tc>
          <w:tcPr>
            <w:tcW w:w="3258" w:type="dxa"/>
            <w:tcBorders>
              <w:top w:val="nil"/>
              <w:left w:val="nil"/>
              <w:bottom w:val="single" w:sz="4" w:space="0" w:color="auto"/>
              <w:right w:val="nil"/>
            </w:tcBorders>
          </w:tcPr>
          <w:p w14:paraId="2AB9DD52" w14:textId="77777777" w:rsidR="002A5482" w:rsidRPr="001C6F1A" w:rsidRDefault="002A5482" w:rsidP="00467DF2">
            <w:pPr>
              <w:spacing w:before="0" w:after="40" w:line="240" w:lineRule="auto"/>
              <w:rPr>
                <w:rFonts w:eastAsia="Times New Roman" w:cstheme="minorHAnsi"/>
                <w:sz w:val="18"/>
                <w:szCs w:val="18"/>
              </w:rPr>
            </w:pPr>
          </w:p>
        </w:tc>
        <w:tc>
          <w:tcPr>
            <w:tcW w:w="2410" w:type="dxa"/>
            <w:tcBorders>
              <w:top w:val="nil"/>
              <w:left w:val="nil"/>
              <w:bottom w:val="single" w:sz="4" w:space="0" w:color="auto"/>
              <w:right w:val="nil"/>
            </w:tcBorders>
            <w:shd w:val="clear" w:color="auto" w:fill="auto"/>
            <w:noWrap/>
          </w:tcPr>
          <w:p w14:paraId="376C613D" w14:textId="77777777" w:rsidR="002A5482" w:rsidRPr="001C6F1A" w:rsidRDefault="002A5482" w:rsidP="00467DF2">
            <w:pPr>
              <w:spacing w:before="0" w:after="40" w:line="240" w:lineRule="auto"/>
              <w:jc w:val="center"/>
              <w:rPr>
                <w:rFonts w:eastAsia="Times New Roman" w:cstheme="minorHAnsi"/>
                <w:sz w:val="18"/>
                <w:szCs w:val="18"/>
              </w:rPr>
            </w:pPr>
            <w:r w:rsidRPr="001C6F1A">
              <w:rPr>
                <w:rFonts w:eastAsia="Times New Roman" w:cstheme="minorHAnsi"/>
                <w:sz w:val="18"/>
                <w:szCs w:val="18"/>
              </w:rPr>
              <w:t>Base costs</w:t>
            </w:r>
            <w:r w:rsidRPr="001C6F1A">
              <w:rPr>
                <w:rFonts w:eastAsia="Times New Roman" w:cstheme="minorHAnsi"/>
                <w:sz w:val="18"/>
                <w:szCs w:val="18"/>
              </w:rPr>
              <w:br/>
              <w:t>(% share of cost per item)</w:t>
            </w:r>
          </w:p>
        </w:tc>
        <w:tc>
          <w:tcPr>
            <w:tcW w:w="1983" w:type="dxa"/>
            <w:gridSpan w:val="2"/>
            <w:tcBorders>
              <w:top w:val="nil"/>
              <w:left w:val="nil"/>
              <w:bottom w:val="single" w:sz="4" w:space="0" w:color="auto"/>
              <w:right w:val="nil"/>
            </w:tcBorders>
          </w:tcPr>
          <w:p w14:paraId="53DB41D1" w14:textId="77777777" w:rsidR="002A5482" w:rsidRPr="001C6F1A" w:rsidRDefault="002A5482" w:rsidP="00467DF2">
            <w:pPr>
              <w:spacing w:before="0" w:after="40" w:line="240" w:lineRule="auto"/>
              <w:jc w:val="center"/>
              <w:rPr>
                <w:rFonts w:eastAsia="Times New Roman" w:cstheme="minorHAnsi"/>
                <w:sz w:val="18"/>
                <w:szCs w:val="18"/>
              </w:rPr>
            </w:pPr>
            <w:r w:rsidRPr="001C6F1A">
              <w:rPr>
                <w:rFonts w:eastAsia="Times New Roman" w:cstheme="minorHAnsi"/>
                <w:sz w:val="18"/>
                <w:szCs w:val="18"/>
              </w:rPr>
              <w:t>Base costs</w:t>
            </w:r>
            <w:r w:rsidRPr="001C6F1A">
              <w:rPr>
                <w:rFonts w:eastAsia="Times New Roman" w:cstheme="minorHAnsi"/>
                <w:sz w:val="18"/>
                <w:szCs w:val="18"/>
              </w:rPr>
              <w:br/>
              <w:t>(% share of cost per item)</w:t>
            </w:r>
          </w:p>
        </w:tc>
        <w:tc>
          <w:tcPr>
            <w:tcW w:w="1983" w:type="dxa"/>
            <w:tcBorders>
              <w:top w:val="nil"/>
              <w:left w:val="nil"/>
              <w:bottom w:val="single" w:sz="4" w:space="0" w:color="auto"/>
              <w:right w:val="nil"/>
            </w:tcBorders>
          </w:tcPr>
          <w:p w14:paraId="1D78D4E8" w14:textId="77777777" w:rsidR="002A5482" w:rsidRPr="001C6F1A" w:rsidRDefault="002A5482" w:rsidP="00467DF2">
            <w:pPr>
              <w:spacing w:before="0" w:after="40" w:line="240" w:lineRule="auto"/>
              <w:jc w:val="center"/>
              <w:rPr>
                <w:rFonts w:eastAsia="Times New Roman" w:cstheme="minorHAnsi"/>
                <w:sz w:val="18"/>
                <w:szCs w:val="18"/>
              </w:rPr>
            </w:pPr>
            <w:r w:rsidRPr="001C6F1A">
              <w:rPr>
                <w:rFonts w:eastAsia="Times New Roman" w:cstheme="minorHAnsi"/>
                <w:sz w:val="18"/>
                <w:szCs w:val="18"/>
              </w:rPr>
              <w:t>+ Face-to-face training</w:t>
            </w:r>
          </w:p>
          <w:p w14:paraId="3F8C83ED" w14:textId="77777777" w:rsidR="002A5482" w:rsidRPr="001C6F1A" w:rsidRDefault="002A5482" w:rsidP="00467DF2">
            <w:pPr>
              <w:spacing w:before="0" w:after="40" w:line="240" w:lineRule="auto"/>
              <w:jc w:val="center"/>
              <w:rPr>
                <w:rFonts w:eastAsia="Times New Roman" w:cstheme="minorHAnsi"/>
                <w:sz w:val="18"/>
                <w:szCs w:val="18"/>
              </w:rPr>
            </w:pPr>
            <w:r w:rsidRPr="001C6F1A">
              <w:rPr>
                <w:rFonts w:eastAsia="Times New Roman" w:cstheme="minorHAnsi"/>
                <w:sz w:val="18"/>
                <w:szCs w:val="18"/>
              </w:rPr>
              <w:t>(% share of cost per item)</w:t>
            </w:r>
          </w:p>
        </w:tc>
      </w:tr>
      <w:tr w:rsidR="002A5482" w:rsidRPr="001C6F1A" w14:paraId="50B88F07" w14:textId="77777777" w:rsidTr="00D8776A">
        <w:trPr>
          <w:trHeight w:val="260"/>
        </w:trPr>
        <w:tc>
          <w:tcPr>
            <w:tcW w:w="3258" w:type="dxa"/>
            <w:tcBorders>
              <w:top w:val="single" w:sz="4" w:space="0" w:color="auto"/>
              <w:left w:val="nil"/>
              <w:bottom w:val="nil"/>
              <w:right w:val="nil"/>
            </w:tcBorders>
          </w:tcPr>
          <w:p w14:paraId="06390848" w14:textId="77777777" w:rsidR="002A5482" w:rsidRPr="001C6F1A" w:rsidRDefault="002A5482" w:rsidP="00467DF2">
            <w:pPr>
              <w:spacing w:before="0" w:after="40" w:line="240" w:lineRule="auto"/>
              <w:rPr>
                <w:rFonts w:eastAsia="Times New Roman" w:cstheme="minorHAnsi"/>
                <w:sz w:val="20"/>
                <w:szCs w:val="20"/>
              </w:rPr>
            </w:pPr>
            <w:r w:rsidRPr="001C6F1A">
              <w:rPr>
                <w:rFonts w:eastAsia="Times New Roman" w:cstheme="minorHAnsi"/>
                <w:sz w:val="20"/>
                <w:szCs w:val="20"/>
              </w:rPr>
              <w:t xml:space="preserve">Training and Site Support Officer </w:t>
            </w:r>
          </w:p>
        </w:tc>
        <w:tc>
          <w:tcPr>
            <w:tcW w:w="2410" w:type="dxa"/>
            <w:tcBorders>
              <w:top w:val="single" w:sz="4" w:space="0" w:color="auto"/>
              <w:left w:val="nil"/>
              <w:bottom w:val="nil"/>
              <w:right w:val="nil"/>
            </w:tcBorders>
            <w:shd w:val="clear" w:color="auto" w:fill="auto"/>
            <w:noWrap/>
            <w:vAlign w:val="bottom"/>
            <w:hideMark/>
          </w:tcPr>
          <w:p w14:paraId="54FF5C7D"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30%</w:t>
            </w:r>
          </w:p>
        </w:tc>
        <w:tc>
          <w:tcPr>
            <w:tcW w:w="1845" w:type="dxa"/>
            <w:tcBorders>
              <w:top w:val="single" w:sz="4" w:space="0" w:color="auto"/>
              <w:left w:val="nil"/>
              <w:bottom w:val="nil"/>
              <w:right w:val="nil"/>
            </w:tcBorders>
            <w:vAlign w:val="bottom"/>
          </w:tcPr>
          <w:p w14:paraId="638C194D"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30%</w:t>
            </w:r>
          </w:p>
        </w:tc>
        <w:tc>
          <w:tcPr>
            <w:tcW w:w="2121" w:type="dxa"/>
            <w:gridSpan w:val="2"/>
            <w:tcBorders>
              <w:top w:val="single" w:sz="4" w:space="0" w:color="auto"/>
              <w:left w:val="nil"/>
              <w:bottom w:val="nil"/>
              <w:right w:val="nil"/>
            </w:tcBorders>
            <w:vAlign w:val="bottom"/>
          </w:tcPr>
          <w:p w14:paraId="10B37C69"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40%</w:t>
            </w:r>
          </w:p>
        </w:tc>
      </w:tr>
      <w:tr w:rsidR="002A5482" w:rsidRPr="001C6F1A" w14:paraId="3776DBF9" w14:textId="77777777" w:rsidTr="00D8776A">
        <w:trPr>
          <w:trHeight w:val="260"/>
        </w:trPr>
        <w:tc>
          <w:tcPr>
            <w:tcW w:w="3258" w:type="dxa"/>
            <w:tcBorders>
              <w:top w:val="nil"/>
              <w:left w:val="nil"/>
              <w:bottom w:val="nil"/>
              <w:right w:val="nil"/>
            </w:tcBorders>
          </w:tcPr>
          <w:p w14:paraId="5353D2F0" w14:textId="77777777" w:rsidR="002A5482" w:rsidRPr="001C6F1A" w:rsidRDefault="002A5482" w:rsidP="00467DF2">
            <w:pPr>
              <w:spacing w:before="0" w:after="40" w:line="240" w:lineRule="auto"/>
              <w:rPr>
                <w:rFonts w:eastAsia="Times New Roman" w:cstheme="minorHAnsi"/>
                <w:sz w:val="20"/>
                <w:szCs w:val="20"/>
              </w:rPr>
            </w:pPr>
            <w:r w:rsidRPr="001C6F1A">
              <w:rPr>
                <w:rFonts w:eastAsia="Times New Roman" w:cstheme="minorHAnsi"/>
                <w:sz w:val="20"/>
                <w:szCs w:val="20"/>
              </w:rPr>
              <w:t>Co-facilitators</w:t>
            </w:r>
          </w:p>
        </w:tc>
        <w:tc>
          <w:tcPr>
            <w:tcW w:w="2410" w:type="dxa"/>
            <w:tcBorders>
              <w:top w:val="nil"/>
              <w:left w:val="nil"/>
              <w:bottom w:val="nil"/>
              <w:right w:val="nil"/>
            </w:tcBorders>
            <w:shd w:val="clear" w:color="auto" w:fill="auto"/>
            <w:noWrap/>
            <w:vAlign w:val="bottom"/>
            <w:hideMark/>
          </w:tcPr>
          <w:p w14:paraId="51D02165" w14:textId="77777777" w:rsidR="002A5482" w:rsidRPr="001C6F1A" w:rsidRDefault="002A5482" w:rsidP="00467DF2">
            <w:pPr>
              <w:spacing w:before="0" w:after="40" w:line="240" w:lineRule="auto"/>
              <w:jc w:val="right"/>
              <w:rPr>
                <w:rFonts w:eastAsia="Times New Roman" w:cstheme="minorHAnsi"/>
                <w:sz w:val="20"/>
                <w:szCs w:val="20"/>
              </w:rPr>
            </w:pPr>
            <w:r>
              <w:rPr>
                <w:rFonts w:cstheme="minorHAnsi"/>
                <w:sz w:val="20"/>
                <w:szCs w:val="20"/>
              </w:rPr>
              <w:t>-</w:t>
            </w:r>
          </w:p>
        </w:tc>
        <w:tc>
          <w:tcPr>
            <w:tcW w:w="1845" w:type="dxa"/>
            <w:tcBorders>
              <w:top w:val="nil"/>
              <w:left w:val="nil"/>
              <w:bottom w:val="nil"/>
              <w:right w:val="nil"/>
            </w:tcBorders>
            <w:vAlign w:val="bottom"/>
          </w:tcPr>
          <w:p w14:paraId="389E0239" w14:textId="77777777" w:rsidR="002A5482" w:rsidRPr="001C6F1A" w:rsidRDefault="002A5482" w:rsidP="00467DF2">
            <w:pPr>
              <w:spacing w:before="0" w:after="40" w:line="240" w:lineRule="auto"/>
              <w:jc w:val="right"/>
              <w:rPr>
                <w:rFonts w:eastAsia="Times New Roman" w:cstheme="minorHAnsi"/>
                <w:sz w:val="20"/>
                <w:szCs w:val="20"/>
              </w:rPr>
            </w:pPr>
            <w:r>
              <w:rPr>
                <w:rFonts w:eastAsia="Times New Roman" w:cstheme="minorHAnsi"/>
                <w:sz w:val="20"/>
                <w:szCs w:val="20"/>
              </w:rPr>
              <w:t>-</w:t>
            </w:r>
          </w:p>
        </w:tc>
        <w:tc>
          <w:tcPr>
            <w:tcW w:w="2121" w:type="dxa"/>
            <w:gridSpan w:val="2"/>
            <w:tcBorders>
              <w:top w:val="nil"/>
              <w:left w:val="nil"/>
              <w:bottom w:val="nil"/>
              <w:right w:val="nil"/>
            </w:tcBorders>
            <w:vAlign w:val="bottom"/>
          </w:tcPr>
          <w:p w14:paraId="20C81914"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100%</w:t>
            </w:r>
          </w:p>
        </w:tc>
      </w:tr>
      <w:tr w:rsidR="002A5482" w:rsidRPr="001C6F1A" w14:paraId="4E00F8A4" w14:textId="77777777" w:rsidTr="00D8776A">
        <w:trPr>
          <w:trHeight w:val="260"/>
        </w:trPr>
        <w:tc>
          <w:tcPr>
            <w:tcW w:w="3258" w:type="dxa"/>
            <w:tcBorders>
              <w:top w:val="nil"/>
              <w:left w:val="nil"/>
              <w:bottom w:val="nil"/>
              <w:right w:val="nil"/>
            </w:tcBorders>
          </w:tcPr>
          <w:p w14:paraId="65E1B2C6" w14:textId="77777777" w:rsidR="002A5482" w:rsidRPr="001C6F1A" w:rsidRDefault="002A5482" w:rsidP="00467DF2">
            <w:pPr>
              <w:spacing w:before="0" w:after="40" w:line="240" w:lineRule="auto"/>
              <w:rPr>
                <w:rFonts w:eastAsia="Times New Roman" w:cstheme="minorHAnsi"/>
                <w:sz w:val="20"/>
                <w:szCs w:val="20"/>
              </w:rPr>
            </w:pPr>
            <w:r w:rsidRPr="001C6F1A">
              <w:rPr>
                <w:rFonts w:eastAsia="Times New Roman" w:cstheme="minorHAnsi"/>
                <w:sz w:val="20"/>
                <w:szCs w:val="20"/>
              </w:rPr>
              <w:t>Admin/technical support</w:t>
            </w:r>
          </w:p>
        </w:tc>
        <w:tc>
          <w:tcPr>
            <w:tcW w:w="2410" w:type="dxa"/>
            <w:tcBorders>
              <w:top w:val="nil"/>
              <w:left w:val="nil"/>
              <w:bottom w:val="nil"/>
              <w:right w:val="nil"/>
            </w:tcBorders>
            <w:shd w:val="clear" w:color="auto" w:fill="auto"/>
            <w:noWrap/>
            <w:vAlign w:val="bottom"/>
            <w:hideMark/>
          </w:tcPr>
          <w:p w14:paraId="1E945589"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5%</w:t>
            </w:r>
          </w:p>
        </w:tc>
        <w:tc>
          <w:tcPr>
            <w:tcW w:w="1845" w:type="dxa"/>
            <w:tcBorders>
              <w:top w:val="nil"/>
              <w:left w:val="nil"/>
              <w:bottom w:val="nil"/>
              <w:right w:val="nil"/>
            </w:tcBorders>
            <w:vAlign w:val="bottom"/>
          </w:tcPr>
          <w:p w14:paraId="3BA2290F"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eastAsia="Times New Roman" w:cstheme="minorHAnsi"/>
                <w:sz w:val="20"/>
                <w:szCs w:val="20"/>
              </w:rPr>
              <w:t>5%</w:t>
            </w:r>
          </w:p>
        </w:tc>
        <w:tc>
          <w:tcPr>
            <w:tcW w:w="2121" w:type="dxa"/>
            <w:gridSpan w:val="2"/>
            <w:tcBorders>
              <w:top w:val="nil"/>
              <w:left w:val="nil"/>
              <w:bottom w:val="nil"/>
              <w:right w:val="nil"/>
            </w:tcBorders>
            <w:vAlign w:val="bottom"/>
          </w:tcPr>
          <w:p w14:paraId="570DF871"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90%</w:t>
            </w:r>
          </w:p>
        </w:tc>
      </w:tr>
      <w:tr w:rsidR="002A5482" w:rsidRPr="001C6F1A" w14:paraId="1EEC716D" w14:textId="77777777" w:rsidTr="00D8776A">
        <w:trPr>
          <w:trHeight w:val="260"/>
        </w:trPr>
        <w:tc>
          <w:tcPr>
            <w:tcW w:w="3258" w:type="dxa"/>
            <w:tcBorders>
              <w:top w:val="nil"/>
              <w:left w:val="nil"/>
              <w:bottom w:val="nil"/>
              <w:right w:val="nil"/>
            </w:tcBorders>
          </w:tcPr>
          <w:p w14:paraId="164F9382" w14:textId="77777777" w:rsidR="002A5482" w:rsidRPr="001C6F1A" w:rsidRDefault="002A5482" w:rsidP="00467DF2">
            <w:pPr>
              <w:spacing w:before="0" w:after="40" w:line="240" w:lineRule="auto"/>
              <w:rPr>
                <w:rFonts w:eastAsia="Times New Roman" w:cstheme="minorHAnsi"/>
                <w:sz w:val="20"/>
                <w:szCs w:val="20"/>
              </w:rPr>
            </w:pPr>
            <w:r w:rsidRPr="001C6F1A">
              <w:rPr>
                <w:rFonts w:eastAsia="Times New Roman" w:cstheme="minorHAnsi"/>
                <w:sz w:val="20"/>
                <w:szCs w:val="20"/>
              </w:rPr>
              <w:t xml:space="preserve">Travel and catering </w:t>
            </w:r>
          </w:p>
        </w:tc>
        <w:tc>
          <w:tcPr>
            <w:tcW w:w="2410" w:type="dxa"/>
            <w:tcBorders>
              <w:top w:val="nil"/>
              <w:left w:val="nil"/>
              <w:bottom w:val="nil"/>
              <w:right w:val="nil"/>
            </w:tcBorders>
            <w:shd w:val="clear" w:color="auto" w:fill="auto"/>
            <w:noWrap/>
            <w:vAlign w:val="bottom"/>
            <w:hideMark/>
          </w:tcPr>
          <w:p w14:paraId="05DA933C" w14:textId="77777777" w:rsidR="002A5482" w:rsidRPr="001C6F1A" w:rsidRDefault="002A5482" w:rsidP="00467DF2">
            <w:pPr>
              <w:spacing w:before="0" w:after="40" w:line="240" w:lineRule="auto"/>
              <w:jc w:val="right"/>
              <w:rPr>
                <w:rFonts w:eastAsia="Times New Roman" w:cstheme="minorHAnsi"/>
                <w:sz w:val="20"/>
                <w:szCs w:val="20"/>
              </w:rPr>
            </w:pPr>
            <w:r>
              <w:rPr>
                <w:rFonts w:cstheme="minorHAnsi"/>
                <w:sz w:val="20"/>
                <w:szCs w:val="20"/>
              </w:rPr>
              <w:t>-</w:t>
            </w:r>
          </w:p>
        </w:tc>
        <w:tc>
          <w:tcPr>
            <w:tcW w:w="1845" w:type="dxa"/>
            <w:tcBorders>
              <w:top w:val="nil"/>
              <w:left w:val="nil"/>
              <w:bottom w:val="nil"/>
              <w:right w:val="nil"/>
            </w:tcBorders>
            <w:vAlign w:val="bottom"/>
          </w:tcPr>
          <w:p w14:paraId="2D4F1055" w14:textId="77777777" w:rsidR="002A5482" w:rsidRPr="001C6F1A" w:rsidRDefault="002A5482" w:rsidP="00467DF2">
            <w:pPr>
              <w:spacing w:before="0" w:after="40" w:line="240" w:lineRule="auto"/>
              <w:jc w:val="right"/>
              <w:rPr>
                <w:rFonts w:eastAsia="Times New Roman" w:cstheme="minorHAnsi"/>
                <w:sz w:val="20"/>
                <w:szCs w:val="20"/>
              </w:rPr>
            </w:pPr>
            <w:r>
              <w:rPr>
                <w:rFonts w:eastAsia="Times New Roman" w:cstheme="minorHAnsi"/>
                <w:sz w:val="20"/>
                <w:szCs w:val="20"/>
              </w:rPr>
              <w:t>-</w:t>
            </w:r>
          </w:p>
        </w:tc>
        <w:tc>
          <w:tcPr>
            <w:tcW w:w="2121" w:type="dxa"/>
            <w:gridSpan w:val="2"/>
            <w:tcBorders>
              <w:top w:val="nil"/>
              <w:left w:val="nil"/>
              <w:bottom w:val="nil"/>
              <w:right w:val="nil"/>
            </w:tcBorders>
            <w:vAlign w:val="bottom"/>
          </w:tcPr>
          <w:p w14:paraId="4D3254CF"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100%</w:t>
            </w:r>
          </w:p>
        </w:tc>
      </w:tr>
      <w:tr w:rsidR="002A5482" w:rsidRPr="001C6F1A" w14:paraId="2CB67510" w14:textId="77777777" w:rsidTr="00D8776A">
        <w:trPr>
          <w:trHeight w:val="260"/>
        </w:trPr>
        <w:tc>
          <w:tcPr>
            <w:tcW w:w="3258" w:type="dxa"/>
            <w:tcBorders>
              <w:top w:val="nil"/>
              <w:left w:val="nil"/>
              <w:bottom w:val="nil"/>
              <w:right w:val="nil"/>
            </w:tcBorders>
          </w:tcPr>
          <w:p w14:paraId="6FC82F79" w14:textId="77777777" w:rsidR="002A5482" w:rsidRPr="001C6F1A" w:rsidRDefault="002A5482" w:rsidP="00467DF2">
            <w:pPr>
              <w:spacing w:before="0" w:after="40" w:line="240" w:lineRule="auto"/>
              <w:rPr>
                <w:rFonts w:eastAsia="Times New Roman" w:cstheme="minorHAnsi"/>
                <w:sz w:val="20"/>
                <w:szCs w:val="20"/>
              </w:rPr>
            </w:pPr>
            <w:r w:rsidRPr="001C6F1A">
              <w:rPr>
                <w:rFonts w:eastAsia="Times New Roman" w:cstheme="minorHAnsi"/>
                <w:sz w:val="20"/>
                <w:szCs w:val="20"/>
              </w:rPr>
              <w:t>Learning management system</w:t>
            </w:r>
          </w:p>
        </w:tc>
        <w:tc>
          <w:tcPr>
            <w:tcW w:w="2410" w:type="dxa"/>
            <w:tcBorders>
              <w:top w:val="nil"/>
              <w:left w:val="nil"/>
              <w:bottom w:val="nil"/>
              <w:right w:val="nil"/>
            </w:tcBorders>
            <w:shd w:val="clear" w:color="auto" w:fill="auto"/>
            <w:noWrap/>
            <w:vAlign w:val="bottom"/>
            <w:hideMark/>
          </w:tcPr>
          <w:p w14:paraId="6DD21CBB"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100%</w:t>
            </w:r>
          </w:p>
        </w:tc>
        <w:tc>
          <w:tcPr>
            <w:tcW w:w="1845" w:type="dxa"/>
            <w:tcBorders>
              <w:top w:val="nil"/>
              <w:left w:val="nil"/>
              <w:bottom w:val="nil"/>
              <w:right w:val="nil"/>
            </w:tcBorders>
            <w:vAlign w:val="bottom"/>
          </w:tcPr>
          <w:p w14:paraId="30A521CE"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0%</w:t>
            </w:r>
          </w:p>
        </w:tc>
        <w:tc>
          <w:tcPr>
            <w:tcW w:w="2121" w:type="dxa"/>
            <w:gridSpan w:val="2"/>
            <w:tcBorders>
              <w:top w:val="nil"/>
              <w:left w:val="nil"/>
              <w:bottom w:val="nil"/>
              <w:right w:val="nil"/>
            </w:tcBorders>
            <w:vAlign w:val="bottom"/>
          </w:tcPr>
          <w:p w14:paraId="4A0E96A8" w14:textId="77777777" w:rsidR="002A5482" w:rsidRPr="001C6F1A" w:rsidRDefault="002A5482" w:rsidP="00467DF2">
            <w:pPr>
              <w:spacing w:before="0" w:after="40" w:line="240" w:lineRule="auto"/>
              <w:jc w:val="right"/>
              <w:rPr>
                <w:rFonts w:eastAsia="Times New Roman" w:cstheme="minorHAnsi"/>
                <w:sz w:val="20"/>
                <w:szCs w:val="20"/>
              </w:rPr>
            </w:pPr>
            <w:r>
              <w:rPr>
                <w:rFonts w:cstheme="minorHAnsi"/>
                <w:sz w:val="20"/>
                <w:szCs w:val="20"/>
              </w:rPr>
              <w:t>-</w:t>
            </w:r>
          </w:p>
        </w:tc>
      </w:tr>
      <w:tr w:rsidR="002A5482" w:rsidRPr="001C6F1A" w14:paraId="6ABE69F9" w14:textId="77777777" w:rsidTr="00D8776A">
        <w:trPr>
          <w:trHeight w:val="260"/>
        </w:trPr>
        <w:tc>
          <w:tcPr>
            <w:tcW w:w="3258" w:type="dxa"/>
            <w:tcBorders>
              <w:top w:val="nil"/>
              <w:left w:val="nil"/>
              <w:bottom w:val="nil"/>
              <w:right w:val="nil"/>
            </w:tcBorders>
          </w:tcPr>
          <w:p w14:paraId="6EB5ABF8" w14:textId="77777777" w:rsidR="002A5482" w:rsidRPr="001C6F1A" w:rsidRDefault="002A5482" w:rsidP="00467DF2">
            <w:pPr>
              <w:spacing w:before="0" w:after="40" w:line="240" w:lineRule="auto"/>
              <w:rPr>
                <w:rFonts w:eastAsia="Times New Roman" w:cstheme="minorHAnsi"/>
                <w:sz w:val="20"/>
                <w:szCs w:val="20"/>
              </w:rPr>
            </w:pPr>
            <w:r w:rsidRPr="001C6F1A">
              <w:rPr>
                <w:rFonts w:eastAsia="Times New Roman" w:cstheme="minorHAnsi"/>
                <w:sz w:val="20"/>
                <w:szCs w:val="20"/>
              </w:rPr>
              <w:t>Website hosting</w:t>
            </w:r>
          </w:p>
        </w:tc>
        <w:tc>
          <w:tcPr>
            <w:tcW w:w="2410" w:type="dxa"/>
            <w:tcBorders>
              <w:top w:val="nil"/>
              <w:left w:val="nil"/>
              <w:bottom w:val="nil"/>
              <w:right w:val="nil"/>
            </w:tcBorders>
            <w:shd w:val="clear" w:color="auto" w:fill="auto"/>
            <w:noWrap/>
            <w:vAlign w:val="bottom"/>
            <w:hideMark/>
          </w:tcPr>
          <w:p w14:paraId="4A933C09"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50%</w:t>
            </w:r>
          </w:p>
        </w:tc>
        <w:tc>
          <w:tcPr>
            <w:tcW w:w="1845" w:type="dxa"/>
            <w:tcBorders>
              <w:top w:val="nil"/>
              <w:left w:val="nil"/>
              <w:bottom w:val="nil"/>
              <w:right w:val="nil"/>
            </w:tcBorders>
            <w:vAlign w:val="bottom"/>
          </w:tcPr>
          <w:p w14:paraId="0D72F153"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50%</w:t>
            </w:r>
          </w:p>
        </w:tc>
        <w:tc>
          <w:tcPr>
            <w:tcW w:w="2121" w:type="dxa"/>
            <w:gridSpan w:val="2"/>
            <w:tcBorders>
              <w:top w:val="nil"/>
              <w:left w:val="nil"/>
              <w:bottom w:val="nil"/>
              <w:right w:val="nil"/>
            </w:tcBorders>
            <w:vAlign w:val="bottom"/>
          </w:tcPr>
          <w:p w14:paraId="0DA0BEA5" w14:textId="77777777" w:rsidR="002A5482" w:rsidRPr="001C6F1A" w:rsidRDefault="002A5482" w:rsidP="00467DF2">
            <w:pPr>
              <w:spacing w:before="0" w:after="40" w:line="240" w:lineRule="auto"/>
              <w:jc w:val="right"/>
              <w:rPr>
                <w:rFonts w:eastAsia="Times New Roman" w:cstheme="minorHAnsi"/>
                <w:sz w:val="20"/>
                <w:szCs w:val="20"/>
              </w:rPr>
            </w:pPr>
            <w:r>
              <w:rPr>
                <w:rFonts w:cstheme="minorHAnsi"/>
                <w:sz w:val="20"/>
                <w:szCs w:val="20"/>
              </w:rPr>
              <w:t>-</w:t>
            </w:r>
          </w:p>
        </w:tc>
      </w:tr>
      <w:tr w:rsidR="002A5482" w:rsidRPr="001C6F1A" w14:paraId="07D474DB" w14:textId="77777777" w:rsidTr="00710F1B">
        <w:trPr>
          <w:trHeight w:val="260"/>
        </w:trPr>
        <w:tc>
          <w:tcPr>
            <w:tcW w:w="3258" w:type="dxa"/>
            <w:tcBorders>
              <w:top w:val="nil"/>
              <w:left w:val="nil"/>
              <w:bottom w:val="single" w:sz="4" w:space="0" w:color="auto"/>
              <w:right w:val="nil"/>
            </w:tcBorders>
          </w:tcPr>
          <w:p w14:paraId="25F471D7" w14:textId="77777777" w:rsidR="002A5482" w:rsidRPr="001C6F1A" w:rsidRDefault="002A5482" w:rsidP="00467DF2">
            <w:pPr>
              <w:spacing w:before="0" w:after="40" w:line="240" w:lineRule="auto"/>
              <w:rPr>
                <w:rFonts w:eastAsia="Times New Roman" w:cstheme="minorHAnsi"/>
                <w:sz w:val="20"/>
                <w:szCs w:val="20"/>
              </w:rPr>
            </w:pPr>
            <w:r w:rsidRPr="001C6F1A">
              <w:rPr>
                <w:rFonts w:eastAsia="Times New Roman" w:cstheme="minorHAnsi"/>
                <w:sz w:val="20"/>
                <w:szCs w:val="20"/>
              </w:rPr>
              <w:t>Basic operational costs</w:t>
            </w:r>
          </w:p>
        </w:tc>
        <w:tc>
          <w:tcPr>
            <w:tcW w:w="2410" w:type="dxa"/>
            <w:tcBorders>
              <w:top w:val="nil"/>
              <w:left w:val="nil"/>
              <w:bottom w:val="single" w:sz="4" w:space="0" w:color="auto"/>
              <w:right w:val="nil"/>
            </w:tcBorders>
            <w:shd w:val="clear" w:color="auto" w:fill="auto"/>
            <w:noWrap/>
            <w:vAlign w:val="bottom"/>
            <w:hideMark/>
          </w:tcPr>
          <w:p w14:paraId="2DC00CAA"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50%</w:t>
            </w:r>
          </w:p>
        </w:tc>
        <w:tc>
          <w:tcPr>
            <w:tcW w:w="1845" w:type="dxa"/>
            <w:tcBorders>
              <w:top w:val="nil"/>
              <w:left w:val="nil"/>
              <w:bottom w:val="single" w:sz="4" w:space="0" w:color="auto"/>
              <w:right w:val="nil"/>
            </w:tcBorders>
            <w:vAlign w:val="bottom"/>
          </w:tcPr>
          <w:p w14:paraId="3BB29B24"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50%</w:t>
            </w:r>
          </w:p>
        </w:tc>
        <w:tc>
          <w:tcPr>
            <w:tcW w:w="2121" w:type="dxa"/>
            <w:gridSpan w:val="2"/>
            <w:tcBorders>
              <w:top w:val="nil"/>
              <w:left w:val="nil"/>
              <w:bottom w:val="single" w:sz="4" w:space="0" w:color="auto"/>
              <w:right w:val="nil"/>
            </w:tcBorders>
            <w:vAlign w:val="bottom"/>
          </w:tcPr>
          <w:p w14:paraId="4DF6958F" w14:textId="77777777" w:rsidR="002A5482" w:rsidRPr="001C6F1A" w:rsidRDefault="002A5482" w:rsidP="00467DF2">
            <w:pPr>
              <w:spacing w:before="0" w:after="40" w:line="240" w:lineRule="auto"/>
              <w:jc w:val="right"/>
              <w:rPr>
                <w:rFonts w:eastAsia="Times New Roman" w:cstheme="minorHAnsi"/>
                <w:sz w:val="20"/>
                <w:szCs w:val="20"/>
              </w:rPr>
            </w:pPr>
            <w:r>
              <w:rPr>
                <w:rFonts w:cstheme="minorHAnsi"/>
                <w:sz w:val="20"/>
                <w:szCs w:val="20"/>
              </w:rPr>
              <w:t>-</w:t>
            </w:r>
          </w:p>
        </w:tc>
      </w:tr>
      <w:tr w:rsidR="002A5482" w:rsidRPr="001C6F1A" w14:paraId="021E37BC" w14:textId="77777777" w:rsidTr="00710F1B">
        <w:trPr>
          <w:trHeight w:val="417"/>
        </w:trPr>
        <w:tc>
          <w:tcPr>
            <w:tcW w:w="3258" w:type="dxa"/>
            <w:tcBorders>
              <w:top w:val="single" w:sz="4" w:space="0" w:color="auto"/>
              <w:left w:val="nil"/>
              <w:bottom w:val="nil"/>
              <w:right w:val="nil"/>
            </w:tcBorders>
          </w:tcPr>
          <w:p w14:paraId="7C93AA3B" w14:textId="77777777" w:rsidR="002A5482" w:rsidRPr="001C6F1A" w:rsidRDefault="002A5482" w:rsidP="00467DF2">
            <w:pPr>
              <w:spacing w:before="0" w:after="40" w:line="240" w:lineRule="auto"/>
              <w:jc w:val="right"/>
              <w:rPr>
                <w:rFonts w:eastAsia="Times New Roman" w:cstheme="minorHAnsi"/>
                <w:sz w:val="20"/>
                <w:szCs w:val="20"/>
              </w:rPr>
            </w:pPr>
            <w:r>
              <w:rPr>
                <w:rFonts w:eastAsia="Times New Roman" w:cstheme="minorHAnsi"/>
                <w:sz w:val="20"/>
                <w:szCs w:val="20"/>
              </w:rPr>
              <w:t>Sub-total costs</w:t>
            </w:r>
            <w:r w:rsidRPr="001C6F1A">
              <w:rPr>
                <w:rFonts w:eastAsia="Times New Roman" w:cstheme="minorHAnsi"/>
                <w:sz w:val="20"/>
                <w:szCs w:val="20"/>
              </w:rPr>
              <w:t xml:space="preserve"> ($)</w:t>
            </w:r>
          </w:p>
        </w:tc>
        <w:tc>
          <w:tcPr>
            <w:tcW w:w="2410" w:type="dxa"/>
            <w:tcBorders>
              <w:top w:val="single" w:sz="4" w:space="0" w:color="auto"/>
              <w:left w:val="nil"/>
              <w:bottom w:val="nil"/>
              <w:right w:val="nil"/>
            </w:tcBorders>
            <w:shd w:val="clear" w:color="auto" w:fill="auto"/>
            <w:noWrap/>
            <w:hideMark/>
          </w:tcPr>
          <w:p w14:paraId="47F68DDF"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eastAsia="Times New Roman" w:cstheme="minorHAnsi"/>
                <w:sz w:val="20"/>
                <w:szCs w:val="20"/>
              </w:rPr>
              <w:t xml:space="preserve">$38,796 </w:t>
            </w:r>
          </w:p>
        </w:tc>
        <w:tc>
          <w:tcPr>
            <w:tcW w:w="1845" w:type="dxa"/>
            <w:tcBorders>
              <w:top w:val="single" w:sz="4" w:space="0" w:color="auto"/>
              <w:left w:val="nil"/>
              <w:bottom w:val="nil"/>
              <w:right w:val="nil"/>
            </w:tcBorders>
          </w:tcPr>
          <w:p w14:paraId="58AD8857"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eastAsia="Times New Roman" w:cstheme="minorHAnsi"/>
                <w:sz w:val="20"/>
                <w:szCs w:val="20"/>
              </w:rPr>
              <w:t>$38,796</w:t>
            </w:r>
          </w:p>
        </w:tc>
        <w:tc>
          <w:tcPr>
            <w:tcW w:w="2121" w:type="dxa"/>
            <w:gridSpan w:val="2"/>
            <w:tcBorders>
              <w:top w:val="single" w:sz="4" w:space="0" w:color="auto"/>
              <w:left w:val="nil"/>
              <w:bottom w:val="nil"/>
              <w:right w:val="nil"/>
            </w:tcBorders>
          </w:tcPr>
          <w:p w14:paraId="145453C4" w14:textId="77777777" w:rsidR="002A5482" w:rsidRPr="001C6F1A" w:rsidRDefault="002A5482" w:rsidP="00467DF2">
            <w:pPr>
              <w:spacing w:before="0" w:after="40" w:line="240" w:lineRule="auto"/>
              <w:jc w:val="right"/>
              <w:rPr>
                <w:rFonts w:eastAsia="Times New Roman" w:cstheme="minorHAnsi"/>
                <w:sz w:val="20"/>
                <w:szCs w:val="20"/>
              </w:rPr>
            </w:pPr>
            <w:r w:rsidRPr="001C6F1A">
              <w:rPr>
                <w:rFonts w:cstheme="minorHAnsi"/>
                <w:sz w:val="20"/>
                <w:szCs w:val="20"/>
              </w:rPr>
              <w:t xml:space="preserve">$93,457 </w:t>
            </w:r>
          </w:p>
        </w:tc>
      </w:tr>
      <w:tr w:rsidR="002A5482" w:rsidRPr="001C6F1A" w14:paraId="38130075" w14:textId="77777777" w:rsidTr="00710F1B">
        <w:trPr>
          <w:trHeight w:val="576"/>
        </w:trPr>
        <w:tc>
          <w:tcPr>
            <w:tcW w:w="3258" w:type="dxa"/>
            <w:tcBorders>
              <w:top w:val="nil"/>
              <w:left w:val="nil"/>
              <w:bottom w:val="single" w:sz="4" w:space="0" w:color="auto"/>
              <w:right w:val="nil"/>
            </w:tcBorders>
            <w:vAlign w:val="center"/>
          </w:tcPr>
          <w:p w14:paraId="5C4CDD3E" w14:textId="77777777" w:rsidR="002A5482" w:rsidRPr="00F85CE1" w:rsidRDefault="002A5482" w:rsidP="00467DF2">
            <w:pPr>
              <w:spacing w:before="0" w:after="40" w:line="240" w:lineRule="auto"/>
              <w:jc w:val="right"/>
              <w:rPr>
                <w:rFonts w:eastAsia="Times New Roman" w:cstheme="minorHAnsi"/>
                <w:b/>
                <w:bCs/>
                <w:sz w:val="20"/>
                <w:szCs w:val="20"/>
              </w:rPr>
            </w:pPr>
            <w:r w:rsidRPr="00F85CE1">
              <w:rPr>
                <w:rFonts w:eastAsia="Times New Roman" w:cstheme="minorHAnsi"/>
                <w:b/>
                <w:bCs/>
                <w:sz w:val="20"/>
                <w:szCs w:val="20"/>
              </w:rPr>
              <w:t>Total costs per model of support ($)</w:t>
            </w:r>
          </w:p>
        </w:tc>
        <w:tc>
          <w:tcPr>
            <w:tcW w:w="2410" w:type="dxa"/>
            <w:tcBorders>
              <w:top w:val="nil"/>
              <w:left w:val="nil"/>
              <w:bottom w:val="single" w:sz="4" w:space="0" w:color="auto"/>
              <w:right w:val="nil"/>
            </w:tcBorders>
            <w:shd w:val="clear" w:color="auto" w:fill="auto"/>
            <w:noWrap/>
            <w:vAlign w:val="center"/>
          </w:tcPr>
          <w:p w14:paraId="0BD08B57" w14:textId="77777777" w:rsidR="002A5482" w:rsidRPr="00914472" w:rsidRDefault="002A5482" w:rsidP="00467DF2">
            <w:pPr>
              <w:spacing w:before="0" w:after="40" w:line="240" w:lineRule="auto"/>
              <w:jc w:val="right"/>
              <w:rPr>
                <w:rFonts w:eastAsia="Times New Roman" w:cstheme="minorHAnsi"/>
                <w:b/>
                <w:bCs/>
                <w:sz w:val="20"/>
                <w:szCs w:val="20"/>
              </w:rPr>
            </w:pPr>
            <w:r w:rsidRPr="00914472">
              <w:rPr>
                <w:rFonts w:eastAsia="Times New Roman" w:cstheme="minorHAnsi"/>
                <w:b/>
                <w:bCs/>
                <w:sz w:val="20"/>
                <w:szCs w:val="20"/>
              </w:rPr>
              <w:t>Low intensity = $38,796</w:t>
            </w:r>
          </w:p>
        </w:tc>
        <w:tc>
          <w:tcPr>
            <w:tcW w:w="3966" w:type="dxa"/>
            <w:gridSpan w:val="3"/>
            <w:tcBorders>
              <w:top w:val="nil"/>
              <w:left w:val="nil"/>
              <w:bottom w:val="single" w:sz="4" w:space="0" w:color="auto"/>
              <w:right w:val="nil"/>
            </w:tcBorders>
            <w:vAlign w:val="center"/>
          </w:tcPr>
          <w:p w14:paraId="5A7E3DBA" w14:textId="77777777" w:rsidR="002A5482" w:rsidRPr="00914472" w:rsidRDefault="002A5482" w:rsidP="00467DF2">
            <w:pPr>
              <w:spacing w:before="0" w:after="40" w:line="240" w:lineRule="auto"/>
              <w:jc w:val="right"/>
              <w:rPr>
                <w:rFonts w:eastAsia="Times New Roman" w:cstheme="minorHAnsi"/>
                <w:b/>
                <w:bCs/>
                <w:sz w:val="20"/>
                <w:szCs w:val="20"/>
              </w:rPr>
            </w:pPr>
            <w:r w:rsidRPr="00914472">
              <w:rPr>
                <w:rFonts w:eastAsia="Times New Roman" w:cstheme="minorHAnsi"/>
                <w:b/>
                <w:bCs/>
                <w:sz w:val="20"/>
                <w:szCs w:val="20"/>
              </w:rPr>
              <w:t xml:space="preserve">High intensity = </w:t>
            </w:r>
            <w:r w:rsidRPr="00914472">
              <w:rPr>
                <w:rFonts w:cstheme="minorHAnsi"/>
                <w:b/>
                <w:bCs/>
                <w:sz w:val="20"/>
                <w:szCs w:val="20"/>
              </w:rPr>
              <w:t>$132,253</w:t>
            </w:r>
          </w:p>
        </w:tc>
      </w:tr>
    </w:tbl>
    <w:p w14:paraId="4C0553F5" w14:textId="08F8403B" w:rsidR="002A5482" w:rsidRDefault="002A5482" w:rsidP="002A5482">
      <w:pPr>
        <w:pStyle w:val="Tablenotes"/>
        <w:rPr>
          <w:lang w:val="en-US" w:eastAsia="en-AU"/>
        </w:rPr>
      </w:pPr>
      <w:r>
        <w:rPr>
          <w:lang w:val="en-US" w:eastAsia="en-AU"/>
        </w:rPr>
        <w:t>Source: Project expenditure reports, 1 November 2018 to 31 October 2019, Menzies School of Health Research</w:t>
      </w:r>
    </w:p>
    <w:p w14:paraId="0372B47A" w14:textId="0F44956D" w:rsidR="002A5482" w:rsidRPr="002C717B" w:rsidRDefault="002A5482" w:rsidP="002A5482">
      <w:pPr>
        <w:pStyle w:val="Tablenotes"/>
        <w:rPr>
          <w:lang w:val="en-US" w:eastAsia="en-AU"/>
        </w:rPr>
      </w:pPr>
      <w:r w:rsidRPr="00125048">
        <w:rPr>
          <w:lang w:val="en-US" w:eastAsia="en-AU"/>
        </w:rPr>
        <w:t>Note</w:t>
      </w:r>
      <w:r>
        <w:rPr>
          <w:vertAlign w:val="superscript"/>
          <w:lang w:val="en-US" w:eastAsia="en-AU"/>
        </w:rPr>
        <w:t xml:space="preserve">: </w:t>
      </w:r>
      <w:r>
        <w:rPr>
          <w:lang w:val="en-US" w:eastAsia="en-AU"/>
        </w:rPr>
        <w:t>For the Pilot, Group A (low intensity support</w:t>
      </w:r>
      <w:r w:rsidR="00B83AE8">
        <w:rPr>
          <w:lang w:val="en-US" w:eastAsia="en-AU"/>
        </w:rPr>
        <w:t>; n=</w:t>
      </w:r>
      <w:r>
        <w:rPr>
          <w:lang w:val="en-US" w:eastAsia="en-AU"/>
        </w:rPr>
        <w:t>24</w:t>
      </w:r>
      <w:r w:rsidR="00B83AE8">
        <w:rPr>
          <w:lang w:val="en-US" w:eastAsia="en-AU"/>
        </w:rPr>
        <w:t>)</w:t>
      </w:r>
      <w:r>
        <w:rPr>
          <w:lang w:val="en-US" w:eastAsia="en-AU"/>
        </w:rPr>
        <w:t>, and Group B (high intensity support</w:t>
      </w:r>
      <w:r w:rsidR="00B83AE8">
        <w:rPr>
          <w:lang w:val="en-US" w:eastAsia="en-AU"/>
        </w:rPr>
        <w:t>; n=</w:t>
      </w:r>
      <w:r>
        <w:rPr>
          <w:lang w:val="en-US" w:eastAsia="en-AU"/>
        </w:rPr>
        <w:t>23</w:t>
      </w:r>
      <w:r w:rsidR="00B83AE8">
        <w:rPr>
          <w:lang w:val="en-US" w:eastAsia="en-AU"/>
        </w:rPr>
        <w:t>)</w:t>
      </w:r>
      <w:r>
        <w:rPr>
          <w:lang w:val="en-US" w:eastAsia="en-AU"/>
        </w:rPr>
        <w:t xml:space="preserve">. </w:t>
      </w:r>
      <w:r w:rsidR="00B83AE8">
        <w:rPr>
          <w:lang w:val="en-US" w:eastAsia="en-AU"/>
        </w:rPr>
        <w:t>F</w:t>
      </w:r>
      <w:r>
        <w:rPr>
          <w:lang w:val="en-US" w:eastAsia="en-AU"/>
        </w:rPr>
        <w:t xml:space="preserve">our </w:t>
      </w:r>
      <w:r w:rsidR="00B83AE8">
        <w:rPr>
          <w:lang w:val="en-US" w:eastAsia="en-AU"/>
        </w:rPr>
        <w:t>Group B sites</w:t>
      </w:r>
      <w:r>
        <w:rPr>
          <w:lang w:val="en-US" w:eastAsia="en-AU"/>
        </w:rPr>
        <w:t xml:space="preserve"> did not receive face-to-face training due to their late enrolment (</w:t>
      </w:r>
      <w:r w:rsidR="00B83AE8">
        <w:rPr>
          <w:lang w:val="en-US" w:eastAsia="en-AU"/>
        </w:rPr>
        <w:t>due to</w:t>
      </w:r>
      <w:r>
        <w:rPr>
          <w:lang w:val="en-US" w:eastAsia="en-AU"/>
        </w:rPr>
        <w:t xml:space="preserve"> ethics and governance requirements).  The additional face-to-face training costs in the high intensity model were incurred for 19 health </w:t>
      </w:r>
      <w:proofErr w:type="spellStart"/>
      <w:r>
        <w:rPr>
          <w:lang w:val="en-US" w:eastAsia="en-AU"/>
        </w:rPr>
        <w:t>centres</w:t>
      </w:r>
      <w:proofErr w:type="spellEnd"/>
      <w:r>
        <w:rPr>
          <w:lang w:val="en-US" w:eastAsia="en-AU"/>
        </w:rPr>
        <w:t xml:space="preserve">, an average of $4919 per </w:t>
      </w:r>
      <w:proofErr w:type="spellStart"/>
      <w:r>
        <w:rPr>
          <w:lang w:val="en-US" w:eastAsia="en-AU"/>
        </w:rPr>
        <w:t>centre</w:t>
      </w:r>
      <w:proofErr w:type="spellEnd"/>
      <w:r>
        <w:rPr>
          <w:lang w:val="en-US" w:eastAsia="en-AU"/>
        </w:rPr>
        <w:t>.</w:t>
      </w:r>
    </w:p>
    <w:p w14:paraId="0C809546" w14:textId="77777777" w:rsidR="00CF18D1" w:rsidRPr="00491B9D" w:rsidRDefault="00CF18D1" w:rsidP="00366EAB">
      <w:pPr>
        <w:pStyle w:val="Heading3"/>
      </w:pPr>
      <w:r w:rsidRPr="00491B9D">
        <w:t>Uptake of helplines</w:t>
      </w:r>
      <w:bookmarkEnd w:id="176"/>
      <w:bookmarkEnd w:id="177"/>
      <w:bookmarkEnd w:id="178"/>
    </w:p>
    <w:p w14:paraId="3BEB4FF5" w14:textId="77777777" w:rsidR="00CF18D1" w:rsidRPr="00491B9D" w:rsidRDefault="00CF18D1" w:rsidP="004257B1">
      <w:pPr>
        <w:pStyle w:val="Heading4"/>
      </w:pPr>
      <w:r w:rsidRPr="00491B9D">
        <w:t>Menzies Helpline</w:t>
      </w:r>
    </w:p>
    <w:p w14:paraId="4D674651" w14:textId="69B9789A" w:rsidR="00CF18D1" w:rsidRPr="00DF0560" w:rsidRDefault="00CF18D1" w:rsidP="00CF18D1">
      <w:pPr>
        <w:rPr>
          <w:lang w:eastAsia="en-AU"/>
        </w:rPr>
      </w:pPr>
      <w:r w:rsidRPr="00DF0560">
        <w:rPr>
          <w:lang w:eastAsia="en-AU"/>
        </w:rPr>
        <w:t>Throughout the Pilot Menzies provided a Helpline (a phone number and email address) to assist health centres</w:t>
      </w:r>
      <w:r>
        <w:rPr>
          <w:lang w:eastAsia="en-AU"/>
        </w:rPr>
        <w:t xml:space="preserve"> to</w:t>
      </w:r>
      <w:r w:rsidRPr="00DF0560">
        <w:rPr>
          <w:lang w:eastAsia="en-AU"/>
        </w:rPr>
        <w:t xml:space="preserve"> implement and deliv</w:t>
      </w:r>
      <w:r>
        <w:rPr>
          <w:lang w:eastAsia="en-AU"/>
        </w:rPr>
        <w:t>er</w:t>
      </w:r>
      <w:r w:rsidRPr="00DF0560">
        <w:rPr>
          <w:lang w:eastAsia="en-AU"/>
        </w:rPr>
        <w:t xml:space="preserve"> the Alternative Pathway. This Helpline was activated during the recruitment phase of the Pilot and, as at June 2020, </w:t>
      </w:r>
      <w:r w:rsidR="00CD7BD2">
        <w:rPr>
          <w:lang w:eastAsia="en-AU"/>
        </w:rPr>
        <w:t xml:space="preserve">and </w:t>
      </w:r>
      <w:r w:rsidRPr="00DF0560">
        <w:rPr>
          <w:lang w:eastAsia="en-AU"/>
        </w:rPr>
        <w:t>continue</w:t>
      </w:r>
      <w:r w:rsidR="00CD7BD2">
        <w:rPr>
          <w:lang w:eastAsia="en-AU"/>
        </w:rPr>
        <w:t>s</w:t>
      </w:r>
      <w:r w:rsidRPr="00DF0560">
        <w:rPr>
          <w:lang w:eastAsia="en-AU"/>
        </w:rPr>
        <w:t xml:space="preserve"> to receive regular inquiries.</w:t>
      </w:r>
    </w:p>
    <w:p w14:paraId="663AEFDC" w14:textId="44611EFF" w:rsidR="00CF18D1" w:rsidRPr="00DF0560" w:rsidRDefault="00CF18D1" w:rsidP="00CF18D1">
      <w:pPr>
        <w:rPr>
          <w:lang w:eastAsia="en-AU"/>
        </w:rPr>
      </w:pPr>
      <w:r w:rsidRPr="00DF0560">
        <w:rPr>
          <w:lang w:eastAsia="en-AU"/>
        </w:rPr>
        <w:t>Health centres contacted the Menzies Helpline approximately 156 times with questions about the NBCSP, the Pilot and Alternative Pathway</w:t>
      </w:r>
      <w:r>
        <w:rPr>
          <w:lang w:eastAsia="en-AU"/>
        </w:rPr>
        <w:t>. However, m</w:t>
      </w:r>
      <w:r w:rsidRPr="00DF0560">
        <w:rPr>
          <w:lang w:eastAsia="en-AU"/>
        </w:rPr>
        <w:t xml:space="preserve">ost contact from health centres was initiated by email </w:t>
      </w:r>
      <w:r>
        <w:rPr>
          <w:lang w:eastAsia="en-AU"/>
        </w:rPr>
        <w:t xml:space="preserve">as </w:t>
      </w:r>
      <w:r w:rsidRPr="00DF0560">
        <w:rPr>
          <w:lang w:eastAsia="en-AU"/>
        </w:rPr>
        <w:t>opposed to telephone (approximately 125 emails</w:t>
      </w:r>
      <w:r>
        <w:rPr>
          <w:lang w:eastAsia="en-AU"/>
        </w:rPr>
        <w:t xml:space="preserve"> and</w:t>
      </w:r>
      <w:r w:rsidRPr="00DF0560">
        <w:rPr>
          <w:lang w:eastAsia="en-AU"/>
        </w:rPr>
        <w:t xml:space="preserve"> 31 phone calls). Some contacts were made outside the Helpline via direct emails to individual project team members or calls to personal mobiles or landlines. These calls were not necessarily recorded in the contact log, </w:t>
      </w:r>
      <w:r w:rsidR="00B83AE8">
        <w:rPr>
          <w:lang w:eastAsia="en-AU"/>
        </w:rPr>
        <w:t>as</w:t>
      </w:r>
      <w:r w:rsidR="00B83AE8" w:rsidRPr="00DF0560">
        <w:rPr>
          <w:lang w:eastAsia="en-AU"/>
        </w:rPr>
        <w:t xml:space="preserve"> </w:t>
      </w:r>
      <w:r w:rsidRPr="00DF0560">
        <w:rPr>
          <w:lang w:eastAsia="en-AU"/>
        </w:rPr>
        <w:t xml:space="preserve">the number was minimal. </w:t>
      </w:r>
    </w:p>
    <w:p w14:paraId="49514987" w14:textId="3192E4A7" w:rsidR="00B83AE8" w:rsidRPr="00DF0560" w:rsidRDefault="00CF18D1" w:rsidP="00CF18D1">
      <w:pPr>
        <w:rPr>
          <w:lang w:eastAsia="en-AU"/>
        </w:rPr>
      </w:pPr>
      <w:r w:rsidRPr="00DF0560">
        <w:rPr>
          <w:lang w:eastAsia="en-AU"/>
        </w:rPr>
        <w:t xml:space="preserve">Some requests recurred over the </w:t>
      </w:r>
      <w:r w:rsidR="00B83AE8">
        <w:rPr>
          <w:lang w:eastAsia="en-AU"/>
        </w:rPr>
        <w:t xml:space="preserve">entire </w:t>
      </w:r>
      <w:r w:rsidRPr="00DF0560">
        <w:rPr>
          <w:lang w:eastAsia="en-AU"/>
        </w:rPr>
        <w:t xml:space="preserve">Pilot period </w:t>
      </w:r>
      <w:r>
        <w:rPr>
          <w:lang w:eastAsia="en-AU"/>
        </w:rPr>
        <w:t xml:space="preserve">while </w:t>
      </w:r>
      <w:r w:rsidRPr="00DF0560">
        <w:rPr>
          <w:lang w:eastAsia="en-AU"/>
        </w:rPr>
        <w:t xml:space="preserve">others </w:t>
      </w:r>
      <w:r w:rsidR="005C0AC3">
        <w:rPr>
          <w:lang w:eastAsia="en-AU"/>
        </w:rPr>
        <w:t xml:space="preserve">arose </w:t>
      </w:r>
      <w:r w:rsidRPr="00DF0560">
        <w:rPr>
          <w:lang w:eastAsia="en-AU"/>
        </w:rPr>
        <w:t>during specific phases</w:t>
      </w:r>
      <w:r w:rsidR="00B83AE8">
        <w:rPr>
          <w:lang w:eastAsia="en-AU"/>
        </w:rPr>
        <w:t xml:space="preserve">. </w:t>
      </w:r>
      <w:r w:rsidRPr="00DF0560">
        <w:rPr>
          <w:lang w:eastAsia="en-AU"/>
        </w:rPr>
        <w:t>For example, how to order NBCSP kits was a regular inquiry throughout the Pilot</w:t>
      </w:r>
      <w:r>
        <w:rPr>
          <w:lang w:eastAsia="en-AU"/>
        </w:rPr>
        <w:t xml:space="preserve"> whereas</w:t>
      </w:r>
      <w:r w:rsidRPr="00DF0560">
        <w:rPr>
          <w:lang w:eastAsia="en-AU"/>
        </w:rPr>
        <w:t xml:space="preserve"> questions about completing Pilot requirements occurred mainly at the start</w:t>
      </w:r>
      <w:r w:rsidR="005C0AC3">
        <w:rPr>
          <w:lang w:eastAsia="en-AU"/>
        </w:rPr>
        <w:t xml:space="preserve"> of the Pilot</w:t>
      </w:r>
      <w:r w:rsidRPr="00DF0560">
        <w:rPr>
          <w:lang w:eastAsia="en-AU"/>
        </w:rPr>
        <w:t>.</w:t>
      </w:r>
      <w:r w:rsidR="00B83AE8">
        <w:rPr>
          <w:lang w:eastAsia="en-AU"/>
        </w:rPr>
        <w:t xml:space="preserve"> </w:t>
      </w:r>
    </w:p>
    <w:p w14:paraId="5FAA5D38" w14:textId="6B5A9722" w:rsidR="00CF18D1" w:rsidRPr="00DF0560" w:rsidRDefault="00CF18D1" w:rsidP="00CF18D1">
      <w:pPr>
        <w:rPr>
          <w:lang w:eastAsia="en-AU"/>
        </w:rPr>
      </w:pPr>
      <w:r w:rsidRPr="00DF0560">
        <w:rPr>
          <w:lang w:eastAsia="en-AU"/>
        </w:rPr>
        <w:t>Health centre</w:t>
      </w:r>
      <w:r>
        <w:rPr>
          <w:lang w:eastAsia="en-AU"/>
        </w:rPr>
        <w:t xml:space="preserve">-initiated </w:t>
      </w:r>
      <w:r w:rsidRPr="00DF0560">
        <w:rPr>
          <w:lang w:eastAsia="en-AU"/>
        </w:rPr>
        <w:t xml:space="preserve">inquiries </w:t>
      </w:r>
      <w:r w:rsidR="00B83AE8">
        <w:rPr>
          <w:lang w:eastAsia="en-AU"/>
        </w:rPr>
        <w:t xml:space="preserve">were categorised </w:t>
      </w:r>
      <w:r w:rsidRPr="00DF0560">
        <w:rPr>
          <w:lang w:eastAsia="en-AU"/>
        </w:rPr>
        <w:t>under a number of themes:</w:t>
      </w:r>
    </w:p>
    <w:p w14:paraId="25C703E3" w14:textId="77777777" w:rsidR="00CF18D1" w:rsidRPr="00DF0560" w:rsidRDefault="00CF18D1" w:rsidP="00C77532">
      <w:pPr>
        <w:pStyle w:val="ListParagraph"/>
        <w:numPr>
          <w:ilvl w:val="0"/>
          <w:numId w:val="39"/>
        </w:numPr>
        <w:rPr>
          <w:lang w:eastAsia="en-AU"/>
        </w:rPr>
      </w:pPr>
      <w:r>
        <w:rPr>
          <w:lang w:eastAsia="en-AU"/>
        </w:rPr>
        <w:t>U</w:t>
      </w:r>
      <w:r w:rsidRPr="00DF0560">
        <w:rPr>
          <w:lang w:eastAsia="en-AU"/>
        </w:rPr>
        <w:t xml:space="preserve">nderstanding the project requirements, for example: </w:t>
      </w:r>
    </w:p>
    <w:p w14:paraId="5EECED6F" w14:textId="37078B3C" w:rsidR="00CF18D1" w:rsidRPr="00DF0560" w:rsidRDefault="000D485D" w:rsidP="00C77532">
      <w:pPr>
        <w:pStyle w:val="NoSpacing"/>
        <w:numPr>
          <w:ilvl w:val="0"/>
          <w:numId w:val="38"/>
        </w:numPr>
      </w:pPr>
      <w:r w:rsidRPr="00DF0560">
        <w:t>What</w:t>
      </w:r>
      <w:r w:rsidR="00CF18D1" w:rsidRPr="00DF0560">
        <w:t xml:space="preserve"> do I have to do to get the kits? </w:t>
      </w:r>
    </w:p>
    <w:p w14:paraId="425DB096" w14:textId="6808E111" w:rsidR="00CF18D1" w:rsidRPr="00DF0560" w:rsidRDefault="000D485D" w:rsidP="00C77532">
      <w:pPr>
        <w:pStyle w:val="NoSpacing"/>
        <w:numPr>
          <w:ilvl w:val="0"/>
          <w:numId w:val="38"/>
        </w:numPr>
      </w:pPr>
      <w:r w:rsidRPr="00DF0560">
        <w:t>What</w:t>
      </w:r>
      <w:r w:rsidR="00CF18D1" w:rsidRPr="00DF0560">
        <w:t xml:space="preserve"> invention group are we [health </w:t>
      </w:r>
      <w:proofErr w:type="spellStart"/>
      <w:r w:rsidR="00CF18D1" w:rsidRPr="00DF0560">
        <w:t>centre</w:t>
      </w:r>
      <w:proofErr w:type="spellEnd"/>
      <w:r w:rsidR="00CF18D1" w:rsidRPr="00DF0560">
        <w:t>] in?</w:t>
      </w:r>
    </w:p>
    <w:p w14:paraId="1F4C4E99" w14:textId="5B11F848" w:rsidR="00CF18D1" w:rsidRPr="00DF0560" w:rsidRDefault="000D485D" w:rsidP="00C77532">
      <w:pPr>
        <w:pStyle w:val="NoSpacing"/>
        <w:numPr>
          <w:ilvl w:val="0"/>
          <w:numId w:val="38"/>
        </w:numPr>
      </w:pPr>
      <w:r w:rsidRPr="00DF0560">
        <w:t>What</w:t>
      </w:r>
      <w:r w:rsidR="00CF18D1" w:rsidRPr="00DF0560">
        <w:t xml:space="preserve"> training will our health </w:t>
      </w:r>
      <w:proofErr w:type="spellStart"/>
      <w:r w:rsidR="00CF18D1" w:rsidRPr="00DF0560">
        <w:t>centre</w:t>
      </w:r>
      <w:proofErr w:type="spellEnd"/>
      <w:r w:rsidR="00CF18D1" w:rsidRPr="00DF0560">
        <w:t xml:space="preserve"> receive? </w:t>
      </w:r>
    </w:p>
    <w:p w14:paraId="4D7010D5" w14:textId="170F78DC" w:rsidR="00CF18D1" w:rsidRPr="00DF0560" w:rsidRDefault="000D485D" w:rsidP="00C77532">
      <w:pPr>
        <w:pStyle w:val="NoSpacing"/>
        <w:numPr>
          <w:ilvl w:val="0"/>
          <w:numId w:val="38"/>
        </w:numPr>
      </w:pPr>
      <w:r w:rsidRPr="00DF0560">
        <w:t>Who</w:t>
      </w:r>
      <w:r w:rsidR="00CF18D1" w:rsidRPr="00DF0560">
        <w:t xml:space="preserve"> do I contact for support?</w:t>
      </w:r>
    </w:p>
    <w:p w14:paraId="5F429FA2" w14:textId="33D93AA6" w:rsidR="00CF18D1" w:rsidRDefault="000D485D" w:rsidP="00C77532">
      <w:pPr>
        <w:pStyle w:val="NoSpacing"/>
        <w:numPr>
          <w:ilvl w:val="0"/>
          <w:numId w:val="38"/>
        </w:numPr>
      </w:pPr>
      <w:r w:rsidRPr="00DF0560">
        <w:t>When</w:t>
      </w:r>
      <w:r w:rsidR="00CF18D1" w:rsidRPr="00DF0560">
        <w:t xml:space="preserve"> is the QSC due?</w:t>
      </w:r>
    </w:p>
    <w:p w14:paraId="16498CA6" w14:textId="77777777" w:rsidR="00CF18D1" w:rsidRPr="00DF0560" w:rsidRDefault="00CF18D1" w:rsidP="00C77532">
      <w:pPr>
        <w:pStyle w:val="ListParagraph"/>
        <w:numPr>
          <w:ilvl w:val="0"/>
          <w:numId w:val="40"/>
        </w:numPr>
        <w:rPr>
          <w:lang w:eastAsia="en-AU"/>
        </w:rPr>
      </w:pPr>
      <w:r w:rsidRPr="00DF0560">
        <w:rPr>
          <w:lang w:eastAsia="en-AU"/>
        </w:rPr>
        <w:lastRenderedPageBreak/>
        <w:t>Questions about the NBCSP, the Pilot and Alternative Pathway, for example:</w:t>
      </w:r>
    </w:p>
    <w:p w14:paraId="1EA571E1" w14:textId="77777777" w:rsidR="00CF18D1" w:rsidRPr="004A725E" w:rsidRDefault="00CF18D1" w:rsidP="00C77532">
      <w:pPr>
        <w:pStyle w:val="NoSpacing"/>
        <w:numPr>
          <w:ilvl w:val="0"/>
          <w:numId w:val="41"/>
        </w:numPr>
      </w:pPr>
      <w:r>
        <w:t>E</w:t>
      </w:r>
      <w:r w:rsidRPr="004A725E">
        <w:t>ligibility criteria for screening under t</w:t>
      </w:r>
      <w:r>
        <w:t>he Alternative Pathway.</w:t>
      </w:r>
    </w:p>
    <w:p w14:paraId="4C0E99B5" w14:textId="77777777" w:rsidR="00CF18D1" w:rsidRPr="004A725E" w:rsidRDefault="00CF18D1" w:rsidP="00C77532">
      <w:pPr>
        <w:pStyle w:val="NoSpacing"/>
        <w:numPr>
          <w:ilvl w:val="0"/>
          <w:numId w:val="41"/>
        </w:numPr>
      </w:pPr>
      <w:r w:rsidRPr="004A725E">
        <w:t>Permission to use music videos as promotional resources</w:t>
      </w:r>
      <w:r>
        <w:t>.</w:t>
      </w:r>
    </w:p>
    <w:p w14:paraId="672B8DD7" w14:textId="77777777" w:rsidR="00CF18D1" w:rsidRPr="004A725E" w:rsidRDefault="00CF18D1" w:rsidP="00C77532">
      <w:pPr>
        <w:pStyle w:val="NoSpacing"/>
        <w:numPr>
          <w:ilvl w:val="0"/>
          <w:numId w:val="41"/>
        </w:numPr>
      </w:pPr>
      <w:r w:rsidRPr="004A725E">
        <w:t>Explanation of the Pilot and Alternative Pathway</w:t>
      </w:r>
      <w:r>
        <w:t>.</w:t>
      </w:r>
      <w:r w:rsidRPr="004A725E">
        <w:t xml:space="preserve"> </w:t>
      </w:r>
    </w:p>
    <w:p w14:paraId="0CED7030" w14:textId="77777777" w:rsidR="00CF18D1" w:rsidRPr="004A725E" w:rsidRDefault="00CF18D1" w:rsidP="00C77532">
      <w:pPr>
        <w:pStyle w:val="NoSpacing"/>
        <w:numPr>
          <w:ilvl w:val="0"/>
          <w:numId w:val="41"/>
        </w:numPr>
      </w:pPr>
      <w:r w:rsidRPr="004A725E">
        <w:t>How to upskill and educate staff</w:t>
      </w:r>
      <w:r>
        <w:t>.</w:t>
      </w:r>
    </w:p>
    <w:p w14:paraId="0BF59750" w14:textId="77777777" w:rsidR="00CF18D1" w:rsidRPr="004A725E" w:rsidRDefault="00CF18D1" w:rsidP="00C77532">
      <w:pPr>
        <w:pStyle w:val="NoSpacing"/>
        <w:numPr>
          <w:ilvl w:val="0"/>
          <w:numId w:val="41"/>
        </w:numPr>
      </w:pPr>
      <w:r w:rsidRPr="004A725E">
        <w:t>Can IHW</w:t>
      </w:r>
      <w:r>
        <w:t>s</w:t>
      </w:r>
      <w:r w:rsidRPr="004A725E">
        <w:t xml:space="preserve"> give out kits and complete/submit the online form?</w:t>
      </w:r>
    </w:p>
    <w:p w14:paraId="67BAA28A" w14:textId="77777777" w:rsidR="00CF18D1" w:rsidRPr="004A725E" w:rsidRDefault="00CF18D1" w:rsidP="00C77532">
      <w:pPr>
        <w:pStyle w:val="NoSpacing"/>
        <w:numPr>
          <w:ilvl w:val="0"/>
          <w:numId w:val="41"/>
        </w:numPr>
      </w:pPr>
      <w:r w:rsidRPr="004A725E">
        <w:t>Who can doctors contact for test results?</w:t>
      </w:r>
    </w:p>
    <w:p w14:paraId="7DFA7719" w14:textId="77777777" w:rsidR="00CF18D1" w:rsidRPr="004A725E" w:rsidRDefault="00CF18D1" w:rsidP="00C77532">
      <w:pPr>
        <w:pStyle w:val="NoSpacing"/>
        <w:numPr>
          <w:ilvl w:val="0"/>
          <w:numId w:val="41"/>
        </w:numPr>
      </w:pPr>
      <w:r w:rsidRPr="004A725E">
        <w:t>How to set up to receive patient results electronically.</w:t>
      </w:r>
    </w:p>
    <w:p w14:paraId="0CB7FAAA" w14:textId="77777777" w:rsidR="00CF18D1" w:rsidRPr="004A725E" w:rsidRDefault="00CF18D1" w:rsidP="00C77532">
      <w:pPr>
        <w:pStyle w:val="NoSpacing"/>
        <w:numPr>
          <w:ilvl w:val="0"/>
          <w:numId w:val="41"/>
        </w:numPr>
      </w:pPr>
      <w:r w:rsidRPr="004A725E">
        <w:t xml:space="preserve">What are the revenue opportunities related to bowel screening promotion and follow up (i.e. what is the NBCSP payment and how to receive it)? </w:t>
      </w:r>
    </w:p>
    <w:p w14:paraId="0917F38C" w14:textId="77777777" w:rsidR="00CF18D1" w:rsidRPr="004A725E" w:rsidRDefault="00CF18D1" w:rsidP="00C77532">
      <w:pPr>
        <w:pStyle w:val="NoSpacing"/>
        <w:numPr>
          <w:ilvl w:val="0"/>
          <w:numId w:val="41"/>
        </w:numPr>
      </w:pPr>
      <w:r w:rsidRPr="004A725E">
        <w:t>Hot zone dates inquiry and ‘work around’ requirements.</w:t>
      </w:r>
    </w:p>
    <w:p w14:paraId="76E706A4" w14:textId="77777777" w:rsidR="00CF18D1" w:rsidRPr="004A725E" w:rsidRDefault="00CF18D1" w:rsidP="00C77532">
      <w:pPr>
        <w:pStyle w:val="NoSpacing"/>
        <w:numPr>
          <w:ilvl w:val="0"/>
          <w:numId w:val="41"/>
        </w:numPr>
      </w:pPr>
      <w:r w:rsidRPr="004A725E">
        <w:t xml:space="preserve">QSC was submitted but no kits received yet? </w:t>
      </w:r>
    </w:p>
    <w:p w14:paraId="17F6B80B" w14:textId="77777777" w:rsidR="00CF18D1" w:rsidRPr="00DF0560" w:rsidRDefault="00CF18D1" w:rsidP="00C77532">
      <w:pPr>
        <w:pStyle w:val="NoSpacing"/>
        <w:numPr>
          <w:ilvl w:val="0"/>
          <w:numId w:val="41"/>
        </w:numPr>
      </w:pPr>
      <w:r w:rsidRPr="004A725E">
        <w:t>Completing the online module pre-survey.</w:t>
      </w:r>
    </w:p>
    <w:p w14:paraId="6EFF3836" w14:textId="77777777" w:rsidR="00CF18D1" w:rsidRPr="00DF0560" w:rsidRDefault="00CF18D1" w:rsidP="00C77532">
      <w:pPr>
        <w:pStyle w:val="ListParagraph"/>
        <w:numPr>
          <w:ilvl w:val="0"/>
          <w:numId w:val="40"/>
        </w:numPr>
        <w:rPr>
          <w:lang w:eastAsia="en-AU"/>
        </w:rPr>
      </w:pPr>
      <w:r w:rsidRPr="00DF0560">
        <w:rPr>
          <w:lang w:eastAsia="en-AU"/>
        </w:rPr>
        <w:t>Information about NBCSP kits</w:t>
      </w:r>
      <w:r>
        <w:rPr>
          <w:lang w:eastAsia="en-AU"/>
        </w:rPr>
        <w:t>, for example</w:t>
      </w:r>
      <w:r w:rsidRPr="00DF0560">
        <w:rPr>
          <w:lang w:eastAsia="en-AU"/>
        </w:rPr>
        <w:t xml:space="preserve">: </w:t>
      </w:r>
    </w:p>
    <w:p w14:paraId="501C74FD" w14:textId="77777777" w:rsidR="00CF18D1" w:rsidRPr="00DF0560" w:rsidRDefault="00CF18D1" w:rsidP="00C77532">
      <w:pPr>
        <w:pStyle w:val="NoSpacing"/>
        <w:numPr>
          <w:ilvl w:val="0"/>
          <w:numId w:val="42"/>
        </w:numPr>
      </w:pPr>
      <w:r w:rsidRPr="00DF0560">
        <w:t>Confirming the expiry kit date (i.e. start of month or end of month)</w:t>
      </w:r>
    </w:p>
    <w:p w14:paraId="6EC0F409" w14:textId="77777777" w:rsidR="00CF18D1" w:rsidRPr="00DF0560" w:rsidRDefault="00CF18D1" w:rsidP="00C77532">
      <w:pPr>
        <w:pStyle w:val="NoSpacing"/>
        <w:numPr>
          <w:ilvl w:val="0"/>
          <w:numId w:val="42"/>
        </w:numPr>
      </w:pPr>
      <w:r w:rsidRPr="00DF0560">
        <w:t xml:space="preserve">How to order more NBCSP kits? </w:t>
      </w:r>
    </w:p>
    <w:p w14:paraId="7B5EED36" w14:textId="77777777" w:rsidR="00CF18D1" w:rsidRPr="00DF0560" w:rsidRDefault="00CF18D1" w:rsidP="00C77532">
      <w:pPr>
        <w:pStyle w:val="NoSpacing"/>
        <w:numPr>
          <w:ilvl w:val="0"/>
          <w:numId w:val="42"/>
        </w:numPr>
      </w:pPr>
      <w:r w:rsidRPr="00DF0560">
        <w:t>NBCSP kit order not received.</w:t>
      </w:r>
    </w:p>
    <w:p w14:paraId="03BF18D9" w14:textId="77777777" w:rsidR="00CF18D1" w:rsidRPr="00DF0560" w:rsidRDefault="00CF18D1" w:rsidP="00C77532">
      <w:pPr>
        <w:pStyle w:val="ListParagraph"/>
        <w:numPr>
          <w:ilvl w:val="0"/>
          <w:numId w:val="40"/>
        </w:numPr>
        <w:rPr>
          <w:lang w:eastAsia="en-AU"/>
        </w:rPr>
      </w:pPr>
      <w:r w:rsidRPr="00DF0560">
        <w:rPr>
          <w:lang w:eastAsia="en-AU"/>
        </w:rPr>
        <w:t>Accessing resources</w:t>
      </w:r>
      <w:r>
        <w:rPr>
          <w:lang w:eastAsia="en-AU"/>
        </w:rPr>
        <w:t xml:space="preserve">, </w:t>
      </w:r>
      <w:r w:rsidRPr="00DF0560">
        <w:rPr>
          <w:lang w:eastAsia="en-AU"/>
        </w:rPr>
        <w:t>for example</w:t>
      </w:r>
      <w:r>
        <w:rPr>
          <w:lang w:eastAsia="en-AU"/>
        </w:rPr>
        <w:t>:</w:t>
      </w:r>
    </w:p>
    <w:p w14:paraId="5528E36B" w14:textId="77777777" w:rsidR="00CF18D1" w:rsidRPr="00DF0560" w:rsidRDefault="00CF18D1" w:rsidP="00C77532">
      <w:pPr>
        <w:pStyle w:val="NoSpacing"/>
        <w:numPr>
          <w:ilvl w:val="0"/>
          <w:numId w:val="43"/>
        </w:numPr>
      </w:pPr>
      <w:r w:rsidRPr="00DF0560">
        <w:t>How to access resources and the online module.</w:t>
      </w:r>
    </w:p>
    <w:p w14:paraId="1CA96E9E" w14:textId="77777777" w:rsidR="00CF18D1" w:rsidRPr="00DF0560" w:rsidRDefault="00CF18D1" w:rsidP="00C77532">
      <w:pPr>
        <w:pStyle w:val="NoSpacing"/>
        <w:numPr>
          <w:ilvl w:val="0"/>
          <w:numId w:val="43"/>
        </w:numPr>
      </w:pPr>
      <w:r w:rsidRPr="00DF0560">
        <w:t>How to get a copy of the Alternative Pathway manual</w:t>
      </w:r>
      <w:r>
        <w:t>.</w:t>
      </w:r>
    </w:p>
    <w:p w14:paraId="2B0568B5" w14:textId="77777777" w:rsidR="00CF18D1" w:rsidRPr="00DF0560" w:rsidRDefault="00CF18D1" w:rsidP="00C77532">
      <w:pPr>
        <w:pStyle w:val="NoSpacing"/>
        <w:numPr>
          <w:ilvl w:val="0"/>
          <w:numId w:val="43"/>
        </w:numPr>
      </w:pPr>
      <w:r w:rsidRPr="00DF0560">
        <w:t>What is the username / password for the website?</w:t>
      </w:r>
    </w:p>
    <w:p w14:paraId="098EC245" w14:textId="77777777" w:rsidR="00CF18D1" w:rsidRPr="00DF0560" w:rsidRDefault="00CF18D1" w:rsidP="00C77532">
      <w:pPr>
        <w:pStyle w:val="NoSpacing"/>
        <w:numPr>
          <w:ilvl w:val="0"/>
          <w:numId w:val="43"/>
        </w:numPr>
      </w:pPr>
      <w:r w:rsidRPr="00DF0560">
        <w:t>Where to get Indigenous bowel screening resources from?</w:t>
      </w:r>
    </w:p>
    <w:p w14:paraId="44BF94BA" w14:textId="77777777" w:rsidR="00CF18D1" w:rsidRPr="00DF0560" w:rsidRDefault="00CF18D1" w:rsidP="00C77532">
      <w:pPr>
        <w:pStyle w:val="ListParagraph"/>
        <w:keepLines/>
        <w:numPr>
          <w:ilvl w:val="0"/>
          <w:numId w:val="40"/>
        </w:numPr>
        <w:spacing w:line="240" w:lineRule="auto"/>
        <w:ind w:hanging="357"/>
        <w:rPr>
          <w:lang w:eastAsia="en-AU"/>
        </w:rPr>
      </w:pPr>
      <w:r>
        <w:rPr>
          <w:lang w:eastAsia="en-AU"/>
        </w:rPr>
        <w:t>T</w:t>
      </w:r>
      <w:r w:rsidRPr="00DF0560">
        <w:rPr>
          <w:lang w:eastAsia="en-AU"/>
        </w:rPr>
        <w:t>he Participant Details Form</w:t>
      </w:r>
      <w:r>
        <w:rPr>
          <w:lang w:eastAsia="en-AU"/>
        </w:rPr>
        <w:t xml:space="preserve">, </w:t>
      </w:r>
      <w:r w:rsidRPr="00DF0560">
        <w:rPr>
          <w:lang w:eastAsia="en-AU"/>
        </w:rPr>
        <w:t>for example</w:t>
      </w:r>
      <w:r>
        <w:rPr>
          <w:lang w:eastAsia="en-AU"/>
        </w:rPr>
        <w:t>:</w:t>
      </w:r>
      <w:r w:rsidRPr="00DF0560">
        <w:rPr>
          <w:lang w:eastAsia="en-AU"/>
        </w:rPr>
        <w:t xml:space="preserve"> </w:t>
      </w:r>
    </w:p>
    <w:p w14:paraId="04B97E3D" w14:textId="77777777" w:rsidR="00CF18D1" w:rsidRPr="00DF0560" w:rsidRDefault="00CF18D1" w:rsidP="00C77532">
      <w:pPr>
        <w:pStyle w:val="NoSpacing"/>
        <w:keepLines/>
        <w:numPr>
          <w:ilvl w:val="0"/>
          <w:numId w:val="44"/>
        </w:numPr>
        <w:ind w:hanging="357"/>
      </w:pPr>
      <w:r w:rsidRPr="00DF0560">
        <w:t>How to access and use the online form</w:t>
      </w:r>
      <w:r>
        <w:t>.</w:t>
      </w:r>
    </w:p>
    <w:p w14:paraId="5B2C9564" w14:textId="77777777" w:rsidR="00CF18D1" w:rsidRPr="00DF0560" w:rsidRDefault="00CF18D1" w:rsidP="00C77532">
      <w:pPr>
        <w:pStyle w:val="NoSpacing"/>
        <w:keepLines/>
        <w:numPr>
          <w:ilvl w:val="0"/>
          <w:numId w:val="44"/>
        </w:numPr>
        <w:ind w:hanging="357"/>
      </w:pPr>
      <w:r w:rsidRPr="00DF0560">
        <w:t>How to download the online form</w:t>
      </w:r>
      <w:r>
        <w:t>.</w:t>
      </w:r>
    </w:p>
    <w:p w14:paraId="586C161D" w14:textId="77777777" w:rsidR="00CF18D1" w:rsidRPr="00DF0560" w:rsidRDefault="00CF18D1" w:rsidP="00C77532">
      <w:pPr>
        <w:pStyle w:val="NoSpacing"/>
        <w:keepLines/>
        <w:numPr>
          <w:ilvl w:val="0"/>
          <w:numId w:val="44"/>
        </w:numPr>
        <w:ind w:hanging="357"/>
      </w:pPr>
      <w:r>
        <w:t>H</w:t>
      </w:r>
      <w:r w:rsidRPr="00DF0560">
        <w:t xml:space="preserve">ow to integrate online form into health </w:t>
      </w:r>
      <w:proofErr w:type="spellStart"/>
      <w:r w:rsidRPr="00DF0560">
        <w:t>centre</w:t>
      </w:r>
      <w:proofErr w:type="spellEnd"/>
      <w:r w:rsidRPr="00DF0560">
        <w:t xml:space="preserve"> information systems</w:t>
      </w:r>
      <w:r>
        <w:t>.</w:t>
      </w:r>
    </w:p>
    <w:p w14:paraId="459928E2" w14:textId="77777777" w:rsidR="00CF18D1" w:rsidRPr="00DF0560" w:rsidRDefault="00CF18D1" w:rsidP="00C77532">
      <w:pPr>
        <w:pStyle w:val="NoSpacing"/>
        <w:keepLines/>
        <w:numPr>
          <w:ilvl w:val="0"/>
          <w:numId w:val="44"/>
        </w:numPr>
        <w:ind w:hanging="357"/>
      </w:pPr>
      <w:r w:rsidRPr="00DF0560">
        <w:t>Requests for hard copies of the Online Participant Details Form.</w:t>
      </w:r>
    </w:p>
    <w:p w14:paraId="1FC2317B" w14:textId="77777777" w:rsidR="00CF18D1" w:rsidRPr="00DF0560" w:rsidRDefault="00CF18D1" w:rsidP="00C77532">
      <w:pPr>
        <w:pStyle w:val="NoSpacing"/>
        <w:keepLines/>
        <w:numPr>
          <w:ilvl w:val="0"/>
          <w:numId w:val="44"/>
        </w:numPr>
        <w:ind w:hanging="357"/>
      </w:pPr>
      <w:r w:rsidRPr="00DF0560">
        <w:t>What happens to patients results if the ‘online form’ isn’t done?</w:t>
      </w:r>
    </w:p>
    <w:p w14:paraId="77F10B2E" w14:textId="77777777" w:rsidR="00CF18D1" w:rsidRPr="00DF0560" w:rsidRDefault="00CF18D1" w:rsidP="00C77532">
      <w:pPr>
        <w:pStyle w:val="NoSpacing"/>
        <w:keepLines/>
        <w:numPr>
          <w:ilvl w:val="0"/>
          <w:numId w:val="44"/>
        </w:numPr>
        <w:ind w:hanging="357"/>
      </w:pPr>
      <w:r w:rsidRPr="00DF0560">
        <w:t xml:space="preserve">Does the patient need to sign the form? </w:t>
      </w:r>
    </w:p>
    <w:p w14:paraId="7546D932" w14:textId="77777777" w:rsidR="00CF18D1" w:rsidRPr="00DF0560" w:rsidRDefault="00CF18D1" w:rsidP="00C77532">
      <w:pPr>
        <w:pStyle w:val="NoSpacing"/>
        <w:keepLines/>
        <w:numPr>
          <w:ilvl w:val="0"/>
          <w:numId w:val="44"/>
        </w:numPr>
        <w:ind w:hanging="357"/>
      </w:pPr>
      <w:r w:rsidRPr="00DF0560">
        <w:t>Does changing address trigger an update of their address and that of family members on the same card at Medicare?</w:t>
      </w:r>
    </w:p>
    <w:p w14:paraId="3A074C2D" w14:textId="77777777" w:rsidR="00CF18D1" w:rsidRPr="00DF0560" w:rsidRDefault="00CF18D1" w:rsidP="00C77532">
      <w:pPr>
        <w:pStyle w:val="NoSpacing"/>
        <w:keepLines/>
        <w:numPr>
          <w:ilvl w:val="0"/>
          <w:numId w:val="44"/>
        </w:numPr>
        <w:ind w:hanging="357"/>
      </w:pPr>
      <w:r w:rsidRPr="00DF0560">
        <w:t>What to do if the online form hasn’t been submitted?</w:t>
      </w:r>
    </w:p>
    <w:p w14:paraId="45021B4F" w14:textId="77777777" w:rsidR="00CF18D1" w:rsidRPr="00DF0560" w:rsidRDefault="00CF18D1" w:rsidP="00C77532">
      <w:pPr>
        <w:pStyle w:val="NoSpacing"/>
        <w:keepLines/>
        <w:numPr>
          <w:ilvl w:val="0"/>
          <w:numId w:val="44"/>
        </w:numPr>
        <w:ind w:hanging="357"/>
      </w:pPr>
      <w:r w:rsidRPr="00DF0560">
        <w:t>Online form didn’t email a copy, how can I receive a copy for patient tracking?</w:t>
      </w:r>
    </w:p>
    <w:p w14:paraId="7CDE920B" w14:textId="77777777" w:rsidR="00CF18D1" w:rsidRPr="00DF0560" w:rsidRDefault="00CF18D1" w:rsidP="00C77532">
      <w:pPr>
        <w:pStyle w:val="ListParagraph"/>
        <w:keepLines/>
        <w:numPr>
          <w:ilvl w:val="0"/>
          <w:numId w:val="40"/>
        </w:numPr>
        <w:spacing w:line="240" w:lineRule="auto"/>
        <w:ind w:hanging="357"/>
        <w:rPr>
          <w:lang w:eastAsia="en-AU"/>
        </w:rPr>
      </w:pPr>
      <w:r w:rsidRPr="00DF0560">
        <w:rPr>
          <w:lang w:eastAsia="en-AU"/>
        </w:rPr>
        <w:t>Questions about what happens after the Pilot:</w:t>
      </w:r>
    </w:p>
    <w:p w14:paraId="0195A2DE" w14:textId="17B960C2" w:rsidR="00CF18D1" w:rsidRDefault="00CF18D1" w:rsidP="00C77532">
      <w:pPr>
        <w:pStyle w:val="NoSpacing"/>
        <w:keepLines/>
        <w:numPr>
          <w:ilvl w:val="0"/>
          <w:numId w:val="45"/>
        </w:numPr>
        <w:ind w:hanging="357"/>
      </w:pPr>
      <w:r>
        <w:t>F</w:t>
      </w:r>
      <w:r w:rsidRPr="00DF0560">
        <w:t xml:space="preserve">or </w:t>
      </w:r>
      <w:r>
        <w:t>patients</w:t>
      </w:r>
      <w:r w:rsidRPr="00DF0560">
        <w:t xml:space="preserve"> who complete </w:t>
      </w:r>
      <w:r>
        <w:t>screening</w:t>
      </w:r>
      <w:r w:rsidRPr="00DF0560">
        <w:t xml:space="preserve"> after the end of October will their results go back to us </w:t>
      </w:r>
      <w:r w:rsidR="0038131A" w:rsidRPr="00DF0560">
        <w:t>and</w:t>
      </w:r>
      <w:r w:rsidRPr="00DF0560">
        <w:t xml:space="preserve"> to the NBCSP? </w:t>
      </w:r>
    </w:p>
    <w:p w14:paraId="5F8BCB40" w14:textId="5752118C" w:rsidR="00CF18D1" w:rsidRDefault="00CF18D1" w:rsidP="00C77532">
      <w:pPr>
        <w:pStyle w:val="NoSpacing"/>
        <w:keepLines/>
        <w:numPr>
          <w:ilvl w:val="0"/>
          <w:numId w:val="45"/>
        </w:numPr>
        <w:ind w:hanging="357"/>
      </w:pPr>
      <w:r w:rsidRPr="00DF0560">
        <w:t xml:space="preserve">For </w:t>
      </w:r>
      <w:r>
        <w:t>patients</w:t>
      </w:r>
      <w:r w:rsidRPr="00DF0560">
        <w:t xml:space="preserve"> we give kits to after 31 October</w:t>
      </w:r>
      <w:r>
        <w:t>:</w:t>
      </w:r>
      <w:r w:rsidRPr="00DF0560">
        <w:t xml:space="preserve"> </w:t>
      </w:r>
      <w:r>
        <w:t>D</w:t>
      </w:r>
      <w:r w:rsidRPr="00DF0560">
        <w:t xml:space="preserve">o we give them the Pilot form (Participant Details </w:t>
      </w:r>
      <w:r>
        <w:t>F</w:t>
      </w:r>
      <w:r w:rsidRPr="00DF0560">
        <w:t>orm, Part A and B) to complete or will there be an alternative form to use?</w:t>
      </w:r>
    </w:p>
    <w:p w14:paraId="110135DD" w14:textId="77777777" w:rsidR="00CF18D1" w:rsidRDefault="00CF18D1" w:rsidP="00CF18D1">
      <w:pPr>
        <w:rPr>
          <w:lang w:eastAsia="en-AU"/>
        </w:rPr>
      </w:pPr>
      <w:r>
        <w:rPr>
          <w:lang w:eastAsia="en-AU"/>
        </w:rPr>
        <w:t>Some</w:t>
      </w:r>
      <w:r w:rsidRPr="00CF5C72">
        <w:rPr>
          <w:lang w:eastAsia="en-AU"/>
        </w:rPr>
        <w:t xml:space="preserve"> health centres also </w:t>
      </w:r>
      <w:r>
        <w:rPr>
          <w:lang w:eastAsia="en-AU"/>
        </w:rPr>
        <w:t>requested</w:t>
      </w:r>
      <w:r w:rsidRPr="00CF5C72">
        <w:rPr>
          <w:lang w:eastAsia="en-AU"/>
        </w:rPr>
        <w:t xml:space="preserve"> their results from the Pilot i.e. number of kits given out</w:t>
      </w:r>
      <w:r>
        <w:rPr>
          <w:lang w:eastAsia="en-AU"/>
        </w:rPr>
        <w:t xml:space="preserve">, </w:t>
      </w:r>
      <w:r w:rsidRPr="00CF5C72">
        <w:rPr>
          <w:lang w:eastAsia="en-AU"/>
        </w:rPr>
        <w:t>number of patients who returned samples for testing</w:t>
      </w:r>
      <w:r>
        <w:rPr>
          <w:lang w:eastAsia="en-AU"/>
        </w:rPr>
        <w:t xml:space="preserve"> etc</w:t>
      </w:r>
      <w:r w:rsidRPr="00CF5C72">
        <w:rPr>
          <w:lang w:eastAsia="en-AU"/>
        </w:rPr>
        <w:t>.</w:t>
      </w:r>
      <w:r>
        <w:rPr>
          <w:lang w:eastAsia="en-AU"/>
        </w:rPr>
        <w:t xml:space="preserve"> While others</w:t>
      </w:r>
      <w:r w:rsidRPr="00CF5C72">
        <w:rPr>
          <w:lang w:eastAsia="en-AU"/>
        </w:rPr>
        <w:t xml:space="preserve"> provided feedback about the online Participant Details </w:t>
      </w:r>
      <w:r>
        <w:rPr>
          <w:lang w:eastAsia="en-AU"/>
        </w:rPr>
        <w:t>F</w:t>
      </w:r>
      <w:r w:rsidRPr="00CF5C72">
        <w:rPr>
          <w:lang w:eastAsia="en-AU"/>
        </w:rPr>
        <w:t xml:space="preserve">orm, </w:t>
      </w:r>
      <w:r>
        <w:rPr>
          <w:lang w:eastAsia="en-AU"/>
        </w:rPr>
        <w:t>saying</w:t>
      </w:r>
      <w:r w:rsidRPr="00CF5C72">
        <w:rPr>
          <w:lang w:eastAsia="en-AU"/>
        </w:rPr>
        <w:t xml:space="preserve"> transition to the NCSR provided an ideal opportunity to integrate the form with the clinical information system </w:t>
      </w:r>
      <w:proofErr w:type="spellStart"/>
      <w:r w:rsidRPr="00CF5C72">
        <w:rPr>
          <w:lang w:eastAsia="en-AU"/>
        </w:rPr>
        <w:t>Communicare</w:t>
      </w:r>
      <w:proofErr w:type="spellEnd"/>
      <w:r w:rsidRPr="00CF5C72">
        <w:rPr>
          <w:lang w:eastAsia="en-AU"/>
        </w:rPr>
        <w:t xml:space="preserve"> (owned by the same company developing the NCSR, Telstra Health). </w:t>
      </w:r>
    </w:p>
    <w:p w14:paraId="767C0A11" w14:textId="77777777" w:rsidR="00CF18D1" w:rsidRPr="00CF5C72" w:rsidRDefault="00CF18D1" w:rsidP="00CF18D1">
      <w:pPr>
        <w:rPr>
          <w:lang w:eastAsia="en-AU"/>
        </w:rPr>
      </w:pPr>
      <w:r w:rsidRPr="00CF5C72">
        <w:rPr>
          <w:lang w:eastAsia="en-AU"/>
        </w:rPr>
        <w:lastRenderedPageBreak/>
        <w:t>One health centre requested a copy of the P</w:t>
      </w:r>
      <w:r>
        <w:rPr>
          <w:lang w:eastAsia="en-AU"/>
        </w:rPr>
        <w:t>i</w:t>
      </w:r>
      <w:r w:rsidRPr="00CF5C72">
        <w:rPr>
          <w:lang w:eastAsia="en-AU"/>
        </w:rPr>
        <w:t>lot training presentation to deliver to a local community group.</w:t>
      </w:r>
    </w:p>
    <w:p w14:paraId="0F9B2384" w14:textId="77777777" w:rsidR="00CF18D1" w:rsidRPr="00CF5C72" w:rsidRDefault="00CF18D1" w:rsidP="00CF18D1">
      <w:pPr>
        <w:rPr>
          <w:lang w:eastAsia="en-AU"/>
        </w:rPr>
      </w:pPr>
      <w:r w:rsidRPr="00CF5C72">
        <w:rPr>
          <w:lang w:eastAsia="en-AU"/>
        </w:rPr>
        <w:t xml:space="preserve">Menzies has continued to provide an informal helpline </w:t>
      </w:r>
      <w:r>
        <w:rPr>
          <w:lang w:eastAsia="en-AU"/>
        </w:rPr>
        <w:t>to</w:t>
      </w:r>
      <w:r w:rsidRPr="00CF5C72">
        <w:rPr>
          <w:lang w:eastAsia="en-AU"/>
        </w:rPr>
        <w:t xml:space="preserve"> health centres </w:t>
      </w:r>
      <w:r>
        <w:rPr>
          <w:lang w:eastAsia="en-AU"/>
        </w:rPr>
        <w:t>still</w:t>
      </w:r>
      <w:r w:rsidRPr="00CF5C72">
        <w:rPr>
          <w:lang w:eastAsia="en-AU"/>
        </w:rPr>
        <w:t xml:space="preserve"> deliver</w:t>
      </w:r>
      <w:r>
        <w:rPr>
          <w:lang w:eastAsia="en-AU"/>
        </w:rPr>
        <w:t>ing</w:t>
      </w:r>
      <w:r w:rsidRPr="00CF5C72">
        <w:rPr>
          <w:lang w:eastAsia="en-AU"/>
        </w:rPr>
        <w:t xml:space="preserve"> the Alternative Pathway. </w:t>
      </w:r>
      <w:r>
        <w:rPr>
          <w:lang w:eastAsia="en-AU"/>
        </w:rPr>
        <w:t>O</w:t>
      </w:r>
      <w:r w:rsidRPr="00CF5C72">
        <w:rPr>
          <w:lang w:eastAsia="en-AU"/>
        </w:rPr>
        <w:t xml:space="preserve">ver this time </w:t>
      </w:r>
      <w:r>
        <w:rPr>
          <w:lang w:eastAsia="en-AU"/>
        </w:rPr>
        <w:t>a</w:t>
      </w:r>
      <w:r w:rsidRPr="00CF5C72">
        <w:rPr>
          <w:lang w:eastAsia="en-AU"/>
        </w:rPr>
        <w:t xml:space="preserve">pproximately 25 </w:t>
      </w:r>
      <w:r>
        <w:rPr>
          <w:lang w:eastAsia="en-AU"/>
        </w:rPr>
        <w:t>contacts have happened, focusing on</w:t>
      </w:r>
      <w:r w:rsidRPr="00CF5C72">
        <w:rPr>
          <w:lang w:eastAsia="en-AU"/>
        </w:rPr>
        <w:t>:</w:t>
      </w:r>
    </w:p>
    <w:p w14:paraId="4DAE43D0" w14:textId="2AC58D55" w:rsidR="00CF18D1" w:rsidRPr="00CF5C72" w:rsidRDefault="00CF18D1" w:rsidP="00C77532">
      <w:pPr>
        <w:pStyle w:val="NoSpacing"/>
        <w:numPr>
          <w:ilvl w:val="0"/>
          <w:numId w:val="46"/>
        </w:numPr>
      </w:pPr>
      <w:r w:rsidRPr="00CF5C72">
        <w:t xml:space="preserve">How to order NBCSP kits (including following up with </w:t>
      </w:r>
      <w:r w:rsidR="00C67CA1">
        <w:t>Sonic Healthcare</w:t>
      </w:r>
      <w:r w:rsidRPr="00CF5C72">
        <w:t xml:space="preserve"> regarding orders)</w:t>
      </w:r>
    </w:p>
    <w:p w14:paraId="316C59A1" w14:textId="77777777" w:rsidR="00CF18D1" w:rsidRPr="00CF5C72" w:rsidRDefault="00CF18D1" w:rsidP="00C77532">
      <w:pPr>
        <w:pStyle w:val="NoSpacing"/>
        <w:numPr>
          <w:ilvl w:val="0"/>
          <w:numId w:val="46"/>
        </w:numPr>
      </w:pPr>
      <w:r w:rsidRPr="00CF5C72">
        <w:t>Who to contact about patient results</w:t>
      </w:r>
      <w:r>
        <w:t>?</w:t>
      </w:r>
    </w:p>
    <w:p w14:paraId="24B751E0" w14:textId="77777777" w:rsidR="00CF18D1" w:rsidRPr="00CF5C72" w:rsidRDefault="00CF18D1" w:rsidP="00C77532">
      <w:pPr>
        <w:pStyle w:val="NoSpacing"/>
        <w:numPr>
          <w:ilvl w:val="0"/>
          <w:numId w:val="46"/>
        </w:numPr>
      </w:pPr>
      <w:r w:rsidRPr="00CF5C72">
        <w:t>Receiving an updated hard copy version of the Participant Details form</w:t>
      </w:r>
    </w:p>
    <w:p w14:paraId="27CCD6CB" w14:textId="77777777" w:rsidR="00CF18D1" w:rsidRPr="00CF5C72" w:rsidRDefault="00CF18D1" w:rsidP="00C77532">
      <w:pPr>
        <w:pStyle w:val="NoSpacing"/>
        <w:numPr>
          <w:ilvl w:val="0"/>
          <w:numId w:val="46"/>
        </w:numPr>
      </w:pPr>
      <w:r>
        <w:t>T</w:t>
      </w:r>
      <w:r w:rsidRPr="00CF5C72">
        <w:t>he process of providing</w:t>
      </w:r>
      <w:r>
        <w:t xml:space="preserve"> </w:t>
      </w:r>
      <w:r w:rsidRPr="00CF5C72">
        <w:t>kits to clients after the 15</w:t>
      </w:r>
      <w:r>
        <w:t xml:space="preserve"> November</w:t>
      </w:r>
      <w:r w:rsidRPr="00CF5C72">
        <w:t xml:space="preserve"> transition to the NCSR</w:t>
      </w:r>
    </w:p>
    <w:p w14:paraId="7858EA1B" w14:textId="77777777" w:rsidR="00CF18D1" w:rsidRPr="00CF5C72" w:rsidRDefault="00CF18D1" w:rsidP="00C77532">
      <w:pPr>
        <w:pStyle w:val="NoSpacing"/>
        <w:numPr>
          <w:ilvl w:val="0"/>
          <w:numId w:val="46"/>
        </w:numPr>
      </w:pPr>
      <w:r w:rsidRPr="00CF5C72">
        <w:t xml:space="preserve">Is the patient’s signature needed on the Participant Details </w:t>
      </w:r>
      <w:r>
        <w:t>F</w:t>
      </w:r>
      <w:r w:rsidRPr="00CF5C72">
        <w:t>orm?</w:t>
      </w:r>
    </w:p>
    <w:p w14:paraId="061A0F24" w14:textId="77777777" w:rsidR="00CF18D1" w:rsidRPr="00CF5C72" w:rsidRDefault="00CF18D1" w:rsidP="00C77532">
      <w:pPr>
        <w:pStyle w:val="NoSpacing"/>
        <w:numPr>
          <w:ilvl w:val="0"/>
          <w:numId w:val="46"/>
        </w:numPr>
      </w:pPr>
      <w:r w:rsidRPr="00CF5C72">
        <w:t>Do GPs have to complete and submit the online form?</w:t>
      </w:r>
    </w:p>
    <w:p w14:paraId="30C378F9" w14:textId="77777777" w:rsidR="00CF18D1" w:rsidRPr="00CF5C72" w:rsidRDefault="00CF18D1" w:rsidP="00C77532">
      <w:pPr>
        <w:pStyle w:val="NoSpacing"/>
        <w:numPr>
          <w:ilvl w:val="0"/>
          <w:numId w:val="46"/>
        </w:numPr>
      </w:pPr>
      <w:r w:rsidRPr="00CF5C72">
        <w:t xml:space="preserve">Request to update health </w:t>
      </w:r>
      <w:proofErr w:type="spellStart"/>
      <w:r w:rsidRPr="00CF5C72">
        <w:t>centre</w:t>
      </w:r>
      <w:proofErr w:type="spellEnd"/>
      <w:r w:rsidRPr="00CF5C72">
        <w:t xml:space="preserve"> contact information (auto</w:t>
      </w:r>
      <w:r>
        <w:t xml:space="preserve"> </w:t>
      </w:r>
      <w:r w:rsidRPr="00CF5C72">
        <w:t xml:space="preserve">filling in online Participant Details </w:t>
      </w:r>
      <w:r>
        <w:t>Form)</w:t>
      </w:r>
    </w:p>
    <w:p w14:paraId="5604B854" w14:textId="77777777" w:rsidR="00CF18D1" w:rsidRPr="00CF5C72" w:rsidRDefault="00CF18D1" w:rsidP="00C77532">
      <w:pPr>
        <w:pStyle w:val="NoSpacing"/>
        <w:numPr>
          <w:ilvl w:val="0"/>
          <w:numId w:val="46"/>
        </w:numPr>
      </w:pPr>
      <w:r w:rsidRPr="00CF5C72">
        <w:t>Inquiry about hot zone restrictions (for continuing the Alternative Pathway</w:t>
      </w:r>
      <w:r>
        <w:t>)</w:t>
      </w:r>
      <w:r w:rsidRPr="00CF5C72">
        <w:t xml:space="preserve"> </w:t>
      </w:r>
    </w:p>
    <w:p w14:paraId="0E20607C" w14:textId="77777777" w:rsidR="00CF18D1" w:rsidRPr="00CF5C72" w:rsidRDefault="00CF18D1" w:rsidP="00C77532">
      <w:pPr>
        <w:pStyle w:val="NoSpacing"/>
        <w:numPr>
          <w:ilvl w:val="0"/>
          <w:numId w:val="46"/>
        </w:numPr>
      </w:pPr>
      <w:r w:rsidRPr="00CF5C72">
        <w:t>Not receiving results</w:t>
      </w:r>
    </w:p>
    <w:p w14:paraId="3A0EBC1E" w14:textId="6F7BA47E" w:rsidR="00CF18D1" w:rsidRDefault="00CF18D1" w:rsidP="00C77532">
      <w:pPr>
        <w:pStyle w:val="NoSpacing"/>
        <w:numPr>
          <w:ilvl w:val="0"/>
          <w:numId w:val="46"/>
        </w:numPr>
      </w:pPr>
      <w:r w:rsidRPr="00CF5C72">
        <w:t xml:space="preserve">Password to access the online </w:t>
      </w:r>
      <w:r>
        <w:t>P</w:t>
      </w:r>
      <w:r w:rsidRPr="00CF5C72">
        <w:t xml:space="preserve">articipant </w:t>
      </w:r>
      <w:r>
        <w:t>D</w:t>
      </w:r>
      <w:r w:rsidRPr="00CF5C72">
        <w:t xml:space="preserve">etails </w:t>
      </w:r>
      <w:r>
        <w:t>F</w:t>
      </w:r>
      <w:r w:rsidRPr="00CF5C72">
        <w:t>orm</w:t>
      </w:r>
    </w:p>
    <w:p w14:paraId="62539EAB" w14:textId="77777777" w:rsidR="00CF18D1" w:rsidRPr="00CF5C72" w:rsidRDefault="00CF18D1" w:rsidP="00CF18D1">
      <w:pPr>
        <w:rPr>
          <w:lang w:eastAsia="en-AU"/>
        </w:rPr>
      </w:pPr>
      <w:r w:rsidRPr="00CF5C72">
        <w:rPr>
          <w:lang w:eastAsia="en-AU"/>
        </w:rPr>
        <w:t xml:space="preserve">In one instance, an inquiry was received from a nurse (unknown) to contact patient </w:t>
      </w:r>
      <w:r>
        <w:rPr>
          <w:lang w:eastAsia="en-AU"/>
        </w:rPr>
        <w:t xml:space="preserve">directly </w:t>
      </w:r>
      <w:r w:rsidRPr="00CF5C72">
        <w:rPr>
          <w:lang w:eastAsia="en-AU"/>
        </w:rPr>
        <w:t>regarding their inquiry about the expiration of the kit and when it had to be done.</w:t>
      </w:r>
    </w:p>
    <w:p w14:paraId="3CFAE2CF" w14:textId="0D64E399" w:rsidR="00BE18AD" w:rsidRDefault="00BE18AD">
      <w:pPr>
        <w:spacing w:before="0" w:after="0" w:line="240" w:lineRule="auto"/>
      </w:pPr>
    </w:p>
    <w:p w14:paraId="7FDBED1F" w14:textId="0F724AC1" w:rsidR="00CF18D1" w:rsidRPr="00A92A47" w:rsidRDefault="00CF18D1" w:rsidP="00070C12">
      <w:pPr>
        <w:pStyle w:val="Heading2"/>
      </w:pPr>
      <w:bookmarkStart w:id="179" w:name="_Toc44339213"/>
      <w:bookmarkStart w:id="180" w:name="_Toc45539262"/>
      <w:bookmarkStart w:id="181" w:name="_Toc54954849"/>
      <w:r>
        <w:t xml:space="preserve">6.3 </w:t>
      </w:r>
      <w:r w:rsidRPr="00A92A47">
        <w:t>Pre</w:t>
      </w:r>
      <w:r>
        <w:t>-</w:t>
      </w:r>
      <w:r w:rsidRPr="00A92A47">
        <w:t xml:space="preserve"> and post</w:t>
      </w:r>
      <w:r>
        <w:t>-</w:t>
      </w:r>
      <w:r w:rsidRPr="00A92A47">
        <w:t>training survey</w:t>
      </w:r>
      <w:bookmarkEnd w:id="179"/>
      <w:bookmarkEnd w:id="180"/>
      <w:bookmarkEnd w:id="181"/>
    </w:p>
    <w:p w14:paraId="3324BADE" w14:textId="77777777" w:rsidR="00CF18D1" w:rsidRPr="00A92A47" w:rsidRDefault="00CF18D1" w:rsidP="00CF18D1">
      <w:pPr>
        <w:spacing w:after="240" w:line="240" w:lineRule="auto"/>
        <w:rPr>
          <w:szCs w:val="22"/>
        </w:rPr>
      </w:pPr>
      <w:r w:rsidRPr="00A92A47">
        <w:rPr>
          <w:szCs w:val="22"/>
        </w:rPr>
        <w:t>A pre- and post-training survey was developed to assess the influence of training on staff views regarding offering bowel screening to their Indigenous patients. The survey was a Likert Scale questionnaire designed to measure the attitudes of participating health centre staff around three constructs:</w:t>
      </w:r>
    </w:p>
    <w:p w14:paraId="2321B330" w14:textId="77777777" w:rsidR="00CF18D1" w:rsidRPr="00A92A47" w:rsidRDefault="00CF18D1" w:rsidP="00402F9A">
      <w:pPr>
        <w:pStyle w:val="ListParagraph"/>
        <w:numPr>
          <w:ilvl w:val="0"/>
          <w:numId w:val="23"/>
        </w:numPr>
        <w:spacing w:before="0" w:after="240" w:line="240" w:lineRule="auto"/>
        <w:ind w:left="714" w:hanging="357"/>
        <w:contextualSpacing w:val="0"/>
        <w:rPr>
          <w:szCs w:val="22"/>
        </w:rPr>
      </w:pPr>
      <w:r w:rsidRPr="00A92A47">
        <w:rPr>
          <w:szCs w:val="22"/>
        </w:rPr>
        <w:t xml:space="preserve">Perceptions that staff had about their role in promoting bowel screening to their patients (perceived role), for example: </w:t>
      </w:r>
      <w:r w:rsidRPr="003C254F">
        <w:rPr>
          <w:szCs w:val="22"/>
        </w:rPr>
        <w:t>‘Providing patients with in</w:t>
      </w:r>
      <w:r>
        <w:rPr>
          <w:szCs w:val="22"/>
        </w:rPr>
        <w:t>form</w:t>
      </w:r>
      <w:r w:rsidRPr="003C254F">
        <w:rPr>
          <w:szCs w:val="22"/>
        </w:rPr>
        <w:t xml:space="preserve">ation about bowel screening is part of my role.’ </w:t>
      </w:r>
    </w:p>
    <w:p w14:paraId="5EE3F86D" w14:textId="77777777" w:rsidR="00CF18D1" w:rsidRPr="001C61CD" w:rsidRDefault="00CF18D1" w:rsidP="00402F9A">
      <w:pPr>
        <w:pStyle w:val="ListParagraph"/>
        <w:numPr>
          <w:ilvl w:val="0"/>
          <w:numId w:val="23"/>
        </w:numPr>
        <w:spacing w:before="0" w:after="240" w:line="240" w:lineRule="auto"/>
        <w:ind w:left="714" w:hanging="357"/>
        <w:contextualSpacing w:val="0"/>
        <w:rPr>
          <w:szCs w:val="22"/>
        </w:rPr>
      </w:pPr>
      <w:r w:rsidRPr="001C61CD">
        <w:rPr>
          <w:szCs w:val="22"/>
        </w:rPr>
        <w:t>Staff motivation to invite patients to screen (motivation):</w:t>
      </w:r>
      <w:r w:rsidRPr="003C254F">
        <w:rPr>
          <w:szCs w:val="22"/>
        </w:rPr>
        <w:t xml:space="preserve"> ‘There is little I can do to change a patient’s attitude towards bowel screening.’</w:t>
      </w:r>
    </w:p>
    <w:p w14:paraId="6ABE4C14" w14:textId="77777777" w:rsidR="00CF18D1" w:rsidRPr="003C254F" w:rsidRDefault="00CF18D1" w:rsidP="00402F9A">
      <w:pPr>
        <w:pStyle w:val="ListParagraph"/>
        <w:numPr>
          <w:ilvl w:val="0"/>
          <w:numId w:val="23"/>
        </w:numPr>
        <w:spacing w:before="0" w:after="240" w:line="240" w:lineRule="auto"/>
        <w:ind w:left="714" w:hanging="357"/>
        <w:contextualSpacing w:val="0"/>
        <w:rPr>
          <w:szCs w:val="22"/>
        </w:rPr>
      </w:pPr>
      <w:r w:rsidRPr="001C61CD">
        <w:rPr>
          <w:szCs w:val="22"/>
        </w:rPr>
        <w:t xml:space="preserve">Staff confidence to engage Indigenous patients in conversations about bowel screening (confidence): </w:t>
      </w:r>
      <w:r w:rsidRPr="003C254F">
        <w:rPr>
          <w:szCs w:val="22"/>
        </w:rPr>
        <w:t>‘I am confident I can encourage Indigenous patients to do a bowel screening test.’</w:t>
      </w:r>
    </w:p>
    <w:p w14:paraId="21799D58" w14:textId="7769D9A7" w:rsidR="00CF18D1" w:rsidRPr="00A92A47" w:rsidRDefault="003149F5" w:rsidP="00CF18D1">
      <w:pPr>
        <w:spacing w:before="0" w:after="0" w:line="240" w:lineRule="auto"/>
        <w:rPr>
          <w:color w:val="FF0000"/>
          <w:szCs w:val="22"/>
        </w:rPr>
      </w:pPr>
      <w:r>
        <w:rPr>
          <w:szCs w:val="22"/>
        </w:rPr>
        <w:t>For details about the development of the questionnaire and methods of the</w:t>
      </w:r>
      <w:r w:rsidR="00552061">
        <w:rPr>
          <w:szCs w:val="22"/>
        </w:rPr>
        <w:t xml:space="preserve"> survey, see Appendix </w:t>
      </w:r>
      <w:r w:rsidR="00710F1B">
        <w:rPr>
          <w:szCs w:val="22"/>
        </w:rPr>
        <w:t xml:space="preserve">E. </w:t>
      </w:r>
      <w:r w:rsidR="00CF18D1" w:rsidRPr="001C61CD">
        <w:rPr>
          <w:szCs w:val="22"/>
        </w:rPr>
        <w:t xml:space="preserve">Each construct was explored through multiple positive and negative statements that were presented randomly throughout the questionnaire. Staff were asked to rate each statement as it applied to their own perception. </w:t>
      </w:r>
    </w:p>
    <w:p w14:paraId="5195F908" w14:textId="77777777" w:rsidR="00CF18D1" w:rsidRPr="00A92A47" w:rsidRDefault="00CF18D1" w:rsidP="00CF18D1">
      <w:pPr>
        <w:spacing w:before="0" w:after="0" w:line="240" w:lineRule="auto"/>
        <w:rPr>
          <w:color w:val="FF0000"/>
          <w:szCs w:val="22"/>
        </w:rPr>
      </w:pPr>
    </w:p>
    <w:p w14:paraId="017F8D5D" w14:textId="77777777" w:rsidR="00CF18D1" w:rsidRPr="001C61CD" w:rsidRDefault="00CF18D1" w:rsidP="00CF18D1">
      <w:pPr>
        <w:spacing w:before="0" w:after="0" w:line="240" w:lineRule="auto"/>
        <w:rPr>
          <w:szCs w:val="22"/>
        </w:rPr>
      </w:pPr>
      <w:r w:rsidRPr="00A92A47">
        <w:rPr>
          <w:szCs w:val="22"/>
        </w:rPr>
        <w:t>Health centre staff were not required to complete the survey to take part in either mode of training. Completing the questionnaire was voluntary and presented only to staff who accepted the invitation</w:t>
      </w:r>
      <w:r w:rsidRPr="001C61CD">
        <w:rPr>
          <w:szCs w:val="22"/>
        </w:rPr>
        <w:t xml:space="preserve"> to participate in the research. </w:t>
      </w:r>
    </w:p>
    <w:p w14:paraId="155EDA04" w14:textId="77777777" w:rsidR="00CF18D1" w:rsidRPr="001C61CD" w:rsidRDefault="00CF18D1" w:rsidP="00CF18D1">
      <w:pPr>
        <w:spacing w:before="0" w:after="0" w:line="240" w:lineRule="auto"/>
        <w:rPr>
          <w:color w:val="FF0000"/>
          <w:szCs w:val="22"/>
          <w:highlight w:val="yellow"/>
        </w:rPr>
      </w:pPr>
    </w:p>
    <w:p w14:paraId="72DE8BE4" w14:textId="3DC1BE3B" w:rsidR="00CF18D1" w:rsidRPr="001C61CD" w:rsidRDefault="00CF18D1" w:rsidP="00CF18D1">
      <w:pPr>
        <w:spacing w:before="0" w:after="0" w:line="240" w:lineRule="auto"/>
        <w:rPr>
          <w:szCs w:val="22"/>
        </w:rPr>
      </w:pPr>
      <w:r w:rsidRPr="002C477A">
        <w:rPr>
          <w:szCs w:val="22"/>
        </w:rPr>
        <w:t xml:space="preserve">Figure </w:t>
      </w:r>
      <w:r>
        <w:rPr>
          <w:szCs w:val="22"/>
        </w:rPr>
        <w:t>6</w:t>
      </w:r>
      <w:r w:rsidRPr="002C477A">
        <w:rPr>
          <w:szCs w:val="22"/>
        </w:rPr>
        <w:t>.</w:t>
      </w:r>
      <w:r w:rsidR="0038131A">
        <w:rPr>
          <w:szCs w:val="22"/>
        </w:rPr>
        <w:t>2</w:t>
      </w:r>
      <w:r w:rsidRPr="002C477A">
        <w:rPr>
          <w:szCs w:val="22"/>
        </w:rPr>
        <w:t xml:space="preserve"> </w:t>
      </w:r>
      <w:r w:rsidRPr="00E17DAA">
        <w:rPr>
          <w:szCs w:val="22"/>
        </w:rPr>
        <w:t xml:space="preserve">shows </w:t>
      </w:r>
      <w:r w:rsidRPr="001C61CD">
        <w:rPr>
          <w:szCs w:val="22"/>
        </w:rPr>
        <w:t>the numbers of those who undertook training, consented to take part in research, and completed both questionnaires.</w:t>
      </w:r>
    </w:p>
    <w:p w14:paraId="5EA99742" w14:textId="34498773" w:rsidR="00CF18D1" w:rsidRDefault="00CF18D1" w:rsidP="00CF18D1">
      <w:pPr>
        <w:spacing w:before="0" w:after="0" w:line="240" w:lineRule="auto"/>
        <w:rPr>
          <w:b/>
          <w:bCs/>
        </w:rPr>
      </w:pPr>
      <w:r>
        <w:rPr>
          <w:noProof/>
          <w:lang w:eastAsia="en-AU"/>
        </w:rPr>
        <w:lastRenderedPageBreak/>
        <w:drawing>
          <wp:inline distT="0" distB="0" distL="0" distR="0" wp14:anchorId="134E63BB" wp14:editId="70745C63">
            <wp:extent cx="5509260" cy="4134678"/>
            <wp:effectExtent l="0" t="0" r="0" b="18415"/>
            <wp:docPr id="29" name="Diagram 29" descr="Flowchart showing breakdown of training participants, how many were online and face-to-face, and how many completed questionnair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B1CB717" w14:textId="7F13C3C0" w:rsidR="00CF18D1" w:rsidRDefault="00CF18D1" w:rsidP="00CF18D1">
      <w:pPr>
        <w:spacing w:before="0" w:after="0" w:line="240" w:lineRule="auto"/>
        <w:rPr>
          <w:b/>
          <w:bCs/>
        </w:rPr>
      </w:pPr>
    </w:p>
    <w:p w14:paraId="07A8A75B" w14:textId="4213CFE7" w:rsidR="00CF18D1" w:rsidRPr="002C477A" w:rsidRDefault="00CF18D1" w:rsidP="00CF18D1">
      <w:pPr>
        <w:rPr>
          <w:b/>
          <w:bCs/>
          <w:sz w:val="20"/>
          <w:szCs w:val="20"/>
        </w:rPr>
      </w:pPr>
      <w:r w:rsidRPr="002C477A">
        <w:rPr>
          <w:b/>
          <w:bCs/>
          <w:sz w:val="20"/>
          <w:szCs w:val="20"/>
        </w:rPr>
        <w:t xml:space="preserve">Figure </w:t>
      </w:r>
      <w:r>
        <w:rPr>
          <w:b/>
          <w:bCs/>
          <w:sz w:val="20"/>
          <w:szCs w:val="20"/>
        </w:rPr>
        <w:t>6</w:t>
      </w:r>
      <w:r w:rsidRPr="002C477A">
        <w:rPr>
          <w:b/>
          <w:bCs/>
          <w:sz w:val="20"/>
          <w:szCs w:val="20"/>
        </w:rPr>
        <w:t>.</w:t>
      </w:r>
      <w:r w:rsidR="0038131A">
        <w:rPr>
          <w:b/>
          <w:bCs/>
          <w:sz w:val="20"/>
          <w:szCs w:val="20"/>
        </w:rPr>
        <w:t>2</w:t>
      </w:r>
      <w:r w:rsidR="001660B9">
        <w:rPr>
          <w:b/>
          <w:bCs/>
          <w:sz w:val="20"/>
          <w:szCs w:val="20"/>
        </w:rPr>
        <w:t>:</w:t>
      </w:r>
      <w:r w:rsidRPr="002C477A">
        <w:rPr>
          <w:b/>
          <w:bCs/>
          <w:sz w:val="20"/>
          <w:szCs w:val="20"/>
        </w:rPr>
        <w:t xml:space="preserve"> Health centre staff who participated in training and completed questionnaires</w:t>
      </w:r>
    </w:p>
    <w:p w14:paraId="6C28F1CC" w14:textId="77777777" w:rsidR="00CF18D1" w:rsidRDefault="00CF18D1" w:rsidP="00CF18D1">
      <w:pPr>
        <w:spacing w:before="0" w:after="0" w:line="240" w:lineRule="auto"/>
        <w:rPr>
          <w:b/>
          <w:bCs/>
        </w:rPr>
      </w:pPr>
    </w:p>
    <w:p w14:paraId="480DEB1E" w14:textId="77777777" w:rsidR="00380F67" w:rsidRDefault="00CF18D1" w:rsidP="00CF18D1">
      <w:pPr>
        <w:rPr>
          <w:szCs w:val="22"/>
        </w:rPr>
      </w:pPr>
      <w:r w:rsidRPr="00A92A47">
        <w:rPr>
          <w:szCs w:val="22"/>
        </w:rPr>
        <w:t>Implementation materials provided to health centres encouraged use of the online</w:t>
      </w:r>
      <w:r w:rsidRPr="00A92A47">
        <w:rPr>
          <w:i/>
          <w:iCs/>
          <w:szCs w:val="22"/>
        </w:rPr>
        <w:t xml:space="preserve"> </w:t>
      </w:r>
      <w:r w:rsidRPr="00A92A47">
        <w:rPr>
          <w:szCs w:val="22"/>
        </w:rPr>
        <w:t xml:space="preserve">training module with small groups, and some health centres took up this mode of delivery, including some centres who were flagged as receiving face-to-face training. </w:t>
      </w:r>
      <w:r>
        <w:rPr>
          <w:szCs w:val="22"/>
        </w:rPr>
        <w:t xml:space="preserve"> </w:t>
      </w:r>
    </w:p>
    <w:p w14:paraId="51A59607" w14:textId="58795F49" w:rsidR="00677823" w:rsidRDefault="00677823">
      <w:pPr>
        <w:spacing w:before="0" w:after="0" w:line="240" w:lineRule="auto"/>
        <w:rPr>
          <w:szCs w:val="22"/>
        </w:rPr>
      </w:pPr>
      <w:r>
        <w:rPr>
          <w:szCs w:val="22"/>
        </w:rPr>
        <w:br w:type="page"/>
      </w:r>
    </w:p>
    <w:p w14:paraId="777E80C4" w14:textId="2E096A19" w:rsidR="00CF18D1" w:rsidRPr="002C477A" w:rsidRDefault="00CF18D1" w:rsidP="00CF18D1">
      <w:pPr>
        <w:keepLines/>
        <w:spacing w:line="240" w:lineRule="auto"/>
        <w:rPr>
          <w:b/>
          <w:bCs/>
          <w:sz w:val="20"/>
          <w:szCs w:val="20"/>
        </w:rPr>
      </w:pPr>
      <w:r w:rsidRPr="002C477A">
        <w:rPr>
          <w:b/>
          <w:bCs/>
          <w:noProof/>
          <w:sz w:val="20"/>
          <w:szCs w:val="20"/>
        </w:rPr>
        <w:lastRenderedPageBreak/>
        <w:t xml:space="preserve">Table </w:t>
      </w:r>
      <w:r>
        <w:rPr>
          <w:b/>
          <w:bCs/>
          <w:noProof/>
          <w:sz w:val="20"/>
          <w:szCs w:val="20"/>
        </w:rPr>
        <w:t>6</w:t>
      </w:r>
      <w:r w:rsidRPr="002C477A">
        <w:rPr>
          <w:b/>
          <w:bCs/>
          <w:noProof/>
          <w:sz w:val="20"/>
          <w:szCs w:val="20"/>
        </w:rPr>
        <w:t>.</w:t>
      </w:r>
      <w:r w:rsidR="00710F1B">
        <w:rPr>
          <w:b/>
          <w:bCs/>
          <w:noProof/>
          <w:sz w:val="20"/>
          <w:szCs w:val="20"/>
        </w:rPr>
        <w:t>3</w:t>
      </w:r>
      <w:r w:rsidR="0038131A">
        <w:rPr>
          <w:b/>
          <w:bCs/>
          <w:noProof/>
          <w:sz w:val="20"/>
          <w:szCs w:val="20"/>
        </w:rPr>
        <w:t>:</w:t>
      </w:r>
      <w:r w:rsidRPr="002C477A">
        <w:rPr>
          <w:b/>
          <w:bCs/>
          <w:noProof/>
          <w:sz w:val="20"/>
          <w:szCs w:val="20"/>
        </w:rPr>
        <w:t xml:space="preserve"> Participants who completed the pre- and post-training questionnaires</w:t>
      </w:r>
    </w:p>
    <w:tbl>
      <w:tblPr>
        <w:tblW w:w="0" w:type="auto"/>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94"/>
        <w:gridCol w:w="1474"/>
        <w:gridCol w:w="1616"/>
        <w:gridCol w:w="1616"/>
        <w:gridCol w:w="1616"/>
      </w:tblGrid>
      <w:tr w:rsidR="00CF18D1" w14:paraId="66986617" w14:textId="77777777" w:rsidTr="00CF18D1">
        <w:tc>
          <w:tcPr>
            <w:tcW w:w="2694" w:type="dxa"/>
            <w:tcBorders>
              <w:bottom w:val="nil"/>
              <w:right w:val="nil"/>
            </w:tcBorders>
          </w:tcPr>
          <w:p w14:paraId="4B1EE2ED" w14:textId="77777777" w:rsidR="00CF18D1" w:rsidRDefault="00CF18D1" w:rsidP="00CF18D1">
            <w:pPr>
              <w:keepLines/>
              <w:spacing w:before="0" w:after="0" w:line="240" w:lineRule="auto"/>
              <w:rPr>
                <w:noProof/>
              </w:rPr>
            </w:pPr>
          </w:p>
        </w:tc>
        <w:tc>
          <w:tcPr>
            <w:tcW w:w="3090" w:type="dxa"/>
            <w:gridSpan w:val="2"/>
            <w:tcBorders>
              <w:left w:val="nil"/>
              <w:bottom w:val="nil"/>
              <w:right w:val="nil"/>
            </w:tcBorders>
          </w:tcPr>
          <w:p w14:paraId="7AF48485" w14:textId="77777777" w:rsidR="00CF18D1" w:rsidRPr="0089478F" w:rsidRDefault="00CF18D1" w:rsidP="00CF18D1">
            <w:pPr>
              <w:keepLines/>
              <w:spacing w:before="0" w:after="0" w:line="240" w:lineRule="auto"/>
              <w:rPr>
                <w:b/>
                <w:bCs/>
                <w:noProof/>
                <w:sz w:val="20"/>
                <w:szCs w:val="21"/>
              </w:rPr>
            </w:pPr>
            <w:r w:rsidRPr="0089478F">
              <w:rPr>
                <w:b/>
                <w:bCs/>
                <w:noProof/>
                <w:sz w:val="20"/>
                <w:szCs w:val="21"/>
              </w:rPr>
              <w:t>Online training (n = 57)</w:t>
            </w:r>
          </w:p>
        </w:tc>
        <w:tc>
          <w:tcPr>
            <w:tcW w:w="3232" w:type="dxa"/>
            <w:gridSpan w:val="2"/>
            <w:tcBorders>
              <w:left w:val="nil"/>
              <w:bottom w:val="nil"/>
            </w:tcBorders>
          </w:tcPr>
          <w:p w14:paraId="118CEE23" w14:textId="77777777" w:rsidR="00CF18D1" w:rsidRPr="0089478F" w:rsidRDefault="00CF18D1" w:rsidP="00CF18D1">
            <w:pPr>
              <w:keepLines/>
              <w:spacing w:before="0" w:after="0" w:line="240" w:lineRule="auto"/>
              <w:rPr>
                <w:b/>
                <w:bCs/>
                <w:noProof/>
                <w:sz w:val="20"/>
                <w:szCs w:val="21"/>
              </w:rPr>
            </w:pPr>
            <w:r w:rsidRPr="0089478F">
              <w:rPr>
                <w:b/>
                <w:bCs/>
                <w:noProof/>
                <w:sz w:val="20"/>
                <w:szCs w:val="21"/>
              </w:rPr>
              <w:t>Face-to-face training (n = 139)</w:t>
            </w:r>
          </w:p>
        </w:tc>
      </w:tr>
      <w:tr w:rsidR="00CF18D1" w14:paraId="3FD950E9" w14:textId="77777777" w:rsidTr="00CF18D1">
        <w:tc>
          <w:tcPr>
            <w:tcW w:w="2694" w:type="dxa"/>
            <w:tcBorders>
              <w:top w:val="nil"/>
              <w:bottom w:val="single" w:sz="4" w:space="0" w:color="000000" w:themeColor="text1"/>
              <w:right w:val="nil"/>
            </w:tcBorders>
          </w:tcPr>
          <w:p w14:paraId="7F917517" w14:textId="77777777" w:rsidR="00CF18D1" w:rsidRDefault="00CF18D1" w:rsidP="00CF18D1">
            <w:pPr>
              <w:keepLines/>
              <w:spacing w:before="0" w:after="0" w:line="240" w:lineRule="auto"/>
              <w:rPr>
                <w:noProof/>
              </w:rPr>
            </w:pPr>
          </w:p>
        </w:tc>
        <w:tc>
          <w:tcPr>
            <w:tcW w:w="1474" w:type="dxa"/>
            <w:tcBorders>
              <w:top w:val="nil"/>
              <w:left w:val="nil"/>
              <w:bottom w:val="single" w:sz="4" w:space="0" w:color="000000" w:themeColor="text1"/>
              <w:right w:val="nil"/>
            </w:tcBorders>
          </w:tcPr>
          <w:p w14:paraId="0A45F369" w14:textId="77777777" w:rsidR="00CF18D1" w:rsidRPr="00D90D2F" w:rsidRDefault="00CF18D1" w:rsidP="00CF18D1">
            <w:pPr>
              <w:keepLines/>
              <w:spacing w:before="0" w:after="0" w:line="240" w:lineRule="auto"/>
              <w:rPr>
                <w:b/>
                <w:bCs/>
                <w:noProof/>
              </w:rPr>
            </w:pPr>
            <w:r w:rsidRPr="00D90D2F">
              <w:rPr>
                <w:b/>
                <w:bCs/>
                <w:noProof/>
              </w:rPr>
              <w:t xml:space="preserve">n </w:t>
            </w:r>
          </w:p>
        </w:tc>
        <w:tc>
          <w:tcPr>
            <w:tcW w:w="1616" w:type="dxa"/>
            <w:tcBorders>
              <w:top w:val="nil"/>
              <w:left w:val="nil"/>
              <w:bottom w:val="single" w:sz="4" w:space="0" w:color="000000" w:themeColor="text1"/>
              <w:right w:val="nil"/>
            </w:tcBorders>
          </w:tcPr>
          <w:p w14:paraId="3897C6F5" w14:textId="77777777" w:rsidR="00CF18D1" w:rsidRPr="00D90D2F" w:rsidRDefault="00CF18D1" w:rsidP="00CF18D1">
            <w:pPr>
              <w:keepLines/>
              <w:spacing w:before="0" w:after="0" w:line="240" w:lineRule="auto"/>
              <w:rPr>
                <w:b/>
                <w:bCs/>
                <w:noProof/>
              </w:rPr>
            </w:pPr>
            <w:r w:rsidRPr="00D90D2F">
              <w:rPr>
                <w:b/>
                <w:bCs/>
                <w:noProof/>
              </w:rPr>
              <w:t>%</w:t>
            </w:r>
            <w:r>
              <w:rPr>
                <w:noProof/>
                <w:vertAlign w:val="superscript"/>
              </w:rPr>
              <w:t xml:space="preserve"> c</w:t>
            </w:r>
          </w:p>
        </w:tc>
        <w:tc>
          <w:tcPr>
            <w:tcW w:w="1616" w:type="dxa"/>
            <w:tcBorders>
              <w:top w:val="nil"/>
              <w:left w:val="nil"/>
              <w:bottom w:val="single" w:sz="4" w:space="0" w:color="000000" w:themeColor="text1"/>
              <w:right w:val="nil"/>
            </w:tcBorders>
          </w:tcPr>
          <w:p w14:paraId="31B8673E" w14:textId="77777777" w:rsidR="00CF18D1" w:rsidRPr="00D90D2F" w:rsidRDefault="00CF18D1" w:rsidP="00CF18D1">
            <w:pPr>
              <w:keepLines/>
              <w:spacing w:before="0" w:after="0" w:line="240" w:lineRule="auto"/>
              <w:rPr>
                <w:b/>
                <w:bCs/>
                <w:noProof/>
              </w:rPr>
            </w:pPr>
            <w:r w:rsidRPr="00D90D2F">
              <w:rPr>
                <w:b/>
                <w:bCs/>
                <w:noProof/>
              </w:rPr>
              <w:t xml:space="preserve">n </w:t>
            </w:r>
          </w:p>
        </w:tc>
        <w:tc>
          <w:tcPr>
            <w:tcW w:w="1616" w:type="dxa"/>
            <w:tcBorders>
              <w:top w:val="nil"/>
              <w:left w:val="nil"/>
              <w:bottom w:val="single" w:sz="4" w:space="0" w:color="000000" w:themeColor="text1"/>
            </w:tcBorders>
          </w:tcPr>
          <w:p w14:paraId="0A5D7EE2" w14:textId="77777777" w:rsidR="00CF18D1" w:rsidRPr="00D90D2F" w:rsidRDefault="00CF18D1" w:rsidP="00CF18D1">
            <w:pPr>
              <w:keepLines/>
              <w:spacing w:before="0" w:after="0" w:line="240" w:lineRule="auto"/>
              <w:rPr>
                <w:b/>
                <w:bCs/>
                <w:noProof/>
              </w:rPr>
            </w:pPr>
            <w:r w:rsidRPr="00D90D2F">
              <w:rPr>
                <w:b/>
                <w:bCs/>
                <w:noProof/>
              </w:rPr>
              <w:t>%</w:t>
            </w:r>
            <w:r>
              <w:rPr>
                <w:noProof/>
                <w:vertAlign w:val="superscript"/>
              </w:rPr>
              <w:t xml:space="preserve"> c</w:t>
            </w:r>
          </w:p>
        </w:tc>
      </w:tr>
      <w:tr w:rsidR="00CF18D1" w14:paraId="24E207F5" w14:textId="77777777" w:rsidTr="00CF18D1">
        <w:tc>
          <w:tcPr>
            <w:tcW w:w="2694" w:type="dxa"/>
            <w:tcBorders>
              <w:bottom w:val="nil"/>
              <w:right w:val="nil"/>
            </w:tcBorders>
          </w:tcPr>
          <w:p w14:paraId="0F01C5F3" w14:textId="77777777" w:rsidR="00CF18D1" w:rsidRPr="00A92A47" w:rsidRDefault="00CF18D1" w:rsidP="00CF18D1">
            <w:pPr>
              <w:keepLines/>
              <w:spacing w:before="0" w:after="0" w:line="240" w:lineRule="auto"/>
              <w:rPr>
                <w:b/>
                <w:bCs/>
                <w:noProof/>
                <w:sz w:val="20"/>
                <w:szCs w:val="20"/>
              </w:rPr>
            </w:pPr>
            <w:r w:rsidRPr="00A92A47">
              <w:rPr>
                <w:b/>
                <w:bCs/>
                <w:noProof/>
                <w:sz w:val="20"/>
                <w:szCs w:val="20"/>
              </w:rPr>
              <w:t>Gender</w:t>
            </w:r>
          </w:p>
        </w:tc>
        <w:tc>
          <w:tcPr>
            <w:tcW w:w="1474" w:type="dxa"/>
            <w:tcBorders>
              <w:left w:val="nil"/>
              <w:bottom w:val="nil"/>
              <w:right w:val="nil"/>
            </w:tcBorders>
          </w:tcPr>
          <w:p w14:paraId="5213C3CF" w14:textId="77777777" w:rsidR="00CF18D1" w:rsidRPr="00A92A47" w:rsidRDefault="00CF18D1" w:rsidP="00CF18D1">
            <w:pPr>
              <w:keepLines/>
              <w:spacing w:before="0" w:after="0" w:line="240" w:lineRule="auto"/>
              <w:rPr>
                <w:noProof/>
                <w:sz w:val="20"/>
                <w:szCs w:val="20"/>
              </w:rPr>
            </w:pPr>
          </w:p>
        </w:tc>
        <w:tc>
          <w:tcPr>
            <w:tcW w:w="1616" w:type="dxa"/>
            <w:tcBorders>
              <w:left w:val="nil"/>
              <w:bottom w:val="nil"/>
              <w:right w:val="nil"/>
            </w:tcBorders>
          </w:tcPr>
          <w:p w14:paraId="5B4BAF71" w14:textId="77777777" w:rsidR="00CF18D1" w:rsidRPr="00A92A47" w:rsidRDefault="00CF18D1" w:rsidP="00CF18D1">
            <w:pPr>
              <w:keepLines/>
              <w:spacing w:before="0" w:after="0" w:line="240" w:lineRule="auto"/>
              <w:rPr>
                <w:noProof/>
                <w:sz w:val="20"/>
                <w:szCs w:val="20"/>
              </w:rPr>
            </w:pPr>
          </w:p>
        </w:tc>
        <w:tc>
          <w:tcPr>
            <w:tcW w:w="1616" w:type="dxa"/>
            <w:tcBorders>
              <w:left w:val="nil"/>
              <w:bottom w:val="nil"/>
              <w:right w:val="nil"/>
            </w:tcBorders>
          </w:tcPr>
          <w:p w14:paraId="01967AB1" w14:textId="77777777" w:rsidR="00CF18D1" w:rsidRPr="00A92A47" w:rsidRDefault="00CF18D1" w:rsidP="00CF18D1">
            <w:pPr>
              <w:keepLines/>
              <w:spacing w:before="0" w:after="0" w:line="240" w:lineRule="auto"/>
              <w:rPr>
                <w:noProof/>
                <w:sz w:val="20"/>
                <w:szCs w:val="20"/>
              </w:rPr>
            </w:pPr>
          </w:p>
        </w:tc>
        <w:tc>
          <w:tcPr>
            <w:tcW w:w="1616" w:type="dxa"/>
            <w:tcBorders>
              <w:left w:val="nil"/>
              <w:bottom w:val="nil"/>
            </w:tcBorders>
          </w:tcPr>
          <w:p w14:paraId="04ED765A" w14:textId="77777777" w:rsidR="00CF18D1" w:rsidRPr="00A92A47" w:rsidRDefault="00CF18D1" w:rsidP="00CF18D1">
            <w:pPr>
              <w:keepLines/>
              <w:spacing w:before="0" w:after="0" w:line="240" w:lineRule="auto"/>
              <w:rPr>
                <w:noProof/>
                <w:sz w:val="20"/>
                <w:szCs w:val="20"/>
              </w:rPr>
            </w:pPr>
          </w:p>
        </w:tc>
      </w:tr>
      <w:tr w:rsidR="00CF18D1" w14:paraId="314163FC" w14:textId="77777777" w:rsidTr="00CF18D1">
        <w:tc>
          <w:tcPr>
            <w:tcW w:w="2694" w:type="dxa"/>
            <w:tcBorders>
              <w:top w:val="nil"/>
              <w:bottom w:val="nil"/>
              <w:right w:val="nil"/>
            </w:tcBorders>
          </w:tcPr>
          <w:p w14:paraId="0E57F5E4"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Male</w:t>
            </w:r>
          </w:p>
        </w:tc>
        <w:tc>
          <w:tcPr>
            <w:tcW w:w="1474" w:type="dxa"/>
            <w:tcBorders>
              <w:top w:val="nil"/>
              <w:left w:val="nil"/>
              <w:bottom w:val="nil"/>
              <w:right w:val="nil"/>
            </w:tcBorders>
          </w:tcPr>
          <w:p w14:paraId="5F80E2A3" w14:textId="77777777" w:rsidR="00CF18D1" w:rsidRPr="00A92A47" w:rsidRDefault="00CF18D1" w:rsidP="00CF18D1">
            <w:pPr>
              <w:keepLines/>
              <w:spacing w:before="0" w:after="0" w:line="240" w:lineRule="auto"/>
              <w:rPr>
                <w:noProof/>
                <w:sz w:val="20"/>
                <w:szCs w:val="20"/>
              </w:rPr>
            </w:pPr>
            <w:r>
              <w:rPr>
                <w:noProof/>
                <w:sz w:val="20"/>
                <w:szCs w:val="20"/>
              </w:rPr>
              <w:t>9</w:t>
            </w:r>
          </w:p>
        </w:tc>
        <w:tc>
          <w:tcPr>
            <w:tcW w:w="1616" w:type="dxa"/>
            <w:tcBorders>
              <w:top w:val="nil"/>
              <w:left w:val="nil"/>
              <w:bottom w:val="nil"/>
              <w:right w:val="nil"/>
            </w:tcBorders>
          </w:tcPr>
          <w:p w14:paraId="6E836F40" w14:textId="77777777" w:rsidR="00CF18D1" w:rsidRPr="00A92A47" w:rsidRDefault="00CF18D1" w:rsidP="00CF18D1">
            <w:pPr>
              <w:keepLines/>
              <w:spacing w:before="0" w:after="0" w:line="240" w:lineRule="auto"/>
              <w:rPr>
                <w:noProof/>
                <w:sz w:val="20"/>
                <w:szCs w:val="20"/>
              </w:rPr>
            </w:pPr>
            <w:r>
              <w:rPr>
                <w:noProof/>
                <w:sz w:val="20"/>
                <w:szCs w:val="20"/>
              </w:rPr>
              <w:t>16</w:t>
            </w:r>
          </w:p>
        </w:tc>
        <w:tc>
          <w:tcPr>
            <w:tcW w:w="1616" w:type="dxa"/>
            <w:tcBorders>
              <w:top w:val="nil"/>
              <w:left w:val="nil"/>
              <w:bottom w:val="nil"/>
              <w:right w:val="nil"/>
            </w:tcBorders>
          </w:tcPr>
          <w:p w14:paraId="434FDF4A" w14:textId="77777777" w:rsidR="00CF18D1" w:rsidRPr="00A92A47" w:rsidRDefault="00CF18D1" w:rsidP="00CF18D1">
            <w:pPr>
              <w:keepLines/>
              <w:spacing w:before="0" w:after="0" w:line="240" w:lineRule="auto"/>
              <w:rPr>
                <w:noProof/>
                <w:sz w:val="20"/>
                <w:szCs w:val="20"/>
              </w:rPr>
            </w:pPr>
            <w:r w:rsidRPr="00A92A47">
              <w:rPr>
                <w:noProof/>
                <w:sz w:val="20"/>
                <w:szCs w:val="20"/>
              </w:rPr>
              <w:t>30</w:t>
            </w:r>
          </w:p>
        </w:tc>
        <w:tc>
          <w:tcPr>
            <w:tcW w:w="1616" w:type="dxa"/>
            <w:tcBorders>
              <w:top w:val="nil"/>
              <w:left w:val="nil"/>
              <w:bottom w:val="nil"/>
            </w:tcBorders>
          </w:tcPr>
          <w:p w14:paraId="6A35E93B" w14:textId="77777777" w:rsidR="00CF18D1" w:rsidRPr="00A92A47" w:rsidRDefault="00CF18D1" w:rsidP="00CF18D1">
            <w:pPr>
              <w:keepLines/>
              <w:spacing w:before="0" w:after="0" w:line="240" w:lineRule="auto"/>
              <w:rPr>
                <w:noProof/>
                <w:sz w:val="20"/>
                <w:szCs w:val="20"/>
              </w:rPr>
            </w:pPr>
            <w:r w:rsidRPr="00A92A47">
              <w:rPr>
                <w:noProof/>
                <w:sz w:val="20"/>
                <w:szCs w:val="20"/>
              </w:rPr>
              <w:t>22</w:t>
            </w:r>
          </w:p>
        </w:tc>
      </w:tr>
      <w:tr w:rsidR="00CF18D1" w14:paraId="2780B159" w14:textId="77777777" w:rsidTr="00CF18D1">
        <w:tc>
          <w:tcPr>
            <w:tcW w:w="2694" w:type="dxa"/>
            <w:tcBorders>
              <w:top w:val="nil"/>
              <w:bottom w:val="nil"/>
              <w:right w:val="nil"/>
            </w:tcBorders>
          </w:tcPr>
          <w:p w14:paraId="34A59570"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Female</w:t>
            </w:r>
          </w:p>
        </w:tc>
        <w:tc>
          <w:tcPr>
            <w:tcW w:w="1474" w:type="dxa"/>
            <w:tcBorders>
              <w:top w:val="nil"/>
              <w:left w:val="nil"/>
              <w:bottom w:val="nil"/>
              <w:right w:val="nil"/>
            </w:tcBorders>
          </w:tcPr>
          <w:p w14:paraId="4F62A9D3" w14:textId="77777777" w:rsidR="00CF18D1" w:rsidRPr="00A92A47" w:rsidRDefault="00CF18D1" w:rsidP="00CF18D1">
            <w:pPr>
              <w:keepLines/>
              <w:spacing w:before="0" w:after="0" w:line="240" w:lineRule="auto"/>
              <w:rPr>
                <w:noProof/>
                <w:sz w:val="20"/>
                <w:szCs w:val="20"/>
              </w:rPr>
            </w:pPr>
            <w:r>
              <w:rPr>
                <w:noProof/>
                <w:sz w:val="20"/>
                <w:szCs w:val="20"/>
              </w:rPr>
              <w:t>48</w:t>
            </w:r>
          </w:p>
        </w:tc>
        <w:tc>
          <w:tcPr>
            <w:tcW w:w="1616" w:type="dxa"/>
            <w:tcBorders>
              <w:top w:val="nil"/>
              <w:left w:val="nil"/>
              <w:bottom w:val="nil"/>
              <w:right w:val="nil"/>
            </w:tcBorders>
          </w:tcPr>
          <w:p w14:paraId="1719F014" w14:textId="77777777" w:rsidR="00CF18D1" w:rsidRPr="00A92A47" w:rsidRDefault="00CF18D1" w:rsidP="00CF18D1">
            <w:pPr>
              <w:keepLines/>
              <w:spacing w:before="0" w:after="0" w:line="240" w:lineRule="auto"/>
              <w:rPr>
                <w:noProof/>
                <w:sz w:val="20"/>
                <w:szCs w:val="20"/>
              </w:rPr>
            </w:pPr>
            <w:r>
              <w:rPr>
                <w:noProof/>
                <w:sz w:val="20"/>
                <w:szCs w:val="20"/>
              </w:rPr>
              <w:t>84</w:t>
            </w:r>
          </w:p>
        </w:tc>
        <w:tc>
          <w:tcPr>
            <w:tcW w:w="1616" w:type="dxa"/>
            <w:tcBorders>
              <w:top w:val="nil"/>
              <w:left w:val="nil"/>
              <w:bottom w:val="nil"/>
              <w:right w:val="nil"/>
            </w:tcBorders>
          </w:tcPr>
          <w:p w14:paraId="591BDC5F" w14:textId="77777777" w:rsidR="00CF18D1" w:rsidRPr="00A92A47" w:rsidRDefault="00CF18D1" w:rsidP="00CF18D1">
            <w:pPr>
              <w:keepLines/>
              <w:spacing w:before="0" w:after="0" w:line="240" w:lineRule="auto"/>
              <w:rPr>
                <w:noProof/>
                <w:sz w:val="20"/>
                <w:szCs w:val="20"/>
              </w:rPr>
            </w:pPr>
            <w:r w:rsidRPr="00A92A47">
              <w:rPr>
                <w:noProof/>
                <w:sz w:val="20"/>
                <w:szCs w:val="20"/>
              </w:rPr>
              <w:t>108</w:t>
            </w:r>
          </w:p>
        </w:tc>
        <w:tc>
          <w:tcPr>
            <w:tcW w:w="1616" w:type="dxa"/>
            <w:tcBorders>
              <w:top w:val="nil"/>
              <w:left w:val="nil"/>
              <w:bottom w:val="nil"/>
            </w:tcBorders>
          </w:tcPr>
          <w:p w14:paraId="1CE20FB1" w14:textId="77777777" w:rsidR="00CF18D1" w:rsidRPr="00A92A47" w:rsidRDefault="00CF18D1" w:rsidP="00CF18D1">
            <w:pPr>
              <w:keepLines/>
              <w:spacing w:before="0" w:after="0" w:line="240" w:lineRule="auto"/>
              <w:rPr>
                <w:noProof/>
                <w:sz w:val="20"/>
                <w:szCs w:val="20"/>
              </w:rPr>
            </w:pPr>
            <w:r w:rsidRPr="00A92A47">
              <w:rPr>
                <w:noProof/>
                <w:sz w:val="20"/>
                <w:szCs w:val="20"/>
              </w:rPr>
              <w:t>78</w:t>
            </w:r>
          </w:p>
        </w:tc>
      </w:tr>
      <w:tr w:rsidR="00CF18D1" w14:paraId="2D60CAFE" w14:textId="77777777" w:rsidTr="00CF18D1">
        <w:tc>
          <w:tcPr>
            <w:tcW w:w="2694" w:type="dxa"/>
            <w:tcBorders>
              <w:top w:val="nil"/>
              <w:bottom w:val="nil"/>
              <w:right w:val="nil"/>
            </w:tcBorders>
          </w:tcPr>
          <w:p w14:paraId="0F207814"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Other</w:t>
            </w:r>
          </w:p>
        </w:tc>
        <w:tc>
          <w:tcPr>
            <w:tcW w:w="1474" w:type="dxa"/>
            <w:tcBorders>
              <w:top w:val="nil"/>
              <w:left w:val="nil"/>
              <w:bottom w:val="nil"/>
              <w:right w:val="nil"/>
            </w:tcBorders>
          </w:tcPr>
          <w:p w14:paraId="6BAB5B73" w14:textId="77777777" w:rsidR="00CF18D1" w:rsidRPr="00A92A47" w:rsidRDefault="00CF18D1" w:rsidP="00CF18D1">
            <w:pPr>
              <w:keepLines/>
              <w:spacing w:before="0" w:after="0" w:line="240" w:lineRule="auto"/>
              <w:rPr>
                <w:noProof/>
                <w:sz w:val="20"/>
                <w:szCs w:val="20"/>
              </w:rPr>
            </w:pPr>
            <w:r w:rsidRPr="00A92A47">
              <w:rPr>
                <w:noProof/>
                <w:sz w:val="20"/>
                <w:szCs w:val="20"/>
              </w:rPr>
              <w:t>0</w:t>
            </w:r>
          </w:p>
        </w:tc>
        <w:tc>
          <w:tcPr>
            <w:tcW w:w="1616" w:type="dxa"/>
            <w:tcBorders>
              <w:top w:val="nil"/>
              <w:left w:val="nil"/>
              <w:bottom w:val="nil"/>
              <w:right w:val="nil"/>
            </w:tcBorders>
          </w:tcPr>
          <w:p w14:paraId="27E02FDB" w14:textId="77777777" w:rsidR="00CF18D1" w:rsidRPr="00A92A47" w:rsidRDefault="00CF18D1" w:rsidP="00CF18D1">
            <w:pPr>
              <w:keepLines/>
              <w:spacing w:before="0" w:after="0" w:line="240" w:lineRule="auto"/>
              <w:rPr>
                <w:noProof/>
                <w:sz w:val="20"/>
                <w:szCs w:val="20"/>
              </w:rPr>
            </w:pPr>
            <w:r>
              <w:rPr>
                <w:noProof/>
                <w:sz w:val="20"/>
                <w:szCs w:val="20"/>
              </w:rPr>
              <w:t>0</w:t>
            </w:r>
          </w:p>
        </w:tc>
        <w:tc>
          <w:tcPr>
            <w:tcW w:w="1616" w:type="dxa"/>
            <w:tcBorders>
              <w:top w:val="nil"/>
              <w:left w:val="nil"/>
              <w:bottom w:val="nil"/>
              <w:right w:val="nil"/>
            </w:tcBorders>
          </w:tcPr>
          <w:p w14:paraId="5E98BFBF" w14:textId="77777777" w:rsidR="00CF18D1" w:rsidRPr="00A92A47" w:rsidRDefault="00CF18D1" w:rsidP="00CF18D1">
            <w:pPr>
              <w:keepLines/>
              <w:spacing w:before="0" w:after="0" w:line="240" w:lineRule="auto"/>
              <w:rPr>
                <w:noProof/>
                <w:sz w:val="20"/>
                <w:szCs w:val="20"/>
              </w:rPr>
            </w:pPr>
            <w:r w:rsidRPr="00A92A47">
              <w:rPr>
                <w:noProof/>
                <w:sz w:val="20"/>
                <w:szCs w:val="20"/>
              </w:rPr>
              <w:t>1</w:t>
            </w:r>
          </w:p>
        </w:tc>
        <w:tc>
          <w:tcPr>
            <w:tcW w:w="1616" w:type="dxa"/>
            <w:tcBorders>
              <w:top w:val="nil"/>
              <w:left w:val="nil"/>
              <w:bottom w:val="nil"/>
            </w:tcBorders>
          </w:tcPr>
          <w:p w14:paraId="2500DE67" w14:textId="77777777" w:rsidR="00CF18D1" w:rsidRPr="00A92A47" w:rsidRDefault="00CF18D1" w:rsidP="00CF18D1">
            <w:pPr>
              <w:keepLines/>
              <w:spacing w:before="0" w:after="0" w:line="240" w:lineRule="auto"/>
              <w:rPr>
                <w:noProof/>
                <w:sz w:val="20"/>
                <w:szCs w:val="20"/>
              </w:rPr>
            </w:pPr>
            <w:r>
              <w:rPr>
                <w:noProof/>
                <w:sz w:val="20"/>
                <w:szCs w:val="20"/>
              </w:rPr>
              <w:t>1</w:t>
            </w:r>
          </w:p>
        </w:tc>
      </w:tr>
      <w:tr w:rsidR="00CF18D1" w14:paraId="50298CC7" w14:textId="77777777" w:rsidTr="00CF18D1">
        <w:tc>
          <w:tcPr>
            <w:tcW w:w="2694" w:type="dxa"/>
            <w:tcBorders>
              <w:top w:val="nil"/>
              <w:bottom w:val="nil"/>
              <w:right w:val="nil"/>
            </w:tcBorders>
          </w:tcPr>
          <w:p w14:paraId="7558473D" w14:textId="77777777" w:rsidR="00CF18D1" w:rsidRDefault="00CF18D1" w:rsidP="00CF18D1">
            <w:pPr>
              <w:keepLines/>
              <w:spacing w:before="0" w:after="0" w:line="240" w:lineRule="auto"/>
              <w:rPr>
                <w:b/>
                <w:bCs/>
                <w:noProof/>
                <w:sz w:val="20"/>
                <w:szCs w:val="20"/>
              </w:rPr>
            </w:pPr>
          </w:p>
          <w:p w14:paraId="56B1EE9D" w14:textId="77777777" w:rsidR="00CF18D1" w:rsidRPr="00A92A47" w:rsidRDefault="00CF18D1" w:rsidP="00CF18D1">
            <w:pPr>
              <w:keepLines/>
              <w:spacing w:before="0" w:after="0" w:line="240" w:lineRule="auto"/>
              <w:rPr>
                <w:noProof/>
                <w:sz w:val="20"/>
                <w:szCs w:val="20"/>
              </w:rPr>
            </w:pPr>
            <w:r w:rsidRPr="00A92A47">
              <w:rPr>
                <w:b/>
                <w:bCs/>
                <w:noProof/>
                <w:sz w:val="20"/>
                <w:szCs w:val="20"/>
              </w:rPr>
              <w:t>Professional role</w:t>
            </w:r>
            <w:r w:rsidRPr="00A92A47">
              <w:rPr>
                <w:b/>
                <w:bCs/>
                <w:noProof/>
                <w:sz w:val="20"/>
                <w:szCs w:val="20"/>
                <w:vertAlign w:val="superscript"/>
              </w:rPr>
              <w:t>a</w:t>
            </w:r>
          </w:p>
        </w:tc>
        <w:tc>
          <w:tcPr>
            <w:tcW w:w="1474" w:type="dxa"/>
            <w:tcBorders>
              <w:top w:val="nil"/>
              <w:left w:val="nil"/>
              <w:bottom w:val="nil"/>
              <w:right w:val="nil"/>
            </w:tcBorders>
          </w:tcPr>
          <w:p w14:paraId="031BD5D4" w14:textId="77777777" w:rsidR="00CF18D1" w:rsidRPr="00A92A47" w:rsidRDefault="00CF18D1" w:rsidP="00CF18D1">
            <w:pPr>
              <w:keepLines/>
              <w:spacing w:before="0" w:after="0" w:line="240" w:lineRule="auto"/>
              <w:rPr>
                <w:noProof/>
                <w:sz w:val="20"/>
                <w:szCs w:val="20"/>
              </w:rPr>
            </w:pPr>
          </w:p>
        </w:tc>
        <w:tc>
          <w:tcPr>
            <w:tcW w:w="1616" w:type="dxa"/>
            <w:tcBorders>
              <w:top w:val="nil"/>
              <w:left w:val="nil"/>
              <w:bottom w:val="nil"/>
              <w:right w:val="nil"/>
            </w:tcBorders>
          </w:tcPr>
          <w:p w14:paraId="5DE6E2DB" w14:textId="77777777" w:rsidR="00CF18D1" w:rsidRPr="00A92A47" w:rsidRDefault="00CF18D1" w:rsidP="00CF18D1">
            <w:pPr>
              <w:keepLines/>
              <w:spacing w:before="0" w:after="0" w:line="240" w:lineRule="auto"/>
              <w:rPr>
                <w:noProof/>
                <w:sz w:val="20"/>
                <w:szCs w:val="20"/>
              </w:rPr>
            </w:pPr>
          </w:p>
        </w:tc>
        <w:tc>
          <w:tcPr>
            <w:tcW w:w="1616" w:type="dxa"/>
            <w:tcBorders>
              <w:top w:val="nil"/>
              <w:left w:val="nil"/>
              <w:bottom w:val="nil"/>
              <w:right w:val="nil"/>
            </w:tcBorders>
          </w:tcPr>
          <w:p w14:paraId="7D99D847" w14:textId="77777777" w:rsidR="00CF18D1" w:rsidRPr="00A92A47" w:rsidRDefault="00CF18D1" w:rsidP="00CF18D1">
            <w:pPr>
              <w:keepLines/>
              <w:spacing w:before="0" w:after="0" w:line="240" w:lineRule="auto"/>
              <w:rPr>
                <w:noProof/>
                <w:sz w:val="20"/>
                <w:szCs w:val="20"/>
              </w:rPr>
            </w:pPr>
          </w:p>
        </w:tc>
        <w:tc>
          <w:tcPr>
            <w:tcW w:w="1616" w:type="dxa"/>
            <w:tcBorders>
              <w:top w:val="nil"/>
              <w:left w:val="nil"/>
              <w:bottom w:val="nil"/>
            </w:tcBorders>
          </w:tcPr>
          <w:p w14:paraId="120B2224" w14:textId="77777777" w:rsidR="00CF18D1" w:rsidRPr="00A92A47" w:rsidRDefault="00CF18D1" w:rsidP="00CF18D1">
            <w:pPr>
              <w:keepLines/>
              <w:spacing w:before="0" w:after="0" w:line="240" w:lineRule="auto"/>
              <w:rPr>
                <w:noProof/>
                <w:sz w:val="20"/>
                <w:szCs w:val="20"/>
              </w:rPr>
            </w:pPr>
          </w:p>
        </w:tc>
      </w:tr>
      <w:tr w:rsidR="00CF18D1" w14:paraId="1F174E2D" w14:textId="77777777" w:rsidTr="00CF18D1">
        <w:tc>
          <w:tcPr>
            <w:tcW w:w="2694" w:type="dxa"/>
            <w:tcBorders>
              <w:top w:val="nil"/>
              <w:bottom w:val="nil"/>
              <w:right w:val="nil"/>
            </w:tcBorders>
          </w:tcPr>
          <w:p w14:paraId="650A95FE" w14:textId="77777777" w:rsidR="00CF18D1" w:rsidRPr="00D1628A" w:rsidRDefault="00CF18D1" w:rsidP="00CF18D1">
            <w:pPr>
              <w:keepLines/>
              <w:spacing w:before="0" w:after="0" w:line="240" w:lineRule="auto"/>
              <w:ind w:left="318"/>
              <w:rPr>
                <w:b/>
                <w:bCs/>
                <w:noProof/>
                <w:sz w:val="20"/>
                <w:szCs w:val="20"/>
              </w:rPr>
            </w:pPr>
            <w:r w:rsidRPr="00D1628A">
              <w:rPr>
                <w:noProof/>
                <w:sz w:val="20"/>
                <w:szCs w:val="20"/>
              </w:rPr>
              <w:t>Nurse</w:t>
            </w:r>
          </w:p>
        </w:tc>
        <w:tc>
          <w:tcPr>
            <w:tcW w:w="1474" w:type="dxa"/>
            <w:tcBorders>
              <w:top w:val="nil"/>
              <w:left w:val="nil"/>
              <w:bottom w:val="nil"/>
              <w:right w:val="nil"/>
            </w:tcBorders>
          </w:tcPr>
          <w:p w14:paraId="62291A19" w14:textId="77777777" w:rsidR="00CF18D1" w:rsidRPr="00A92A47" w:rsidRDefault="00CF18D1" w:rsidP="00CF18D1">
            <w:pPr>
              <w:keepLines/>
              <w:spacing w:before="0" w:after="0" w:line="240" w:lineRule="auto"/>
              <w:rPr>
                <w:noProof/>
                <w:sz w:val="20"/>
                <w:szCs w:val="20"/>
              </w:rPr>
            </w:pPr>
            <w:r w:rsidRPr="00A92A47">
              <w:rPr>
                <w:noProof/>
                <w:sz w:val="20"/>
                <w:szCs w:val="20"/>
              </w:rPr>
              <w:t>24</w:t>
            </w:r>
          </w:p>
        </w:tc>
        <w:tc>
          <w:tcPr>
            <w:tcW w:w="1616" w:type="dxa"/>
            <w:tcBorders>
              <w:top w:val="nil"/>
              <w:left w:val="nil"/>
              <w:bottom w:val="nil"/>
              <w:right w:val="nil"/>
            </w:tcBorders>
          </w:tcPr>
          <w:p w14:paraId="5DDB0F57" w14:textId="77777777" w:rsidR="00CF18D1" w:rsidRPr="00A92A47" w:rsidRDefault="00CF18D1" w:rsidP="00CF18D1">
            <w:pPr>
              <w:keepLines/>
              <w:spacing w:before="0" w:after="0" w:line="240" w:lineRule="auto"/>
              <w:rPr>
                <w:noProof/>
                <w:sz w:val="20"/>
                <w:szCs w:val="20"/>
              </w:rPr>
            </w:pPr>
            <w:r w:rsidRPr="00A92A47">
              <w:rPr>
                <w:noProof/>
                <w:sz w:val="20"/>
                <w:szCs w:val="20"/>
              </w:rPr>
              <w:t>42</w:t>
            </w:r>
          </w:p>
        </w:tc>
        <w:tc>
          <w:tcPr>
            <w:tcW w:w="1616" w:type="dxa"/>
            <w:tcBorders>
              <w:top w:val="nil"/>
              <w:left w:val="nil"/>
              <w:bottom w:val="nil"/>
              <w:right w:val="nil"/>
            </w:tcBorders>
          </w:tcPr>
          <w:p w14:paraId="37E869C7" w14:textId="77777777" w:rsidR="00CF18D1" w:rsidRPr="00A92A47" w:rsidRDefault="00CF18D1" w:rsidP="00CF18D1">
            <w:pPr>
              <w:keepLines/>
              <w:spacing w:before="0" w:after="0" w:line="240" w:lineRule="auto"/>
              <w:rPr>
                <w:noProof/>
                <w:sz w:val="20"/>
                <w:szCs w:val="20"/>
              </w:rPr>
            </w:pPr>
            <w:r w:rsidRPr="00A92A47">
              <w:rPr>
                <w:noProof/>
                <w:sz w:val="20"/>
                <w:szCs w:val="20"/>
              </w:rPr>
              <w:t>39</w:t>
            </w:r>
          </w:p>
        </w:tc>
        <w:tc>
          <w:tcPr>
            <w:tcW w:w="1616" w:type="dxa"/>
            <w:tcBorders>
              <w:top w:val="nil"/>
              <w:left w:val="nil"/>
              <w:bottom w:val="nil"/>
            </w:tcBorders>
          </w:tcPr>
          <w:p w14:paraId="6A2EC3B8" w14:textId="77777777" w:rsidR="00CF18D1" w:rsidRPr="00A92A47" w:rsidRDefault="00CF18D1" w:rsidP="00CF18D1">
            <w:pPr>
              <w:keepLines/>
              <w:spacing w:before="0" w:after="0" w:line="240" w:lineRule="auto"/>
              <w:rPr>
                <w:noProof/>
                <w:sz w:val="20"/>
                <w:szCs w:val="20"/>
              </w:rPr>
            </w:pPr>
            <w:r>
              <w:rPr>
                <w:noProof/>
                <w:sz w:val="20"/>
                <w:szCs w:val="20"/>
              </w:rPr>
              <w:t>28</w:t>
            </w:r>
          </w:p>
        </w:tc>
      </w:tr>
      <w:tr w:rsidR="00CF18D1" w14:paraId="095AE9F7" w14:textId="77777777" w:rsidTr="00CF18D1">
        <w:tc>
          <w:tcPr>
            <w:tcW w:w="2694" w:type="dxa"/>
            <w:tcBorders>
              <w:top w:val="nil"/>
              <w:bottom w:val="nil"/>
              <w:right w:val="nil"/>
            </w:tcBorders>
          </w:tcPr>
          <w:p w14:paraId="5C1ED024" w14:textId="29CB6303" w:rsidR="00CF18D1" w:rsidRPr="00D1628A" w:rsidRDefault="002C3688" w:rsidP="00CF18D1">
            <w:pPr>
              <w:keepLines/>
              <w:spacing w:before="0" w:after="0" w:line="240" w:lineRule="auto"/>
              <w:ind w:left="318"/>
              <w:rPr>
                <w:noProof/>
                <w:sz w:val="20"/>
                <w:szCs w:val="20"/>
              </w:rPr>
            </w:pPr>
            <w:r>
              <w:rPr>
                <w:noProof/>
                <w:sz w:val="20"/>
                <w:szCs w:val="20"/>
              </w:rPr>
              <w:t>Indigenous Health Worker</w:t>
            </w:r>
            <w:r w:rsidR="00CF18D1" w:rsidRPr="00D1628A">
              <w:rPr>
                <w:noProof/>
                <w:sz w:val="20"/>
                <w:szCs w:val="20"/>
              </w:rPr>
              <w:t>/practitioner</w:t>
            </w:r>
          </w:p>
        </w:tc>
        <w:tc>
          <w:tcPr>
            <w:tcW w:w="1474" w:type="dxa"/>
            <w:tcBorders>
              <w:top w:val="nil"/>
              <w:left w:val="nil"/>
              <w:bottom w:val="nil"/>
              <w:right w:val="nil"/>
            </w:tcBorders>
          </w:tcPr>
          <w:p w14:paraId="2523CCF9" w14:textId="77777777" w:rsidR="00CF18D1" w:rsidRPr="00A92A47" w:rsidRDefault="00CF18D1" w:rsidP="00CF18D1">
            <w:pPr>
              <w:keepLines/>
              <w:spacing w:before="0" w:after="0" w:line="240" w:lineRule="auto"/>
              <w:rPr>
                <w:noProof/>
                <w:sz w:val="20"/>
                <w:szCs w:val="20"/>
              </w:rPr>
            </w:pPr>
            <w:r w:rsidRPr="00A92A47">
              <w:rPr>
                <w:noProof/>
                <w:sz w:val="20"/>
                <w:szCs w:val="20"/>
              </w:rPr>
              <w:t>11</w:t>
            </w:r>
          </w:p>
        </w:tc>
        <w:tc>
          <w:tcPr>
            <w:tcW w:w="1616" w:type="dxa"/>
            <w:tcBorders>
              <w:top w:val="nil"/>
              <w:left w:val="nil"/>
              <w:bottom w:val="nil"/>
              <w:right w:val="nil"/>
            </w:tcBorders>
          </w:tcPr>
          <w:p w14:paraId="697B2267" w14:textId="77777777" w:rsidR="00CF18D1" w:rsidRPr="00A92A47" w:rsidRDefault="00CF18D1" w:rsidP="00CF18D1">
            <w:pPr>
              <w:keepLines/>
              <w:spacing w:before="0" w:after="0" w:line="240" w:lineRule="auto"/>
              <w:rPr>
                <w:noProof/>
                <w:sz w:val="20"/>
                <w:szCs w:val="20"/>
              </w:rPr>
            </w:pPr>
            <w:r w:rsidRPr="00A92A47">
              <w:rPr>
                <w:noProof/>
                <w:sz w:val="20"/>
                <w:szCs w:val="20"/>
              </w:rPr>
              <w:t>19</w:t>
            </w:r>
          </w:p>
        </w:tc>
        <w:tc>
          <w:tcPr>
            <w:tcW w:w="1616" w:type="dxa"/>
            <w:tcBorders>
              <w:top w:val="nil"/>
              <w:left w:val="nil"/>
              <w:bottom w:val="nil"/>
              <w:right w:val="nil"/>
            </w:tcBorders>
          </w:tcPr>
          <w:p w14:paraId="33E3C13B" w14:textId="77777777" w:rsidR="00CF18D1" w:rsidRPr="00A92A47" w:rsidRDefault="00CF18D1" w:rsidP="00CF18D1">
            <w:pPr>
              <w:keepLines/>
              <w:spacing w:before="0" w:after="0" w:line="240" w:lineRule="auto"/>
              <w:rPr>
                <w:noProof/>
                <w:sz w:val="20"/>
                <w:szCs w:val="20"/>
              </w:rPr>
            </w:pPr>
            <w:r w:rsidRPr="00A92A47">
              <w:rPr>
                <w:noProof/>
                <w:sz w:val="20"/>
                <w:szCs w:val="20"/>
              </w:rPr>
              <w:t>25</w:t>
            </w:r>
          </w:p>
        </w:tc>
        <w:tc>
          <w:tcPr>
            <w:tcW w:w="1616" w:type="dxa"/>
            <w:tcBorders>
              <w:top w:val="nil"/>
              <w:left w:val="nil"/>
              <w:bottom w:val="nil"/>
            </w:tcBorders>
          </w:tcPr>
          <w:p w14:paraId="4378B8EB" w14:textId="77777777" w:rsidR="00CF18D1" w:rsidRPr="00A92A47" w:rsidRDefault="00CF18D1" w:rsidP="00CF18D1">
            <w:pPr>
              <w:keepLines/>
              <w:spacing w:before="0" w:after="0" w:line="240" w:lineRule="auto"/>
              <w:rPr>
                <w:noProof/>
                <w:sz w:val="20"/>
                <w:szCs w:val="20"/>
              </w:rPr>
            </w:pPr>
            <w:r>
              <w:rPr>
                <w:noProof/>
                <w:sz w:val="20"/>
                <w:szCs w:val="20"/>
              </w:rPr>
              <w:t>18</w:t>
            </w:r>
          </w:p>
        </w:tc>
      </w:tr>
      <w:tr w:rsidR="00CF18D1" w14:paraId="765F4014" w14:textId="77777777" w:rsidTr="00CF18D1">
        <w:tc>
          <w:tcPr>
            <w:tcW w:w="2694" w:type="dxa"/>
            <w:tcBorders>
              <w:top w:val="nil"/>
              <w:bottom w:val="nil"/>
              <w:right w:val="nil"/>
            </w:tcBorders>
          </w:tcPr>
          <w:p w14:paraId="7FCE4CFE"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General practitioners</w:t>
            </w:r>
          </w:p>
        </w:tc>
        <w:tc>
          <w:tcPr>
            <w:tcW w:w="1474" w:type="dxa"/>
            <w:tcBorders>
              <w:top w:val="nil"/>
              <w:left w:val="nil"/>
              <w:bottom w:val="nil"/>
              <w:right w:val="nil"/>
            </w:tcBorders>
          </w:tcPr>
          <w:p w14:paraId="286CA92E" w14:textId="77777777" w:rsidR="00CF18D1" w:rsidRPr="00A92A47" w:rsidRDefault="00CF18D1" w:rsidP="00CF18D1">
            <w:pPr>
              <w:keepLines/>
              <w:spacing w:before="0" w:after="0" w:line="240" w:lineRule="auto"/>
              <w:rPr>
                <w:noProof/>
                <w:sz w:val="20"/>
                <w:szCs w:val="20"/>
              </w:rPr>
            </w:pPr>
            <w:r w:rsidRPr="00A92A47">
              <w:rPr>
                <w:noProof/>
                <w:sz w:val="20"/>
                <w:szCs w:val="20"/>
              </w:rPr>
              <w:t>10</w:t>
            </w:r>
          </w:p>
        </w:tc>
        <w:tc>
          <w:tcPr>
            <w:tcW w:w="1616" w:type="dxa"/>
            <w:tcBorders>
              <w:top w:val="nil"/>
              <w:left w:val="nil"/>
              <w:bottom w:val="nil"/>
              <w:right w:val="nil"/>
            </w:tcBorders>
          </w:tcPr>
          <w:p w14:paraId="6BA31BC1" w14:textId="77777777" w:rsidR="00CF18D1" w:rsidRPr="00A92A47" w:rsidRDefault="00CF18D1" w:rsidP="00CF18D1">
            <w:pPr>
              <w:keepLines/>
              <w:spacing w:before="0" w:after="0" w:line="240" w:lineRule="auto"/>
              <w:rPr>
                <w:noProof/>
                <w:sz w:val="20"/>
                <w:szCs w:val="20"/>
              </w:rPr>
            </w:pPr>
            <w:r w:rsidRPr="00A92A47">
              <w:rPr>
                <w:noProof/>
                <w:sz w:val="20"/>
                <w:szCs w:val="20"/>
              </w:rPr>
              <w:t>18</w:t>
            </w:r>
          </w:p>
        </w:tc>
        <w:tc>
          <w:tcPr>
            <w:tcW w:w="1616" w:type="dxa"/>
            <w:tcBorders>
              <w:top w:val="nil"/>
              <w:left w:val="nil"/>
              <w:bottom w:val="nil"/>
              <w:right w:val="nil"/>
            </w:tcBorders>
          </w:tcPr>
          <w:p w14:paraId="6B6CB758" w14:textId="77777777" w:rsidR="00CF18D1" w:rsidRPr="00A92A47" w:rsidRDefault="00CF18D1" w:rsidP="00CF18D1">
            <w:pPr>
              <w:keepLines/>
              <w:spacing w:before="0" w:after="0" w:line="240" w:lineRule="auto"/>
              <w:rPr>
                <w:noProof/>
                <w:sz w:val="20"/>
                <w:szCs w:val="20"/>
              </w:rPr>
            </w:pPr>
            <w:r w:rsidRPr="00A92A47">
              <w:rPr>
                <w:noProof/>
                <w:sz w:val="20"/>
                <w:szCs w:val="20"/>
              </w:rPr>
              <w:t>34</w:t>
            </w:r>
          </w:p>
        </w:tc>
        <w:tc>
          <w:tcPr>
            <w:tcW w:w="1616" w:type="dxa"/>
            <w:tcBorders>
              <w:top w:val="nil"/>
              <w:left w:val="nil"/>
              <w:bottom w:val="nil"/>
            </w:tcBorders>
          </w:tcPr>
          <w:p w14:paraId="44C28B1A" w14:textId="77777777" w:rsidR="00CF18D1" w:rsidRPr="00A92A47" w:rsidRDefault="00CF18D1" w:rsidP="00CF18D1">
            <w:pPr>
              <w:keepLines/>
              <w:spacing w:before="0" w:after="0" w:line="240" w:lineRule="auto"/>
              <w:rPr>
                <w:noProof/>
                <w:sz w:val="20"/>
                <w:szCs w:val="20"/>
              </w:rPr>
            </w:pPr>
            <w:r>
              <w:rPr>
                <w:noProof/>
                <w:sz w:val="20"/>
                <w:szCs w:val="20"/>
              </w:rPr>
              <w:t>24</w:t>
            </w:r>
          </w:p>
        </w:tc>
      </w:tr>
      <w:tr w:rsidR="00CF18D1" w14:paraId="3CDC1FD2" w14:textId="77777777" w:rsidTr="00CF18D1">
        <w:tc>
          <w:tcPr>
            <w:tcW w:w="2694" w:type="dxa"/>
            <w:tcBorders>
              <w:top w:val="nil"/>
              <w:bottom w:val="nil"/>
              <w:right w:val="nil"/>
            </w:tcBorders>
          </w:tcPr>
          <w:p w14:paraId="3F2A4517"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Management and admin staff</w:t>
            </w:r>
          </w:p>
        </w:tc>
        <w:tc>
          <w:tcPr>
            <w:tcW w:w="1474" w:type="dxa"/>
            <w:tcBorders>
              <w:top w:val="nil"/>
              <w:left w:val="nil"/>
              <w:bottom w:val="nil"/>
              <w:right w:val="nil"/>
            </w:tcBorders>
          </w:tcPr>
          <w:p w14:paraId="53A946B7" w14:textId="77777777" w:rsidR="00CF18D1" w:rsidRPr="00A92A47" w:rsidRDefault="00CF18D1" w:rsidP="00CF18D1">
            <w:pPr>
              <w:keepLines/>
              <w:spacing w:before="0" w:after="0" w:line="240" w:lineRule="auto"/>
              <w:rPr>
                <w:noProof/>
                <w:sz w:val="20"/>
                <w:szCs w:val="20"/>
              </w:rPr>
            </w:pPr>
            <w:r w:rsidRPr="00A92A47">
              <w:rPr>
                <w:noProof/>
                <w:sz w:val="20"/>
                <w:szCs w:val="20"/>
              </w:rPr>
              <w:t>5</w:t>
            </w:r>
          </w:p>
        </w:tc>
        <w:tc>
          <w:tcPr>
            <w:tcW w:w="1616" w:type="dxa"/>
            <w:tcBorders>
              <w:top w:val="nil"/>
              <w:left w:val="nil"/>
              <w:bottom w:val="nil"/>
              <w:right w:val="nil"/>
            </w:tcBorders>
          </w:tcPr>
          <w:p w14:paraId="200ABFA3" w14:textId="77777777" w:rsidR="00CF18D1" w:rsidRPr="00A92A47" w:rsidRDefault="00CF18D1" w:rsidP="00CF18D1">
            <w:pPr>
              <w:keepLines/>
              <w:spacing w:before="0" w:after="0" w:line="240" w:lineRule="auto"/>
              <w:rPr>
                <w:noProof/>
                <w:sz w:val="20"/>
                <w:szCs w:val="20"/>
              </w:rPr>
            </w:pPr>
            <w:r w:rsidRPr="00A92A47">
              <w:rPr>
                <w:noProof/>
                <w:sz w:val="20"/>
                <w:szCs w:val="20"/>
              </w:rPr>
              <w:t>9</w:t>
            </w:r>
          </w:p>
        </w:tc>
        <w:tc>
          <w:tcPr>
            <w:tcW w:w="1616" w:type="dxa"/>
            <w:tcBorders>
              <w:top w:val="nil"/>
              <w:left w:val="nil"/>
              <w:bottom w:val="nil"/>
              <w:right w:val="nil"/>
            </w:tcBorders>
          </w:tcPr>
          <w:p w14:paraId="57668BEE" w14:textId="77777777" w:rsidR="00CF18D1" w:rsidRPr="00A92A47" w:rsidRDefault="00CF18D1" w:rsidP="00CF18D1">
            <w:pPr>
              <w:keepLines/>
              <w:spacing w:before="0" w:after="0" w:line="240" w:lineRule="auto"/>
              <w:rPr>
                <w:noProof/>
                <w:sz w:val="20"/>
                <w:szCs w:val="20"/>
              </w:rPr>
            </w:pPr>
            <w:r w:rsidRPr="00A92A47">
              <w:rPr>
                <w:noProof/>
                <w:sz w:val="20"/>
                <w:szCs w:val="20"/>
              </w:rPr>
              <w:t>13</w:t>
            </w:r>
          </w:p>
        </w:tc>
        <w:tc>
          <w:tcPr>
            <w:tcW w:w="1616" w:type="dxa"/>
            <w:tcBorders>
              <w:top w:val="nil"/>
              <w:left w:val="nil"/>
              <w:bottom w:val="nil"/>
            </w:tcBorders>
          </w:tcPr>
          <w:p w14:paraId="141320C0" w14:textId="77777777" w:rsidR="00CF18D1" w:rsidRPr="00A92A47" w:rsidRDefault="00CF18D1" w:rsidP="00CF18D1">
            <w:pPr>
              <w:keepLines/>
              <w:spacing w:before="0" w:after="0" w:line="240" w:lineRule="auto"/>
              <w:rPr>
                <w:noProof/>
                <w:sz w:val="20"/>
                <w:szCs w:val="20"/>
              </w:rPr>
            </w:pPr>
            <w:r w:rsidRPr="00A92A47">
              <w:rPr>
                <w:noProof/>
                <w:sz w:val="20"/>
                <w:szCs w:val="20"/>
              </w:rPr>
              <w:t>9</w:t>
            </w:r>
          </w:p>
        </w:tc>
      </w:tr>
      <w:tr w:rsidR="00CF18D1" w14:paraId="1414AC81" w14:textId="77777777" w:rsidTr="00CF18D1">
        <w:tc>
          <w:tcPr>
            <w:tcW w:w="2694" w:type="dxa"/>
            <w:tcBorders>
              <w:top w:val="nil"/>
              <w:bottom w:val="nil"/>
              <w:right w:val="nil"/>
            </w:tcBorders>
          </w:tcPr>
          <w:p w14:paraId="63BD8C5C"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Health promotion and education staff</w:t>
            </w:r>
          </w:p>
        </w:tc>
        <w:tc>
          <w:tcPr>
            <w:tcW w:w="1474" w:type="dxa"/>
            <w:tcBorders>
              <w:top w:val="nil"/>
              <w:left w:val="nil"/>
              <w:bottom w:val="nil"/>
              <w:right w:val="nil"/>
            </w:tcBorders>
          </w:tcPr>
          <w:p w14:paraId="79BE93CA" w14:textId="77777777" w:rsidR="00CF18D1" w:rsidRPr="00A92A47" w:rsidRDefault="00CF18D1" w:rsidP="00CF18D1">
            <w:pPr>
              <w:keepLines/>
              <w:spacing w:before="0" w:after="0" w:line="240" w:lineRule="auto"/>
              <w:rPr>
                <w:noProof/>
                <w:sz w:val="20"/>
                <w:szCs w:val="20"/>
              </w:rPr>
            </w:pPr>
            <w:r w:rsidRPr="00A92A47">
              <w:rPr>
                <w:noProof/>
                <w:sz w:val="20"/>
                <w:szCs w:val="20"/>
              </w:rPr>
              <w:t>2</w:t>
            </w:r>
          </w:p>
        </w:tc>
        <w:tc>
          <w:tcPr>
            <w:tcW w:w="1616" w:type="dxa"/>
            <w:tcBorders>
              <w:top w:val="nil"/>
              <w:left w:val="nil"/>
              <w:bottom w:val="nil"/>
              <w:right w:val="nil"/>
            </w:tcBorders>
          </w:tcPr>
          <w:p w14:paraId="1F389B94" w14:textId="77777777" w:rsidR="00CF18D1" w:rsidRPr="00A92A47" w:rsidRDefault="00CF18D1" w:rsidP="00CF18D1">
            <w:pPr>
              <w:keepLines/>
              <w:spacing w:before="0" w:after="0" w:line="240" w:lineRule="auto"/>
              <w:rPr>
                <w:noProof/>
                <w:sz w:val="20"/>
                <w:szCs w:val="20"/>
              </w:rPr>
            </w:pPr>
            <w:r w:rsidRPr="00A92A47">
              <w:rPr>
                <w:noProof/>
                <w:sz w:val="20"/>
                <w:szCs w:val="20"/>
              </w:rPr>
              <w:t>4</w:t>
            </w:r>
          </w:p>
        </w:tc>
        <w:tc>
          <w:tcPr>
            <w:tcW w:w="1616" w:type="dxa"/>
            <w:tcBorders>
              <w:top w:val="nil"/>
              <w:left w:val="nil"/>
              <w:bottom w:val="nil"/>
              <w:right w:val="nil"/>
            </w:tcBorders>
          </w:tcPr>
          <w:p w14:paraId="59B54585" w14:textId="77777777" w:rsidR="00CF18D1" w:rsidRPr="00A92A47" w:rsidRDefault="00CF18D1" w:rsidP="00CF18D1">
            <w:pPr>
              <w:keepLines/>
              <w:spacing w:before="0" w:after="0" w:line="240" w:lineRule="auto"/>
              <w:rPr>
                <w:noProof/>
                <w:sz w:val="20"/>
                <w:szCs w:val="20"/>
              </w:rPr>
            </w:pPr>
            <w:r w:rsidRPr="00A92A47">
              <w:rPr>
                <w:noProof/>
                <w:sz w:val="20"/>
                <w:szCs w:val="20"/>
              </w:rPr>
              <w:t>4</w:t>
            </w:r>
          </w:p>
        </w:tc>
        <w:tc>
          <w:tcPr>
            <w:tcW w:w="1616" w:type="dxa"/>
            <w:tcBorders>
              <w:top w:val="nil"/>
              <w:left w:val="nil"/>
              <w:bottom w:val="nil"/>
            </w:tcBorders>
          </w:tcPr>
          <w:p w14:paraId="1A38E778" w14:textId="77777777" w:rsidR="00CF18D1" w:rsidRPr="00A92A47" w:rsidRDefault="00CF18D1" w:rsidP="00CF18D1">
            <w:pPr>
              <w:keepLines/>
              <w:spacing w:before="0" w:after="0" w:line="240" w:lineRule="auto"/>
              <w:rPr>
                <w:noProof/>
                <w:sz w:val="20"/>
                <w:szCs w:val="20"/>
              </w:rPr>
            </w:pPr>
            <w:r w:rsidRPr="00A92A47">
              <w:rPr>
                <w:noProof/>
                <w:sz w:val="20"/>
                <w:szCs w:val="20"/>
              </w:rPr>
              <w:t>3</w:t>
            </w:r>
          </w:p>
        </w:tc>
      </w:tr>
      <w:tr w:rsidR="00CF18D1" w14:paraId="0B9BAA35" w14:textId="77777777" w:rsidTr="00CF18D1">
        <w:tc>
          <w:tcPr>
            <w:tcW w:w="2694" w:type="dxa"/>
            <w:tcBorders>
              <w:top w:val="nil"/>
              <w:bottom w:val="nil"/>
              <w:right w:val="nil"/>
            </w:tcBorders>
          </w:tcPr>
          <w:p w14:paraId="782A9665"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Other</w:t>
            </w:r>
          </w:p>
        </w:tc>
        <w:tc>
          <w:tcPr>
            <w:tcW w:w="1474" w:type="dxa"/>
            <w:tcBorders>
              <w:top w:val="nil"/>
              <w:left w:val="nil"/>
              <w:bottom w:val="nil"/>
              <w:right w:val="nil"/>
            </w:tcBorders>
          </w:tcPr>
          <w:p w14:paraId="14D8901D" w14:textId="77777777" w:rsidR="00CF18D1" w:rsidRPr="00A92A47" w:rsidRDefault="00CF18D1" w:rsidP="00CF18D1">
            <w:pPr>
              <w:keepLines/>
              <w:spacing w:before="0" w:after="0" w:line="240" w:lineRule="auto"/>
              <w:rPr>
                <w:noProof/>
                <w:sz w:val="20"/>
                <w:szCs w:val="20"/>
              </w:rPr>
            </w:pPr>
            <w:r w:rsidRPr="00A92A47">
              <w:rPr>
                <w:noProof/>
                <w:sz w:val="20"/>
                <w:szCs w:val="20"/>
              </w:rPr>
              <w:t>5</w:t>
            </w:r>
          </w:p>
        </w:tc>
        <w:tc>
          <w:tcPr>
            <w:tcW w:w="1616" w:type="dxa"/>
            <w:tcBorders>
              <w:top w:val="nil"/>
              <w:left w:val="nil"/>
              <w:bottom w:val="nil"/>
              <w:right w:val="nil"/>
            </w:tcBorders>
          </w:tcPr>
          <w:p w14:paraId="531D5FE8" w14:textId="77777777" w:rsidR="00CF18D1" w:rsidRPr="00A92A47" w:rsidRDefault="00CF18D1" w:rsidP="00CF18D1">
            <w:pPr>
              <w:keepLines/>
              <w:spacing w:before="0" w:after="0" w:line="240" w:lineRule="auto"/>
              <w:rPr>
                <w:noProof/>
                <w:sz w:val="20"/>
                <w:szCs w:val="20"/>
              </w:rPr>
            </w:pPr>
            <w:r w:rsidRPr="00A92A47">
              <w:rPr>
                <w:noProof/>
                <w:sz w:val="20"/>
                <w:szCs w:val="20"/>
              </w:rPr>
              <w:t>9</w:t>
            </w:r>
          </w:p>
        </w:tc>
        <w:tc>
          <w:tcPr>
            <w:tcW w:w="1616" w:type="dxa"/>
            <w:tcBorders>
              <w:top w:val="nil"/>
              <w:left w:val="nil"/>
              <w:bottom w:val="nil"/>
              <w:right w:val="nil"/>
            </w:tcBorders>
          </w:tcPr>
          <w:p w14:paraId="28F52A0A" w14:textId="77777777" w:rsidR="00CF18D1" w:rsidRPr="00A92A47" w:rsidRDefault="00CF18D1" w:rsidP="00CF18D1">
            <w:pPr>
              <w:keepLines/>
              <w:spacing w:before="0" w:after="0" w:line="240" w:lineRule="auto"/>
              <w:rPr>
                <w:noProof/>
                <w:sz w:val="20"/>
                <w:szCs w:val="20"/>
              </w:rPr>
            </w:pPr>
            <w:r w:rsidRPr="00A92A47">
              <w:rPr>
                <w:noProof/>
                <w:sz w:val="20"/>
                <w:szCs w:val="20"/>
              </w:rPr>
              <w:t>24</w:t>
            </w:r>
          </w:p>
        </w:tc>
        <w:tc>
          <w:tcPr>
            <w:tcW w:w="1616" w:type="dxa"/>
            <w:tcBorders>
              <w:top w:val="nil"/>
              <w:left w:val="nil"/>
              <w:bottom w:val="nil"/>
            </w:tcBorders>
          </w:tcPr>
          <w:p w14:paraId="605A848B" w14:textId="77777777" w:rsidR="00CF18D1" w:rsidRPr="00A92A47" w:rsidRDefault="00CF18D1" w:rsidP="00CF18D1">
            <w:pPr>
              <w:keepLines/>
              <w:spacing w:before="0" w:after="0" w:line="240" w:lineRule="auto"/>
              <w:rPr>
                <w:noProof/>
                <w:sz w:val="20"/>
                <w:szCs w:val="20"/>
              </w:rPr>
            </w:pPr>
            <w:r w:rsidRPr="00A92A47">
              <w:rPr>
                <w:noProof/>
                <w:sz w:val="20"/>
                <w:szCs w:val="20"/>
              </w:rPr>
              <w:t>17</w:t>
            </w:r>
          </w:p>
        </w:tc>
      </w:tr>
      <w:tr w:rsidR="00CF18D1" w14:paraId="1C7F83FF" w14:textId="77777777" w:rsidTr="00CF18D1">
        <w:tc>
          <w:tcPr>
            <w:tcW w:w="2694" w:type="dxa"/>
            <w:tcBorders>
              <w:top w:val="nil"/>
              <w:bottom w:val="nil"/>
              <w:right w:val="nil"/>
            </w:tcBorders>
          </w:tcPr>
          <w:p w14:paraId="6DDD6155" w14:textId="77777777" w:rsidR="00CF18D1" w:rsidRDefault="00CF18D1" w:rsidP="00CF18D1">
            <w:pPr>
              <w:keepLines/>
              <w:spacing w:before="0" w:after="0" w:line="240" w:lineRule="auto"/>
              <w:rPr>
                <w:b/>
                <w:bCs/>
                <w:noProof/>
                <w:sz w:val="20"/>
                <w:szCs w:val="20"/>
              </w:rPr>
            </w:pPr>
          </w:p>
          <w:p w14:paraId="60EBEEEA" w14:textId="77777777" w:rsidR="00CF18D1" w:rsidRPr="00A92A47" w:rsidRDefault="00CF18D1" w:rsidP="00CF18D1">
            <w:pPr>
              <w:keepLines/>
              <w:spacing w:before="0" w:after="0" w:line="240" w:lineRule="auto"/>
              <w:rPr>
                <w:b/>
                <w:bCs/>
                <w:noProof/>
                <w:sz w:val="20"/>
                <w:szCs w:val="20"/>
              </w:rPr>
            </w:pPr>
            <w:r w:rsidRPr="00A92A47">
              <w:rPr>
                <w:b/>
                <w:bCs/>
                <w:noProof/>
                <w:sz w:val="20"/>
                <w:szCs w:val="20"/>
              </w:rPr>
              <w:t>Geographic Location</w:t>
            </w:r>
            <w:r w:rsidRPr="00A92A47">
              <w:rPr>
                <w:b/>
                <w:bCs/>
                <w:noProof/>
                <w:sz w:val="20"/>
                <w:szCs w:val="20"/>
                <w:vertAlign w:val="superscript"/>
              </w:rPr>
              <w:t>b</w:t>
            </w:r>
          </w:p>
        </w:tc>
        <w:tc>
          <w:tcPr>
            <w:tcW w:w="1474" w:type="dxa"/>
            <w:tcBorders>
              <w:top w:val="nil"/>
              <w:left w:val="nil"/>
              <w:bottom w:val="nil"/>
              <w:right w:val="nil"/>
            </w:tcBorders>
          </w:tcPr>
          <w:p w14:paraId="56397CB8" w14:textId="77777777" w:rsidR="00CF18D1" w:rsidRPr="00A92A47" w:rsidRDefault="00CF18D1" w:rsidP="00CF18D1">
            <w:pPr>
              <w:keepLines/>
              <w:spacing w:before="0" w:after="0" w:line="240" w:lineRule="auto"/>
              <w:rPr>
                <w:noProof/>
                <w:sz w:val="20"/>
                <w:szCs w:val="20"/>
              </w:rPr>
            </w:pPr>
          </w:p>
        </w:tc>
        <w:tc>
          <w:tcPr>
            <w:tcW w:w="1616" w:type="dxa"/>
            <w:tcBorders>
              <w:top w:val="nil"/>
              <w:left w:val="nil"/>
              <w:bottom w:val="nil"/>
              <w:right w:val="nil"/>
            </w:tcBorders>
          </w:tcPr>
          <w:p w14:paraId="76728664" w14:textId="77777777" w:rsidR="00CF18D1" w:rsidRPr="00A92A47" w:rsidRDefault="00CF18D1" w:rsidP="00CF18D1">
            <w:pPr>
              <w:keepLines/>
              <w:spacing w:before="0" w:after="0" w:line="240" w:lineRule="auto"/>
              <w:rPr>
                <w:noProof/>
                <w:sz w:val="20"/>
                <w:szCs w:val="20"/>
              </w:rPr>
            </w:pPr>
          </w:p>
        </w:tc>
        <w:tc>
          <w:tcPr>
            <w:tcW w:w="1616" w:type="dxa"/>
            <w:tcBorders>
              <w:top w:val="nil"/>
              <w:left w:val="nil"/>
              <w:bottom w:val="nil"/>
              <w:right w:val="nil"/>
            </w:tcBorders>
          </w:tcPr>
          <w:p w14:paraId="229AAB95" w14:textId="77777777" w:rsidR="00CF18D1" w:rsidRPr="00A92A47" w:rsidRDefault="00CF18D1" w:rsidP="00CF18D1">
            <w:pPr>
              <w:keepLines/>
              <w:spacing w:before="0" w:after="0" w:line="240" w:lineRule="auto"/>
              <w:rPr>
                <w:noProof/>
                <w:sz w:val="20"/>
                <w:szCs w:val="20"/>
              </w:rPr>
            </w:pPr>
          </w:p>
        </w:tc>
        <w:tc>
          <w:tcPr>
            <w:tcW w:w="1616" w:type="dxa"/>
            <w:tcBorders>
              <w:top w:val="nil"/>
              <w:left w:val="nil"/>
              <w:bottom w:val="nil"/>
            </w:tcBorders>
          </w:tcPr>
          <w:p w14:paraId="22B53358" w14:textId="77777777" w:rsidR="00CF18D1" w:rsidRPr="00A92A47" w:rsidRDefault="00CF18D1" w:rsidP="00CF18D1">
            <w:pPr>
              <w:keepLines/>
              <w:spacing w:before="0" w:after="0" w:line="240" w:lineRule="auto"/>
              <w:rPr>
                <w:noProof/>
                <w:sz w:val="20"/>
                <w:szCs w:val="20"/>
              </w:rPr>
            </w:pPr>
          </w:p>
        </w:tc>
      </w:tr>
      <w:tr w:rsidR="00CF18D1" w14:paraId="129F020D" w14:textId="77777777" w:rsidTr="00CF18D1">
        <w:tc>
          <w:tcPr>
            <w:tcW w:w="2694" w:type="dxa"/>
            <w:tcBorders>
              <w:top w:val="nil"/>
              <w:bottom w:val="nil"/>
              <w:right w:val="nil"/>
            </w:tcBorders>
          </w:tcPr>
          <w:p w14:paraId="62F79CFC"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 xml:space="preserve">Urban </w:t>
            </w:r>
          </w:p>
        </w:tc>
        <w:tc>
          <w:tcPr>
            <w:tcW w:w="1474" w:type="dxa"/>
            <w:tcBorders>
              <w:top w:val="nil"/>
              <w:left w:val="nil"/>
              <w:bottom w:val="nil"/>
              <w:right w:val="nil"/>
            </w:tcBorders>
          </w:tcPr>
          <w:p w14:paraId="504E5719" w14:textId="77777777" w:rsidR="00CF18D1" w:rsidRPr="00A92A47" w:rsidRDefault="00CF18D1" w:rsidP="00CF18D1">
            <w:pPr>
              <w:keepLines/>
              <w:spacing w:before="0" w:after="0" w:line="240" w:lineRule="auto"/>
              <w:rPr>
                <w:noProof/>
                <w:sz w:val="20"/>
                <w:szCs w:val="20"/>
              </w:rPr>
            </w:pPr>
            <w:r w:rsidRPr="00A92A47">
              <w:rPr>
                <w:noProof/>
                <w:sz w:val="20"/>
                <w:szCs w:val="20"/>
              </w:rPr>
              <w:t>1</w:t>
            </w:r>
            <w:r>
              <w:rPr>
                <w:noProof/>
                <w:sz w:val="20"/>
                <w:szCs w:val="20"/>
              </w:rPr>
              <w:t>2</w:t>
            </w:r>
          </w:p>
        </w:tc>
        <w:tc>
          <w:tcPr>
            <w:tcW w:w="1616" w:type="dxa"/>
            <w:tcBorders>
              <w:top w:val="nil"/>
              <w:left w:val="nil"/>
              <w:bottom w:val="nil"/>
              <w:right w:val="nil"/>
            </w:tcBorders>
          </w:tcPr>
          <w:p w14:paraId="687034F8" w14:textId="77777777" w:rsidR="00CF18D1" w:rsidRPr="00A92A47" w:rsidRDefault="00CF18D1" w:rsidP="00CF18D1">
            <w:pPr>
              <w:keepLines/>
              <w:spacing w:before="0" w:after="0" w:line="240" w:lineRule="auto"/>
              <w:rPr>
                <w:noProof/>
                <w:sz w:val="20"/>
                <w:szCs w:val="20"/>
              </w:rPr>
            </w:pPr>
            <w:r w:rsidRPr="00A92A47">
              <w:rPr>
                <w:noProof/>
                <w:sz w:val="20"/>
                <w:szCs w:val="20"/>
              </w:rPr>
              <w:t>2</w:t>
            </w:r>
            <w:r>
              <w:rPr>
                <w:noProof/>
                <w:sz w:val="20"/>
                <w:szCs w:val="20"/>
              </w:rPr>
              <w:t>1</w:t>
            </w:r>
          </w:p>
        </w:tc>
        <w:tc>
          <w:tcPr>
            <w:tcW w:w="1616" w:type="dxa"/>
            <w:tcBorders>
              <w:top w:val="nil"/>
              <w:left w:val="nil"/>
              <w:bottom w:val="nil"/>
              <w:right w:val="nil"/>
            </w:tcBorders>
          </w:tcPr>
          <w:p w14:paraId="33ACF499" w14:textId="77777777" w:rsidR="00CF18D1" w:rsidRPr="00A92A47" w:rsidRDefault="00CF18D1" w:rsidP="00CF18D1">
            <w:pPr>
              <w:keepLines/>
              <w:spacing w:before="0" w:after="0" w:line="240" w:lineRule="auto"/>
              <w:rPr>
                <w:noProof/>
                <w:sz w:val="20"/>
                <w:szCs w:val="20"/>
              </w:rPr>
            </w:pPr>
            <w:r>
              <w:rPr>
                <w:noProof/>
                <w:sz w:val="20"/>
                <w:szCs w:val="20"/>
              </w:rPr>
              <w:t>45</w:t>
            </w:r>
          </w:p>
        </w:tc>
        <w:tc>
          <w:tcPr>
            <w:tcW w:w="1616" w:type="dxa"/>
            <w:tcBorders>
              <w:top w:val="nil"/>
              <w:left w:val="nil"/>
              <w:bottom w:val="nil"/>
            </w:tcBorders>
          </w:tcPr>
          <w:p w14:paraId="0D3057A5" w14:textId="77777777" w:rsidR="00CF18D1" w:rsidRPr="00A92A47" w:rsidRDefault="00CF18D1" w:rsidP="00CF18D1">
            <w:pPr>
              <w:keepLines/>
              <w:spacing w:before="0" w:after="0" w:line="240" w:lineRule="auto"/>
              <w:rPr>
                <w:noProof/>
                <w:sz w:val="20"/>
                <w:szCs w:val="20"/>
              </w:rPr>
            </w:pPr>
            <w:r>
              <w:rPr>
                <w:noProof/>
                <w:sz w:val="20"/>
                <w:szCs w:val="20"/>
              </w:rPr>
              <w:t>32</w:t>
            </w:r>
          </w:p>
        </w:tc>
      </w:tr>
      <w:tr w:rsidR="00CF18D1" w14:paraId="79E4FD90" w14:textId="77777777" w:rsidTr="00CF18D1">
        <w:tc>
          <w:tcPr>
            <w:tcW w:w="2694" w:type="dxa"/>
            <w:tcBorders>
              <w:top w:val="nil"/>
              <w:bottom w:val="nil"/>
              <w:right w:val="nil"/>
            </w:tcBorders>
          </w:tcPr>
          <w:p w14:paraId="791E6D88"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Regional</w:t>
            </w:r>
          </w:p>
        </w:tc>
        <w:tc>
          <w:tcPr>
            <w:tcW w:w="1474" w:type="dxa"/>
            <w:tcBorders>
              <w:top w:val="nil"/>
              <w:left w:val="nil"/>
              <w:bottom w:val="nil"/>
              <w:right w:val="nil"/>
            </w:tcBorders>
          </w:tcPr>
          <w:p w14:paraId="1F5CFF2E" w14:textId="77777777" w:rsidR="00CF18D1" w:rsidRPr="00A92A47" w:rsidRDefault="00CF18D1" w:rsidP="00CF18D1">
            <w:pPr>
              <w:keepLines/>
              <w:spacing w:before="0" w:after="0" w:line="240" w:lineRule="auto"/>
              <w:rPr>
                <w:noProof/>
                <w:sz w:val="20"/>
                <w:szCs w:val="20"/>
              </w:rPr>
            </w:pPr>
            <w:r>
              <w:rPr>
                <w:noProof/>
                <w:sz w:val="20"/>
                <w:szCs w:val="20"/>
              </w:rPr>
              <w:t>21</w:t>
            </w:r>
          </w:p>
        </w:tc>
        <w:tc>
          <w:tcPr>
            <w:tcW w:w="1616" w:type="dxa"/>
            <w:tcBorders>
              <w:top w:val="nil"/>
              <w:left w:val="nil"/>
              <w:bottom w:val="nil"/>
              <w:right w:val="nil"/>
            </w:tcBorders>
          </w:tcPr>
          <w:p w14:paraId="4DB65C74" w14:textId="77777777" w:rsidR="00CF18D1" w:rsidRPr="00A92A47" w:rsidRDefault="00CF18D1" w:rsidP="00CF18D1">
            <w:pPr>
              <w:keepLines/>
              <w:spacing w:before="0" w:after="0" w:line="240" w:lineRule="auto"/>
              <w:rPr>
                <w:noProof/>
                <w:sz w:val="20"/>
                <w:szCs w:val="20"/>
              </w:rPr>
            </w:pPr>
            <w:r w:rsidRPr="00A92A47">
              <w:rPr>
                <w:noProof/>
                <w:sz w:val="20"/>
                <w:szCs w:val="20"/>
              </w:rPr>
              <w:t>3</w:t>
            </w:r>
            <w:r>
              <w:rPr>
                <w:noProof/>
                <w:sz w:val="20"/>
                <w:szCs w:val="20"/>
              </w:rPr>
              <w:t>7</w:t>
            </w:r>
          </w:p>
        </w:tc>
        <w:tc>
          <w:tcPr>
            <w:tcW w:w="1616" w:type="dxa"/>
            <w:tcBorders>
              <w:top w:val="nil"/>
              <w:left w:val="nil"/>
              <w:bottom w:val="nil"/>
              <w:right w:val="nil"/>
            </w:tcBorders>
          </w:tcPr>
          <w:p w14:paraId="6805B8B0" w14:textId="77777777" w:rsidR="00CF18D1" w:rsidRPr="00A92A47" w:rsidRDefault="00CF18D1" w:rsidP="00CF18D1">
            <w:pPr>
              <w:keepLines/>
              <w:spacing w:before="0" w:after="0" w:line="240" w:lineRule="auto"/>
              <w:rPr>
                <w:noProof/>
                <w:sz w:val="20"/>
                <w:szCs w:val="20"/>
              </w:rPr>
            </w:pPr>
            <w:r w:rsidRPr="00A92A47">
              <w:rPr>
                <w:noProof/>
                <w:sz w:val="20"/>
                <w:szCs w:val="20"/>
              </w:rPr>
              <w:t>6</w:t>
            </w:r>
            <w:r>
              <w:rPr>
                <w:noProof/>
                <w:sz w:val="20"/>
                <w:szCs w:val="20"/>
              </w:rPr>
              <w:t>7</w:t>
            </w:r>
          </w:p>
        </w:tc>
        <w:tc>
          <w:tcPr>
            <w:tcW w:w="1616" w:type="dxa"/>
            <w:tcBorders>
              <w:top w:val="nil"/>
              <w:left w:val="nil"/>
              <w:bottom w:val="nil"/>
            </w:tcBorders>
          </w:tcPr>
          <w:p w14:paraId="3E8B1D04" w14:textId="77777777" w:rsidR="00CF18D1" w:rsidRPr="00A92A47" w:rsidRDefault="00CF18D1" w:rsidP="00CF18D1">
            <w:pPr>
              <w:keepLines/>
              <w:spacing w:before="0" w:after="0" w:line="240" w:lineRule="auto"/>
              <w:rPr>
                <w:noProof/>
                <w:sz w:val="20"/>
                <w:szCs w:val="20"/>
              </w:rPr>
            </w:pPr>
            <w:r w:rsidRPr="00A92A47">
              <w:rPr>
                <w:noProof/>
                <w:sz w:val="20"/>
                <w:szCs w:val="20"/>
              </w:rPr>
              <w:t>4</w:t>
            </w:r>
            <w:r>
              <w:rPr>
                <w:noProof/>
                <w:sz w:val="20"/>
                <w:szCs w:val="20"/>
              </w:rPr>
              <w:t>8</w:t>
            </w:r>
          </w:p>
        </w:tc>
      </w:tr>
      <w:tr w:rsidR="00CF18D1" w14:paraId="2A253591" w14:textId="77777777" w:rsidTr="00CF18D1">
        <w:tc>
          <w:tcPr>
            <w:tcW w:w="2694" w:type="dxa"/>
            <w:tcBorders>
              <w:top w:val="nil"/>
              <w:right w:val="nil"/>
            </w:tcBorders>
          </w:tcPr>
          <w:p w14:paraId="60E078B8" w14:textId="77777777" w:rsidR="00CF18D1" w:rsidRPr="00D1628A" w:rsidRDefault="00CF18D1" w:rsidP="00CF18D1">
            <w:pPr>
              <w:keepLines/>
              <w:spacing w:before="0" w:after="0" w:line="240" w:lineRule="auto"/>
              <w:ind w:left="318"/>
              <w:rPr>
                <w:noProof/>
                <w:sz w:val="20"/>
                <w:szCs w:val="20"/>
              </w:rPr>
            </w:pPr>
            <w:r w:rsidRPr="00D1628A">
              <w:rPr>
                <w:noProof/>
                <w:sz w:val="20"/>
                <w:szCs w:val="20"/>
              </w:rPr>
              <w:t>Remote</w:t>
            </w:r>
          </w:p>
        </w:tc>
        <w:tc>
          <w:tcPr>
            <w:tcW w:w="1474" w:type="dxa"/>
            <w:tcBorders>
              <w:top w:val="nil"/>
              <w:left w:val="nil"/>
              <w:right w:val="nil"/>
            </w:tcBorders>
          </w:tcPr>
          <w:p w14:paraId="1E840AFB" w14:textId="77777777" w:rsidR="00CF18D1" w:rsidRPr="00A92A47" w:rsidRDefault="00CF18D1" w:rsidP="00CF18D1">
            <w:pPr>
              <w:keepLines/>
              <w:spacing w:before="0" w:after="0" w:line="240" w:lineRule="auto"/>
              <w:rPr>
                <w:noProof/>
                <w:sz w:val="20"/>
                <w:szCs w:val="20"/>
              </w:rPr>
            </w:pPr>
            <w:r w:rsidRPr="00A92A47">
              <w:rPr>
                <w:noProof/>
                <w:sz w:val="20"/>
                <w:szCs w:val="20"/>
              </w:rPr>
              <w:t>24</w:t>
            </w:r>
          </w:p>
        </w:tc>
        <w:tc>
          <w:tcPr>
            <w:tcW w:w="1616" w:type="dxa"/>
            <w:tcBorders>
              <w:top w:val="nil"/>
              <w:left w:val="nil"/>
              <w:right w:val="nil"/>
            </w:tcBorders>
          </w:tcPr>
          <w:p w14:paraId="4AA5F462" w14:textId="77777777" w:rsidR="00CF18D1" w:rsidRPr="00A92A47" w:rsidRDefault="00CF18D1" w:rsidP="00CF18D1">
            <w:pPr>
              <w:keepLines/>
              <w:spacing w:before="0" w:after="0" w:line="240" w:lineRule="auto"/>
              <w:rPr>
                <w:noProof/>
                <w:sz w:val="20"/>
                <w:szCs w:val="20"/>
              </w:rPr>
            </w:pPr>
            <w:r w:rsidRPr="00A92A47">
              <w:rPr>
                <w:noProof/>
                <w:sz w:val="20"/>
                <w:szCs w:val="20"/>
              </w:rPr>
              <w:t>42</w:t>
            </w:r>
          </w:p>
        </w:tc>
        <w:tc>
          <w:tcPr>
            <w:tcW w:w="1616" w:type="dxa"/>
            <w:tcBorders>
              <w:top w:val="nil"/>
              <w:left w:val="nil"/>
              <w:right w:val="nil"/>
            </w:tcBorders>
          </w:tcPr>
          <w:p w14:paraId="5B9D2C17" w14:textId="77777777" w:rsidR="00CF18D1" w:rsidRPr="00A92A47" w:rsidRDefault="00CF18D1" w:rsidP="00CF18D1">
            <w:pPr>
              <w:keepLines/>
              <w:spacing w:before="0" w:after="0" w:line="240" w:lineRule="auto"/>
              <w:rPr>
                <w:noProof/>
                <w:sz w:val="20"/>
                <w:szCs w:val="20"/>
              </w:rPr>
            </w:pPr>
            <w:r>
              <w:rPr>
                <w:noProof/>
                <w:sz w:val="20"/>
                <w:szCs w:val="20"/>
              </w:rPr>
              <w:t>26</w:t>
            </w:r>
          </w:p>
        </w:tc>
        <w:tc>
          <w:tcPr>
            <w:tcW w:w="1616" w:type="dxa"/>
            <w:tcBorders>
              <w:top w:val="nil"/>
              <w:left w:val="nil"/>
            </w:tcBorders>
          </w:tcPr>
          <w:p w14:paraId="37B15C0D" w14:textId="77777777" w:rsidR="00CF18D1" w:rsidRPr="00A92A47" w:rsidRDefault="00CF18D1" w:rsidP="00CF18D1">
            <w:pPr>
              <w:keepLines/>
              <w:spacing w:before="0" w:after="0" w:line="240" w:lineRule="auto"/>
              <w:rPr>
                <w:noProof/>
                <w:sz w:val="20"/>
                <w:szCs w:val="20"/>
              </w:rPr>
            </w:pPr>
            <w:r w:rsidRPr="00A92A47">
              <w:rPr>
                <w:noProof/>
                <w:sz w:val="20"/>
                <w:szCs w:val="20"/>
              </w:rPr>
              <w:t>19</w:t>
            </w:r>
          </w:p>
        </w:tc>
      </w:tr>
    </w:tbl>
    <w:p w14:paraId="7084C328" w14:textId="4CE81618" w:rsidR="00CF18D1" w:rsidRPr="00A84714" w:rsidRDefault="00CF18D1" w:rsidP="00CF18D1">
      <w:pPr>
        <w:keepLines/>
        <w:spacing w:before="0" w:after="0" w:line="240" w:lineRule="auto"/>
        <w:rPr>
          <w:noProof/>
          <w:sz w:val="20"/>
          <w:szCs w:val="20"/>
        </w:rPr>
      </w:pPr>
      <w:r w:rsidRPr="00A84714">
        <w:rPr>
          <w:noProof/>
          <w:sz w:val="20"/>
          <w:szCs w:val="20"/>
          <w:vertAlign w:val="superscript"/>
        </w:rPr>
        <w:t xml:space="preserve">a </w:t>
      </w:r>
      <w:r w:rsidRPr="00A84714">
        <w:rPr>
          <w:noProof/>
          <w:sz w:val="20"/>
          <w:szCs w:val="20"/>
        </w:rPr>
        <w:t>Participants described their roles in various ways. These were sorted into six professional roles as shown above.</w:t>
      </w:r>
      <w:r w:rsidRPr="00A84714">
        <w:rPr>
          <w:sz w:val="20"/>
          <w:szCs w:val="20"/>
        </w:rPr>
        <w:br/>
      </w:r>
      <w:r w:rsidRPr="00A84714">
        <w:rPr>
          <w:noProof/>
          <w:sz w:val="20"/>
          <w:szCs w:val="20"/>
          <w:vertAlign w:val="superscript"/>
        </w:rPr>
        <w:t xml:space="preserve">b </w:t>
      </w:r>
      <w:r w:rsidRPr="00A84714">
        <w:rPr>
          <w:noProof/>
          <w:sz w:val="20"/>
          <w:szCs w:val="20"/>
        </w:rPr>
        <w:t>Geographic location was determined for each health professional using the post code of the health centre they were employed and the AS</w:t>
      </w:r>
      <w:r w:rsidR="00677823">
        <w:rPr>
          <w:noProof/>
          <w:sz w:val="20"/>
          <w:szCs w:val="20"/>
        </w:rPr>
        <w:t>GC</w:t>
      </w:r>
      <w:r w:rsidRPr="00A84714">
        <w:rPr>
          <w:noProof/>
          <w:sz w:val="20"/>
          <w:szCs w:val="20"/>
        </w:rPr>
        <w:t>-RA Framework. The five relevant remoteness areas were reduced to three: Urban (major cities), Regional (inner and outer regional), and Remote (remote and very remote).</w:t>
      </w:r>
    </w:p>
    <w:p w14:paraId="303FBA50" w14:textId="77777777" w:rsidR="00CF18D1" w:rsidRPr="000E673F" w:rsidRDefault="00CF18D1" w:rsidP="00CF18D1">
      <w:pPr>
        <w:keepLines/>
        <w:spacing w:before="0" w:after="0" w:line="240" w:lineRule="auto"/>
      </w:pPr>
      <w:r w:rsidRPr="00A84714">
        <w:rPr>
          <w:noProof/>
          <w:sz w:val="20"/>
          <w:szCs w:val="20"/>
          <w:vertAlign w:val="superscript"/>
        </w:rPr>
        <w:t xml:space="preserve">c </w:t>
      </w:r>
      <w:r w:rsidRPr="00A84714">
        <w:rPr>
          <w:noProof/>
          <w:sz w:val="20"/>
          <w:szCs w:val="20"/>
        </w:rPr>
        <w:t>Percentages have been rounded to the nearest whole number</w:t>
      </w:r>
      <w:r>
        <w:rPr>
          <w:noProof/>
          <w:sz w:val="20"/>
          <w:szCs w:val="20"/>
        </w:rPr>
        <w:t xml:space="preserve"> and when totalled may be greater  than 100%</w:t>
      </w:r>
      <w:r w:rsidRPr="00A84714">
        <w:rPr>
          <w:noProof/>
          <w:sz w:val="20"/>
          <w:szCs w:val="20"/>
        </w:rPr>
        <w:t>.</w:t>
      </w:r>
      <w:r>
        <w:rPr>
          <w:noProof/>
          <w:sz w:val="18"/>
          <w:szCs w:val="18"/>
        </w:rPr>
        <w:t xml:space="preserve"> </w:t>
      </w:r>
      <w:r>
        <w:br/>
      </w:r>
    </w:p>
    <w:p w14:paraId="17DB4E61" w14:textId="0CD6C7D1" w:rsidR="00CF18D1" w:rsidRPr="009E1D0C" w:rsidRDefault="00CF18D1" w:rsidP="00366EAB">
      <w:pPr>
        <w:pStyle w:val="Heading3"/>
      </w:pPr>
      <w:bookmarkStart w:id="182" w:name="_Toc43144003"/>
      <w:bookmarkStart w:id="183" w:name="_Toc44279097"/>
      <w:bookmarkStart w:id="184" w:name="_Toc44339214"/>
      <w:bookmarkStart w:id="185" w:name="_Toc44361579"/>
      <w:bookmarkEnd w:id="182"/>
      <w:r w:rsidRPr="009E1D0C">
        <w:t>Changes in staff perception following training</w:t>
      </w:r>
      <w:bookmarkEnd w:id="183"/>
      <w:bookmarkEnd w:id="184"/>
      <w:bookmarkEnd w:id="185"/>
    </w:p>
    <w:p w14:paraId="535AA55F" w14:textId="77777777" w:rsidR="00CF18D1" w:rsidRPr="00A92A47" w:rsidRDefault="00CF18D1" w:rsidP="00CF18D1">
      <w:pPr>
        <w:rPr>
          <w:szCs w:val="22"/>
        </w:rPr>
      </w:pPr>
      <w:r w:rsidRPr="00A92A47">
        <w:rPr>
          <w:szCs w:val="22"/>
        </w:rPr>
        <w:t xml:space="preserve">The pre- and post-survey questionnaires were analysed to identify whether training made a difference to staff perceptions when delivered face-to-face or online, and for different professional groups or settings. These analyses were conducted to provide evidence about the level of support that might be required to enable health centre staff in general to deliver the Alternative Pathway, and, whether either mode of training </w:t>
      </w:r>
      <w:r>
        <w:rPr>
          <w:szCs w:val="22"/>
        </w:rPr>
        <w:t>was more effective</w:t>
      </w:r>
      <w:r w:rsidRPr="00A92A47">
        <w:rPr>
          <w:szCs w:val="22"/>
        </w:rPr>
        <w:t xml:space="preserve"> </w:t>
      </w:r>
      <w:r>
        <w:rPr>
          <w:szCs w:val="22"/>
        </w:rPr>
        <w:t>across</w:t>
      </w:r>
      <w:r w:rsidRPr="00A92A47">
        <w:rPr>
          <w:szCs w:val="22"/>
        </w:rPr>
        <w:t xml:space="preserve"> different professional roles </w:t>
      </w:r>
      <w:r>
        <w:rPr>
          <w:szCs w:val="22"/>
        </w:rPr>
        <w:t>and</w:t>
      </w:r>
      <w:r w:rsidRPr="00A92A47">
        <w:rPr>
          <w:szCs w:val="22"/>
        </w:rPr>
        <w:t xml:space="preserve"> different </w:t>
      </w:r>
      <w:r>
        <w:rPr>
          <w:szCs w:val="22"/>
        </w:rPr>
        <w:t>geographic locations</w:t>
      </w:r>
      <w:r w:rsidRPr="00A92A47">
        <w:rPr>
          <w:szCs w:val="22"/>
        </w:rPr>
        <w:t>.</w:t>
      </w:r>
    </w:p>
    <w:p w14:paraId="578707F3" w14:textId="77777777" w:rsidR="00CF18D1" w:rsidRPr="00A92A47" w:rsidRDefault="00CF18D1" w:rsidP="00CF18D1">
      <w:pPr>
        <w:rPr>
          <w:szCs w:val="22"/>
        </w:rPr>
      </w:pPr>
      <w:r w:rsidRPr="00A92A47">
        <w:rPr>
          <w:szCs w:val="22"/>
        </w:rPr>
        <w:t xml:space="preserve">For each analysis, the mean scores were calculated for each grouping of participants, using responses to statements in the pre-training questionnaire that related to each of the three constructs. This process was repeated for the post-training questionnaire. Differences between mean scores were analysed using statistical methods. </w:t>
      </w:r>
    </w:p>
    <w:p w14:paraId="7248D854" w14:textId="77777777" w:rsidR="00CF18D1" w:rsidRPr="009E1D0C" w:rsidRDefault="00CF18D1" w:rsidP="00366EAB">
      <w:pPr>
        <w:pStyle w:val="Heading3"/>
      </w:pPr>
      <w:bookmarkStart w:id="186" w:name="_Toc44279098"/>
      <w:bookmarkStart w:id="187" w:name="_Toc44339215"/>
      <w:bookmarkStart w:id="188" w:name="_Toc44361580"/>
      <w:r>
        <w:t>Online training vs face-to-face training</w:t>
      </w:r>
      <w:bookmarkEnd w:id="186"/>
      <w:bookmarkEnd w:id="187"/>
      <w:bookmarkEnd w:id="188"/>
      <w:r>
        <w:t xml:space="preserve"> </w:t>
      </w:r>
    </w:p>
    <w:p w14:paraId="6FA013A9" w14:textId="71428A74" w:rsidR="00CF18D1" w:rsidRDefault="00CF18D1" w:rsidP="00CF18D1">
      <w:pPr>
        <w:rPr>
          <w:noProof/>
          <w:szCs w:val="22"/>
        </w:rPr>
      </w:pPr>
      <w:r w:rsidRPr="00A92A47">
        <w:rPr>
          <w:noProof/>
          <w:szCs w:val="22"/>
        </w:rPr>
        <w:t>Participants showed a</w:t>
      </w:r>
      <w:r w:rsidRPr="00A92A47">
        <w:rPr>
          <w:szCs w:val="22"/>
        </w:rPr>
        <w:t xml:space="preserve"> significant increase in </w:t>
      </w:r>
      <w:r w:rsidRPr="00A92A47">
        <w:rPr>
          <w:noProof/>
          <w:szCs w:val="22"/>
        </w:rPr>
        <w:t xml:space="preserve">confidence </w:t>
      </w:r>
      <w:r>
        <w:rPr>
          <w:noProof/>
          <w:szCs w:val="22"/>
        </w:rPr>
        <w:t>in</w:t>
      </w:r>
      <w:r w:rsidRPr="00A92A47">
        <w:rPr>
          <w:noProof/>
          <w:szCs w:val="22"/>
        </w:rPr>
        <w:t xml:space="preserve"> talk</w:t>
      </w:r>
      <w:r>
        <w:rPr>
          <w:noProof/>
          <w:szCs w:val="22"/>
        </w:rPr>
        <w:t>ing</w:t>
      </w:r>
      <w:r w:rsidRPr="00A92A47">
        <w:rPr>
          <w:noProof/>
          <w:szCs w:val="22"/>
        </w:rPr>
        <w:t xml:space="preserve"> with Indigenous patients about bowel screening from both online and face-to-face training, as shown in </w:t>
      </w:r>
      <w:r w:rsidRPr="002C477A">
        <w:rPr>
          <w:noProof/>
          <w:szCs w:val="22"/>
        </w:rPr>
        <w:t xml:space="preserve">Figure </w:t>
      </w:r>
      <w:r>
        <w:rPr>
          <w:noProof/>
          <w:szCs w:val="22"/>
        </w:rPr>
        <w:t>6.</w:t>
      </w:r>
      <w:r w:rsidR="00973244">
        <w:rPr>
          <w:noProof/>
          <w:szCs w:val="22"/>
        </w:rPr>
        <w:t>3</w:t>
      </w:r>
      <w:r w:rsidRPr="00E17DAA">
        <w:rPr>
          <w:noProof/>
          <w:szCs w:val="22"/>
        </w:rPr>
        <w:t xml:space="preserve">.  </w:t>
      </w:r>
    </w:p>
    <w:p w14:paraId="6B1F320D" w14:textId="77777777" w:rsidR="00CF18D1" w:rsidRDefault="00CF18D1" w:rsidP="00CF18D1">
      <w:pPr>
        <w:rPr>
          <w:i/>
          <w:iCs/>
          <w:szCs w:val="22"/>
        </w:rPr>
      </w:pPr>
      <w:r w:rsidRPr="00A92A47">
        <w:rPr>
          <w:noProof/>
          <w:szCs w:val="22"/>
        </w:rPr>
        <w:lastRenderedPageBreak/>
        <w:t>Staff perceptions of</w:t>
      </w:r>
      <w:r w:rsidRPr="00A92A47">
        <w:rPr>
          <w:szCs w:val="22"/>
        </w:rPr>
        <w:t xml:space="preserve"> their role in promoting bowel screening slightly </w:t>
      </w:r>
      <w:r w:rsidRPr="00A92A47">
        <w:rPr>
          <w:noProof/>
          <w:szCs w:val="22"/>
        </w:rPr>
        <w:t>increased among</w:t>
      </w:r>
      <w:r w:rsidRPr="00A92A47">
        <w:rPr>
          <w:szCs w:val="22"/>
        </w:rPr>
        <w:t xml:space="preserve"> participants receiving face-to-face training, but not by those who accessed training online</w:t>
      </w:r>
      <w:r w:rsidRPr="00A92A47">
        <w:rPr>
          <w:i/>
          <w:iCs/>
          <w:szCs w:val="22"/>
        </w:rPr>
        <w:t>.</w:t>
      </w:r>
    </w:p>
    <w:p w14:paraId="26D02013" w14:textId="77777777" w:rsidR="00CF18D1" w:rsidRDefault="00CF18D1" w:rsidP="00CF18D1">
      <w:r w:rsidRPr="00A92A47">
        <w:rPr>
          <w:szCs w:val="22"/>
        </w:rPr>
        <w:t xml:space="preserve">Motivation </w:t>
      </w:r>
      <w:r>
        <w:rPr>
          <w:szCs w:val="22"/>
        </w:rPr>
        <w:t xml:space="preserve">to promote bowel screening </w:t>
      </w:r>
      <w:r w:rsidRPr="00A92A47">
        <w:rPr>
          <w:szCs w:val="22"/>
        </w:rPr>
        <w:t>showed little change in either training mode.</w:t>
      </w:r>
      <w:r>
        <w:t xml:space="preserve"> </w:t>
      </w:r>
    </w:p>
    <w:p w14:paraId="196B3C6A" w14:textId="77777777" w:rsidR="00CF18D1" w:rsidRDefault="00CF18D1" w:rsidP="00CF18D1"/>
    <w:p w14:paraId="41F97B3C" w14:textId="77777777" w:rsidR="00CF18D1" w:rsidRDefault="00CF18D1" w:rsidP="00CF18D1">
      <w:pPr>
        <w:keepNext/>
      </w:pPr>
      <w:r>
        <w:rPr>
          <w:noProof/>
          <w:lang w:eastAsia="en-AU"/>
        </w:rPr>
        <w:drawing>
          <wp:inline distT="0" distB="0" distL="0" distR="0" wp14:anchorId="6CAC7386" wp14:editId="3BBF0772">
            <wp:extent cx="5727700" cy="2449195"/>
            <wp:effectExtent l="0" t="0" r="6350" b="8255"/>
            <wp:docPr id="30" name="Picture 30" descr="Chart showing pre-training and post-training changes in role perception, motivation and confidence, for both online and face-to-face training. Confidence shows a marked improvement aft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howing pre-training and post-training changes in role perception, motivation and confidence, for both online and face-to-face training. Confidence shows a marked improvement after training."/>
                    <pic:cNvPicPr/>
                  </pic:nvPicPr>
                  <pic:blipFill>
                    <a:blip r:embed="rId34">
                      <a:extLst>
                        <a:ext uri="{28A0092B-C50C-407E-A947-70E740481C1C}">
                          <a14:useLocalDpi xmlns:a14="http://schemas.microsoft.com/office/drawing/2010/main"/>
                        </a:ext>
                      </a:extLst>
                    </a:blip>
                    <a:stretch>
                      <a:fillRect/>
                    </a:stretch>
                  </pic:blipFill>
                  <pic:spPr>
                    <a:xfrm>
                      <a:off x="0" y="0"/>
                      <a:ext cx="5727700" cy="2449195"/>
                    </a:xfrm>
                    <a:prstGeom prst="rect">
                      <a:avLst/>
                    </a:prstGeom>
                  </pic:spPr>
                </pic:pic>
              </a:graphicData>
            </a:graphic>
          </wp:inline>
        </w:drawing>
      </w:r>
    </w:p>
    <w:p w14:paraId="1AF986A3" w14:textId="77777777" w:rsidR="00CF18D1" w:rsidRDefault="00CF18D1" w:rsidP="002E74E6">
      <w:pPr>
        <w:pStyle w:val="Caption"/>
      </w:pPr>
    </w:p>
    <w:p w14:paraId="71AEECE2" w14:textId="20C67596" w:rsidR="00CF18D1" w:rsidRDefault="00CF18D1" w:rsidP="002E74E6">
      <w:pPr>
        <w:pStyle w:val="Caption"/>
      </w:pPr>
      <w:r>
        <w:t>Figure 6.</w:t>
      </w:r>
      <w:r w:rsidR="0038131A">
        <w:t>3:</w:t>
      </w:r>
      <w:r w:rsidRPr="002C477A">
        <w:rPr>
          <w:noProof/>
        </w:rPr>
        <w:t xml:space="preserve"> Changes in perception of </w:t>
      </w:r>
      <w:r>
        <w:rPr>
          <w:noProof/>
        </w:rPr>
        <w:t xml:space="preserve">all training </w:t>
      </w:r>
      <w:r w:rsidRPr="002C477A">
        <w:rPr>
          <w:noProof/>
        </w:rPr>
        <w:t>participants who completed pre-and-post training questionnaire</w:t>
      </w:r>
    </w:p>
    <w:p w14:paraId="5EC299DA" w14:textId="77777777" w:rsidR="00CF18D1" w:rsidRPr="009E1D0C" w:rsidRDefault="00CF18D1" w:rsidP="00366EAB">
      <w:pPr>
        <w:pStyle w:val="Heading3"/>
      </w:pPr>
      <w:bookmarkStart w:id="189" w:name="_Toc44279099"/>
      <w:bookmarkStart w:id="190" w:name="_Toc44339216"/>
      <w:bookmarkStart w:id="191" w:name="_Toc44361581"/>
      <w:r>
        <w:t>Variation in response to training, by professional role</w:t>
      </w:r>
      <w:bookmarkEnd w:id="189"/>
      <w:bookmarkEnd w:id="190"/>
      <w:bookmarkEnd w:id="191"/>
    </w:p>
    <w:p w14:paraId="6A9534DB" w14:textId="290806B3" w:rsidR="00CF18D1" w:rsidRPr="00A92A47" w:rsidRDefault="00CF18D1" w:rsidP="00CF18D1">
      <w:pPr>
        <w:rPr>
          <w:szCs w:val="22"/>
        </w:rPr>
      </w:pPr>
      <w:r w:rsidRPr="00A92A47">
        <w:rPr>
          <w:szCs w:val="22"/>
        </w:rPr>
        <w:t xml:space="preserve">Results from the pre- and post-training questionnaires were compared for online and face-to-face training participants from each of the six categories of professional roles (nurses, </w:t>
      </w:r>
      <w:r w:rsidR="002C3688">
        <w:rPr>
          <w:szCs w:val="22"/>
        </w:rPr>
        <w:t>IHW</w:t>
      </w:r>
      <w:r w:rsidRPr="00A92A47">
        <w:rPr>
          <w:szCs w:val="22"/>
        </w:rPr>
        <w:t>s/practitioners, general practitioners, management and administrative staff, health promotion and education staff and other).</w:t>
      </w:r>
    </w:p>
    <w:p w14:paraId="7919AEA4" w14:textId="3DC7FF6A" w:rsidR="00CF18D1" w:rsidRPr="00A92A47" w:rsidRDefault="00CF18D1" w:rsidP="00CF18D1">
      <w:pPr>
        <w:rPr>
          <w:szCs w:val="22"/>
        </w:rPr>
      </w:pPr>
      <w:r>
        <w:rPr>
          <w:szCs w:val="22"/>
        </w:rPr>
        <w:t>All</w:t>
      </w:r>
      <w:r w:rsidRPr="00A92A47">
        <w:rPr>
          <w:szCs w:val="22"/>
        </w:rPr>
        <w:t xml:space="preserve"> professional groups registered a significant increase in</w:t>
      </w:r>
      <w:r>
        <w:rPr>
          <w:szCs w:val="22"/>
        </w:rPr>
        <w:t xml:space="preserve"> </w:t>
      </w:r>
      <w:r w:rsidRPr="00A92A47">
        <w:rPr>
          <w:szCs w:val="22"/>
        </w:rPr>
        <w:t>confidence talk</w:t>
      </w:r>
      <w:r>
        <w:rPr>
          <w:szCs w:val="22"/>
        </w:rPr>
        <w:t>ing</w:t>
      </w:r>
      <w:r w:rsidRPr="00A92A47">
        <w:rPr>
          <w:szCs w:val="22"/>
        </w:rPr>
        <w:t xml:space="preserve"> with </w:t>
      </w:r>
      <w:r>
        <w:rPr>
          <w:szCs w:val="22"/>
        </w:rPr>
        <w:t>patients</w:t>
      </w:r>
      <w:r w:rsidRPr="00A92A47">
        <w:rPr>
          <w:szCs w:val="22"/>
        </w:rPr>
        <w:t xml:space="preserve"> about bowel screening after </w:t>
      </w:r>
      <w:r w:rsidRPr="00A92A47">
        <w:rPr>
          <w:iCs/>
          <w:szCs w:val="22"/>
        </w:rPr>
        <w:t>face-to-face</w:t>
      </w:r>
      <w:r w:rsidRPr="00A92A47">
        <w:rPr>
          <w:szCs w:val="22"/>
        </w:rPr>
        <w:t xml:space="preserve"> training, and for </w:t>
      </w:r>
      <w:r w:rsidR="002C3688">
        <w:rPr>
          <w:szCs w:val="22"/>
        </w:rPr>
        <w:t>IHW</w:t>
      </w:r>
      <w:r w:rsidRPr="00A92A47">
        <w:rPr>
          <w:szCs w:val="22"/>
        </w:rPr>
        <w:t xml:space="preserve">s/practitioners, nurses and GPs, the increase in confidence occurred </w:t>
      </w:r>
      <w:r>
        <w:rPr>
          <w:szCs w:val="22"/>
        </w:rPr>
        <w:t>after</w:t>
      </w:r>
      <w:r w:rsidRPr="00A92A47">
        <w:rPr>
          <w:szCs w:val="22"/>
        </w:rPr>
        <w:t xml:space="preserve"> both </w:t>
      </w:r>
      <w:r w:rsidRPr="00A92A47">
        <w:rPr>
          <w:iCs/>
          <w:szCs w:val="22"/>
        </w:rPr>
        <w:t>face-to-face</w:t>
      </w:r>
      <w:r w:rsidRPr="00A92A47">
        <w:rPr>
          <w:szCs w:val="22"/>
        </w:rPr>
        <w:t xml:space="preserve"> and online training. </w:t>
      </w:r>
    </w:p>
    <w:p w14:paraId="694DB7CC" w14:textId="4BA303F8" w:rsidR="00CF18D1" w:rsidRPr="00A92A47" w:rsidRDefault="00CF18D1" w:rsidP="00CF18D1">
      <w:pPr>
        <w:rPr>
          <w:szCs w:val="22"/>
        </w:rPr>
      </w:pPr>
      <w:r w:rsidRPr="00A92A47">
        <w:rPr>
          <w:szCs w:val="22"/>
        </w:rPr>
        <w:t xml:space="preserve">Nurses, </w:t>
      </w:r>
      <w:r w:rsidR="002C3688">
        <w:rPr>
          <w:szCs w:val="22"/>
        </w:rPr>
        <w:t>Indigenous Health Worker</w:t>
      </w:r>
      <w:r w:rsidRPr="00A92A47">
        <w:rPr>
          <w:szCs w:val="22"/>
        </w:rPr>
        <w:t xml:space="preserve">s/practitioners and management and admin staff </w:t>
      </w:r>
      <w:r>
        <w:rPr>
          <w:szCs w:val="22"/>
        </w:rPr>
        <w:t xml:space="preserve">also </w:t>
      </w:r>
      <w:r w:rsidRPr="00A92A47">
        <w:rPr>
          <w:szCs w:val="22"/>
        </w:rPr>
        <w:t xml:space="preserve">recorded higher scores after </w:t>
      </w:r>
      <w:r w:rsidRPr="00A92A47">
        <w:rPr>
          <w:iCs/>
          <w:szCs w:val="22"/>
        </w:rPr>
        <w:t>face-to-face</w:t>
      </w:r>
      <w:r w:rsidRPr="00A92A47">
        <w:rPr>
          <w:szCs w:val="22"/>
        </w:rPr>
        <w:t xml:space="preserve"> training in relation to how they perceived their role in promoting bowel screening. In contrast, none of the groups showed any change in motivation to promote bowel screening.</w:t>
      </w:r>
    </w:p>
    <w:p w14:paraId="6590EE70" w14:textId="5C75C714" w:rsidR="00CF18D1" w:rsidRPr="00A92A47" w:rsidRDefault="00CF18D1" w:rsidP="00CF18D1">
      <w:pPr>
        <w:rPr>
          <w:szCs w:val="22"/>
        </w:rPr>
      </w:pPr>
      <w:bookmarkStart w:id="192" w:name="_Hlk43126446"/>
      <w:r w:rsidRPr="00A92A47">
        <w:rPr>
          <w:szCs w:val="22"/>
        </w:rPr>
        <w:t>The professional categories of health promotion and education; management and admin; and other</w:t>
      </w:r>
      <w:r w:rsidR="00467DF2">
        <w:rPr>
          <w:szCs w:val="22"/>
        </w:rPr>
        <w:t>,</w:t>
      </w:r>
      <w:r w:rsidRPr="00A92A47">
        <w:rPr>
          <w:szCs w:val="22"/>
        </w:rPr>
        <w:t xml:space="preserve"> had very small numbers recorded for online training, and the small sample size may have affected the results of the analysis. </w:t>
      </w:r>
    </w:p>
    <w:p w14:paraId="2F887AEC" w14:textId="77777777" w:rsidR="00CF18D1" w:rsidRPr="009E1D0C" w:rsidRDefault="00CF18D1" w:rsidP="00366EAB">
      <w:pPr>
        <w:pStyle w:val="Heading3"/>
      </w:pPr>
      <w:bookmarkStart w:id="193" w:name="_Toc44279100"/>
      <w:bookmarkStart w:id="194" w:name="_Toc44339217"/>
      <w:bookmarkStart w:id="195" w:name="_Toc44361582"/>
      <w:bookmarkEnd w:id="192"/>
      <w:r>
        <w:t>Variation in response to training, by region</w:t>
      </w:r>
      <w:bookmarkEnd w:id="193"/>
      <w:bookmarkEnd w:id="194"/>
      <w:bookmarkEnd w:id="195"/>
    </w:p>
    <w:p w14:paraId="21E07A84" w14:textId="77777777" w:rsidR="00CF18D1" w:rsidRDefault="00CF18D1" w:rsidP="00CF18D1">
      <w:pPr>
        <w:rPr>
          <w:szCs w:val="22"/>
        </w:rPr>
      </w:pPr>
      <w:r w:rsidRPr="00A92A47">
        <w:rPr>
          <w:szCs w:val="22"/>
        </w:rPr>
        <w:t xml:space="preserve">Participating health centres were classified into three regions: urban, regional, remote. A significant increase in confidence to talk about bowel screening with Indigenous patients was reported for all regions. </w:t>
      </w:r>
      <w:r w:rsidRPr="00A92A47">
        <w:rPr>
          <w:iCs/>
          <w:szCs w:val="22"/>
        </w:rPr>
        <w:t>Face-to-</w:t>
      </w:r>
      <w:r w:rsidRPr="00A92A47">
        <w:rPr>
          <w:iCs/>
          <w:szCs w:val="22"/>
        </w:rPr>
        <w:lastRenderedPageBreak/>
        <w:t>face</w:t>
      </w:r>
      <w:r w:rsidRPr="00A92A47">
        <w:rPr>
          <w:szCs w:val="22"/>
        </w:rPr>
        <w:t xml:space="preserve"> training positively increased the perceptions of participants from all three regions about their role in promoting bowel screening; similar shifts were not seen for online training. </w:t>
      </w:r>
    </w:p>
    <w:p w14:paraId="3BC8D812" w14:textId="77777777" w:rsidR="00CF18D1" w:rsidRDefault="00CF18D1" w:rsidP="00CF18D1">
      <w:pPr>
        <w:rPr>
          <w:b/>
          <w:bCs/>
          <w:sz w:val="20"/>
          <w:szCs w:val="20"/>
        </w:rPr>
      </w:pPr>
      <w:r w:rsidRPr="00A92A47">
        <w:rPr>
          <w:szCs w:val="22"/>
        </w:rPr>
        <w:t xml:space="preserve">Motivation again showed little change, except for participants in regional areas where there was a significant increase from </w:t>
      </w:r>
      <w:r w:rsidRPr="00A92A47">
        <w:rPr>
          <w:iCs/>
          <w:szCs w:val="22"/>
        </w:rPr>
        <w:t>face-to-face</w:t>
      </w:r>
      <w:r w:rsidRPr="00A92A47">
        <w:rPr>
          <w:szCs w:val="22"/>
        </w:rPr>
        <w:t xml:space="preserve"> training.</w:t>
      </w:r>
    </w:p>
    <w:p w14:paraId="2315F445" w14:textId="77777777" w:rsidR="00CF18D1" w:rsidRDefault="00CF18D1" w:rsidP="00CF18D1">
      <w:pPr>
        <w:rPr>
          <w:b/>
          <w:bCs/>
          <w:sz w:val="20"/>
          <w:szCs w:val="20"/>
        </w:rPr>
      </w:pPr>
    </w:p>
    <w:p w14:paraId="51010DEC" w14:textId="77777777" w:rsidR="00CF18D1" w:rsidRPr="0058563E" w:rsidRDefault="00CF18D1" w:rsidP="00366EAB">
      <w:pPr>
        <w:pStyle w:val="Heading3"/>
      </w:pPr>
      <w:bookmarkStart w:id="196" w:name="_Toc44279101"/>
      <w:bookmarkStart w:id="197" w:name="_Toc44339218"/>
      <w:bookmarkStart w:id="198" w:name="_Toc44361583"/>
      <w:r>
        <w:t>Summary</w:t>
      </w:r>
      <w:bookmarkEnd w:id="196"/>
      <w:bookmarkEnd w:id="197"/>
      <w:bookmarkEnd w:id="198"/>
      <w:r>
        <w:t xml:space="preserve"> </w:t>
      </w:r>
    </w:p>
    <w:p w14:paraId="307FE483" w14:textId="212AC9B2" w:rsidR="00CF18D1" w:rsidRDefault="00CF18D1" w:rsidP="00CF18D1">
      <w:pPr>
        <w:rPr>
          <w:szCs w:val="22"/>
        </w:rPr>
      </w:pPr>
      <w:r w:rsidRPr="00A92A47">
        <w:rPr>
          <w:szCs w:val="22"/>
        </w:rPr>
        <w:t xml:space="preserve">The pre- and post-training survey results show that both </w:t>
      </w:r>
      <w:r w:rsidRPr="00A92A47">
        <w:rPr>
          <w:iCs/>
          <w:szCs w:val="22"/>
        </w:rPr>
        <w:t>face-to-face and online</w:t>
      </w:r>
      <w:r w:rsidRPr="00A92A47">
        <w:rPr>
          <w:szCs w:val="22"/>
        </w:rPr>
        <w:t xml:space="preserve"> training had a significant impact on the confidence of staff to talk about bowel screening with their Indigenous </w:t>
      </w:r>
      <w:r>
        <w:rPr>
          <w:szCs w:val="22"/>
        </w:rPr>
        <w:t>patients</w:t>
      </w:r>
      <w:r w:rsidRPr="00A92A47">
        <w:rPr>
          <w:szCs w:val="22"/>
        </w:rPr>
        <w:t xml:space="preserve">. </w:t>
      </w:r>
      <w:r w:rsidRPr="00A92A47">
        <w:rPr>
          <w:iCs/>
          <w:szCs w:val="22"/>
        </w:rPr>
        <w:t>Face-to-face</w:t>
      </w:r>
      <w:r w:rsidRPr="00A92A47">
        <w:rPr>
          <w:szCs w:val="22"/>
        </w:rPr>
        <w:t xml:space="preserve"> training improved staff perceptions of their roles in relation to bowel screening, and this was particularly true for nurses and </w:t>
      </w:r>
      <w:r w:rsidR="002C3688">
        <w:rPr>
          <w:szCs w:val="22"/>
        </w:rPr>
        <w:t>IHW</w:t>
      </w:r>
      <w:r w:rsidRPr="00A92A47">
        <w:rPr>
          <w:szCs w:val="22"/>
        </w:rPr>
        <w:t>s/practitioners.</w:t>
      </w:r>
      <w:r>
        <w:rPr>
          <w:szCs w:val="22"/>
        </w:rPr>
        <w:t xml:space="preserve"> </w:t>
      </w:r>
    </w:p>
    <w:p w14:paraId="356E3DE6" w14:textId="77777777" w:rsidR="00CF18D1" w:rsidRPr="00A92A47" w:rsidRDefault="00CF18D1" w:rsidP="00CF18D1">
      <w:pPr>
        <w:rPr>
          <w:szCs w:val="22"/>
        </w:rPr>
      </w:pPr>
      <w:r w:rsidRPr="00A92A47">
        <w:rPr>
          <w:szCs w:val="22"/>
        </w:rPr>
        <w:t>The exception was for GPs, the only professional group that had an existing defined role in the NBCSP prior to the Alternative Pathway. Motivation appeared to change little in any of the groupings by which results were analyse</w:t>
      </w:r>
      <w:r>
        <w:rPr>
          <w:szCs w:val="22"/>
        </w:rPr>
        <w:t>d and</w:t>
      </w:r>
      <w:r w:rsidRPr="00A92A47">
        <w:rPr>
          <w:szCs w:val="22"/>
        </w:rPr>
        <w:t xml:space="preserve"> variation across regions was minimal.</w:t>
      </w:r>
    </w:p>
    <w:p w14:paraId="61495EE5" w14:textId="77777777" w:rsidR="00CF18D1" w:rsidRDefault="00CF18D1" w:rsidP="00CF18D1">
      <w:pPr>
        <w:spacing w:before="0" w:after="0" w:line="240" w:lineRule="auto"/>
      </w:pPr>
    </w:p>
    <w:p w14:paraId="56CA55D3" w14:textId="59E50801" w:rsidR="00CF18D1" w:rsidRPr="00C84BD1" w:rsidRDefault="00C12ADD" w:rsidP="00070C12">
      <w:pPr>
        <w:pStyle w:val="Heading2"/>
        <w:rPr>
          <w:rStyle w:val="Heading2Char"/>
        </w:rPr>
      </w:pPr>
      <w:bookmarkStart w:id="199" w:name="_Toc44339219"/>
      <w:bookmarkStart w:id="200" w:name="_Toc45539263"/>
      <w:bookmarkStart w:id="201" w:name="_Toc54954850"/>
      <w:r>
        <w:t xml:space="preserve">6.4 </w:t>
      </w:r>
      <w:r w:rsidR="00CF18D1">
        <w:t>He</w:t>
      </w:r>
      <w:r w:rsidR="00CF18D1" w:rsidRPr="00C84BD1">
        <w:t>alth centre staff perspectives on training</w:t>
      </w:r>
      <w:bookmarkEnd w:id="199"/>
      <w:bookmarkEnd w:id="200"/>
      <w:bookmarkEnd w:id="201"/>
    </w:p>
    <w:p w14:paraId="1EA5E596" w14:textId="77777777" w:rsidR="00C92596" w:rsidRDefault="00CF18D1" w:rsidP="00C92596">
      <w:pPr>
        <w:keepNext/>
        <w:keepLines/>
      </w:pPr>
      <w:r>
        <w:t>As described elsewhere in this report, the perspectives of health centre staff on a range of issues related to the Pilot</w:t>
      </w:r>
      <w:r w:rsidRPr="00CC072B">
        <w:t xml:space="preserve"> </w:t>
      </w:r>
      <w:r>
        <w:t xml:space="preserve">were collected through two sets of interviews: Implementation interviews with </w:t>
      </w:r>
      <w:r w:rsidR="00E31083">
        <w:t>s</w:t>
      </w:r>
      <w:r>
        <w:t xml:space="preserve">ite </w:t>
      </w:r>
      <w:r w:rsidR="00E31083">
        <w:t>c</w:t>
      </w:r>
      <w:r>
        <w:t xml:space="preserve">oordinators, and post-Pilot interviews conducted with a wider range of health centre staff between December 2019 and May 2020. </w:t>
      </w:r>
    </w:p>
    <w:p w14:paraId="2B4B694E" w14:textId="257DAD57" w:rsidR="00CF18D1" w:rsidRDefault="00C92596" w:rsidP="00C92596">
      <w:pPr>
        <w:keepNext/>
        <w:keepLines/>
      </w:pPr>
      <w:r>
        <w:t xml:space="preserve">Consistent themes </w:t>
      </w:r>
      <w:r w:rsidR="00F2733A">
        <w:t>in</w:t>
      </w:r>
      <w:r>
        <w:t xml:space="preserve"> </w:t>
      </w:r>
      <w:r w:rsidR="00E77DC9">
        <w:t>these</w:t>
      </w:r>
      <w:r>
        <w:t xml:space="preserve"> interview</w:t>
      </w:r>
      <w:r w:rsidR="00E77DC9">
        <w:t>s included:</w:t>
      </w:r>
      <w:r w:rsidR="000B0202">
        <w:t xml:space="preserve"> the design, content, </w:t>
      </w:r>
      <w:r w:rsidR="00366EAB">
        <w:t>accessibility, delivery and challenges.</w:t>
      </w:r>
    </w:p>
    <w:p w14:paraId="07138D29" w14:textId="6D241BA0" w:rsidR="00CF18D1" w:rsidRDefault="00E77DC9" w:rsidP="00A4668B">
      <w:pPr>
        <w:keepNext/>
        <w:keepLines/>
      </w:pPr>
      <w:r>
        <w:t xml:space="preserve">There were some limitations to </w:t>
      </w:r>
      <w:r w:rsidR="00CF18D1">
        <w:t>th</w:t>
      </w:r>
      <w:r w:rsidR="002331D4">
        <w:t xml:space="preserve">e </w:t>
      </w:r>
      <w:r w:rsidR="00CF18D1">
        <w:t>interview data</w:t>
      </w:r>
      <w:r>
        <w:t xml:space="preserve">. These included recall bias </w:t>
      </w:r>
      <w:r w:rsidR="00A4668B">
        <w:t xml:space="preserve">due to </w:t>
      </w:r>
      <w:r w:rsidR="00CF18D1">
        <w:t xml:space="preserve"> the length of time that had passed since they did the training</w:t>
      </w:r>
      <w:r w:rsidR="00083DD8">
        <w:t xml:space="preserve"> (up to 1</w:t>
      </w:r>
      <w:r w:rsidR="00A32577">
        <w:t>5</w:t>
      </w:r>
      <w:r w:rsidR="00083DD8">
        <w:t xml:space="preserve"> months)</w:t>
      </w:r>
      <w:r w:rsidR="00A4668B">
        <w:t xml:space="preserve">; </w:t>
      </w:r>
      <w:r w:rsidR="00CF18D1">
        <w:t xml:space="preserve"> confusion in identifying resources and materials that were supplied for the Pilot</w:t>
      </w:r>
      <w:r w:rsidR="00A4668B">
        <w:t>; and in</w:t>
      </w:r>
      <w:r w:rsidR="00CF18D1">
        <w:t xml:space="preserve"> some cases</w:t>
      </w:r>
      <w:r w:rsidR="00E31083">
        <w:t>,</w:t>
      </w:r>
      <w:r w:rsidR="00CF18D1">
        <w:t xml:space="preserve"> staff who helped deliver the Alternative Pathway had done neither mode of training because they were not at the health centre </w:t>
      </w:r>
      <w:r w:rsidR="00A4668B">
        <w:t xml:space="preserve">when </w:t>
      </w:r>
      <w:r w:rsidR="00CF18D1">
        <w:t xml:space="preserve">the training was </w:t>
      </w:r>
      <w:r w:rsidR="00A4668B">
        <w:t>introduced</w:t>
      </w:r>
      <w:r w:rsidR="00CF18D1">
        <w:t xml:space="preserve">, or because the </w:t>
      </w:r>
      <w:r w:rsidR="00E31083">
        <w:t>s</w:t>
      </w:r>
      <w:r w:rsidR="00CF18D1">
        <w:t xml:space="preserve">ite </w:t>
      </w:r>
      <w:r w:rsidR="00E31083">
        <w:t>c</w:t>
      </w:r>
      <w:r w:rsidR="00CF18D1">
        <w:t xml:space="preserve">oordinator or another champion delivered their own version of the training.  </w:t>
      </w:r>
    </w:p>
    <w:p w14:paraId="141B1DBD" w14:textId="77777777" w:rsidR="00CF18D1" w:rsidRPr="00366EAB" w:rsidRDefault="00CF18D1" w:rsidP="00366EAB">
      <w:pPr>
        <w:pStyle w:val="Heading3"/>
      </w:pPr>
      <w:bookmarkStart w:id="202" w:name="_Toc44279103"/>
      <w:bookmarkStart w:id="203" w:name="_Toc44339220"/>
      <w:bookmarkStart w:id="204" w:name="_Toc44361585"/>
      <w:bookmarkStart w:id="205" w:name="_Hlk50378354"/>
      <w:r w:rsidRPr="00366EAB">
        <w:t>Online training</w:t>
      </w:r>
      <w:bookmarkEnd w:id="202"/>
      <w:bookmarkEnd w:id="203"/>
      <w:bookmarkEnd w:id="204"/>
    </w:p>
    <w:p w14:paraId="28C09173" w14:textId="77777777" w:rsidR="00AA5DD0" w:rsidRDefault="00F2733A" w:rsidP="00CF18D1">
      <w:pPr>
        <w:rPr>
          <w:iCs/>
        </w:rPr>
      </w:pPr>
      <w:r>
        <w:rPr>
          <w:iCs/>
        </w:rPr>
        <w:t xml:space="preserve">The online module was predominantly completed by </w:t>
      </w:r>
      <w:r w:rsidR="00E41B48">
        <w:rPr>
          <w:iCs/>
        </w:rPr>
        <w:t xml:space="preserve">from Group A (Low intensity support) health centres, who sometimes felt they had ‘missed out’ on </w:t>
      </w:r>
      <w:r w:rsidR="00AA5DD0">
        <w:rPr>
          <w:iCs/>
        </w:rPr>
        <w:t>receiving face to face training.</w:t>
      </w:r>
    </w:p>
    <w:p w14:paraId="7E98AE9C" w14:textId="77777777" w:rsidR="00AA5DD0" w:rsidRPr="00467DF2" w:rsidRDefault="00AA5DD0" w:rsidP="00AA5DD0">
      <w:pPr>
        <w:ind w:left="720"/>
        <w:rPr>
          <w:i/>
        </w:rPr>
      </w:pPr>
      <w:r w:rsidRPr="00467DF2">
        <w:rPr>
          <w:rFonts w:cstheme="minorHAnsi"/>
          <w:i/>
        </w:rPr>
        <w:t xml:space="preserve">‘I was a bit annoyed, how come other people got it [face-to-face training] and we didn’t, but you know what, we just did it online and it was fine.  I think I preferred that you didn’t come and train us now looking back because with so many people coming into the AMS and saying, “We want to educate you on this.”  “We want to talk to you about this”.  “We want to promote that”. When are </w:t>
      </w:r>
      <w:r w:rsidRPr="00467DF2">
        <w:rPr>
          <w:rFonts w:cstheme="minorHAnsi"/>
          <w:i/>
        </w:rPr>
        <w:lastRenderedPageBreak/>
        <w:t>we supposed to do our work?  So that we could just say, “Okay, there’s the resources, right, what do we need to do, let’s move forward”.  It was good.’</w:t>
      </w:r>
    </w:p>
    <w:p w14:paraId="1412F813" w14:textId="2F3F6CD5" w:rsidR="00722CD5" w:rsidRPr="00467DF2" w:rsidRDefault="00722CD5" w:rsidP="00CF18D1">
      <w:pPr>
        <w:rPr>
          <w:i/>
        </w:rPr>
      </w:pPr>
      <w:r w:rsidRPr="00467DF2">
        <w:rPr>
          <w:i/>
        </w:rPr>
        <w:t>Design</w:t>
      </w:r>
      <w:r w:rsidR="000B0202">
        <w:rPr>
          <w:i/>
        </w:rPr>
        <w:t xml:space="preserve">: </w:t>
      </w:r>
      <w:r w:rsidR="00CF18D1">
        <w:t xml:space="preserve">Participants liked the design and format of the online module, and in particular the inclusion of animations and videos as part of the content. </w:t>
      </w:r>
      <w:r>
        <w:t xml:space="preserve">One participant commented: </w:t>
      </w:r>
    </w:p>
    <w:p w14:paraId="1A34E70C" w14:textId="77777777" w:rsidR="00722CD5" w:rsidRPr="009F75BD" w:rsidRDefault="00722CD5" w:rsidP="000B0202">
      <w:pPr>
        <w:ind w:left="720"/>
        <w:rPr>
          <w:rFonts w:cstheme="minorHAnsi"/>
        </w:rPr>
      </w:pPr>
      <w:r w:rsidRPr="009F75BD">
        <w:rPr>
          <w:rFonts w:cstheme="minorHAnsi"/>
        </w:rPr>
        <w:t>‘</w:t>
      </w:r>
      <w:r w:rsidRPr="00467DF2">
        <w:rPr>
          <w:rFonts w:cstheme="minorHAnsi"/>
          <w:i/>
        </w:rPr>
        <w:t>I suppose visual, everybody likes visual because you know what you’re talking about if you see that visual, then it gives you a better understanding then you can explain it to your patients</w:t>
      </w:r>
      <w:r w:rsidRPr="009F75BD">
        <w:rPr>
          <w:rFonts w:cstheme="minorHAnsi"/>
        </w:rPr>
        <w:t>.’</w:t>
      </w:r>
    </w:p>
    <w:p w14:paraId="132A08BC" w14:textId="77777777" w:rsidR="000B0202" w:rsidRDefault="000B0202" w:rsidP="000B0202">
      <w:r w:rsidRPr="00467DF2">
        <w:rPr>
          <w:i/>
        </w:rPr>
        <w:t>Content</w:t>
      </w:r>
      <w:r>
        <w:t xml:space="preserve">: The on-line module content was often described as applicable, fit for purpose, easy to understand and helpful in preparing staff to deliver the Alternative Pathway. One participant described the content as relatable and </w:t>
      </w:r>
      <w:r w:rsidRPr="00CC4E41">
        <w:t>useful for having ‘</w:t>
      </w:r>
      <w:r w:rsidRPr="00467DF2">
        <w:rPr>
          <w:i/>
        </w:rPr>
        <w:t>the conversation</w:t>
      </w:r>
      <w:r w:rsidRPr="00CC4E41">
        <w:t xml:space="preserve">’ </w:t>
      </w:r>
      <w:r>
        <w:t xml:space="preserve">about bowel screening </w:t>
      </w:r>
      <w:r w:rsidRPr="00CC4E41">
        <w:t xml:space="preserve">with </w:t>
      </w:r>
      <w:r>
        <w:t xml:space="preserve">their </w:t>
      </w:r>
      <w:r w:rsidRPr="00CC4E41">
        <w:t>patients</w:t>
      </w:r>
      <w:r>
        <w:t>. Some comments from those who did the training included:</w:t>
      </w:r>
    </w:p>
    <w:p w14:paraId="74236401" w14:textId="31570CF1" w:rsidR="000B0202" w:rsidRDefault="000B0202" w:rsidP="000B0202">
      <w:pPr>
        <w:ind w:left="709"/>
      </w:pPr>
      <w:r w:rsidRPr="00C84BD1">
        <w:t>‘</w:t>
      </w:r>
      <w:r w:rsidRPr="00467DF2">
        <w:rPr>
          <w:i/>
        </w:rPr>
        <w:t>It was good, I have done a lot of it before, but it made it easier for our whole team. It made it easy to understand what we were doing and why’</w:t>
      </w:r>
      <w:r w:rsidRPr="00C84BD1">
        <w:t>.</w:t>
      </w:r>
    </w:p>
    <w:p w14:paraId="6E31DCC8" w14:textId="212B640E" w:rsidR="00071EC5" w:rsidRDefault="00071EC5" w:rsidP="00071EC5">
      <w:r>
        <w:t xml:space="preserve">Others commented it was a good </w:t>
      </w:r>
      <w:r>
        <w:rPr>
          <w:rFonts w:cstheme="minorHAnsi"/>
        </w:rPr>
        <w:t xml:space="preserve">‘refresher’ and that it was easy to access. </w:t>
      </w:r>
    </w:p>
    <w:p w14:paraId="78866367" w14:textId="0ABD5FB7" w:rsidR="00071EC5" w:rsidRDefault="00071EC5" w:rsidP="00071EC5">
      <w:pPr>
        <w:rPr>
          <w:rFonts w:cstheme="minorHAnsi"/>
        </w:rPr>
      </w:pPr>
      <w:r>
        <w:rPr>
          <w:rFonts w:cstheme="minorHAnsi"/>
        </w:rPr>
        <w:t xml:space="preserve">Some staff </w:t>
      </w:r>
      <w:r w:rsidR="000920C7">
        <w:rPr>
          <w:rFonts w:cstheme="minorHAnsi"/>
        </w:rPr>
        <w:t xml:space="preserve">said </w:t>
      </w:r>
      <w:r>
        <w:rPr>
          <w:rFonts w:cstheme="minorHAnsi"/>
        </w:rPr>
        <w:t xml:space="preserve">they did not complete the online training </w:t>
      </w:r>
      <w:r w:rsidR="000920C7">
        <w:rPr>
          <w:rFonts w:cstheme="minorHAnsi"/>
        </w:rPr>
        <w:t>because it was too long</w:t>
      </w:r>
      <w:r>
        <w:rPr>
          <w:rFonts w:cstheme="minorHAnsi"/>
        </w:rPr>
        <w:t>:</w:t>
      </w:r>
    </w:p>
    <w:p w14:paraId="56A05DA1" w14:textId="77777777" w:rsidR="00071EC5" w:rsidRPr="00467DF2" w:rsidRDefault="00071EC5" w:rsidP="00467DF2">
      <w:pPr>
        <w:ind w:left="720"/>
        <w:rPr>
          <w:i/>
        </w:rPr>
      </w:pPr>
      <w:r w:rsidRPr="00467DF2">
        <w:rPr>
          <w:rFonts w:cstheme="minorHAnsi"/>
          <w:i/>
        </w:rPr>
        <w:t xml:space="preserve">‘It was hard to do it, because we had to just do it in between patients, so it took a lot of us probably a good couple of days to actually do it, maybe even a week or so because we just didn’t have the time to complete it all.’ </w:t>
      </w:r>
    </w:p>
    <w:p w14:paraId="11728450" w14:textId="22468053" w:rsidR="0093796C" w:rsidRDefault="0093796C" w:rsidP="00CF5663">
      <w:r w:rsidRPr="00467DF2">
        <w:rPr>
          <w:i/>
        </w:rPr>
        <w:t>Accessibility</w:t>
      </w:r>
      <w:r w:rsidR="00CF5663">
        <w:t xml:space="preserve">: The main topic raised when considering accessibility of the on-line training was one of convenience. </w:t>
      </w:r>
      <w:r w:rsidR="007B6D2C">
        <w:rPr>
          <w:rFonts w:cstheme="minorHAnsi"/>
        </w:rPr>
        <w:t>Some staff accessed the training multiple times, and also shared their link to the online module with other staff so they could also do the training.</w:t>
      </w:r>
      <w:r w:rsidR="007B6D2C">
        <w:t xml:space="preserve"> </w:t>
      </w:r>
      <w:r w:rsidR="00CF5663">
        <w:rPr>
          <w:rFonts w:cstheme="minorHAnsi"/>
        </w:rPr>
        <w:t xml:space="preserve">It was a common reflection that the online training allowed them </w:t>
      </w:r>
      <w:r w:rsidR="00CF5663" w:rsidRPr="00F7794C">
        <w:rPr>
          <w:rFonts w:cstheme="minorHAnsi"/>
        </w:rPr>
        <w:t>time to sit and think,</w:t>
      </w:r>
      <w:r w:rsidR="00CF5663">
        <w:rPr>
          <w:rFonts w:cstheme="minorHAnsi"/>
        </w:rPr>
        <w:t xml:space="preserve"> they said they did</w:t>
      </w:r>
      <w:r w:rsidR="00CF5663" w:rsidRPr="00F7794C">
        <w:rPr>
          <w:rFonts w:cstheme="minorHAnsi"/>
        </w:rPr>
        <w:t xml:space="preserve"> not </w:t>
      </w:r>
      <w:r w:rsidR="00CF5663">
        <w:rPr>
          <w:rFonts w:cstheme="minorHAnsi"/>
        </w:rPr>
        <w:t xml:space="preserve">feel </w:t>
      </w:r>
      <w:r w:rsidR="00CF5663" w:rsidRPr="00F7794C">
        <w:rPr>
          <w:rFonts w:cstheme="minorHAnsi"/>
        </w:rPr>
        <w:t>pressured</w:t>
      </w:r>
      <w:r w:rsidR="00CF5663">
        <w:rPr>
          <w:rFonts w:cstheme="minorHAnsi"/>
        </w:rPr>
        <w:t xml:space="preserve"> and that they </w:t>
      </w:r>
      <w:r w:rsidR="00CF5663" w:rsidRPr="00F7794C">
        <w:rPr>
          <w:rFonts w:cstheme="minorHAnsi"/>
        </w:rPr>
        <w:t xml:space="preserve">could complete </w:t>
      </w:r>
      <w:r w:rsidR="00CF5663">
        <w:rPr>
          <w:rFonts w:cstheme="minorHAnsi"/>
        </w:rPr>
        <w:t xml:space="preserve">it </w:t>
      </w:r>
      <w:r w:rsidR="00CF5663" w:rsidRPr="00F7794C">
        <w:rPr>
          <w:rFonts w:cstheme="minorHAnsi"/>
        </w:rPr>
        <w:t xml:space="preserve">at </w:t>
      </w:r>
      <w:r w:rsidR="00CF5663">
        <w:rPr>
          <w:rFonts w:cstheme="minorHAnsi"/>
        </w:rPr>
        <w:t xml:space="preserve">their </w:t>
      </w:r>
      <w:r w:rsidR="00CF5663" w:rsidRPr="00F7794C">
        <w:rPr>
          <w:rFonts w:cstheme="minorHAnsi"/>
        </w:rPr>
        <w:t>own pace</w:t>
      </w:r>
      <w:r w:rsidR="00CF5663">
        <w:rPr>
          <w:rFonts w:cstheme="minorHAnsi"/>
        </w:rPr>
        <w:t xml:space="preserve"> and in their own time. </w:t>
      </w:r>
      <w:r w:rsidR="00CF5663">
        <w:t xml:space="preserve">Staff commented: </w:t>
      </w:r>
    </w:p>
    <w:p w14:paraId="26C492BB" w14:textId="77777777" w:rsidR="00CF5663" w:rsidRPr="00467DF2" w:rsidRDefault="00CF5663" w:rsidP="00467DF2">
      <w:pPr>
        <w:ind w:left="720"/>
        <w:rPr>
          <w:i/>
        </w:rPr>
      </w:pPr>
      <w:r w:rsidRPr="00467DF2">
        <w:rPr>
          <w:rFonts w:cstheme="minorHAnsi"/>
          <w:i/>
        </w:rPr>
        <w:t xml:space="preserve">‘We sent it out because the thing is, the way that the clinic works, we’re opportunistic with our time, so when we’re not with clients, that’s a good time for you to get this stuff done’. </w:t>
      </w:r>
    </w:p>
    <w:p w14:paraId="284E4239" w14:textId="75607846" w:rsidR="00E67412" w:rsidRDefault="00E67412" w:rsidP="00467DF2">
      <w:pPr>
        <w:ind w:left="720"/>
      </w:pPr>
      <w:r w:rsidRPr="00467DF2">
        <w:rPr>
          <w:rFonts w:cstheme="minorHAnsi"/>
          <w:i/>
        </w:rPr>
        <w:t>‘I hate – or most people hate going to training that is quite boring that’s just written off a slide – written off a slide so yeah, I think the [online] training was great’</w:t>
      </w:r>
      <w:r w:rsidRPr="00085A0B">
        <w:t xml:space="preserve">. </w:t>
      </w:r>
    </w:p>
    <w:p w14:paraId="16600608" w14:textId="76A7D486" w:rsidR="00E67412" w:rsidRPr="007A548D" w:rsidRDefault="00CF4FA8" w:rsidP="00467DF2">
      <w:pPr>
        <w:ind w:right="1088"/>
        <w:rPr>
          <w:rFonts w:cstheme="minorHAnsi"/>
          <w:iCs/>
        </w:rPr>
      </w:pPr>
      <w:r>
        <w:rPr>
          <w:rFonts w:cstheme="minorHAnsi"/>
          <w:iCs/>
        </w:rPr>
        <w:t xml:space="preserve">Others commented </w:t>
      </w:r>
      <w:r>
        <w:rPr>
          <w:rFonts w:cstheme="minorHAnsi"/>
        </w:rPr>
        <w:t xml:space="preserve">they liked </w:t>
      </w:r>
      <w:r w:rsidRPr="00DF65E4">
        <w:rPr>
          <w:rFonts w:cstheme="minorHAnsi"/>
        </w:rPr>
        <w:t xml:space="preserve">the accessibility of the online module and its capacity for questions and quizzes to be repeated at individual pace: </w:t>
      </w:r>
      <w:r w:rsidR="00F2733A">
        <w:rPr>
          <w:rFonts w:cstheme="minorHAnsi"/>
        </w:rPr>
        <w:t>‘</w:t>
      </w:r>
      <w:r w:rsidR="00F2733A">
        <w:rPr>
          <w:rFonts w:cstheme="minorHAnsi"/>
          <w:i/>
        </w:rPr>
        <w:t>T</w:t>
      </w:r>
      <w:r w:rsidRPr="00467DF2">
        <w:rPr>
          <w:rFonts w:cstheme="minorHAnsi"/>
          <w:i/>
        </w:rPr>
        <w:t>hat was pretty simple. Yeah. And it didn’t let you fail. So, if you got something wrong you could go back</w:t>
      </w:r>
      <w:r w:rsidR="00F2733A">
        <w:rPr>
          <w:rFonts w:cstheme="minorHAnsi"/>
        </w:rPr>
        <w:t>.’</w:t>
      </w:r>
    </w:p>
    <w:p w14:paraId="23C79A5D" w14:textId="7FF81CC2" w:rsidR="00CF5663" w:rsidRDefault="00CF5663" w:rsidP="00CF5663">
      <w:r w:rsidRPr="00467DF2">
        <w:rPr>
          <w:i/>
        </w:rPr>
        <w:t>Delivery</w:t>
      </w:r>
      <w:r w:rsidRPr="00AA787F">
        <w:t>: Whil</w:t>
      </w:r>
      <w:r w:rsidR="00E41B48">
        <w:t>e</w:t>
      </w:r>
      <w:r w:rsidRPr="00AA787F">
        <w:t xml:space="preserve"> many staff undertook the training in their own ti</w:t>
      </w:r>
      <w:r w:rsidR="007B6D2C" w:rsidRPr="00AA787F">
        <w:t>me some health centres took a group approach to implementing training.</w:t>
      </w:r>
      <w:r w:rsidR="007B6D2C">
        <w:t xml:space="preserve"> This approach was more common in those centres where there was a proactive pilot champion. </w:t>
      </w:r>
    </w:p>
    <w:p w14:paraId="796DABB3" w14:textId="395744F2" w:rsidR="00190A6B" w:rsidRPr="00467DF2" w:rsidRDefault="00190A6B" w:rsidP="00467DF2">
      <w:pPr>
        <w:ind w:left="720"/>
        <w:rPr>
          <w:i/>
        </w:rPr>
      </w:pPr>
      <w:r w:rsidRPr="00467DF2">
        <w:rPr>
          <w:rFonts w:cstheme="minorHAnsi"/>
          <w:i/>
        </w:rPr>
        <w:t xml:space="preserve"> ‘We did group sessions with them and they had the opportunity to do it individually as well… It was good as a team… Doing at as a team really gave them an opportunity to ask questions and talk about what one may not have understood, get that feedback in other words from whichever other health professional it was.’</w:t>
      </w:r>
    </w:p>
    <w:p w14:paraId="5DD6EEA3" w14:textId="4C0474A3" w:rsidR="00366EAB" w:rsidRPr="00467DF2" w:rsidRDefault="000E0321" w:rsidP="00467DF2">
      <w:pPr>
        <w:ind w:left="720"/>
        <w:rPr>
          <w:i/>
        </w:rPr>
      </w:pPr>
      <w:r w:rsidRPr="00467DF2">
        <w:rPr>
          <w:rFonts w:cstheme="minorHAnsi"/>
          <w:i/>
        </w:rPr>
        <w:lastRenderedPageBreak/>
        <w:t>‘You should definitely do it in a group environment, I think. I guess because other people think of questions that you might not necessarily think of</w:t>
      </w:r>
      <w:r w:rsidR="00366EAB" w:rsidRPr="00366EAB">
        <w:rPr>
          <w:rFonts w:cstheme="minorHAnsi"/>
          <w:i/>
        </w:rPr>
        <w:t>…</w:t>
      </w:r>
      <w:r w:rsidRPr="00467DF2">
        <w:rPr>
          <w:rFonts w:cstheme="minorHAnsi"/>
          <w:i/>
        </w:rPr>
        <w:t xml:space="preserve"> what about if we get this sort of situation</w:t>
      </w:r>
      <w:r w:rsidR="00366EAB" w:rsidRPr="00467DF2">
        <w:rPr>
          <w:rFonts w:cstheme="minorHAnsi"/>
          <w:i/>
        </w:rPr>
        <w:t>…</w:t>
      </w:r>
      <w:r w:rsidRPr="00467DF2">
        <w:rPr>
          <w:rFonts w:cstheme="minorHAnsi"/>
          <w:i/>
        </w:rPr>
        <w:t>.  Then we could kind of brainstorm together on what we would do.’</w:t>
      </w:r>
      <w:r w:rsidRPr="00467DF2" w:rsidDel="000E0321">
        <w:rPr>
          <w:rFonts w:cstheme="minorHAnsi"/>
          <w:i/>
        </w:rPr>
        <w:t xml:space="preserve"> </w:t>
      </w:r>
    </w:p>
    <w:p w14:paraId="40CA0111" w14:textId="77777777" w:rsidR="000E0321" w:rsidRPr="00E352C1" w:rsidRDefault="000E0321" w:rsidP="000E0321">
      <w:pPr>
        <w:rPr>
          <w:rFonts w:cstheme="minorHAnsi"/>
        </w:rPr>
      </w:pPr>
      <w:r>
        <w:t>Where staff supported other staff to train, there was good communication between staff and ‘pilot leaders’ (i.e. champions) to make sure everyone was on board and training was received; for example,</w:t>
      </w:r>
    </w:p>
    <w:p w14:paraId="24A9E912" w14:textId="2769E744" w:rsidR="000E0321" w:rsidRDefault="000E0321" w:rsidP="00467DF2">
      <w:pPr>
        <w:ind w:left="720"/>
      </w:pPr>
      <w:r w:rsidRPr="00467DF2" w:rsidDel="009B33F6">
        <w:rPr>
          <w:rFonts w:cstheme="minorHAnsi"/>
          <w:i/>
        </w:rPr>
        <w:t xml:space="preserve"> </w:t>
      </w:r>
      <w:r w:rsidRPr="00467DF2">
        <w:rPr>
          <w:rFonts w:cstheme="minorHAnsi"/>
          <w:i/>
        </w:rPr>
        <w:t>‘I would go around and say have you done your stuff [the online training] yet?  Did you have any questions?  But generally, once everyone had done that and we’d gone through and done “This is how you talk to someone about it, these are the conversations you can have, this is why it’s so important,” it’s not a hard subject.  It’s just [that it] can sometimes be a bit uncomfortable.’</w:t>
      </w:r>
    </w:p>
    <w:p w14:paraId="3D5AD16B" w14:textId="3C97BFE8" w:rsidR="00190A6B" w:rsidRPr="00467DF2" w:rsidRDefault="000E0321" w:rsidP="00467DF2">
      <w:pPr>
        <w:ind w:left="720"/>
        <w:rPr>
          <w:i/>
        </w:rPr>
      </w:pPr>
      <w:r w:rsidRPr="00467DF2">
        <w:rPr>
          <w:rFonts w:cstheme="minorHAnsi"/>
          <w:i/>
        </w:rPr>
        <w:t xml:space="preserve"> </w:t>
      </w:r>
      <w:r w:rsidR="00190A6B" w:rsidRPr="00467DF2">
        <w:rPr>
          <w:rFonts w:cstheme="minorHAnsi"/>
          <w:i/>
        </w:rPr>
        <w:t>‘We had new registrars start in February and August. I just said, “Welcome to (health centre), you’re a doctor here now and here’s the bowel cancer kits.  We give them out, there’s a link, click it, if not see me or someone else”.  That was the training that they got.  They have so much else to learn.’</w:t>
      </w:r>
    </w:p>
    <w:p w14:paraId="28086BE3" w14:textId="278885B6" w:rsidR="00190A6B" w:rsidRPr="00467DF2" w:rsidRDefault="00AA787F" w:rsidP="00467DF2">
      <w:pPr>
        <w:ind w:left="720"/>
        <w:rPr>
          <w:rFonts w:cstheme="minorHAnsi"/>
          <w:i/>
        </w:rPr>
      </w:pPr>
      <w:r w:rsidRPr="00467DF2">
        <w:rPr>
          <w:rFonts w:cstheme="minorHAnsi"/>
          <w:i/>
        </w:rPr>
        <w:t>‘</w:t>
      </w:r>
      <w:r w:rsidR="00190A6B" w:rsidRPr="00467DF2">
        <w:rPr>
          <w:rFonts w:cstheme="minorHAnsi"/>
          <w:i/>
        </w:rPr>
        <w:t>From our organisational perspective, we got an email to say to do it online and I did it, but there were other staff members that maybe didn’t do that online completion because of being busy</w:t>
      </w:r>
      <w:r w:rsidRPr="00467DF2">
        <w:rPr>
          <w:rFonts w:cstheme="minorHAnsi"/>
          <w:i/>
        </w:rPr>
        <w:t>’</w:t>
      </w:r>
    </w:p>
    <w:p w14:paraId="361655B9" w14:textId="1EB3201F" w:rsidR="00EC0B03" w:rsidRDefault="000E0321" w:rsidP="00CF18D1">
      <w:r w:rsidDel="000E0321">
        <w:t xml:space="preserve"> </w:t>
      </w:r>
      <w:r w:rsidR="0020433C" w:rsidRPr="00467DF2">
        <w:rPr>
          <w:i/>
        </w:rPr>
        <w:t>Challenges</w:t>
      </w:r>
      <w:r w:rsidR="0020433C">
        <w:t xml:space="preserve">: Staff experienced a few </w:t>
      </w:r>
      <w:r w:rsidR="00CF4FA8">
        <w:t>challenges with the online module. T</w:t>
      </w:r>
      <w:r w:rsidR="00CF18D1">
        <w:t xml:space="preserve">he online training module was </w:t>
      </w:r>
      <w:r w:rsidR="00CF4FA8">
        <w:t xml:space="preserve">described by some staff as </w:t>
      </w:r>
      <w:r w:rsidR="00CF18D1">
        <w:t xml:space="preserve">procedural </w:t>
      </w:r>
      <w:r w:rsidR="00CF4FA8">
        <w:t xml:space="preserve">in </w:t>
      </w:r>
      <w:r w:rsidR="00CF18D1">
        <w:t xml:space="preserve">detail </w:t>
      </w:r>
      <w:r w:rsidR="00CF4FA8">
        <w:t>and commented it would have been better if it was delivered face to face.</w:t>
      </w:r>
      <w:r w:rsidR="00EC0B03">
        <w:t xml:space="preserve"> Several participants said a drawback of online learning was the difficulty of not being able to ask questions or find answers (to questions)</w:t>
      </w:r>
      <w:r w:rsidR="00190A6B">
        <w:t>.</w:t>
      </w:r>
    </w:p>
    <w:p w14:paraId="242ECE75" w14:textId="078C31C0" w:rsidR="00CF18D1" w:rsidRPr="000B0AE8" w:rsidRDefault="00CF4FA8" w:rsidP="00467DF2">
      <w:pPr>
        <w:ind w:left="709"/>
      </w:pPr>
      <w:r>
        <w:t xml:space="preserve"> </w:t>
      </w:r>
      <w:r w:rsidR="00CF18D1">
        <w:t>‘</w:t>
      </w:r>
      <w:r w:rsidR="00CF18D1" w:rsidRPr="00467DF2">
        <w:rPr>
          <w:i/>
        </w:rPr>
        <w:t>All the staff did the online training.  I think that the one barrier that we found was the online form.  It just – it took a little bit of working out and I think, yeah, if someone had the – I think maybe face-to-face probably would have been better just because someone could have talked you through the steps to the form</w:t>
      </w:r>
      <w:r w:rsidR="00CF18D1">
        <w:t xml:space="preserve"> </w:t>
      </w:r>
      <w:r w:rsidR="00CF18D1" w:rsidRPr="00AA0E8F">
        <w:t>…</w:t>
      </w:r>
      <w:r w:rsidR="00CF18D1">
        <w:t>’</w:t>
      </w:r>
    </w:p>
    <w:p w14:paraId="072F616A" w14:textId="4A905151" w:rsidR="00190A6B" w:rsidRPr="00AA5DD0" w:rsidRDefault="00CF18D1" w:rsidP="00AA5DD0">
      <w:pPr>
        <w:rPr>
          <w:rFonts w:cstheme="minorHAnsi"/>
        </w:rPr>
      </w:pPr>
      <w:r>
        <w:rPr>
          <w:rFonts w:cstheme="minorHAnsi"/>
        </w:rPr>
        <w:t xml:space="preserve">There were some aspects of the online module that frustrated participants. </w:t>
      </w:r>
      <w:r w:rsidR="00F22488">
        <w:rPr>
          <w:rFonts w:cstheme="minorHAnsi"/>
        </w:rPr>
        <w:t>For example, t</w:t>
      </w:r>
      <w:r>
        <w:rPr>
          <w:rFonts w:cstheme="minorHAnsi"/>
        </w:rPr>
        <w:t>o access the module, participants needed to go through two password</w:t>
      </w:r>
      <w:r w:rsidR="00E31083">
        <w:rPr>
          <w:rFonts w:cstheme="minorHAnsi"/>
        </w:rPr>
        <w:t xml:space="preserve"> protected</w:t>
      </w:r>
      <w:r>
        <w:rPr>
          <w:rFonts w:cstheme="minorHAnsi"/>
        </w:rPr>
        <w:t xml:space="preserve"> access points. </w:t>
      </w:r>
      <w:r w:rsidR="00CF4FA8">
        <w:rPr>
          <w:rFonts w:cstheme="minorHAnsi"/>
        </w:rPr>
        <w:t xml:space="preserve">The reasons for this was to allow those staff who wanted to participate in </w:t>
      </w:r>
      <w:r>
        <w:rPr>
          <w:rFonts w:cstheme="minorHAnsi"/>
        </w:rPr>
        <w:t>evaluating the module through the pre- and post- training survey</w:t>
      </w:r>
      <w:r w:rsidR="00CF4FA8">
        <w:rPr>
          <w:rFonts w:cstheme="minorHAnsi"/>
        </w:rPr>
        <w:t xml:space="preserve"> do so by creating a unique identifier</w:t>
      </w:r>
      <w:r>
        <w:rPr>
          <w:rFonts w:cstheme="minorHAnsi"/>
        </w:rPr>
        <w:t>. As a result, the password</w:t>
      </w:r>
      <w:r w:rsidR="00E31083">
        <w:rPr>
          <w:rFonts w:cstheme="minorHAnsi"/>
        </w:rPr>
        <w:t xml:space="preserve"> protected</w:t>
      </w:r>
      <w:r>
        <w:rPr>
          <w:rFonts w:cstheme="minorHAnsi"/>
        </w:rPr>
        <w:t xml:space="preserve"> access to the module itself was not very stable. If a user left the module and returned to it </w:t>
      </w:r>
      <w:r w:rsidR="00E31083">
        <w:rPr>
          <w:rFonts w:cstheme="minorHAnsi"/>
        </w:rPr>
        <w:t>later,</w:t>
      </w:r>
      <w:r>
        <w:rPr>
          <w:rFonts w:cstheme="minorHAnsi"/>
        </w:rPr>
        <w:t xml:space="preserve"> they </w:t>
      </w:r>
      <w:r w:rsidR="00E31083">
        <w:rPr>
          <w:rFonts w:cstheme="minorHAnsi"/>
        </w:rPr>
        <w:t>w</w:t>
      </w:r>
      <w:r>
        <w:rPr>
          <w:rFonts w:cstheme="minorHAnsi"/>
        </w:rPr>
        <w:t>ould need to change their log in details</w:t>
      </w:r>
      <w:r w:rsidR="00E31083">
        <w:rPr>
          <w:rFonts w:cstheme="minorHAnsi"/>
        </w:rPr>
        <w:t xml:space="preserve"> by creating a new username. </w:t>
      </w:r>
      <w:r>
        <w:rPr>
          <w:rFonts w:cstheme="minorHAnsi"/>
        </w:rPr>
        <w:t>This led to problems</w:t>
      </w:r>
      <w:r w:rsidR="00190A6B">
        <w:rPr>
          <w:rFonts w:cstheme="minorHAnsi"/>
        </w:rPr>
        <w:t xml:space="preserve"> finding the module, </w:t>
      </w:r>
      <w:r w:rsidR="007A5BE4">
        <w:rPr>
          <w:rFonts w:cstheme="minorHAnsi"/>
        </w:rPr>
        <w:t xml:space="preserve">logging on or </w:t>
      </w:r>
      <w:r>
        <w:rPr>
          <w:rFonts w:cstheme="minorHAnsi"/>
        </w:rPr>
        <w:t xml:space="preserve">generating </w:t>
      </w:r>
      <w:r w:rsidR="00E31083">
        <w:rPr>
          <w:rFonts w:cstheme="minorHAnsi"/>
        </w:rPr>
        <w:t>c</w:t>
      </w:r>
      <w:r>
        <w:rPr>
          <w:rFonts w:cstheme="minorHAnsi"/>
        </w:rPr>
        <w:t>ertificates of completion through the online module.</w:t>
      </w:r>
    </w:p>
    <w:p w14:paraId="5B0E8820" w14:textId="5EDC8121" w:rsidR="00CF18D1" w:rsidRPr="00467DF2" w:rsidRDefault="00190A6B" w:rsidP="000920C7">
      <w:pPr>
        <w:pStyle w:val="Quote"/>
      </w:pPr>
      <w:r w:rsidRPr="00467DF2" w:rsidDel="00190A6B">
        <w:t xml:space="preserve"> </w:t>
      </w:r>
      <w:r w:rsidR="00CF18D1" w:rsidRPr="00467DF2">
        <w:t>‘I remember a few times going, “Oh, where is the online module</w:t>
      </w:r>
      <w:r w:rsidR="00AA5DD0">
        <w:t>?</w:t>
      </w:r>
      <w:r w:rsidR="00CF18D1" w:rsidRPr="00467DF2">
        <w:t xml:space="preserve">  Here – here’s the video of a patient’s experience, here’s another community member talking about it, where’s what I need?’</w:t>
      </w:r>
    </w:p>
    <w:p w14:paraId="0411AD2D" w14:textId="498EE006" w:rsidR="009F75BD" w:rsidRDefault="00E67412" w:rsidP="00CF18D1">
      <w:pPr>
        <w:rPr>
          <w:rFonts w:cstheme="minorHAnsi"/>
        </w:rPr>
      </w:pPr>
      <w:r>
        <w:t xml:space="preserve">In two instances the online training wasn’t used at all and staff were not supported to receive or complete it, but these staff were able to draw on other Pilot resources (website, demonstration kit and manual) to learn what they needed. </w:t>
      </w:r>
      <w:r>
        <w:rPr>
          <w:rFonts w:cstheme="minorHAnsi"/>
          <w:iCs/>
        </w:rPr>
        <w:t>A few staff commented as the module was delivered online it</w:t>
      </w:r>
      <w:r w:rsidR="00EC0B03">
        <w:rPr>
          <w:rFonts w:cstheme="minorHAnsi"/>
          <w:iCs/>
        </w:rPr>
        <w:t xml:space="preserve"> </w:t>
      </w:r>
      <w:r w:rsidR="00CF18D1">
        <w:rPr>
          <w:rFonts w:cstheme="minorHAnsi"/>
          <w:iCs/>
        </w:rPr>
        <w:t>was easier to ignore than face-to-face training</w:t>
      </w:r>
      <w:r w:rsidR="00A1407B">
        <w:rPr>
          <w:rFonts w:cstheme="minorHAnsi"/>
        </w:rPr>
        <w:t>:</w:t>
      </w:r>
      <w:r w:rsidR="00CF18D1">
        <w:rPr>
          <w:rFonts w:cstheme="minorHAnsi"/>
        </w:rPr>
        <w:t xml:space="preserve"> </w:t>
      </w:r>
    </w:p>
    <w:p w14:paraId="23466D3A" w14:textId="199344C8" w:rsidR="009F75BD" w:rsidRPr="00467DF2" w:rsidRDefault="00A1407B" w:rsidP="009F75BD">
      <w:pPr>
        <w:ind w:left="720"/>
        <w:rPr>
          <w:i/>
        </w:rPr>
      </w:pPr>
      <w:r w:rsidRPr="00467DF2">
        <w:rPr>
          <w:i/>
        </w:rPr>
        <w:t>‘</w:t>
      </w:r>
      <w:r w:rsidR="000D485D" w:rsidRPr="00467DF2">
        <w:rPr>
          <w:i/>
        </w:rPr>
        <w:t>If</w:t>
      </w:r>
      <w:r w:rsidR="00CF18D1" w:rsidRPr="00467DF2">
        <w:rPr>
          <w:i/>
        </w:rPr>
        <w:t xml:space="preserve"> I know it’s online, I’m like “Oh, yeah, I’ll do it later whereas face-to-face like you’ve got that date and time, it’s set.  It’s, yeah, much better”. </w:t>
      </w:r>
    </w:p>
    <w:p w14:paraId="3304CD8B" w14:textId="4C52AD79" w:rsidR="00AA787F" w:rsidRPr="00467DF2" w:rsidRDefault="00AA787F" w:rsidP="00AA5DD0">
      <w:r w:rsidRPr="00467DF2">
        <w:lastRenderedPageBreak/>
        <w:t xml:space="preserve">Whilst the online module was accessible to most staff not all staff in the health centre </w:t>
      </w:r>
      <w:r w:rsidR="00AA5DD0">
        <w:t>k</w:t>
      </w:r>
      <w:r w:rsidRPr="00467DF2">
        <w:t>new</w:t>
      </w:r>
      <w:r w:rsidR="00366EAB" w:rsidRPr="00467DF2">
        <w:t xml:space="preserve"> </w:t>
      </w:r>
      <w:r w:rsidRPr="00467DF2">
        <w:t xml:space="preserve">about it. These staff utilised other resources developed for the pilot. One staff </w:t>
      </w:r>
      <w:r w:rsidR="000920C7">
        <w:t xml:space="preserve">member </w:t>
      </w:r>
      <w:r w:rsidRPr="00467DF2">
        <w:t>commented:</w:t>
      </w:r>
    </w:p>
    <w:p w14:paraId="5A4E2649" w14:textId="77777777" w:rsidR="00AA787F" w:rsidRPr="00366EAB" w:rsidRDefault="00AA787F" w:rsidP="000920C7">
      <w:pPr>
        <w:pStyle w:val="Quote"/>
      </w:pPr>
      <w:r w:rsidRPr="00CD71D3">
        <w:t>‘I used the website and I used the demonstration kit, yep. Yeah very helpful. I thought they were both really adequate … I think I would have personally liked the people that had been trained to prompt me to use those, I found that because I wasn’t involved in the training for reasons which I don’t know about I had to go and seek them out myself</w:t>
      </w:r>
      <w:r w:rsidRPr="00366EAB">
        <w:t>.’</w:t>
      </w:r>
    </w:p>
    <w:p w14:paraId="10A4DB4E" w14:textId="12E6D33F" w:rsidR="000E0321" w:rsidRDefault="00190A6B" w:rsidP="00190A6B">
      <w:r>
        <w:rPr>
          <w:rFonts w:cstheme="minorHAnsi"/>
        </w:rPr>
        <w:t xml:space="preserve"> </w:t>
      </w:r>
      <w:r w:rsidR="000E0321">
        <w:t xml:space="preserve">In addition to the </w:t>
      </w:r>
      <w:r w:rsidR="00085A0B" w:rsidRPr="00085A0B">
        <w:t xml:space="preserve">convenience of the online module, </w:t>
      </w:r>
      <w:r w:rsidR="000E0321">
        <w:t>some staff</w:t>
      </w:r>
      <w:r>
        <w:t xml:space="preserve"> wanted </w:t>
      </w:r>
      <w:r w:rsidR="00085A0B" w:rsidRPr="00085A0B">
        <w:t>additional clinical supervision or group style element to the online training</w:t>
      </w:r>
      <w:r w:rsidR="000E0321">
        <w:t>.</w:t>
      </w:r>
      <w:r w:rsidR="00085A0B" w:rsidRPr="00085A0B">
        <w:t xml:space="preserve"> </w:t>
      </w:r>
    </w:p>
    <w:p w14:paraId="0774005D" w14:textId="313198A8" w:rsidR="00366EAB" w:rsidRPr="00467DF2" w:rsidRDefault="000E0321" w:rsidP="00AA5DD0">
      <w:pPr>
        <w:ind w:left="709"/>
      </w:pPr>
      <w:r>
        <w:t>‘</w:t>
      </w:r>
      <w:r w:rsidR="000920C7" w:rsidRPr="000920C7">
        <w:rPr>
          <w:rStyle w:val="QuoteChar"/>
        </w:rPr>
        <w:t>W</w:t>
      </w:r>
      <w:r w:rsidR="00085A0B" w:rsidRPr="000920C7">
        <w:rPr>
          <w:rStyle w:val="QuoteChar"/>
        </w:rPr>
        <w:t>e had the video training and the manuals but maybe some more – a webinar or an interaction. Would be go to sort of be able to discuss those obstacles straightaway.</w:t>
      </w:r>
      <w:r w:rsidR="000920C7" w:rsidRPr="000920C7">
        <w:rPr>
          <w:rStyle w:val="QuoteChar"/>
        </w:rPr>
        <w:t>’</w:t>
      </w:r>
      <w:r w:rsidR="00085A0B" w:rsidRPr="00085A0B">
        <w:t xml:space="preserve">  </w:t>
      </w:r>
    </w:p>
    <w:p w14:paraId="6F6E2FCD" w14:textId="31B13689" w:rsidR="00CF18D1" w:rsidRPr="00EB4EA6" w:rsidRDefault="00CF18D1" w:rsidP="00366EAB">
      <w:pPr>
        <w:pStyle w:val="Heading3"/>
      </w:pPr>
      <w:bookmarkStart w:id="206" w:name="_Toc44279104"/>
      <w:bookmarkStart w:id="207" w:name="_Toc44339221"/>
      <w:bookmarkStart w:id="208" w:name="_Toc44361586"/>
      <w:r>
        <w:t>Face-to-face training</w:t>
      </w:r>
      <w:bookmarkEnd w:id="206"/>
      <w:bookmarkEnd w:id="207"/>
      <w:bookmarkEnd w:id="208"/>
    </w:p>
    <w:p w14:paraId="712CB053" w14:textId="07CAFF67" w:rsidR="00CF18D1" w:rsidRDefault="0056551F" w:rsidP="00CF18D1">
      <w:r>
        <w:t xml:space="preserve">Health centre staff commented on </w:t>
      </w:r>
      <w:r w:rsidR="00CF18D1">
        <w:t xml:space="preserve">the </w:t>
      </w:r>
      <w:r>
        <w:t xml:space="preserve">content and delivery of </w:t>
      </w:r>
      <w:r w:rsidR="00A23B85">
        <w:t xml:space="preserve">face-to-face training, </w:t>
      </w:r>
      <w:r w:rsidR="00CF18D1">
        <w:t xml:space="preserve">and </w:t>
      </w:r>
      <w:r w:rsidR="00A23B85">
        <w:t xml:space="preserve">their </w:t>
      </w:r>
      <w:r w:rsidR="00CF18D1">
        <w:t xml:space="preserve">preferences for training mode. Most comments reflected positively on the </w:t>
      </w:r>
      <w:r w:rsidR="00CF18D1" w:rsidRPr="00137D31">
        <w:t>delivery and</w:t>
      </w:r>
      <w:r w:rsidR="00CF18D1">
        <w:t xml:space="preserve"> </w:t>
      </w:r>
      <w:r w:rsidR="00CF18D1" w:rsidRPr="00137D31">
        <w:t>content</w:t>
      </w:r>
      <w:r w:rsidR="00CF18D1">
        <w:t xml:space="preserve"> received through face-to-face training with comments accepting of the presentation and explanation of information (i.e. the way it was presented), for example:  </w:t>
      </w:r>
    </w:p>
    <w:p w14:paraId="5A754CDF" w14:textId="77F92C87" w:rsidR="00CF18D1" w:rsidRPr="0058781F" w:rsidRDefault="00A23B85" w:rsidP="000920C7">
      <w:pPr>
        <w:pStyle w:val="Quote"/>
      </w:pPr>
      <w:r>
        <w:t>‘</w:t>
      </w:r>
      <w:r w:rsidR="00CF18D1" w:rsidRPr="007717A3">
        <w:t>Yeah, the training was good.  It just let people know what was going on and, yeah, I think it made the whole team just thinking, “Yeah, this is a really good thing to be involved with, we’re keen to support this</w:t>
      </w:r>
      <w:r>
        <w:t>.”</w:t>
      </w:r>
      <w:r w:rsidR="00CF18D1" w:rsidRPr="007717A3">
        <w:t xml:space="preserve">  </w:t>
      </w:r>
      <w:r>
        <w:t>A</w:t>
      </w:r>
      <w:r w:rsidR="00CF18D1" w:rsidRPr="007717A3">
        <w:t xml:space="preserve">nd it wasn’t too complicated, which was good. </w:t>
      </w:r>
    </w:p>
    <w:p w14:paraId="2F84B79F" w14:textId="2BB915DC" w:rsidR="00CF18D1" w:rsidRDefault="009B33F6" w:rsidP="000920C7">
      <w:pPr>
        <w:pStyle w:val="Quote"/>
      </w:pPr>
      <w:r w:rsidDel="009B33F6">
        <w:t xml:space="preserve"> </w:t>
      </w:r>
      <w:r w:rsidR="00954519">
        <w:t>‘</w:t>
      </w:r>
      <w:r w:rsidR="00CF18D1" w:rsidRPr="0058781F">
        <w:t>It prepared and helped us because it was explained properly and we know what we had to do and then it’s a matter of how you were going to deliver it to the patient, so it’s about the individual person, what language they were going to talk to them and how they were going to say it</w:t>
      </w:r>
      <w:r w:rsidR="00954519">
        <w:t>.’</w:t>
      </w:r>
    </w:p>
    <w:p w14:paraId="6C86730D" w14:textId="1E574850" w:rsidR="001E3A3C" w:rsidRDefault="00AB56C0" w:rsidP="00CF18D1">
      <w:r w:rsidRPr="00AB56C0">
        <w:t>Respondents overall reflected positive changes in staff understanding and levels of confidence regarding the delivery of bowel screening. Understand</w:t>
      </w:r>
      <w:r w:rsidR="001E3A3C">
        <w:t>ing was reflected in two ways. First</w:t>
      </w:r>
      <w:r w:rsidR="000D485D">
        <w:t>,</w:t>
      </w:r>
      <w:r w:rsidRPr="00AB56C0">
        <w:t xml:space="preserve"> as refreshing staff</w:t>
      </w:r>
      <w:r w:rsidR="00DA1082">
        <w:t xml:space="preserve"> members</w:t>
      </w:r>
      <w:r w:rsidRPr="00AB56C0">
        <w:t xml:space="preserve">’ existing knowledge of bowel screening: </w:t>
      </w:r>
    </w:p>
    <w:p w14:paraId="7899114B" w14:textId="28EE7804" w:rsidR="001E3A3C" w:rsidRDefault="00463DF2" w:rsidP="001E3A3C">
      <w:pPr>
        <w:ind w:left="720"/>
      </w:pPr>
      <w:r>
        <w:rPr>
          <w:i/>
        </w:rPr>
        <w:t>‘</w:t>
      </w:r>
      <w:r w:rsidR="00AB56C0" w:rsidRPr="001E3A3C">
        <w:rPr>
          <w:i/>
        </w:rPr>
        <w:t>I learnt a lot of stuff too like basic stuff like – like it was kind of like a refresher as well. So, refresher and then we did the training, how</w:t>
      </w:r>
      <w:r w:rsidR="001E3A3C" w:rsidRPr="001E3A3C">
        <w:rPr>
          <w:i/>
        </w:rPr>
        <w:t xml:space="preserve"> to do it and all that stuff</w:t>
      </w:r>
      <w:r>
        <w:rPr>
          <w:i/>
        </w:rPr>
        <w:t>’</w:t>
      </w:r>
      <w:r w:rsidR="001E3A3C">
        <w:t>.</w:t>
      </w:r>
    </w:p>
    <w:p w14:paraId="1EEEDF5C" w14:textId="77777777" w:rsidR="001E3A3C" w:rsidRDefault="001E3A3C" w:rsidP="00CF18D1">
      <w:r>
        <w:t>And second</w:t>
      </w:r>
      <w:r w:rsidR="00AB56C0" w:rsidRPr="00AB56C0">
        <w:t>, understanding was reflected as an increase in new knowledge about bowel s</w:t>
      </w:r>
      <w:r>
        <w:t xml:space="preserve">creening process and outcomes: </w:t>
      </w:r>
    </w:p>
    <w:p w14:paraId="1B3F4898" w14:textId="2D827BCD" w:rsidR="00AB56C0" w:rsidRDefault="00463DF2" w:rsidP="001E3A3C">
      <w:pPr>
        <w:ind w:left="720"/>
      </w:pPr>
      <w:r>
        <w:rPr>
          <w:i/>
        </w:rPr>
        <w:t>‘</w:t>
      </w:r>
      <w:r w:rsidR="00AB56C0" w:rsidRPr="001E3A3C">
        <w:rPr>
          <w:i/>
        </w:rPr>
        <w:t>I found it very informative. It also gave us a bit of information that we probably didn’t have beforehand about the process and the outcomes and thing</w:t>
      </w:r>
      <w:r w:rsidR="000D485D" w:rsidRPr="001E3A3C">
        <w:rPr>
          <w:i/>
        </w:rPr>
        <w:t>s</w:t>
      </w:r>
      <w:r w:rsidR="001E3A3C" w:rsidRPr="001E3A3C">
        <w:rPr>
          <w:i/>
        </w:rPr>
        <w:t xml:space="preserve"> like that</w:t>
      </w:r>
      <w:r>
        <w:rPr>
          <w:i/>
        </w:rPr>
        <w:t>’</w:t>
      </w:r>
      <w:r w:rsidR="00AB56C0" w:rsidRPr="00AB56C0">
        <w:t xml:space="preserve">.  </w:t>
      </w:r>
    </w:p>
    <w:p w14:paraId="11852A8D" w14:textId="22011D4D" w:rsidR="00CF18D1" w:rsidRDefault="007202C0" w:rsidP="00CF18D1">
      <w:r>
        <w:t>In addition, s</w:t>
      </w:r>
      <w:r w:rsidR="00CF18D1">
        <w:t>ome interviewees described their engagement and how the training was organised</w:t>
      </w:r>
      <w:r w:rsidR="00D05511">
        <w:t>,</w:t>
      </w:r>
      <w:r w:rsidR="00CF18D1">
        <w:t xml:space="preserve"> for example:</w:t>
      </w:r>
    </w:p>
    <w:p w14:paraId="3CBE2A41" w14:textId="6799DD27" w:rsidR="00CF18D1" w:rsidRDefault="00954519" w:rsidP="000920C7">
      <w:pPr>
        <w:pStyle w:val="Quote"/>
      </w:pPr>
      <w:r>
        <w:t>‘</w:t>
      </w:r>
      <w:r w:rsidR="00CF18D1" w:rsidRPr="000346CB">
        <w:t>We had a one</w:t>
      </w:r>
      <w:r>
        <w:t>-</w:t>
      </w:r>
      <w:r w:rsidR="00CF18D1" w:rsidRPr="000346CB">
        <w:t>day in-house training where we had two sessions, one in the morning and one in the afternoon.  And we could put as many staff and GPs through as we could on that day.</w:t>
      </w:r>
      <w:r>
        <w:t>’</w:t>
      </w:r>
    </w:p>
    <w:p w14:paraId="3A2D7BE1" w14:textId="28391149" w:rsidR="00CF18D1" w:rsidRDefault="00954519" w:rsidP="000920C7">
      <w:pPr>
        <w:pStyle w:val="Quote"/>
      </w:pPr>
      <w:r>
        <w:lastRenderedPageBreak/>
        <w:t>‘</w:t>
      </w:r>
      <w:r w:rsidR="00CF18D1">
        <w:t>W</w:t>
      </w:r>
      <w:r w:rsidR="00CF18D1" w:rsidRPr="000346CB">
        <w:t xml:space="preserve">e had certain times throughout one day </w:t>
      </w:r>
      <w:r w:rsidR="00E54FAC">
        <w:t>–</w:t>
      </w:r>
      <w:r w:rsidR="00CF18D1">
        <w:t xml:space="preserve"> </w:t>
      </w:r>
      <w:r w:rsidR="00CF18D1" w:rsidRPr="000346CB">
        <w:t>like morning, some people went in the morning, others went in the afternoon, and we did the training in one of the doctor’s rooms.</w:t>
      </w:r>
      <w:r>
        <w:t>’</w:t>
      </w:r>
    </w:p>
    <w:p w14:paraId="7DF64A04" w14:textId="65DCC59E" w:rsidR="00CF18D1" w:rsidRDefault="00CF18D1" w:rsidP="00CF18D1">
      <w:r>
        <w:t xml:space="preserve">The way that the training was delivered </w:t>
      </w:r>
      <w:r w:rsidR="00D42906">
        <w:t>was</w:t>
      </w:r>
      <w:r>
        <w:t xml:space="preserve"> effective in ensuring that </w:t>
      </w:r>
      <w:r w:rsidR="00D42906">
        <w:t>health professionals</w:t>
      </w:r>
      <w:r>
        <w:t xml:space="preserve"> understood what they needed to do to deliver the Pilo</w:t>
      </w:r>
      <w:r w:rsidR="00954519">
        <w:t>t. F</w:t>
      </w:r>
      <w:r>
        <w:t>or example:</w:t>
      </w:r>
    </w:p>
    <w:p w14:paraId="6C826F24" w14:textId="313AA67B" w:rsidR="00CF18D1" w:rsidRDefault="00954519" w:rsidP="000920C7">
      <w:pPr>
        <w:pStyle w:val="Quote"/>
      </w:pPr>
      <w:r>
        <w:t>‘T</w:t>
      </w:r>
      <w:r w:rsidR="00CF18D1" w:rsidRPr="00BC7DB2">
        <w:t>he way you guys put it across made it simple to understand.  You made it simple, easy to understand and that was it.</w:t>
      </w:r>
      <w:r>
        <w:t>’</w:t>
      </w:r>
    </w:p>
    <w:p w14:paraId="7AF8EA30" w14:textId="1AB1FF55" w:rsidR="00D42906" w:rsidRPr="00D42906" w:rsidRDefault="00D42906" w:rsidP="00D42906">
      <w:pPr>
        <w:rPr>
          <w:lang w:val="en-GB"/>
        </w:rPr>
      </w:pPr>
      <w:r>
        <w:rPr>
          <w:lang w:val="en-GB"/>
        </w:rPr>
        <w:t xml:space="preserve">Comments were also made about the </w:t>
      </w:r>
      <w:r w:rsidR="009D2D4E">
        <w:rPr>
          <w:lang w:val="en-GB"/>
        </w:rPr>
        <w:t xml:space="preserve">way </w:t>
      </w:r>
      <w:r>
        <w:rPr>
          <w:lang w:val="en-GB"/>
        </w:rPr>
        <w:t xml:space="preserve">in which training </w:t>
      </w:r>
      <w:r w:rsidR="003E0703">
        <w:rPr>
          <w:lang w:val="en-GB"/>
        </w:rPr>
        <w:t>was delivered</w:t>
      </w:r>
      <w:r w:rsidR="009D2D4E">
        <w:rPr>
          <w:lang w:val="en-GB"/>
        </w:rPr>
        <w:t>, which put bowel screening into a different perspective for them:</w:t>
      </w:r>
      <w:r>
        <w:rPr>
          <w:lang w:val="en-GB"/>
        </w:rPr>
        <w:t xml:space="preserve"> </w:t>
      </w:r>
    </w:p>
    <w:p w14:paraId="0A0773E5" w14:textId="70991FF1" w:rsidR="00CF18D1" w:rsidRPr="00C43DBA" w:rsidRDefault="00954519" w:rsidP="00DA1082">
      <w:pPr>
        <w:pStyle w:val="Quote"/>
      </w:pPr>
      <w:r>
        <w:t>‘</w:t>
      </w:r>
      <w:r w:rsidR="00CF18D1" w:rsidRPr="005943F0">
        <w:t>The enthusiasm an</w:t>
      </w:r>
      <w:r w:rsidR="00DA1082">
        <w:t>d,</w:t>
      </w:r>
      <w:r w:rsidR="00CF18D1" w:rsidRPr="005943F0">
        <w:t xml:space="preserve"> being something that I wasn’t even aware of how to do a bowel test</w:t>
      </w:r>
      <w:r w:rsidR="009135D6">
        <w:t>,</w:t>
      </w:r>
      <w:r w:rsidR="00CF18D1" w:rsidRPr="005943F0">
        <w:t xml:space="preserve"> so it was really good to learn how to do that and then be able to pass that on to our patients.</w:t>
      </w:r>
      <w:r w:rsidR="009135D6">
        <w:t>’</w:t>
      </w:r>
      <w:r w:rsidR="00CF18D1" w:rsidRPr="007717A3">
        <w:t xml:space="preserve"> </w:t>
      </w:r>
    </w:p>
    <w:p w14:paraId="1BE3DD98" w14:textId="189264A0" w:rsidR="003670F3" w:rsidRDefault="007202C0" w:rsidP="00CF18D1">
      <w:r w:rsidRPr="007202C0">
        <w:t xml:space="preserve">Respondents reported the site visits as engaging and geared towards a diverse level of clinical expertise: </w:t>
      </w:r>
      <w:r w:rsidR="00E95CFE">
        <w:t>‘</w:t>
      </w:r>
      <w:r w:rsidR="009D2D4E">
        <w:t>Y</w:t>
      </w:r>
      <w:r w:rsidRPr="007202C0">
        <w:t xml:space="preserve">ou know, </w:t>
      </w:r>
      <w:r w:rsidR="009D2D4E" w:rsidRPr="007202C0">
        <w:t>[</w:t>
      </w:r>
      <w:r w:rsidR="009D2D4E">
        <w:t xml:space="preserve">the </w:t>
      </w:r>
      <w:r w:rsidR="009D2D4E" w:rsidRPr="007202C0">
        <w:t xml:space="preserve">trainer], </w:t>
      </w:r>
      <w:r w:rsidRPr="007202C0">
        <w:t>very down to earth person you know, spoke and allowed people, you know, questions and responses for answers and</w:t>
      </w:r>
      <w:r w:rsidR="009D2D4E">
        <w:t xml:space="preserve"> …</w:t>
      </w:r>
      <w:r w:rsidRPr="007202C0">
        <w:t xml:space="preserve"> he just clarified to make sure that, you know, everyone fully understood. If not </w:t>
      </w:r>
      <w:r w:rsidR="009D2D4E">
        <w:t xml:space="preserve">… </w:t>
      </w:r>
      <w:r w:rsidRPr="007202C0">
        <w:t>he would deliver it in a different method.</w:t>
      </w:r>
      <w:r w:rsidR="003670F3">
        <w:t>’</w:t>
      </w:r>
      <w:r w:rsidRPr="007202C0">
        <w:t xml:space="preserve"> </w:t>
      </w:r>
    </w:p>
    <w:p w14:paraId="3AFCC793" w14:textId="1615A354" w:rsidR="007202C0" w:rsidRDefault="007202C0" w:rsidP="00CF18D1">
      <w:r w:rsidRPr="007202C0">
        <w:t>This diversity of delivery was also reflected in an increased confidence to be able to inform patients about bowel screening: "</w:t>
      </w:r>
      <w:r w:rsidR="003670F3">
        <w:t>A</w:t>
      </w:r>
      <w:r w:rsidRPr="007202C0">
        <w:t>ll the information that we had and having that site visit it sort of promoted confidence in staff to be able to do it</w:t>
      </w:r>
      <w:r w:rsidR="003670F3">
        <w:t>.</w:t>
      </w:r>
      <w:r w:rsidRPr="007202C0">
        <w:t xml:space="preserve">”  The potential of face to face delivery of training to increase the baseline knowledge </w:t>
      </w:r>
      <w:r w:rsidR="003670F3">
        <w:t xml:space="preserve"> and empower </w:t>
      </w:r>
      <w:r w:rsidRPr="007202C0">
        <w:t>a diverse group was reflected in the following comment: “I think we had a broad range of people’s level of baseline knowledge about the bowel screening program and they kind of went from potentially quite a low level of knowledge to actually feeling like they were the local experts about this, and I think having that face-to-face if they had been having to just work through a program online or read stuff I don’t think that we would have got the same level of engagement.</w:t>
      </w:r>
      <w:r w:rsidR="003670F3">
        <w:t>’</w:t>
      </w:r>
    </w:p>
    <w:p w14:paraId="5AF5C645" w14:textId="66998B63" w:rsidR="00CF18D1" w:rsidRDefault="003670F3" w:rsidP="00CF18D1">
      <w:r>
        <w:t>A popular element</w:t>
      </w:r>
      <w:r w:rsidR="00CF18D1">
        <w:t xml:space="preserve"> of the face-to-face training </w:t>
      </w:r>
      <w:r>
        <w:t xml:space="preserve">was </w:t>
      </w:r>
      <w:r w:rsidR="00DB7195">
        <w:t>the use of</w:t>
      </w:r>
      <w:r w:rsidR="00CF18D1">
        <w:t xml:space="preserve"> poo emoji suit used to engage attendees and demonstrate bowel screening in a </w:t>
      </w:r>
      <w:r>
        <w:t>light</w:t>
      </w:r>
      <w:r w:rsidR="00543066">
        <w:t>-</w:t>
      </w:r>
      <w:r>
        <w:t>hearted way,</w:t>
      </w:r>
      <w:r w:rsidR="00CF18D1">
        <w:t xml:space="preserve"> using humour to break down the stigma attached to talking about bowel screening:</w:t>
      </w:r>
    </w:p>
    <w:p w14:paraId="763E72F0" w14:textId="5B2596BC" w:rsidR="009135D6" w:rsidRDefault="009135D6" w:rsidP="003670F3">
      <w:pPr>
        <w:pStyle w:val="Quote"/>
      </w:pPr>
      <w:r w:rsidRPr="009135D6">
        <w:t>‘</w:t>
      </w:r>
      <w:r w:rsidR="00CF18D1" w:rsidRPr="009135D6">
        <w:t>Yeah, him dressing up as the poo [laughing], yeah</w:t>
      </w:r>
      <w:r w:rsidRPr="009135D6">
        <w:t xml:space="preserve"> … </w:t>
      </w:r>
      <w:r w:rsidR="00CF18D1" w:rsidRPr="009135D6">
        <w:t>Yeah. That was a fun part [laughter].</w:t>
      </w:r>
    </w:p>
    <w:p w14:paraId="0EF8268D" w14:textId="5E6091B1" w:rsidR="003E0703" w:rsidRDefault="003670F3" w:rsidP="003E0703">
      <w:pPr>
        <w:rPr>
          <w:lang w:val="en-GB"/>
        </w:rPr>
      </w:pPr>
      <w:r>
        <w:rPr>
          <w:lang w:val="en-GB"/>
        </w:rPr>
        <w:t>The</w:t>
      </w:r>
      <w:r w:rsidR="003E0703">
        <w:rPr>
          <w:lang w:val="en-GB"/>
        </w:rPr>
        <w:t xml:space="preserve"> demonstration of the NBCSP kit was seen as </w:t>
      </w:r>
      <w:r>
        <w:rPr>
          <w:lang w:val="en-GB"/>
        </w:rPr>
        <w:t xml:space="preserve">critical </w:t>
      </w:r>
      <w:r w:rsidR="00543066">
        <w:rPr>
          <w:lang w:val="en-GB"/>
        </w:rPr>
        <w:t>in</w:t>
      </w:r>
      <w:r w:rsidR="003E0703">
        <w:rPr>
          <w:lang w:val="en-GB"/>
        </w:rPr>
        <w:t xml:space="preserve"> build</w:t>
      </w:r>
      <w:r w:rsidR="00543066">
        <w:rPr>
          <w:lang w:val="en-GB"/>
        </w:rPr>
        <w:t>ing</w:t>
      </w:r>
      <w:r w:rsidR="003E0703">
        <w:rPr>
          <w:lang w:val="en-GB"/>
        </w:rPr>
        <w:t xml:space="preserve"> </w:t>
      </w:r>
      <w:r w:rsidR="009C29ED">
        <w:rPr>
          <w:lang w:val="en-GB"/>
        </w:rPr>
        <w:t xml:space="preserve">staff confidence </w:t>
      </w:r>
      <w:r w:rsidR="00543066">
        <w:rPr>
          <w:lang w:val="en-GB"/>
        </w:rPr>
        <w:t>to offer</w:t>
      </w:r>
      <w:r w:rsidR="009C29ED">
        <w:rPr>
          <w:lang w:val="en-GB"/>
        </w:rPr>
        <w:t xml:space="preserve"> the </w:t>
      </w:r>
      <w:r w:rsidR="00543066">
        <w:rPr>
          <w:lang w:val="en-GB"/>
        </w:rPr>
        <w:t>Alternative Pathway.</w:t>
      </w:r>
    </w:p>
    <w:p w14:paraId="1FCDCE78" w14:textId="77777777" w:rsidR="00D05511" w:rsidRDefault="00D05511" w:rsidP="00D05511">
      <w:pPr>
        <w:pStyle w:val="Quote"/>
      </w:pPr>
      <w:r>
        <w:t>‘</w:t>
      </w:r>
      <w:r w:rsidRPr="007202C0">
        <w:t>It wasn’t as scary as what you would read it is or as big as what you might read it is</w:t>
      </w:r>
      <w:r>
        <w:t>’</w:t>
      </w:r>
      <w:r w:rsidRPr="007202C0">
        <w:t>.</w:t>
      </w:r>
    </w:p>
    <w:p w14:paraId="48036E8E" w14:textId="7AF7CAC0" w:rsidR="00DA1082" w:rsidRPr="00DA1082" w:rsidRDefault="003E0703" w:rsidP="00DA1082">
      <w:pPr>
        <w:pStyle w:val="Quote"/>
      </w:pPr>
      <w:r w:rsidRPr="00543066">
        <w:t>‘I think having the training and showing staff how to demonstrate the kit that was probably the most useful.  So just it kind of takes – you know, when you get that kit and it’s got lots of different parts to it, people felt confident showing patients how to go about the process</w:t>
      </w:r>
      <w:r w:rsidR="00543066" w:rsidRPr="00543066">
        <w:t>.</w:t>
      </w:r>
      <w:r w:rsidRPr="00543066">
        <w:t>’</w:t>
      </w:r>
    </w:p>
    <w:p w14:paraId="7FF5ED01" w14:textId="20867B31" w:rsidR="00CF18D1" w:rsidRDefault="00CF18D1" w:rsidP="00CF18D1">
      <w:r>
        <w:t xml:space="preserve">However, as with the online module, some </w:t>
      </w:r>
      <w:r w:rsidR="001D6845">
        <w:t>interviewees</w:t>
      </w:r>
      <w:r>
        <w:t xml:space="preserve"> wanted more time on the process of completing the Participant Details form</w:t>
      </w:r>
      <w:r w:rsidR="00DB7195">
        <w:t>.</w:t>
      </w:r>
    </w:p>
    <w:p w14:paraId="357EF464" w14:textId="6230BF5F" w:rsidR="009C29ED" w:rsidRDefault="009C29ED" w:rsidP="00DB7195">
      <w:pPr>
        <w:pStyle w:val="Quote"/>
      </w:pPr>
      <w:r>
        <w:t>‘</w:t>
      </w:r>
      <w:r w:rsidRPr="009C29ED">
        <w:t>I think, yeah, the barrier probably was the online form</w:t>
      </w:r>
      <w:r w:rsidR="00DB7195">
        <w:t>,</w:t>
      </w:r>
      <w:r w:rsidRPr="009C29ED">
        <w:t xml:space="preserve"> that people couldn’t quite get their head around that or just found that time was an issue.</w:t>
      </w:r>
      <w:r w:rsidR="00543066">
        <w:t>’</w:t>
      </w:r>
    </w:p>
    <w:p w14:paraId="18923F58" w14:textId="0F72A4C8" w:rsidR="00CF18D1" w:rsidRPr="00C43DBA" w:rsidRDefault="001D6845" w:rsidP="000920C7">
      <w:pPr>
        <w:pStyle w:val="Quote"/>
      </w:pPr>
      <w:r>
        <w:lastRenderedPageBreak/>
        <w:t>‘</w:t>
      </w:r>
      <w:r w:rsidR="00CF18D1" w:rsidRPr="00D77606">
        <w:t>I would have liked a bit more hands-on with actually using the form</w:t>
      </w:r>
      <w:r w:rsidR="00DB7195">
        <w:t>.</w:t>
      </w:r>
      <w:r w:rsidR="000A7500">
        <w:t>’</w:t>
      </w:r>
      <w:r w:rsidR="00CF18D1" w:rsidRPr="00D77606">
        <w:t xml:space="preserve"> </w:t>
      </w:r>
    </w:p>
    <w:p w14:paraId="7220A036" w14:textId="07DC0DD9" w:rsidR="007202C0" w:rsidRDefault="00D05511" w:rsidP="00CF18D1">
      <w:r>
        <w:t>One</w:t>
      </w:r>
      <w:r w:rsidR="007202C0" w:rsidRPr="007202C0">
        <w:t xml:space="preserve"> negative comment </w:t>
      </w:r>
      <w:r>
        <w:t>about was that the trainer did not understand how the health service operated, highlighting the importance of having senior clinicians engaged in the training sessions and in driving the implementation of the Alternative Pathway in their centre. ‘</w:t>
      </w:r>
      <w:r w:rsidR="007202C0" w:rsidRPr="007202C0">
        <w:t>I think, you know, not quite knowing how the AMS works I think was the … Yeah, it wasn’t anything to do with, you know, his knowledge about the program or anything”</w:t>
      </w:r>
      <w:r>
        <w:t>.</w:t>
      </w:r>
    </w:p>
    <w:p w14:paraId="460B04F8" w14:textId="78BEF376" w:rsidR="00CF18D1" w:rsidRPr="00C83E11" w:rsidRDefault="00D05511" w:rsidP="00CF18D1">
      <w:r>
        <w:t xml:space="preserve">Some </w:t>
      </w:r>
      <w:r w:rsidR="00D60C78">
        <w:t>interviewees</w:t>
      </w:r>
      <w:r w:rsidR="00CF18D1">
        <w:t xml:space="preserve"> </w:t>
      </w:r>
      <w:r w:rsidR="00D60C78">
        <w:t xml:space="preserve">felt that </w:t>
      </w:r>
      <w:r w:rsidR="00CF18D1">
        <w:t>receiving</w:t>
      </w:r>
      <w:r w:rsidR="009C6234">
        <w:t xml:space="preserve"> such a large</w:t>
      </w:r>
      <w:r w:rsidR="00CF18D1">
        <w:t xml:space="preserve"> amount of information </w:t>
      </w:r>
      <w:r w:rsidR="001D6845">
        <w:t>at on</w:t>
      </w:r>
      <w:r w:rsidR="009C6234">
        <w:t>e time made it</w:t>
      </w:r>
      <w:r w:rsidR="00CF18D1">
        <w:t xml:space="preserve"> difficult to retain and that providing follow up </w:t>
      </w:r>
      <w:r w:rsidR="009C6234">
        <w:t xml:space="preserve">contact </w:t>
      </w:r>
      <w:r w:rsidR="00CF18D1">
        <w:t xml:space="preserve">would support continued </w:t>
      </w:r>
      <w:r w:rsidR="001D6845">
        <w:t xml:space="preserve">learning and </w:t>
      </w:r>
      <w:r w:rsidR="00CF18D1">
        <w:t>motivation and correct procedural conduct</w:t>
      </w:r>
      <w:r w:rsidR="001D6845">
        <w:t xml:space="preserve">. For example: </w:t>
      </w:r>
    </w:p>
    <w:p w14:paraId="2FCA8186" w14:textId="19FC9B68" w:rsidR="00CF18D1" w:rsidRDefault="001D6845" w:rsidP="000920C7">
      <w:pPr>
        <w:pStyle w:val="Quote"/>
      </w:pPr>
      <w:r>
        <w:t>‘</w:t>
      </w:r>
      <w:r w:rsidR="00CF18D1" w:rsidRPr="00D77606">
        <w:t>I know from experience that people do get overwhelmed with too much information and, yeah, sometimes just forget important processes particularly with admin</w:t>
      </w:r>
      <w:r w:rsidR="00CF18D1">
        <w:t>…</w:t>
      </w:r>
      <w:r>
        <w:t>’</w:t>
      </w:r>
      <w:r w:rsidR="00CF18D1">
        <w:t xml:space="preserve"> </w:t>
      </w:r>
    </w:p>
    <w:p w14:paraId="06D7CCF2" w14:textId="3E1546A3" w:rsidR="00CF18D1" w:rsidRDefault="001D6845" w:rsidP="000920C7">
      <w:pPr>
        <w:pStyle w:val="Quote"/>
      </w:pPr>
      <w:r>
        <w:t>‘</w:t>
      </w:r>
      <w:r w:rsidR="00CF18D1" w:rsidRPr="00386D3D">
        <w:t>I would just say that if there was any way to improve it, maybe a reminder email or some follow up information</w:t>
      </w:r>
      <w:r>
        <w:t>’</w:t>
      </w:r>
      <w:r w:rsidR="00CF18D1" w:rsidRPr="00386D3D">
        <w:t xml:space="preserve">.  </w:t>
      </w:r>
    </w:p>
    <w:p w14:paraId="26F96539" w14:textId="19610B80" w:rsidR="00CF18D1" w:rsidRPr="00725D9A" w:rsidRDefault="00CF18D1" w:rsidP="00D60C78">
      <w:pPr>
        <w:ind w:right="-46"/>
      </w:pPr>
      <w:r>
        <w:t xml:space="preserve">In general, </w:t>
      </w:r>
      <w:r w:rsidRPr="0049006C">
        <w:t xml:space="preserve">interviewees </w:t>
      </w:r>
      <w:r>
        <w:t xml:space="preserve">who received face-to-face training showed a </w:t>
      </w:r>
      <w:r w:rsidRPr="0049006C">
        <w:t>preferen</w:t>
      </w:r>
      <w:r>
        <w:t>ce</w:t>
      </w:r>
      <w:r w:rsidRPr="0049006C">
        <w:t xml:space="preserve"> </w:t>
      </w:r>
      <w:r w:rsidR="001D6845">
        <w:t xml:space="preserve">for </w:t>
      </w:r>
      <w:r w:rsidRPr="0049006C">
        <w:t>face-to-face training</w:t>
      </w:r>
      <w:r>
        <w:t xml:space="preserve">: </w:t>
      </w:r>
    </w:p>
    <w:p w14:paraId="3273F54B" w14:textId="07863EEB" w:rsidR="00CF18D1" w:rsidRPr="00725D9A" w:rsidRDefault="007B67F1" w:rsidP="006C5F3E">
      <w:pPr>
        <w:pStyle w:val="Quote"/>
      </w:pPr>
      <w:r w:rsidDel="007B67F1">
        <w:t xml:space="preserve"> </w:t>
      </w:r>
      <w:r w:rsidR="001D6845">
        <w:t>‘E</w:t>
      </w:r>
      <w:r w:rsidR="00CF18D1" w:rsidRPr="00725D9A">
        <w:t>ven if you’ve got it online and you can see it and watch it, whatever, do – but then if you’ve got questions, it’s – yeah, it’s better face-to-face definitely</w:t>
      </w:r>
      <w:r w:rsidR="00E36BE6">
        <w:t>.’</w:t>
      </w:r>
    </w:p>
    <w:p w14:paraId="2596025C" w14:textId="5616650C" w:rsidR="00CF18D1" w:rsidRDefault="00CF18D1" w:rsidP="00CF18D1">
      <w:pPr>
        <w:ind w:right="-46"/>
      </w:pPr>
      <w:r>
        <w:t>However, a number also supported the use of both training modes</w:t>
      </w:r>
      <w:r w:rsidR="00E36BE6">
        <w:t xml:space="preserve"> </w:t>
      </w:r>
      <w:r>
        <w:t xml:space="preserve">(face-to-face and online training): </w:t>
      </w:r>
    </w:p>
    <w:p w14:paraId="06E53B2C" w14:textId="795D1A5F" w:rsidR="00CF18D1" w:rsidRDefault="00E36BE6" w:rsidP="006C5F3E">
      <w:pPr>
        <w:pStyle w:val="Quote"/>
      </w:pPr>
      <w:r>
        <w:t>‘</w:t>
      </w:r>
      <w:r w:rsidR="00CF18D1" w:rsidRPr="0049006C">
        <w:t>I think you need to both do them together.  I really do, it’s just because I think a lot of stuff gets missed in a face to face, wherein an online, you can always go back and review and I’m probably more of a visual person.</w:t>
      </w:r>
      <w:r>
        <w:t>’</w:t>
      </w:r>
    </w:p>
    <w:p w14:paraId="231BBFDB" w14:textId="3859DD00" w:rsidR="00CF18D1" w:rsidRPr="00C16854" w:rsidRDefault="00E36BE6" w:rsidP="006C5F3E">
      <w:pPr>
        <w:pStyle w:val="Quote"/>
      </w:pPr>
      <w:r>
        <w:t>‘</w:t>
      </w:r>
      <w:r w:rsidR="00CF18D1" w:rsidRPr="0052512F">
        <w:t>I reckon hand in hand they're good.  I don't mind doing online ones.  I quite like it.  I've got time to sit and think.  I'm not pressured.  You do your time.  Face-to-face is good too because you can ask direct questions, so I like both methods</w:t>
      </w:r>
      <w:r w:rsidR="00CF18D1">
        <w:t>.</w:t>
      </w:r>
      <w:r>
        <w:t>’</w:t>
      </w:r>
    </w:p>
    <w:p w14:paraId="7A9C0939" w14:textId="3A784AA3" w:rsidR="00CF18D1" w:rsidRPr="001F2AF0" w:rsidRDefault="00CF18D1" w:rsidP="00CF18D1">
      <w:pPr>
        <w:ind w:right="-46"/>
      </w:pPr>
      <w:r>
        <w:t>Two interviewees suggest</w:t>
      </w:r>
      <w:r w:rsidR="00E36BE6">
        <w:t>ed</w:t>
      </w:r>
      <w:r>
        <w:t xml:space="preserve"> </w:t>
      </w:r>
      <w:r w:rsidR="00E36BE6">
        <w:t>using</w:t>
      </w:r>
      <w:r>
        <w:t xml:space="preserve"> the online training as a ‘refresher’ to the face-to-face training</w:t>
      </w:r>
      <w:r w:rsidR="00E36BE6">
        <w:t xml:space="preserve">. </w:t>
      </w:r>
    </w:p>
    <w:p w14:paraId="4F1AD9A6" w14:textId="164EF509" w:rsidR="00CF18D1" w:rsidRPr="006D1C24" w:rsidRDefault="00E36BE6" w:rsidP="006C5F3E">
      <w:pPr>
        <w:pStyle w:val="Quote"/>
      </w:pPr>
      <w:r w:rsidRPr="006D1C24">
        <w:t>‘</w:t>
      </w:r>
      <w:r w:rsidR="00CF18D1" w:rsidRPr="006D1C24">
        <w:t>I did the face-to-face training ages ago.  Sometimes it’s good to have refreshers … as a nurse we’ve got to do a refresher all the time</w:t>
      </w:r>
      <w:r w:rsidRPr="006D1C24">
        <w:t xml:space="preserve"> </w:t>
      </w:r>
      <w:r w:rsidR="00CF18D1" w:rsidRPr="006D1C24">
        <w:t>… so it would be good, yeah, I might give the online training a go, if I can find spare time.</w:t>
      </w:r>
      <w:r w:rsidRPr="006D1C24">
        <w:t>’</w:t>
      </w:r>
    </w:p>
    <w:p w14:paraId="68FC7578" w14:textId="4A5E107C" w:rsidR="00CF18D1" w:rsidRDefault="00CF18D1" w:rsidP="00CF18D1">
      <w:r>
        <w:t>In one instance the face-to-face training was attended by staff, later done as a ‘refresher’, then presented to other staff</w:t>
      </w:r>
      <w:r w:rsidR="007B67F1">
        <w:t xml:space="preserve"> (</w:t>
      </w:r>
      <w:proofErr w:type="gramStart"/>
      <w:r w:rsidR="007B67F1">
        <w:t>similar to</w:t>
      </w:r>
      <w:proofErr w:type="gramEnd"/>
      <w:r w:rsidR="007B67F1">
        <w:t xml:space="preserve"> the online training)</w:t>
      </w:r>
      <w:r>
        <w:t>:</w:t>
      </w:r>
    </w:p>
    <w:p w14:paraId="38337767" w14:textId="45082B27" w:rsidR="00CF18D1" w:rsidRPr="006D1C24" w:rsidRDefault="009C6234" w:rsidP="006C5F3E">
      <w:pPr>
        <w:pStyle w:val="Quote"/>
      </w:pPr>
      <w:r>
        <w:t>‘</w:t>
      </w:r>
      <w:r w:rsidR="00CF18D1" w:rsidRPr="006D1C24">
        <w:t xml:space="preserve">I did the face to face training with them </w:t>
      </w:r>
      <w:r w:rsidR="00D5119F">
        <w:t xml:space="preserve">[Menzies] </w:t>
      </w:r>
      <w:r w:rsidR="00CF18D1" w:rsidRPr="006D1C24">
        <w:t>first ages ago and then I did the online training in September, and then I did the training with the two Aboriginal health workers her.</w:t>
      </w:r>
      <w:r>
        <w:t>’</w:t>
      </w:r>
      <w:r w:rsidR="00CF18D1" w:rsidRPr="006D1C24">
        <w:t xml:space="preserve">  </w:t>
      </w:r>
    </w:p>
    <w:p w14:paraId="0DCA5CEC" w14:textId="1C737C6F" w:rsidR="00CF18D1" w:rsidRDefault="00D60C78" w:rsidP="006C5F3E">
      <w:r>
        <w:t xml:space="preserve">Key contacts also commented that availability and ease of access to the range of support and resources provided through the Pilot </w:t>
      </w:r>
      <w:r w:rsidR="006C5F3E">
        <w:t>made things easier for them</w:t>
      </w:r>
      <w:r w:rsidR="00CF18D1">
        <w:t>:</w:t>
      </w:r>
    </w:p>
    <w:p w14:paraId="275B7CFD" w14:textId="11DB1F5B" w:rsidR="00CF18D1" w:rsidRDefault="009C6234" w:rsidP="006C5F3E">
      <w:pPr>
        <w:pStyle w:val="Quote"/>
      </w:pPr>
      <w:r>
        <w:t>‘</w:t>
      </w:r>
      <w:r w:rsidR="00CF18D1">
        <w:t xml:space="preserve">We had lots of support throughout the program when we needed it.  It was like we </w:t>
      </w:r>
      <w:r w:rsidR="00315D5B">
        <w:t>call;</w:t>
      </w:r>
      <w:r w:rsidR="00CF18D1">
        <w:t xml:space="preserve"> you answer.  That was good</w:t>
      </w:r>
      <w:r>
        <w:t>.’</w:t>
      </w:r>
    </w:p>
    <w:p w14:paraId="7BD6B2AC" w14:textId="3ED26D0C" w:rsidR="00CF18D1" w:rsidRDefault="009C6234" w:rsidP="006C5F3E">
      <w:pPr>
        <w:pStyle w:val="Quote"/>
      </w:pPr>
      <w:r>
        <w:lastRenderedPageBreak/>
        <w:t>‘</w:t>
      </w:r>
      <w:r w:rsidR="006C5F3E">
        <w:t>T</w:t>
      </w:r>
      <w:r w:rsidR="00CF18D1">
        <w:t>here were plenty of resources made available and it was really easily accessible</w:t>
      </w:r>
      <w:r>
        <w:t>.’</w:t>
      </w:r>
      <w:r w:rsidR="00CF18D1">
        <w:t xml:space="preserve">  </w:t>
      </w:r>
    </w:p>
    <w:p w14:paraId="46D1D2A4" w14:textId="69A37D1E" w:rsidR="00E25F86" w:rsidRDefault="00E25F86" w:rsidP="006C5F3E">
      <w:pPr>
        <w:pStyle w:val="Quote"/>
      </w:pPr>
      <w:r>
        <w:t>‘I made a few phones calls to the hotline and that was easy to get to.’</w:t>
      </w:r>
    </w:p>
    <w:p w14:paraId="62E86570" w14:textId="2A7983A5" w:rsidR="009C6234" w:rsidRDefault="00CF18D1" w:rsidP="00CF18D1">
      <w:pPr>
        <w:ind w:right="1371"/>
      </w:pPr>
      <w:r w:rsidRPr="00146611">
        <w:t>Overall</w:t>
      </w:r>
      <w:r w:rsidR="00E741A5">
        <w:t xml:space="preserve">, the </w:t>
      </w:r>
      <w:r>
        <w:t>face-to-face</w:t>
      </w:r>
      <w:r w:rsidRPr="00146611">
        <w:t xml:space="preserve"> training proved </w:t>
      </w:r>
      <w:r w:rsidR="009C6234">
        <w:t xml:space="preserve">to be </w:t>
      </w:r>
      <w:r w:rsidRPr="00146611">
        <w:t xml:space="preserve">sufficient and fit for purpose </w:t>
      </w:r>
      <w:r w:rsidRPr="000A2004">
        <w:t xml:space="preserve">in educating users about the Alternative Pathway; however, </w:t>
      </w:r>
      <w:r>
        <w:t xml:space="preserve">the </w:t>
      </w:r>
      <w:r w:rsidR="00F124EE">
        <w:t xml:space="preserve">time </w:t>
      </w:r>
      <w:r w:rsidR="00131CD0">
        <w:t xml:space="preserve">to </w:t>
      </w:r>
      <w:r w:rsidR="00F124EE">
        <w:t xml:space="preserve">consider, discuss and </w:t>
      </w:r>
      <w:r>
        <w:t xml:space="preserve">revisit </w:t>
      </w:r>
      <w:r w:rsidR="00F124EE">
        <w:t>topics</w:t>
      </w:r>
      <w:r>
        <w:t xml:space="preserve"> </w:t>
      </w:r>
      <w:r w:rsidR="00E741A5">
        <w:t>wa</w:t>
      </w:r>
      <w:r>
        <w:t xml:space="preserve">s inhibited due to the time granted to deliver the training. </w:t>
      </w:r>
    </w:p>
    <w:p w14:paraId="76917C99" w14:textId="54A0836A" w:rsidR="00CF18D1" w:rsidRDefault="006C5F3E" w:rsidP="00CF18D1">
      <w:pPr>
        <w:ind w:right="1371"/>
      </w:pPr>
      <w:r>
        <w:t>Offering face to face training with other modes</w:t>
      </w:r>
      <w:r w:rsidR="00CF18D1">
        <w:t xml:space="preserve"> or providing follow up would prove beneficial in maintaining compliance and motivation in delivering the Alternative Pathway. In addition, adapting the training to </w:t>
      </w:r>
      <w:r w:rsidR="00CF18D1" w:rsidRPr="00317534">
        <w:t xml:space="preserve">focus </w:t>
      </w:r>
      <w:r w:rsidR="00CF18D1">
        <w:t xml:space="preserve">more </w:t>
      </w:r>
      <w:r w:rsidR="00CF18D1" w:rsidRPr="00317534">
        <w:t>on specific aspects</w:t>
      </w:r>
      <w:r w:rsidR="00CF18D1">
        <w:t xml:space="preserve"> would further support staff to better understand the tasks required, and their compliance. </w:t>
      </w:r>
    </w:p>
    <w:p w14:paraId="4665ED32" w14:textId="77777777" w:rsidR="00CF18D1" w:rsidRPr="00F75024" w:rsidRDefault="00CF18D1" w:rsidP="00CF18D1">
      <w:pPr>
        <w:rPr>
          <w:b/>
          <w:bCs/>
        </w:rPr>
      </w:pPr>
      <w:r w:rsidRPr="00F75024">
        <w:rPr>
          <w:b/>
          <w:bCs/>
        </w:rPr>
        <w:t>How health centres organised themselves around training</w:t>
      </w:r>
    </w:p>
    <w:p w14:paraId="1259EDFD" w14:textId="2843C429" w:rsidR="009C6234" w:rsidRDefault="00CF18D1" w:rsidP="00CF18D1">
      <w:r>
        <w:t xml:space="preserve">From the staff perspectives described above, it is apparent that the ways in which health centres organised the preparation of their staff to deliver the Alternative Pathway contributed significantly to the impact of the training, regardless of the training mode. Health centres enlisted </w:t>
      </w:r>
      <w:r w:rsidR="009C6234">
        <w:t>several</w:t>
      </w:r>
      <w:r>
        <w:t xml:space="preserve"> differing approaches to train and ‘make staff aware’ of the requirements of the Alternative Pathway. </w:t>
      </w:r>
    </w:p>
    <w:p w14:paraId="4F497B7E" w14:textId="03E094C0" w:rsidR="00CF18D1" w:rsidRDefault="00CF18D1" w:rsidP="00CF18D1">
      <w:r>
        <w:t xml:space="preserve">Ultimately each health centre was responsible for ensuring their staff took part in training, and </w:t>
      </w:r>
      <w:r w:rsidR="00895A6F">
        <w:t>were encouraged to develop</w:t>
      </w:r>
      <w:r>
        <w:t xml:space="preserve"> a clearly articulated plan for how the health centre intended to offer the Alternative Pathway. </w:t>
      </w:r>
    </w:p>
    <w:p w14:paraId="511372EE" w14:textId="77777777" w:rsidR="00CF18D1" w:rsidRDefault="00CF18D1" w:rsidP="00CF18D1">
      <w:r>
        <w:t>Approaches used to inform staff of the Pilot and what was required included: holding staff meetings (n = 12 health centres), hosting training sessions (n = 8), for example, in-services, group viewings of the online module, one-on-one or staff supporting staff educations); sending emails and/or reminding staff (n = 6) to complete online training module. Sixteen health centres used multiple approaches to ensure staff adherence to training (for instance, holding staff meetings and sending email reminders).</w:t>
      </w:r>
    </w:p>
    <w:p w14:paraId="722CEC59" w14:textId="229B2B43" w:rsidR="00CF18D1" w:rsidRDefault="00CF18D1" w:rsidP="00CF18D1">
      <w:r>
        <w:t xml:space="preserve">All these approaches were instigated by a health centre champion for the Pilot, or the </w:t>
      </w:r>
      <w:r w:rsidR="009C6234">
        <w:t>s</w:t>
      </w:r>
      <w:r>
        <w:t xml:space="preserve">ite </w:t>
      </w:r>
      <w:r w:rsidR="009C6234">
        <w:t>c</w:t>
      </w:r>
      <w:r>
        <w:t xml:space="preserve">oordinator. </w:t>
      </w:r>
    </w:p>
    <w:p w14:paraId="5C29509D" w14:textId="21D15272" w:rsidR="009C6234" w:rsidRDefault="00CF18D1" w:rsidP="00CF18D1">
      <w:r>
        <w:t xml:space="preserve">Champions were </w:t>
      </w:r>
      <w:r w:rsidR="00E36BE6">
        <w:t>sometimes seen</w:t>
      </w:r>
      <w:r>
        <w:t xml:space="preserve"> as ‘gatekeepers’ in directing and telling staff what to do, responding to questions or troubleshooting problems for the Pilot</w:t>
      </w:r>
      <w:r w:rsidR="009C6234">
        <w:t>.</w:t>
      </w:r>
      <w:r>
        <w:t xml:space="preserve"> </w:t>
      </w:r>
      <w:r w:rsidR="009C6234">
        <w:t>F</w:t>
      </w:r>
      <w:r>
        <w:t>or example</w:t>
      </w:r>
      <w:r w:rsidR="00B15774">
        <w:t>:</w:t>
      </w:r>
    </w:p>
    <w:p w14:paraId="10143647" w14:textId="7654A060" w:rsidR="009C6234" w:rsidRDefault="00CF18D1" w:rsidP="006D1C24">
      <w:pPr>
        <w:ind w:left="720" w:firstLine="45"/>
      </w:pPr>
      <w:r>
        <w:t xml:space="preserve">‘L and J were the main people who were responsible for it [the Pilot] so if I had any </w:t>
      </w:r>
      <w:r w:rsidR="00B15774">
        <w:t>questions,</w:t>
      </w:r>
      <w:r>
        <w:t xml:space="preserve"> I would just ask either of those two.</w:t>
      </w:r>
      <w:r w:rsidR="00E36BE6">
        <w:t>’</w:t>
      </w:r>
      <w:r>
        <w:t xml:space="preserve">  </w:t>
      </w:r>
    </w:p>
    <w:p w14:paraId="348D977D" w14:textId="27996F39" w:rsidR="00943224" w:rsidRDefault="00E36BE6" w:rsidP="00CF18D1">
      <w:r>
        <w:t>Fourteen</w:t>
      </w:r>
      <w:r w:rsidR="00CF18D1">
        <w:t xml:space="preserve"> health centres mentioned ‘a role of a champion’ for supporting health centre staff to deliver the Pilot.</w:t>
      </w:r>
      <w:r w:rsidR="009C6234">
        <w:t xml:space="preserve"> </w:t>
      </w:r>
      <w:r w:rsidR="00CF18D1">
        <w:t>Some health centres (</w:t>
      </w:r>
      <w:r>
        <w:t xml:space="preserve">n = </w:t>
      </w:r>
      <w:r w:rsidR="00CF18D1">
        <w:t xml:space="preserve">5) relied on the face-to-face training to ensure awareness of the Pilot. </w:t>
      </w:r>
    </w:p>
    <w:p w14:paraId="12F173A7" w14:textId="4C305E4B" w:rsidR="00943224" w:rsidRDefault="00943224" w:rsidP="00CF18D1">
      <w:r>
        <w:t xml:space="preserve">While managers or </w:t>
      </w:r>
      <w:r w:rsidR="009C6234">
        <w:t>s</w:t>
      </w:r>
      <w:r>
        <w:t xml:space="preserve">ite </w:t>
      </w:r>
      <w:r w:rsidR="009C6234">
        <w:t>c</w:t>
      </w:r>
      <w:r>
        <w:t>oordinators could encourage training, at some health centres i</w:t>
      </w:r>
      <w:r w:rsidR="00CF18D1">
        <w:t>t was up to staff whether they did the training or not</w:t>
      </w:r>
      <w:r>
        <w:t>. F</w:t>
      </w:r>
      <w:r w:rsidR="00CF18D1">
        <w:t>or example</w:t>
      </w:r>
      <w:r>
        <w:t>:</w:t>
      </w:r>
    </w:p>
    <w:p w14:paraId="5AF0E5D5" w14:textId="512F18AF" w:rsidR="00CF18D1" w:rsidRPr="00943224" w:rsidRDefault="00CF18D1" w:rsidP="000920C7">
      <w:pPr>
        <w:pStyle w:val="Quote"/>
      </w:pPr>
      <w:r w:rsidRPr="00943224">
        <w:t>‘</w:t>
      </w:r>
      <w:r w:rsidR="00B83ED3" w:rsidRPr="00943224">
        <w:t>T</w:t>
      </w:r>
      <w:r w:rsidRPr="00943224">
        <w:t>h</w:t>
      </w:r>
      <w:r w:rsidR="00463DF2">
        <w:t>ere’s an online training module</w:t>
      </w:r>
      <w:r w:rsidRPr="00943224">
        <w:t xml:space="preserve"> that is part of the</w:t>
      </w:r>
      <w:r w:rsidR="00943224" w:rsidRPr="00943224">
        <w:t xml:space="preserve"> P</w:t>
      </w:r>
      <w:r w:rsidRPr="00943224">
        <w:t>ilot. I’ve sent that out to the health workers to complete. I’ve done the training, but no other staff have responded to my email to say that they’ve done the training.</w:t>
      </w:r>
      <w:r w:rsidR="00943224" w:rsidRPr="00943224">
        <w:t>’</w:t>
      </w:r>
      <w:r w:rsidRPr="00943224">
        <w:t xml:space="preserve">   </w:t>
      </w:r>
    </w:p>
    <w:p w14:paraId="7DBA59BF" w14:textId="77777777" w:rsidR="00CF18D1" w:rsidRDefault="00CF18D1" w:rsidP="00CF18D1">
      <w:r>
        <w:t>Note: The approaches to staff training of three health centres were not specified.</w:t>
      </w:r>
    </w:p>
    <w:bookmarkEnd w:id="205"/>
    <w:p w14:paraId="376DE7D7" w14:textId="662198EE" w:rsidR="00380F67" w:rsidRDefault="00380F67">
      <w:pPr>
        <w:spacing w:before="0" w:after="0" w:line="240" w:lineRule="auto"/>
        <w:rPr>
          <w:rFonts w:eastAsiaTheme="majorEastAsia" w:cstheme="minorHAnsi"/>
          <w:b/>
          <w:color w:val="C45911" w:themeColor="accent2" w:themeShade="BF"/>
          <w:szCs w:val="22"/>
          <w:lang w:eastAsia="en-AU"/>
        </w:rPr>
      </w:pPr>
      <w:r>
        <w:lastRenderedPageBreak/>
        <w:br w:type="page"/>
      </w:r>
    </w:p>
    <w:p w14:paraId="35A3BEFE" w14:textId="57A2F5AF" w:rsidR="00594009" w:rsidRDefault="00D27E8F" w:rsidP="00510A67">
      <w:pPr>
        <w:pStyle w:val="Heading1"/>
      </w:pPr>
      <w:bookmarkStart w:id="209" w:name="_Toc43144008"/>
      <w:bookmarkStart w:id="210" w:name="_Toc38539111"/>
      <w:bookmarkStart w:id="211" w:name="_Toc38540046"/>
      <w:bookmarkStart w:id="212" w:name="_Toc38540101"/>
      <w:bookmarkStart w:id="213" w:name="_Toc44339222"/>
      <w:bookmarkStart w:id="214" w:name="_Toc45539264"/>
      <w:bookmarkStart w:id="215" w:name="_Toc54954851"/>
      <w:bookmarkEnd w:id="209"/>
      <w:r>
        <w:lastRenderedPageBreak/>
        <w:t xml:space="preserve">7. </w:t>
      </w:r>
      <w:r w:rsidR="00594009" w:rsidRPr="00D27E8F">
        <w:t xml:space="preserve">RESULTS: </w:t>
      </w:r>
      <w:r w:rsidR="00DA1E57">
        <w:t>HOW HEALTH CENTRES OFFERED THE ALTERNATIVE PATHWAY</w:t>
      </w:r>
      <w:bookmarkEnd w:id="210"/>
      <w:bookmarkEnd w:id="211"/>
      <w:bookmarkEnd w:id="212"/>
      <w:bookmarkEnd w:id="213"/>
      <w:bookmarkEnd w:id="214"/>
      <w:bookmarkEnd w:id="215"/>
    </w:p>
    <w:p w14:paraId="65E6B914" w14:textId="77777777" w:rsidR="00F02F2A" w:rsidRDefault="00F02F2A" w:rsidP="00F02F2A">
      <w:r>
        <w:t xml:space="preserve">Health centres had considerable flexibility in how they chose to offer the Alternative Pathway.  One of the strongest messages from stakeholders during the development of the Alternative Pathway model was that ‘one size couldn’t fit all’, referring to the diversity of Indigenous communities, health services and even jurisdictional systems in which it would be implemented. </w:t>
      </w:r>
    </w:p>
    <w:p w14:paraId="3F785AFB" w14:textId="5D9E10C3" w:rsidR="00F02F2A" w:rsidRDefault="00F02F2A" w:rsidP="00F02F2A">
      <w:r>
        <w:t>D</w:t>
      </w:r>
      <w:r w:rsidRPr="00FD0429">
        <w:t xml:space="preserve">ata gathered over the course of the Pilot were analysed in an iterative process to identify a typology of approaches to delivering the Alternative Pathway. </w:t>
      </w:r>
      <w:r>
        <w:t xml:space="preserve">A description of the methods </w:t>
      </w:r>
      <w:r w:rsidR="00C001F7">
        <w:t xml:space="preserve">is provided in </w:t>
      </w:r>
      <w:r w:rsidR="00C94F1F" w:rsidRPr="00C94F1F">
        <w:t>Appendix F</w:t>
      </w:r>
      <w:r w:rsidR="00C001F7" w:rsidRPr="00C94F1F">
        <w:t>.</w:t>
      </w:r>
      <w:r w:rsidR="00C001F7">
        <w:t xml:space="preserve"> </w:t>
      </w:r>
    </w:p>
    <w:p w14:paraId="2DD134D3" w14:textId="232E6B18" w:rsidR="00F02F2A" w:rsidRPr="00DF5FB4" w:rsidRDefault="00F02F2A" w:rsidP="00F02F2A">
      <w:r>
        <w:t xml:space="preserve">This section describes how the Alternative Pathway was offered to Indigenous patients and explores whether different approaches may be associated with differing levels of screening activity or compliance with NBCSP requirements. </w:t>
      </w:r>
    </w:p>
    <w:p w14:paraId="1EC47800" w14:textId="2D219D48" w:rsidR="00135F72" w:rsidRDefault="006F16FB" w:rsidP="00070C12">
      <w:pPr>
        <w:pStyle w:val="Heading2"/>
      </w:pPr>
      <w:bookmarkStart w:id="216" w:name="_Toc44339223"/>
      <w:bookmarkStart w:id="217" w:name="_Toc45539265"/>
      <w:bookmarkStart w:id="218" w:name="_Toc54954852"/>
      <w:r>
        <w:t xml:space="preserve">7.1 </w:t>
      </w:r>
      <w:r w:rsidR="00C94F1F">
        <w:t>Differences between health centres that gave out kits and those that did not</w:t>
      </w:r>
      <w:bookmarkEnd w:id="216"/>
      <w:bookmarkEnd w:id="217"/>
      <w:bookmarkEnd w:id="218"/>
    </w:p>
    <w:p w14:paraId="557CC482" w14:textId="16A28329" w:rsidR="00BE7FE9" w:rsidRDefault="00BE7FE9" w:rsidP="00BE7FE9">
      <w:r>
        <w:t>Forty-seven health centres were enrolled to take part in the Alternative Pathway, however, not all distributed NBCSP kits to their patients. The following section describes how the Alternative Pathway was offered by those health centres that did distribute kits (n=36), in comparison with the approach of those that did not distribute</w:t>
      </w:r>
      <w:r w:rsidRPr="000F5FDD">
        <w:t xml:space="preserve"> </w:t>
      </w:r>
      <w:r>
        <w:t>any kits.</w:t>
      </w:r>
    </w:p>
    <w:p w14:paraId="3AE5FA97" w14:textId="77777777" w:rsidR="00895A6F" w:rsidRDefault="00895A6F" w:rsidP="00895A6F">
      <w:r>
        <w:t xml:space="preserve">Three of the forty-seven health centres were excluded from this analysis as they did not complete the Quality and Safety Checklist process, and therefore were not approved to give out kits. </w:t>
      </w:r>
    </w:p>
    <w:p w14:paraId="23CB39F7" w14:textId="77777777" w:rsidR="00895A6F" w:rsidRPr="00AD3203" w:rsidRDefault="00895A6F" w:rsidP="00895A6F">
      <w:r>
        <w:t xml:space="preserve">Of the remaining 44 health centres, more than 80% (n = 36) gave out NBCSP kits. Twenty of the 36 were from Group A (low intensity support) and 16 from Group B (high intensity support). </w:t>
      </w:r>
    </w:p>
    <w:p w14:paraId="738E7330" w14:textId="77777777" w:rsidR="00895A6F" w:rsidRDefault="00895A6F" w:rsidP="00BE7FE9"/>
    <w:p w14:paraId="2E8BA564" w14:textId="77777777" w:rsidR="00BE7FE9" w:rsidRDefault="00BE7FE9" w:rsidP="00BE7FE9">
      <w:pPr>
        <w:keepNext/>
        <w:jc w:val="center"/>
      </w:pPr>
      <w:r>
        <w:rPr>
          <w:noProof/>
          <w:lang w:eastAsia="en-AU"/>
        </w:rPr>
        <w:lastRenderedPageBreak/>
        <w:drawing>
          <wp:inline distT="0" distB="0" distL="0" distR="0" wp14:anchorId="50830E0E" wp14:editId="0553B726">
            <wp:extent cx="5727700" cy="5560806"/>
            <wp:effectExtent l="0" t="0" r="6350" b="1905"/>
            <wp:docPr id="43" name="Picture 43" descr="Flowchart showing how many health centres enrolled and how many gave out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lowchart showing how many health centres enrolled and how many gave out kits."/>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727700" cy="5560806"/>
                    </a:xfrm>
                    <a:prstGeom prst="rect">
                      <a:avLst/>
                    </a:prstGeom>
                    <a:noFill/>
                    <a:ln>
                      <a:noFill/>
                    </a:ln>
                  </pic:spPr>
                </pic:pic>
              </a:graphicData>
            </a:graphic>
          </wp:inline>
        </w:drawing>
      </w:r>
    </w:p>
    <w:p w14:paraId="3E54B1F6" w14:textId="5153FFBC" w:rsidR="00BE7FE9" w:rsidRPr="0068331A" w:rsidRDefault="00BE7FE9" w:rsidP="00BE7FE9">
      <w:pPr>
        <w:rPr>
          <w:b/>
          <w:bCs/>
          <w:sz w:val="20"/>
          <w:szCs w:val="20"/>
        </w:rPr>
      </w:pPr>
      <w:r w:rsidRPr="0068331A">
        <w:rPr>
          <w:b/>
          <w:bCs/>
          <w:sz w:val="20"/>
          <w:szCs w:val="20"/>
        </w:rPr>
        <w:t xml:space="preserve">Figure </w:t>
      </w:r>
      <w:r>
        <w:rPr>
          <w:b/>
          <w:bCs/>
          <w:sz w:val="20"/>
          <w:szCs w:val="20"/>
        </w:rPr>
        <w:t>7</w:t>
      </w:r>
      <w:r w:rsidRPr="0068331A">
        <w:rPr>
          <w:b/>
          <w:bCs/>
          <w:sz w:val="20"/>
          <w:szCs w:val="20"/>
        </w:rPr>
        <w:t>.1</w:t>
      </w:r>
      <w:r>
        <w:rPr>
          <w:b/>
          <w:bCs/>
          <w:sz w:val="20"/>
          <w:szCs w:val="20"/>
        </w:rPr>
        <w:t>:</w:t>
      </w:r>
      <w:r w:rsidRPr="0068331A">
        <w:rPr>
          <w:b/>
          <w:bCs/>
          <w:sz w:val="20"/>
          <w:szCs w:val="20"/>
        </w:rPr>
        <w:t xml:space="preserve"> Breakdown of health centres enrolled in </w:t>
      </w:r>
      <w:r>
        <w:rPr>
          <w:b/>
          <w:bCs/>
          <w:sz w:val="20"/>
          <w:szCs w:val="20"/>
        </w:rPr>
        <w:t>P</w:t>
      </w:r>
      <w:r w:rsidRPr="0068331A">
        <w:rPr>
          <w:b/>
          <w:bCs/>
          <w:sz w:val="20"/>
          <w:szCs w:val="20"/>
        </w:rPr>
        <w:t xml:space="preserve">ilot </w:t>
      </w:r>
    </w:p>
    <w:p w14:paraId="7D9B9A56" w14:textId="77777777" w:rsidR="00BE7FE9" w:rsidRPr="00BE7FE9" w:rsidRDefault="00BE7FE9" w:rsidP="00BE7FE9">
      <w:pPr>
        <w:rPr>
          <w:lang w:eastAsia="en-AU"/>
        </w:rPr>
      </w:pPr>
    </w:p>
    <w:p w14:paraId="1AFAA962" w14:textId="3E336181" w:rsidR="003341BA" w:rsidRPr="00C94F1F" w:rsidRDefault="003341BA" w:rsidP="00366EAB">
      <w:pPr>
        <w:pStyle w:val="Heading3"/>
      </w:pPr>
      <w:bookmarkStart w:id="219" w:name="_Toc44339224"/>
      <w:r w:rsidRPr="00C94F1F">
        <w:t>Health centres that distributed kits</w:t>
      </w:r>
      <w:bookmarkEnd w:id="219"/>
    </w:p>
    <w:p w14:paraId="75E240B1" w14:textId="5A11A8E5" w:rsidR="00AA4149" w:rsidRDefault="00AA4149" w:rsidP="00AA4149">
      <w:pPr>
        <w:rPr>
          <w:rFonts w:eastAsia="Times New Roman"/>
          <w:color w:val="0D0D0D"/>
        </w:rPr>
      </w:pPr>
      <w:r>
        <w:rPr>
          <w:rFonts w:eastAsia="Times New Roman"/>
          <w:color w:val="0D0D0D"/>
        </w:rPr>
        <w:t xml:space="preserve">Health centres used a range of methods to identify patients who were eligible to screen through the Alternative Pathway, including an audit of client records; recalls and flagging; identification through the patient’s involvement in an existing regular program (such as an annual health check). </w:t>
      </w:r>
    </w:p>
    <w:p w14:paraId="619AE9DD" w14:textId="769E3909" w:rsidR="00AA4149" w:rsidRDefault="00AA4149" w:rsidP="00AA4149">
      <w:pPr>
        <w:rPr>
          <w:rFonts w:ascii="Calibri" w:eastAsia="Times New Roman" w:hAnsi="Calibri" w:cs="Calibri"/>
          <w:color w:val="000000"/>
          <w:lang w:eastAsia="en-AU"/>
        </w:rPr>
      </w:pPr>
      <w:r>
        <w:rPr>
          <w:rFonts w:eastAsia="Times New Roman"/>
          <w:color w:val="0D0D0D"/>
        </w:rPr>
        <w:t xml:space="preserve">Almost half of the health centres that gave out kits </w:t>
      </w:r>
      <w:r w:rsidR="000074AE">
        <w:rPr>
          <w:rFonts w:eastAsia="Times New Roman"/>
          <w:color w:val="0D0D0D"/>
        </w:rPr>
        <w:t>conducted</w:t>
      </w:r>
      <w:r>
        <w:rPr>
          <w:rFonts w:eastAsia="Times New Roman"/>
          <w:color w:val="0D0D0D"/>
        </w:rPr>
        <w:t xml:space="preserve"> an audit using the centre’s clinical in</w:t>
      </w:r>
      <w:r w:rsidR="00842FF9">
        <w:rPr>
          <w:rFonts w:eastAsia="Times New Roman"/>
          <w:color w:val="0D0D0D"/>
        </w:rPr>
        <w:t>form</w:t>
      </w:r>
      <w:r>
        <w:rPr>
          <w:rFonts w:eastAsia="Times New Roman"/>
          <w:color w:val="0D0D0D"/>
        </w:rPr>
        <w:t xml:space="preserve">ation system (CIS). Some </w:t>
      </w:r>
      <w:r w:rsidRPr="00CC7177">
        <w:rPr>
          <w:rFonts w:eastAsia="Times New Roman"/>
          <w:color w:val="0D0D0D"/>
        </w:rPr>
        <w:t>(</w:t>
      </w:r>
      <w:r>
        <w:rPr>
          <w:rFonts w:eastAsia="Times New Roman"/>
          <w:color w:val="0D0D0D"/>
        </w:rPr>
        <w:t>n=</w:t>
      </w:r>
      <w:r w:rsidRPr="00CC7177">
        <w:rPr>
          <w:rFonts w:eastAsia="Times New Roman"/>
          <w:color w:val="0D0D0D"/>
        </w:rPr>
        <w:t>10</w:t>
      </w:r>
      <w:r>
        <w:rPr>
          <w:rFonts w:eastAsia="Times New Roman"/>
          <w:color w:val="0D0D0D"/>
        </w:rPr>
        <w:t xml:space="preserve">) used the audit </w:t>
      </w:r>
      <w:r w:rsidRPr="00CC7177">
        <w:rPr>
          <w:rFonts w:ascii="Calibri" w:eastAsia="Times New Roman" w:hAnsi="Calibri" w:cs="Calibri"/>
          <w:color w:val="000000"/>
          <w:lang w:eastAsia="en-AU"/>
        </w:rPr>
        <w:t>to determine a list of eligible patients</w:t>
      </w:r>
      <w:r>
        <w:rPr>
          <w:rFonts w:ascii="Calibri" w:eastAsia="Times New Roman" w:hAnsi="Calibri" w:cs="Calibri"/>
          <w:color w:val="000000"/>
          <w:lang w:eastAsia="en-AU"/>
        </w:rPr>
        <w:t xml:space="preserve">; while others (n=7) used the CIS to ‘flag’ or register a ‘recall’ </w:t>
      </w:r>
      <w:r w:rsidRPr="004B3461">
        <w:rPr>
          <w:rFonts w:ascii="Calibri" w:eastAsia="Times New Roman" w:hAnsi="Calibri" w:cs="Calibri"/>
          <w:color w:val="000000"/>
          <w:lang w:eastAsia="en-AU"/>
        </w:rPr>
        <w:t xml:space="preserve">(e.g. </w:t>
      </w:r>
      <w:r>
        <w:rPr>
          <w:rFonts w:ascii="Calibri" w:eastAsia="Times New Roman" w:hAnsi="Calibri" w:cs="Calibri"/>
          <w:color w:val="000000"/>
          <w:lang w:eastAsia="en-AU"/>
        </w:rPr>
        <w:t>e</w:t>
      </w:r>
      <w:r w:rsidRPr="00E755EC">
        <w:rPr>
          <w:rFonts w:ascii="Calibri" w:eastAsia="Times New Roman" w:hAnsi="Calibri" w:cs="Calibri"/>
          <w:color w:val="000000"/>
          <w:lang w:eastAsia="en-AU"/>
        </w:rPr>
        <w:t>ligible patients</w:t>
      </w:r>
      <w:r w:rsidRPr="004B3461">
        <w:rPr>
          <w:rFonts w:ascii="Calibri" w:eastAsia="Times New Roman" w:hAnsi="Calibri" w:cs="Calibri"/>
          <w:color w:val="000000"/>
          <w:lang w:eastAsia="en-AU"/>
        </w:rPr>
        <w:t xml:space="preserve"> had</w:t>
      </w:r>
      <w:r w:rsidRPr="00E755EC">
        <w:rPr>
          <w:rFonts w:ascii="Calibri" w:eastAsia="Times New Roman" w:hAnsi="Calibri" w:cs="Calibri"/>
          <w:color w:val="000000"/>
          <w:lang w:eastAsia="en-AU"/>
        </w:rPr>
        <w:t xml:space="preserve"> a recall placed on </w:t>
      </w:r>
      <w:r w:rsidRPr="004B3461">
        <w:rPr>
          <w:rFonts w:ascii="Calibri" w:eastAsia="Times New Roman" w:hAnsi="Calibri" w:cs="Calibri"/>
          <w:color w:val="000000"/>
          <w:lang w:eastAsia="en-AU"/>
        </w:rPr>
        <w:t>their profile</w:t>
      </w:r>
      <w:r w:rsidRPr="00E755EC">
        <w:rPr>
          <w:rFonts w:ascii="Calibri" w:eastAsia="Times New Roman" w:hAnsi="Calibri" w:cs="Calibri"/>
          <w:color w:val="000000"/>
          <w:lang w:eastAsia="en-AU"/>
        </w:rPr>
        <w:t xml:space="preserve"> </w:t>
      </w:r>
      <w:r>
        <w:rPr>
          <w:rFonts w:ascii="Calibri" w:eastAsia="Times New Roman" w:hAnsi="Calibri" w:cs="Calibri"/>
          <w:color w:val="000000"/>
          <w:lang w:eastAsia="en-AU"/>
        </w:rPr>
        <w:t>with instructions to ‘go</w:t>
      </w:r>
      <w:r w:rsidRPr="00E755EC">
        <w:rPr>
          <w:rFonts w:ascii="Calibri" w:eastAsia="Times New Roman" w:hAnsi="Calibri" w:cs="Calibri"/>
          <w:color w:val="000000"/>
          <w:lang w:eastAsia="en-AU"/>
        </w:rPr>
        <w:t xml:space="preserve"> through the </w:t>
      </w:r>
      <w:r>
        <w:rPr>
          <w:rFonts w:ascii="Calibri" w:eastAsia="Times New Roman" w:hAnsi="Calibri" w:cs="Calibri"/>
          <w:color w:val="000000"/>
          <w:lang w:eastAsia="en-AU"/>
        </w:rPr>
        <w:t>A</w:t>
      </w:r>
      <w:r w:rsidRPr="00E755EC">
        <w:rPr>
          <w:rFonts w:ascii="Calibri" w:eastAsia="Times New Roman" w:hAnsi="Calibri" w:cs="Calibri"/>
          <w:color w:val="000000"/>
          <w:lang w:eastAsia="en-AU"/>
        </w:rPr>
        <w:t xml:space="preserve">lternative </w:t>
      </w:r>
      <w:r>
        <w:rPr>
          <w:rFonts w:ascii="Calibri" w:eastAsia="Times New Roman" w:hAnsi="Calibri" w:cs="Calibri"/>
          <w:color w:val="000000"/>
          <w:lang w:eastAsia="en-AU"/>
        </w:rPr>
        <w:t>P</w:t>
      </w:r>
      <w:r w:rsidRPr="00E755EC">
        <w:rPr>
          <w:rFonts w:ascii="Calibri" w:eastAsia="Times New Roman" w:hAnsi="Calibri" w:cs="Calibri"/>
          <w:color w:val="000000"/>
          <w:lang w:eastAsia="en-AU"/>
        </w:rPr>
        <w:t>athway</w:t>
      </w:r>
      <w:r>
        <w:rPr>
          <w:rFonts w:ascii="Calibri" w:eastAsia="Times New Roman" w:hAnsi="Calibri" w:cs="Calibri"/>
          <w:color w:val="000000"/>
          <w:lang w:eastAsia="en-AU"/>
        </w:rPr>
        <w:t>’</w:t>
      </w:r>
      <w:r w:rsidRPr="004B3461">
        <w:rPr>
          <w:rFonts w:ascii="Calibri" w:eastAsia="Times New Roman" w:hAnsi="Calibri" w:cs="Calibri"/>
          <w:color w:val="000000"/>
          <w:lang w:eastAsia="en-AU"/>
        </w:rPr>
        <w:t>)</w:t>
      </w:r>
      <w:r>
        <w:rPr>
          <w:rFonts w:ascii="Calibri" w:eastAsia="Times New Roman" w:hAnsi="Calibri" w:cs="Calibri"/>
          <w:color w:val="000000"/>
          <w:lang w:eastAsia="en-AU"/>
        </w:rPr>
        <w:t xml:space="preserve"> or to per</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 xml:space="preserve"> a ‘recall search’, where a staff member</w:t>
      </w:r>
      <w:r w:rsidRPr="00CC7177">
        <w:rPr>
          <w:rFonts w:ascii="Calibri" w:eastAsia="Times New Roman" w:hAnsi="Calibri" w:cs="Calibri"/>
          <w:color w:val="000000"/>
          <w:lang w:eastAsia="en-AU"/>
        </w:rPr>
        <w:t xml:space="preserve"> </w:t>
      </w:r>
      <w:r>
        <w:rPr>
          <w:rFonts w:ascii="Calibri" w:eastAsia="Times New Roman" w:hAnsi="Calibri" w:cs="Calibri"/>
          <w:color w:val="000000"/>
          <w:lang w:eastAsia="en-AU"/>
        </w:rPr>
        <w:t>might, for example, check</w:t>
      </w:r>
      <w:r w:rsidRPr="00CC7177">
        <w:rPr>
          <w:rFonts w:ascii="Calibri" w:eastAsia="Times New Roman" w:hAnsi="Calibri" w:cs="Calibri"/>
          <w:color w:val="000000"/>
          <w:lang w:eastAsia="en-AU"/>
        </w:rPr>
        <w:t xml:space="preserve"> </w:t>
      </w:r>
      <w:r>
        <w:rPr>
          <w:rFonts w:ascii="Calibri" w:eastAsia="Times New Roman" w:hAnsi="Calibri" w:cs="Calibri"/>
          <w:color w:val="000000"/>
          <w:lang w:eastAsia="en-AU"/>
        </w:rPr>
        <w:t>the CIS for</w:t>
      </w:r>
      <w:r w:rsidRPr="00CC7177">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bowel screening </w:t>
      </w:r>
      <w:r w:rsidRPr="00CC7177">
        <w:rPr>
          <w:rFonts w:ascii="Calibri" w:eastAsia="Times New Roman" w:hAnsi="Calibri" w:cs="Calibri"/>
          <w:color w:val="000000"/>
          <w:lang w:eastAsia="en-AU"/>
        </w:rPr>
        <w:t xml:space="preserve">recalls </w:t>
      </w:r>
      <w:r>
        <w:rPr>
          <w:rFonts w:ascii="Calibri" w:eastAsia="Times New Roman" w:hAnsi="Calibri" w:cs="Calibri"/>
          <w:color w:val="000000"/>
          <w:lang w:eastAsia="en-AU"/>
        </w:rPr>
        <w:t xml:space="preserve">or </w:t>
      </w:r>
      <w:r w:rsidRPr="00CC7177">
        <w:rPr>
          <w:rFonts w:ascii="Calibri" w:eastAsia="Times New Roman" w:hAnsi="Calibri" w:cs="Calibri"/>
          <w:color w:val="000000"/>
          <w:lang w:eastAsia="en-AU"/>
        </w:rPr>
        <w:t xml:space="preserve">whether </w:t>
      </w:r>
      <w:r>
        <w:rPr>
          <w:rFonts w:ascii="Calibri" w:eastAsia="Times New Roman" w:hAnsi="Calibri" w:cs="Calibri"/>
          <w:color w:val="000000"/>
          <w:lang w:eastAsia="en-AU"/>
        </w:rPr>
        <w:t>the patient had screened recently.</w:t>
      </w:r>
    </w:p>
    <w:p w14:paraId="0F0ABEC5" w14:textId="09BB6B0E" w:rsidR="00AA4149" w:rsidRPr="00F97F0A" w:rsidRDefault="00AA4149" w:rsidP="00AA4149">
      <w:pPr>
        <w:rPr>
          <w:rFonts w:ascii="Calibri" w:eastAsia="Times New Roman" w:hAnsi="Calibri" w:cs="Calibri"/>
          <w:color w:val="000000"/>
          <w:lang w:eastAsia="en-AU"/>
        </w:rPr>
      </w:pPr>
      <w:r w:rsidRPr="00F97F0A">
        <w:rPr>
          <w:rFonts w:ascii="Calibri" w:eastAsia="Times New Roman" w:hAnsi="Calibri" w:cs="Calibri"/>
          <w:color w:val="000000"/>
          <w:lang w:eastAsia="en-AU"/>
        </w:rPr>
        <w:lastRenderedPageBreak/>
        <w:t>A small number of health centres (</w:t>
      </w:r>
      <w:r>
        <w:rPr>
          <w:rFonts w:ascii="Calibri" w:eastAsia="Times New Roman" w:hAnsi="Calibri" w:cs="Calibri"/>
          <w:color w:val="000000"/>
          <w:lang w:eastAsia="en-AU"/>
        </w:rPr>
        <w:t>n=</w:t>
      </w:r>
      <w:r w:rsidRPr="00F97F0A">
        <w:rPr>
          <w:rFonts w:ascii="Calibri" w:eastAsia="Times New Roman" w:hAnsi="Calibri" w:cs="Calibri"/>
          <w:color w:val="000000"/>
          <w:lang w:eastAsia="en-AU"/>
        </w:rPr>
        <w:t xml:space="preserve">3) </w:t>
      </w:r>
      <w:r>
        <w:rPr>
          <w:rFonts w:ascii="Calibri" w:eastAsia="Times New Roman" w:hAnsi="Calibri" w:cs="Calibri"/>
          <w:color w:val="000000"/>
          <w:lang w:eastAsia="en-AU"/>
        </w:rPr>
        <w:t>used</w:t>
      </w:r>
      <w:r w:rsidRPr="00F97F0A">
        <w:rPr>
          <w:rFonts w:ascii="Calibri" w:eastAsia="Times New Roman" w:hAnsi="Calibri" w:cs="Calibri"/>
          <w:color w:val="000000"/>
          <w:lang w:eastAsia="en-AU"/>
        </w:rPr>
        <w:t xml:space="preserve"> other means to identify eligible patients</w:t>
      </w:r>
      <w:r>
        <w:rPr>
          <w:rFonts w:ascii="Calibri" w:eastAsia="Times New Roman" w:hAnsi="Calibri" w:cs="Calibri"/>
          <w:color w:val="000000"/>
          <w:lang w:eastAsia="en-AU"/>
        </w:rPr>
        <w:t>. Two</w:t>
      </w:r>
      <w:r w:rsidRPr="00F97F0A">
        <w:rPr>
          <w:rFonts w:ascii="Calibri" w:eastAsia="Times New Roman" w:hAnsi="Calibri" w:cs="Calibri"/>
          <w:color w:val="000000"/>
          <w:lang w:eastAsia="en-AU"/>
        </w:rPr>
        <w:t xml:space="preserve"> health centres </w:t>
      </w:r>
      <w:r>
        <w:rPr>
          <w:rFonts w:ascii="Calibri" w:eastAsia="Times New Roman" w:hAnsi="Calibri" w:cs="Calibri"/>
          <w:color w:val="000000"/>
          <w:lang w:eastAsia="en-AU"/>
        </w:rPr>
        <w:t>identified</w:t>
      </w:r>
      <w:r w:rsidRPr="00F97F0A">
        <w:rPr>
          <w:rFonts w:ascii="Calibri" w:eastAsia="Times New Roman" w:hAnsi="Calibri" w:cs="Calibri"/>
          <w:color w:val="000000"/>
          <w:lang w:eastAsia="en-AU"/>
        </w:rPr>
        <w:t xml:space="preserve"> eligible patients from the </w:t>
      </w:r>
      <w:r>
        <w:rPr>
          <w:rFonts w:ascii="Calibri" w:eastAsia="Times New Roman" w:hAnsi="Calibri" w:cs="Calibri"/>
          <w:color w:val="000000"/>
          <w:lang w:eastAsia="en-AU"/>
        </w:rPr>
        <w:t xml:space="preserve">daily </w:t>
      </w:r>
      <w:r w:rsidRPr="00F97F0A">
        <w:rPr>
          <w:rFonts w:ascii="Calibri" w:eastAsia="Times New Roman" w:hAnsi="Calibri" w:cs="Calibri"/>
          <w:color w:val="000000"/>
          <w:lang w:eastAsia="en-AU"/>
        </w:rPr>
        <w:t xml:space="preserve">appointment book and made notes for </w:t>
      </w:r>
      <w:r>
        <w:rPr>
          <w:rFonts w:ascii="Calibri" w:eastAsia="Times New Roman" w:hAnsi="Calibri" w:cs="Calibri"/>
          <w:color w:val="000000"/>
          <w:lang w:eastAsia="en-AU"/>
        </w:rPr>
        <w:t xml:space="preserve">those </w:t>
      </w:r>
      <w:r w:rsidRPr="00F97F0A">
        <w:rPr>
          <w:rFonts w:ascii="Calibri" w:eastAsia="Times New Roman" w:hAnsi="Calibri" w:cs="Calibri"/>
          <w:color w:val="000000"/>
          <w:lang w:eastAsia="en-AU"/>
        </w:rPr>
        <w:t xml:space="preserve">patients to be offered </w:t>
      </w:r>
      <w:r>
        <w:rPr>
          <w:rFonts w:ascii="Calibri" w:eastAsia="Times New Roman" w:hAnsi="Calibri" w:cs="Calibri"/>
          <w:color w:val="000000"/>
          <w:lang w:eastAsia="en-AU"/>
        </w:rPr>
        <w:t xml:space="preserve">screening through </w:t>
      </w:r>
      <w:r w:rsidRPr="00F97F0A">
        <w:rPr>
          <w:rFonts w:ascii="Calibri" w:eastAsia="Times New Roman" w:hAnsi="Calibri" w:cs="Calibri"/>
          <w:color w:val="000000"/>
          <w:lang w:eastAsia="en-AU"/>
        </w:rPr>
        <w:t xml:space="preserve">the </w:t>
      </w:r>
      <w:r>
        <w:rPr>
          <w:rFonts w:ascii="Calibri" w:eastAsia="Times New Roman" w:hAnsi="Calibri" w:cs="Calibri"/>
          <w:color w:val="000000"/>
          <w:lang w:eastAsia="en-AU"/>
        </w:rPr>
        <w:t>Alternative Pathway. On</w:t>
      </w:r>
      <w:r w:rsidRPr="00F97F0A">
        <w:rPr>
          <w:rFonts w:ascii="Calibri" w:eastAsia="Times New Roman" w:hAnsi="Calibri" w:cs="Calibri"/>
          <w:color w:val="000000"/>
          <w:lang w:eastAsia="en-AU"/>
        </w:rPr>
        <w:t>e</w:t>
      </w:r>
      <w:r w:rsidRPr="00E755EC">
        <w:rPr>
          <w:rFonts w:ascii="Calibri" w:eastAsia="Times New Roman" w:hAnsi="Calibri" w:cs="Calibri"/>
          <w:color w:val="000000"/>
          <w:lang w:eastAsia="en-AU"/>
        </w:rPr>
        <w:t xml:space="preserve"> centre </w:t>
      </w:r>
      <w:r>
        <w:rPr>
          <w:rFonts w:ascii="Calibri" w:eastAsia="Times New Roman" w:hAnsi="Calibri" w:cs="Calibri"/>
          <w:color w:val="000000"/>
          <w:lang w:eastAsia="en-AU"/>
        </w:rPr>
        <w:t xml:space="preserve">set up </w:t>
      </w:r>
      <w:r w:rsidRPr="00E755EC">
        <w:rPr>
          <w:rFonts w:ascii="Calibri" w:eastAsia="Times New Roman" w:hAnsi="Calibri" w:cs="Calibri"/>
          <w:color w:val="000000"/>
          <w:lang w:eastAsia="en-AU"/>
        </w:rPr>
        <w:t xml:space="preserve">a checklist </w:t>
      </w:r>
      <w:r>
        <w:rPr>
          <w:rFonts w:ascii="Calibri" w:eastAsia="Times New Roman" w:hAnsi="Calibri" w:cs="Calibri"/>
          <w:color w:val="000000"/>
          <w:lang w:eastAsia="en-AU"/>
        </w:rPr>
        <w:t xml:space="preserve">that was </w:t>
      </w:r>
      <w:r w:rsidRPr="00E755EC">
        <w:rPr>
          <w:rFonts w:ascii="Calibri" w:eastAsia="Times New Roman" w:hAnsi="Calibri" w:cs="Calibri"/>
          <w:color w:val="000000"/>
          <w:lang w:eastAsia="en-AU"/>
        </w:rPr>
        <w:t>used as a prompt when patients first came in</w:t>
      </w:r>
      <w:r>
        <w:rPr>
          <w:rFonts w:ascii="Calibri" w:eastAsia="Times New Roman" w:hAnsi="Calibri" w:cs="Calibri"/>
          <w:color w:val="000000"/>
          <w:lang w:eastAsia="en-AU"/>
        </w:rPr>
        <w:t>to</w:t>
      </w:r>
      <w:r w:rsidRPr="00E755EC">
        <w:rPr>
          <w:rFonts w:ascii="Calibri" w:eastAsia="Times New Roman" w:hAnsi="Calibri" w:cs="Calibri"/>
          <w:color w:val="000000"/>
          <w:lang w:eastAsia="en-AU"/>
        </w:rPr>
        <w:t xml:space="preserve"> the waiting </w:t>
      </w:r>
      <w:r>
        <w:rPr>
          <w:rFonts w:ascii="Calibri" w:eastAsia="Times New Roman" w:hAnsi="Calibri" w:cs="Calibri"/>
          <w:color w:val="000000"/>
          <w:lang w:eastAsia="en-AU"/>
        </w:rPr>
        <w:t xml:space="preserve">room, </w:t>
      </w:r>
      <w:r w:rsidRPr="00E755EC">
        <w:rPr>
          <w:rFonts w:ascii="Calibri" w:eastAsia="Times New Roman" w:hAnsi="Calibri" w:cs="Calibri"/>
          <w:color w:val="000000"/>
          <w:lang w:eastAsia="en-AU"/>
        </w:rPr>
        <w:t>to ask</w:t>
      </w:r>
      <w:r w:rsidRPr="00F97F0A">
        <w:rPr>
          <w:rFonts w:ascii="Calibri" w:eastAsia="Times New Roman" w:hAnsi="Calibri" w:cs="Calibri"/>
          <w:color w:val="000000"/>
          <w:lang w:eastAsia="en-AU"/>
        </w:rPr>
        <w:t xml:space="preserve"> and </w:t>
      </w:r>
      <w:r w:rsidRPr="00E755EC">
        <w:rPr>
          <w:rFonts w:ascii="Calibri" w:eastAsia="Times New Roman" w:hAnsi="Calibri" w:cs="Calibri"/>
          <w:color w:val="000000"/>
          <w:lang w:eastAsia="en-AU"/>
        </w:rPr>
        <w:t xml:space="preserve">remind staff </w:t>
      </w:r>
      <w:r>
        <w:rPr>
          <w:rFonts w:ascii="Calibri" w:eastAsia="Times New Roman" w:hAnsi="Calibri" w:cs="Calibri"/>
          <w:color w:val="000000"/>
          <w:lang w:eastAsia="en-AU"/>
        </w:rPr>
        <w:t>about</w:t>
      </w:r>
      <w:r w:rsidRPr="00E755EC">
        <w:rPr>
          <w:rFonts w:ascii="Calibri" w:eastAsia="Times New Roman" w:hAnsi="Calibri" w:cs="Calibri"/>
          <w:color w:val="000000"/>
          <w:lang w:eastAsia="en-AU"/>
        </w:rPr>
        <w:t xml:space="preserve"> the Alternative Pathway. </w:t>
      </w:r>
    </w:p>
    <w:p w14:paraId="2A454C3B" w14:textId="347ACDC6" w:rsidR="00AA4149" w:rsidRPr="00F97F0A"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Most</w:t>
      </w:r>
      <w:r w:rsidRPr="00F97F0A">
        <w:rPr>
          <w:rFonts w:ascii="Calibri" w:eastAsia="Times New Roman" w:hAnsi="Calibri" w:cs="Calibri"/>
          <w:color w:val="000000"/>
          <w:lang w:eastAsia="en-AU"/>
        </w:rPr>
        <w:t xml:space="preserve"> health centres (</w:t>
      </w:r>
      <w:r>
        <w:rPr>
          <w:rFonts w:ascii="Calibri" w:eastAsia="Times New Roman" w:hAnsi="Calibri" w:cs="Calibri"/>
          <w:color w:val="000000"/>
          <w:lang w:eastAsia="en-AU"/>
        </w:rPr>
        <w:t>n=</w:t>
      </w:r>
      <w:r w:rsidRPr="00F97F0A">
        <w:rPr>
          <w:rFonts w:ascii="Calibri" w:eastAsia="Times New Roman" w:hAnsi="Calibri" w:cs="Calibri"/>
          <w:color w:val="000000"/>
          <w:lang w:eastAsia="en-AU"/>
        </w:rPr>
        <w:t xml:space="preserve">19) </w:t>
      </w:r>
      <w:bookmarkStart w:id="220" w:name="_Hlk40685758"/>
      <w:r w:rsidRPr="00F97F0A">
        <w:rPr>
          <w:rFonts w:ascii="Calibri" w:eastAsia="Times New Roman" w:hAnsi="Calibri" w:cs="Calibri"/>
          <w:color w:val="000000"/>
          <w:lang w:eastAsia="en-AU"/>
        </w:rPr>
        <w:t xml:space="preserve">used </w:t>
      </w:r>
      <w:r>
        <w:rPr>
          <w:rFonts w:ascii="Calibri" w:eastAsia="Times New Roman" w:hAnsi="Calibri" w:cs="Calibri"/>
          <w:color w:val="000000"/>
          <w:lang w:eastAsia="en-AU"/>
        </w:rPr>
        <w:t>an existing</w:t>
      </w:r>
      <w:r w:rsidRPr="00F97F0A">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routine </w:t>
      </w:r>
      <w:r w:rsidRPr="00F97F0A">
        <w:rPr>
          <w:rFonts w:ascii="Calibri" w:eastAsia="Times New Roman" w:hAnsi="Calibri" w:cs="Calibri"/>
          <w:color w:val="000000"/>
          <w:lang w:eastAsia="en-AU"/>
        </w:rPr>
        <w:t>health assessment a</w:t>
      </w:r>
      <w:r w:rsidR="00F13511">
        <w:rPr>
          <w:rFonts w:ascii="Calibri" w:eastAsia="Times New Roman" w:hAnsi="Calibri" w:cs="Calibri"/>
          <w:color w:val="000000"/>
          <w:lang w:eastAsia="en-AU"/>
        </w:rPr>
        <w:t>s</w:t>
      </w:r>
      <w:r w:rsidRPr="00F97F0A">
        <w:rPr>
          <w:rFonts w:ascii="Calibri" w:eastAsia="Times New Roman" w:hAnsi="Calibri" w:cs="Calibri"/>
          <w:color w:val="000000"/>
          <w:lang w:eastAsia="en-AU"/>
        </w:rPr>
        <w:t xml:space="preserve"> a </w:t>
      </w:r>
      <w:r>
        <w:rPr>
          <w:rFonts w:ascii="Calibri" w:eastAsia="Times New Roman" w:hAnsi="Calibri" w:cs="Calibri"/>
          <w:color w:val="000000"/>
          <w:lang w:eastAsia="en-AU"/>
        </w:rPr>
        <w:t>point at which</w:t>
      </w:r>
      <w:r w:rsidRPr="00F97F0A">
        <w:rPr>
          <w:rFonts w:ascii="Calibri" w:eastAsia="Times New Roman" w:hAnsi="Calibri" w:cs="Calibri"/>
          <w:color w:val="000000"/>
          <w:lang w:eastAsia="en-AU"/>
        </w:rPr>
        <w:t xml:space="preserve"> </w:t>
      </w:r>
      <w:r>
        <w:rPr>
          <w:rFonts w:ascii="Calibri" w:eastAsia="Times New Roman" w:hAnsi="Calibri" w:cs="Calibri"/>
          <w:color w:val="000000"/>
          <w:lang w:eastAsia="en-AU"/>
        </w:rPr>
        <w:t>an</w:t>
      </w:r>
      <w:r w:rsidRPr="00F97F0A">
        <w:rPr>
          <w:rFonts w:ascii="Calibri" w:eastAsia="Times New Roman" w:hAnsi="Calibri" w:cs="Calibri"/>
          <w:color w:val="000000"/>
          <w:lang w:eastAsia="en-AU"/>
        </w:rPr>
        <w:t xml:space="preserve"> </w:t>
      </w:r>
      <w:r>
        <w:rPr>
          <w:rFonts w:ascii="Calibri" w:eastAsia="Times New Roman" w:hAnsi="Calibri" w:cs="Calibri"/>
          <w:color w:val="000000"/>
          <w:lang w:eastAsia="en-AU"/>
        </w:rPr>
        <w:t>I</w:t>
      </w:r>
      <w:r w:rsidRPr="00F97F0A">
        <w:rPr>
          <w:rFonts w:ascii="Calibri" w:eastAsia="Times New Roman" w:hAnsi="Calibri" w:cs="Calibri"/>
          <w:color w:val="000000"/>
          <w:lang w:eastAsia="en-AU"/>
        </w:rPr>
        <w:t xml:space="preserve">HW, nurse or GP </w:t>
      </w:r>
      <w:r>
        <w:rPr>
          <w:rFonts w:ascii="Calibri" w:eastAsia="Times New Roman" w:hAnsi="Calibri" w:cs="Calibri"/>
          <w:color w:val="000000"/>
          <w:lang w:eastAsia="en-AU"/>
        </w:rPr>
        <w:t>could</w:t>
      </w:r>
      <w:r w:rsidRPr="00F97F0A">
        <w:rPr>
          <w:rFonts w:ascii="Calibri" w:eastAsia="Times New Roman" w:hAnsi="Calibri" w:cs="Calibri"/>
          <w:color w:val="000000"/>
          <w:lang w:eastAsia="en-AU"/>
        </w:rPr>
        <w:t xml:space="preserve"> identify eligible </w:t>
      </w:r>
      <w:r>
        <w:rPr>
          <w:rFonts w:ascii="Calibri" w:eastAsia="Times New Roman" w:hAnsi="Calibri" w:cs="Calibri"/>
          <w:color w:val="000000"/>
          <w:lang w:eastAsia="en-AU"/>
        </w:rPr>
        <w:t>and</w:t>
      </w:r>
      <w:r w:rsidRPr="00F97F0A">
        <w:rPr>
          <w:rFonts w:ascii="Calibri" w:eastAsia="Times New Roman" w:hAnsi="Calibri" w:cs="Calibri"/>
          <w:color w:val="000000"/>
          <w:lang w:eastAsia="en-AU"/>
        </w:rPr>
        <w:t xml:space="preserve"> suitable patients </w:t>
      </w:r>
      <w:r>
        <w:rPr>
          <w:rFonts w:ascii="Calibri" w:eastAsia="Times New Roman" w:hAnsi="Calibri" w:cs="Calibri"/>
          <w:color w:val="000000"/>
          <w:lang w:eastAsia="en-AU"/>
        </w:rPr>
        <w:t>for</w:t>
      </w:r>
      <w:r w:rsidRPr="00F97F0A">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screening through </w:t>
      </w:r>
      <w:r w:rsidRPr="00F97F0A">
        <w:rPr>
          <w:rFonts w:ascii="Calibri" w:eastAsia="Times New Roman" w:hAnsi="Calibri" w:cs="Calibri"/>
          <w:color w:val="000000"/>
          <w:lang w:eastAsia="en-AU"/>
        </w:rPr>
        <w:t xml:space="preserve">the </w:t>
      </w:r>
      <w:r>
        <w:rPr>
          <w:rFonts w:ascii="Calibri" w:eastAsia="Times New Roman" w:hAnsi="Calibri" w:cs="Calibri"/>
          <w:color w:val="000000"/>
          <w:lang w:eastAsia="en-AU"/>
        </w:rPr>
        <w:t xml:space="preserve">Alternative Pathway. Some health centres had included a bowel screening question within the annual </w:t>
      </w:r>
      <w:bookmarkEnd w:id="220"/>
      <w:r>
        <w:rPr>
          <w:rFonts w:ascii="Calibri" w:eastAsia="Times New Roman" w:hAnsi="Calibri" w:cs="Calibri"/>
          <w:color w:val="000000"/>
          <w:lang w:eastAsia="en-AU"/>
        </w:rPr>
        <w:t>adult health check prior to the Pilot; others did so during the Pilot.</w:t>
      </w:r>
    </w:p>
    <w:p w14:paraId="24B217EF" w14:textId="38F3B320" w:rsidR="00AA4149"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 xml:space="preserve">Health centres engaged with eligible patients about bowel screening either opportunistically </w:t>
      </w:r>
      <w:r w:rsidR="00E54FAC">
        <w:rPr>
          <w:rFonts w:ascii="Calibri" w:eastAsia="Times New Roman" w:hAnsi="Calibri" w:cs="Calibri"/>
          <w:color w:val="000000"/>
          <w:lang w:eastAsia="en-AU"/>
        </w:rPr>
        <w:t>–</w:t>
      </w:r>
      <w:r>
        <w:rPr>
          <w:rFonts w:ascii="Calibri" w:eastAsia="Times New Roman" w:hAnsi="Calibri" w:cs="Calibri"/>
          <w:color w:val="000000"/>
          <w:lang w:eastAsia="en-AU"/>
        </w:rPr>
        <w:t xml:space="preserve"> when the patient attended the clinic for another purpose (n=31) </w:t>
      </w:r>
      <w:r w:rsidR="00E54FAC">
        <w:rPr>
          <w:rFonts w:ascii="Calibri" w:eastAsia="Times New Roman" w:hAnsi="Calibri" w:cs="Calibri"/>
          <w:color w:val="000000"/>
          <w:lang w:eastAsia="en-AU"/>
        </w:rPr>
        <w:t>–</w:t>
      </w:r>
      <w:r>
        <w:rPr>
          <w:rFonts w:ascii="Calibri" w:eastAsia="Times New Roman" w:hAnsi="Calibri" w:cs="Calibri"/>
          <w:color w:val="000000"/>
          <w:lang w:eastAsia="en-AU"/>
        </w:rPr>
        <w:t xml:space="preserve"> or </w:t>
      </w:r>
      <w:r w:rsidR="00E54FAC">
        <w:rPr>
          <w:rFonts w:ascii="Calibri" w:eastAsia="Times New Roman" w:hAnsi="Calibri" w:cs="Calibri"/>
          <w:color w:val="000000"/>
          <w:lang w:eastAsia="en-AU"/>
        </w:rPr>
        <w:t>as a targeted invitation (n=6).</w:t>
      </w:r>
    </w:p>
    <w:p w14:paraId="3F8A43E8" w14:textId="134DABCC" w:rsidR="00AA4149" w:rsidRPr="00AC2C07"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Invitation methods included letters, phone calls, house visits and text messages. Recalls (n=7), which could be used for targeted invitation, were mainly used opportunistically. Targeted invites and recalls were only per</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 xml:space="preserve">ed by health centres who </w:t>
      </w:r>
      <w:r w:rsidR="00842FF9">
        <w:rPr>
          <w:rFonts w:ascii="Calibri" w:eastAsia="Times New Roman" w:hAnsi="Calibri" w:cs="Calibri"/>
          <w:color w:val="000000"/>
          <w:lang w:eastAsia="en-AU"/>
        </w:rPr>
        <w:t>conducted</w:t>
      </w:r>
      <w:r>
        <w:rPr>
          <w:rFonts w:ascii="Calibri" w:eastAsia="Times New Roman" w:hAnsi="Calibri" w:cs="Calibri"/>
          <w:color w:val="000000"/>
          <w:lang w:eastAsia="en-AU"/>
        </w:rPr>
        <w:t xml:space="preserve"> an audit or used their CIS to flag or recall patients. One health centre took quite a different approach: the primary method of invitation was that an IHW sought out and</w:t>
      </w:r>
      <w:r w:rsidRPr="00E53AB7">
        <w:rPr>
          <w:rFonts w:ascii="Calibri" w:eastAsia="Times New Roman" w:hAnsi="Calibri" w:cs="Calibri"/>
          <w:color w:val="000000"/>
          <w:lang w:eastAsia="en-AU"/>
        </w:rPr>
        <w:t xml:space="preserve"> invit</w:t>
      </w:r>
      <w:r>
        <w:rPr>
          <w:rFonts w:ascii="Calibri" w:eastAsia="Times New Roman" w:hAnsi="Calibri" w:cs="Calibri"/>
          <w:color w:val="000000"/>
          <w:lang w:eastAsia="en-AU"/>
        </w:rPr>
        <w:t>ed</w:t>
      </w:r>
      <w:r w:rsidRPr="00E53AB7">
        <w:rPr>
          <w:rFonts w:ascii="Calibri" w:eastAsia="Times New Roman" w:hAnsi="Calibri" w:cs="Calibri"/>
          <w:color w:val="000000"/>
          <w:lang w:eastAsia="en-AU"/>
        </w:rPr>
        <w:t xml:space="preserve"> </w:t>
      </w:r>
      <w:r>
        <w:rPr>
          <w:rFonts w:ascii="Calibri" w:eastAsia="Times New Roman" w:hAnsi="Calibri" w:cs="Calibri"/>
          <w:color w:val="000000"/>
          <w:lang w:eastAsia="en-AU"/>
        </w:rPr>
        <w:t>community members</w:t>
      </w:r>
      <w:r w:rsidRPr="00E53AB7">
        <w:rPr>
          <w:rFonts w:ascii="Calibri" w:eastAsia="Times New Roman" w:hAnsi="Calibri" w:cs="Calibri"/>
          <w:color w:val="000000"/>
          <w:lang w:eastAsia="en-AU"/>
        </w:rPr>
        <w:t xml:space="preserve"> they knew</w:t>
      </w:r>
      <w:r w:rsidR="00E54FAC">
        <w:rPr>
          <w:rFonts w:ascii="Calibri" w:eastAsia="Times New Roman" w:hAnsi="Calibri" w:cs="Calibri"/>
          <w:color w:val="000000"/>
          <w:lang w:eastAsia="en-AU"/>
        </w:rPr>
        <w:t xml:space="preserve"> were eligible.</w:t>
      </w:r>
    </w:p>
    <w:p w14:paraId="3E4D0009" w14:textId="77777777" w:rsidR="00182F82" w:rsidRDefault="00AA4149" w:rsidP="00AA4149">
      <w:pPr>
        <w:rPr>
          <w:rFonts w:ascii="Calibri" w:eastAsia="Times New Roman" w:hAnsi="Calibri" w:cs="Calibri"/>
          <w:color w:val="000000"/>
          <w:lang w:eastAsia="en-AU"/>
        </w:rPr>
      </w:pPr>
      <w:r>
        <w:rPr>
          <w:rFonts w:eastAsia="Times New Roman"/>
          <w:color w:val="0D0D0D"/>
        </w:rPr>
        <w:t>Most health centres used more than one approach to engage with their patients about screening through the Alternative Pathway. E</w:t>
      </w:r>
      <w:r w:rsidRPr="002874FC">
        <w:rPr>
          <w:rFonts w:eastAsia="Times New Roman"/>
          <w:color w:val="0D0D0D"/>
        </w:rPr>
        <w:t>very health centre</w:t>
      </w:r>
      <w:r>
        <w:rPr>
          <w:rFonts w:eastAsia="Times New Roman"/>
          <w:color w:val="0D0D0D"/>
        </w:rPr>
        <w:t>, for instance, had a process for</w:t>
      </w:r>
      <w:r w:rsidRPr="002874FC">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offering </w:t>
      </w:r>
      <w:r w:rsidRPr="002874FC">
        <w:rPr>
          <w:rFonts w:ascii="Calibri" w:eastAsia="Times New Roman" w:hAnsi="Calibri" w:cs="Calibri"/>
          <w:color w:val="000000"/>
          <w:lang w:eastAsia="en-AU"/>
        </w:rPr>
        <w:t xml:space="preserve">the </w:t>
      </w:r>
      <w:r>
        <w:rPr>
          <w:rFonts w:ascii="Calibri" w:eastAsia="Times New Roman" w:hAnsi="Calibri" w:cs="Calibri"/>
          <w:color w:val="000000"/>
          <w:lang w:eastAsia="en-AU"/>
        </w:rPr>
        <w:t xml:space="preserve">Alternative Pathway </w:t>
      </w:r>
      <w:r w:rsidRPr="002874FC">
        <w:rPr>
          <w:rFonts w:ascii="Calibri" w:eastAsia="Times New Roman" w:hAnsi="Calibri" w:cs="Calibri"/>
          <w:color w:val="000000"/>
          <w:lang w:eastAsia="en-AU"/>
        </w:rPr>
        <w:t>within</w:t>
      </w:r>
      <w:r>
        <w:rPr>
          <w:rFonts w:ascii="Calibri" w:eastAsia="Times New Roman" w:hAnsi="Calibri" w:cs="Calibri"/>
          <w:color w:val="000000"/>
          <w:lang w:eastAsia="en-AU"/>
        </w:rPr>
        <w:t xml:space="preserve"> or around</w:t>
      </w:r>
      <w:r w:rsidRPr="002874FC">
        <w:rPr>
          <w:rFonts w:ascii="Calibri" w:eastAsia="Times New Roman" w:hAnsi="Calibri" w:cs="Calibri"/>
          <w:color w:val="000000"/>
          <w:lang w:eastAsia="en-AU"/>
        </w:rPr>
        <w:t xml:space="preserve"> </w:t>
      </w:r>
      <w:r>
        <w:rPr>
          <w:rFonts w:ascii="Calibri" w:eastAsia="Times New Roman" w:hAnsi="Calibri" w:cs="Calibri"/>
          <w:color w:val="000000"/>
          <w:lang w:eastAsia="en-AU"/>
        </w:rPr>
        <w:t>a</w:t>
      </w:r>
      <w:r w:rsidRPr="002874FC">
        <w:rPr>
          <w:rFonts w:ascii="Calibri" w:eastAsia="Times New Roman" w:hAnsi="Calibri" w:cs="Calibri"/>
          <w:color w:val="000000"/>
          <w:lang w:eastAsia="en-AU"/>
        </w:rPr>
        <w:t xml:space="preserve"> health assessment or </w:t>
      </w:r>
      <w:r>
        <w:rPr>
          <w:rFonts w:ascii="Calibri" w:eastAsia="Times New Roman" w:hAnsi="Calibri" w:cs="Calibri"/>
          <w:color w:val="000000"/>
          <w:lang w:eastAsia="en-AU"/>
        </w:rPr>
        <w:t xml:space="preserve">via </w:t>
      </w:r>
      <w:r w:rsidRPr="002874FC">
        <w:rPr>
          <w:rFonts w:ascii="Calibri" w:eastAsia="Times New Roman" w:hAnsi="Calibri" w:cs="Calibri"/>
          <w:color w:val="000000"/>
          <w:lang w:eastAsia="en-AU"/>
        </w:rPr>
        <w:t>another routine activity</w:t>
      </w:r>
      <w:r>
        <w:rPr>
          <w:rFonts w:ascii="Calibri" w:eastAsia="Times New Roman" w:hAnsi="Calibri" w:cs="Calibri"/>
          <w:color w:val="000000"/>
          <w:lang w:eastAsia="en-AU"/>
        </w:rPr>
        <w:t xml:space="preserve"> (e.g. chronic disease care plans, GP management plans). </w:t>
      </w:r>
    </w:p>
    <w:p w14:paraId="365BF845" w14:textId="2FE34EA6" w:rsidR="00AA4149" w:rsidRDefault="00AA4149" w:rsidP="00AA4149">
      <w:pPr>
        <w:rPr>
          <w:rFonts w:eastAsia="Times New Roman"/>
          <w:color w:val="0D0D0D"/>
        </w:rPr>
      </w:pPr>
      <w:r>
        <w:rPr>
          <w:rFonts w:eastAsia="Times New Roman"/>
          <w:color w:val="0D0D0D"/>
        </w:rPr>
        <w:t>Patients might be</w:t>
      </w:r>
      <w:r w:rsidRPr="00A632F3">
        <w:rPr>
          <w:rFonts w:eastAsia="Times New Roman"/>
          <w:color w:val="0D0D0D"/>
        </w:rPr>
        <w:t xml:space="preserve"> assessed as suitable and offered an NBCSP kit</w:t>
      </w:r>
      <w:r>
        <w:rPr>
          <w:rFonts w:eastAsia="Times New Roman"/>
          <w:color w:val="0D0D0D"/>
        </w:rPr>
        <w:t xml:space="preserve"> </w:t>
      </w:r>
      <w:r w:rsidRPr="00D1628A">
        <w:rPr>
          <w:rFonts w:eastAsia="Times New Roman"/>
          <w:color w:val="0D0D0D"/>
        </w:rPr>
        <w:t>during</w:t>
      </w:r>
      <w:r w:rsidRPr="00A632F3">
        <w:rPr>
          <w:rFonts w:eastAsia="Times New Roman"/>
          <w:color w:val="0D0D0D"/>
        </w:rPr>
        <w:t xml:space="preserve"> their consult</w:t>
      </w:r>
      <w:r>
        <w:rPr>
          <w:rFonts w:eastAsia="Times New Roman"/>
          <w:color w:val="0D0D0D"/>
        </w:rPr>
        <w:t xml:space="preserve">ation with whichever health professional they were booked to see. Alternatively, the bowel screening conversation might occur </w:t>
      </w:r>
      <w:r w:rsidRPr="00D1628A">
        <w:rPr>
          <w:rFonts w:eastAsia="Times New Roman"/>
          <w:color w:val="0D0D0D"/>
        </w:rPr>
        <w:t>before or after</w:t>
      </w:r>
      <w:r>
        <w:rPr>
          <w:rFonts w:eastAsia="Times New Roman"/>
          <w:color w:val="0D0D0D"/>
        </w:rPr>
        <w:t xml:space="preserve"> the main consult, usually with a nurse or IHW. For example: </w:t>
      </w:r>
    </w:p>
    <w:p w14:paraId="01503282" w14:textId="77777777" w:rsidR="00AA4149" w:rsidRDefault="00AA4149" w:rsidP="000920C7">
      <w:pPr>
        <w:pStyle w:val="Quote"/>
      </w:pPr>
      <w:r w:rsidRPr="00AD3203">
        <w:t>‘</w:t>
      </w:r>
      <w:r w:rsidRPr="00E17DAA">
        <w:t>Patients were invited in two different ways, either the nurse or I</w:t>
      </w:r>
      <w:r w:rsidRPr="009E1D0C">
        <w:t>HW would opportu</w:t>
      </w:r>
      <w:r w:rsidRPr="00182F82">
        <w:t>nistically see a patient [before their appointment] and be aware of the criteria and offer bowel screening; or [it might occur] during either a screening process, a 715 [adult health check] or a care plan</w:t>
      </w:r>
      <w:r w:rsidRPr="004930B0">
        <w:t>.</w:t>
      </w:r>
      <w:r>
        <w:t>’</w:t>
      </w:r>
    </w:p>
    <w:p w14:paraId="7CAE449E" w14:textId="77777777" w:rsidR="00AA4149" w:rsidRPr="00695AAB"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Only t</w:t>
      </w:r>
      <w:r w:rsidRPr="00695AAB">
        <w:rPr>
          <w:rFonts w:ascii="Calibri" w:eastAsia="Times New Roman" w:hAnsi="Calibri" w:cs="Calibri"/>
          <w:color w:val="000000"/>
          <w:lang w:eastAsia="en-AU"/>
        </w:rPr>
        <w:t>wo health centre</w:t>
      </w:r>
      <w:r>
        <w:rPr>
          <w:rFonts w:ascii="Calibri" w:eastAsia="Times New Roman" w:hAnsi="Calibri" w:cs="Calibri"/>
          <w:color w:val="000000"/>
          <w:lang w:eastAsia="en-AU"/>
        </w:rPr>
        <w:t xml:space="preserve">s </w:t>
      </w:r>
      <w:r w:rsidRPr="00695AAB">
        <w:rPr>
          <w:rFonts w:ascii="Calibri" w:eastAsia="Times New Roman" w:hAnsi="Calibri" w:cs="Calibri"/>
          <w:color w:val="000000"/>
          <w:lang w:eastAsia="en-AU"/>
        </w:rPr>
        <w:t xml:space="preserve">offered the </w:t>
      </w:r>
      <w:r>
        <w:rPr>
          <w:rFonts w:ascii="Calibri" w:eastAsia="Times New Roman" w:hAnsi="Calibri" w:cs="Calibri"/>
          <w:color w:val="000000"/>
          <w:lang w:eastAsia="en-AU"/>
        </w:rPr>
        <w:t xml:space="preserve">Alternative Pathway </w:t>
      </w:r>
      <w:r w:rsidRPr="00695AAB">
        <w:rPr>
          <w:rFonts w:ascii="Calibri" w:eastAsia="Times New Roman" w:hAnsi="Calibri" w:cs="Calibri"/>
          <w:color w:val="000000"/>
          <w:lang w:eastAsia="en-AU"/>
        </w:rPr>
        <w:t xml:space="preserve">as a specified appointment </w:t>
      </w:r>
      <w:r w:rsidRPr="00527F39">
        <w:rPr>
          <w:rFonts w:ascii="Calibri" w:eastAsia="Times New Roman" w:hAnsi="Calibri" w:cs="Calibri"/>
          <w:color w:val="000000"/>
          <w:lang w:eastAsia="en-AU"/>
        </w:rPr>
        <w:t xml:space="preserve">and/or </w:t>
      </w:r>
      <w:r>
        <w:rPr>
          <w:rFonts w:ascii="Calibri" w:eastAsia="Times New Roman" w:hAnsi="Calibri" w:cs="Calibri"/>
          <w:color w:val="000000"/>
          <w:lang w:eastAsia="en-AU"/>
        </w:rPr>
        <w:t xml:space="preserve">a </w:t>
      </w:r>
      <w:r w:rsidRPr="00695AAB">
        <w:rPr>
          <w:rFonts w:ascii="Calibri" w:eastAsia="Times New Roman" w:hAnsi="Calibri" w:cs="Calibri"/>
          <w:color w:val="000000"/>
          <w:lang w:eastAsia="en-AU"/>
        </w:rPr>
        <w:t>s</w:t>
      </w:r>
      <w:r w:rsidRPr="00527F39">
        <w:rPr>
          <w:rFonts w:ascii="Calibri" w:eastAsia="Times New Roman" w:hAnsi="Calibri" w:cs="Calibri"/>
          <w:color w:val="000000"/>
          <w:lang w:eastAsia="en-AU"/>
        </w:rPr>
        <w:t>tandalone education session</w:t>
      </w:r>
      <w:r w:rsidRPr="00695AAB">
        <w:rPr>
          <w:rFonts w:ascii="Calibri" w:eastAsia="Times New Roman" w:hAnsi="Calibri" w:cs="Calibri"/>
          <w:color w:val="000000"/>
          <w:lang w:eastAsia="en-AU"/>
        </w:rPr>
        <w:t>.</w:t>
      </w:r>
      <w:r w:rsidRPr="00527F39">
        <w:rPr>
          <w:rFonts w:ascii="Calibri" w:eastAsia="Times New Roman" w:hAnsi="Calibri" w:cs="Calibri"/>
          <w:color w:val="000000"/>
          <w:lang w:eastAsia="en-AU"/>
        </w:rPr>
        <w:t xml:space="preserve"> </w:t>
      </w:r>
    </w:p>
    <w:p w14:paraId="32CA470B" w14:textId="5DBB66BA" w:rsidR="00AA4149" w:rsidRPr="007B7B17" w:rsidRDefault="00AA4149" w:rsidP="00AA4149">
      <w:pPr>
        <w:spacing w:after="0" w:line="240" w:lineRule="auto"/>
        <w:rPr>
          <w:rFonts w:ascii="Calibri" w:eastAsia="Times New Roman" w:hAnsi="Calibri" w:cs="Calibri"/>
          <w:color w:val="000000"/>
          <w:lang w:eastAsia="en-AU"/>
        </w:rPr>
      </w:pPr>
      <w:r w:rsidRPr="007B7B17">
        <w:rPr>
          <w:rFonts w:eastAsia="Times New Roman"/>
          <w:color w:val="0D0D0D"/>
        </w:rPr>
        <w:t>In some instances, health centres (</w:t>
      </w:r>
      <w:r>
        <w:rPr>
          <w:rFonts w:eastAsia="Times New Roman"/>
          <w:color w:val="0D0D0D"/>
        </w:rPr>
        <w:t>n=</w:t>
      </w:r>
      <w:r w:rsidRPr="007B7B17">
        <w:rPr>
          <w:rFonts w:eastAsia="Times New Roman"/>
          <w:color w:val="0D0D0D"/>
        </w:rPr>
        <w:t xml:space="preserve">3) introduced patients to </w:t>
      </w:r>
      <w:r w:rsidRPr="00527F39">
        <w:rPr>
          <w:rFonts w:ascii="Calibri" w:eastAsia="Times New Roman" w:hAnsi="Calibri" w:cs="Calibri"/>
          <w:color w:val="000000"/>
          <w:lang w:eastAsia="en-AU"/>
        </w:rPr>
        <w:t xml:space="preserve">the </w:t>
      </w:r>
      <w:r>
        <w:rPr>
          <w:rFonts w:ascii="Calibri" w:eastAsia="Times New Roman" w:hAnsi="Calibri" w:cs="Calibri"/>
          <w:color w:val="000000"/>
          <w:lang w:eastAsia="en-AU"/>
        </w:rPr>
        <w:t>Alternative Pathway before their appointment by giving them in</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 xml:space="preserve">ation on </w:t>
      </w:r>
      <w:r w:rsidRPr="00527F39">
        <w:rPr>
          <w:rFonts w:ascii="Calibri" w:eastAsia="Times New Roman" w:hAnsi="Calibri" w:cs="Calibri"/>
          <w:color w:val="000000"/>
          <w:lang w:eastAsia="en-AU"/>
        </w:rPr>
        <w:t>a journey board</w:t>
      </w:r>
      <w:r w:rsidRPr="007B7B17">
        <w:rPr>
          <w:rFonts w:ascii="Calibri" w:eastAsia="Times New Roman" w:hAnsi="Calibri" w:cs="Calibri"/>
          <w:color w:val="000000"/>
          <w:lang w:eastAsia="en-AU"/>
        </w:rPr>
        <w:t>,</w:t>
      </w:r>
      <w:r>
        <w:rPr>
          <w:rFonts w:ascii="Calibri" w:eastAsia="Times New Roman" w:hAnsi="Calibri" w:cs="Calibri"/>
          <w:color w:val="000000"/>
          <w:lang w:eastAsia="en-AU"/>
        </w:rPr>
        <w:t xml:space="preserve"> a</w:t>
      </w:r>
      <w:r w:rsidRPr="007B7B17">
        <w:rPr>
          <w:rFonts w:ascii="Calibri" w:eastAsia="Times New Roman" w:hAnsi="Calibri" w:cs="Calibri"/>
          <w:color w:val="000000"/>
          <w:lang w:eastAsia="en-AU"/>
        </w:rPr>
        <w:t xml:space="preserve"> checklist</w:t>
      </w:r>
      <w:r>
        <w:rPr>
          <w:rFonts w:ascii="Calibri" w:eastAsia="Times New Roman" w:hAnsi="Calibri" w:cs="Calibri"/>
          <w:color w:val="000000"/>
          <w:lang w:eastAsia="en-AU"/>
        </w:rPr>
        <w:t xml:space="preserve"> or a letter while they were in the waiting room. For example</w:t>
      </w:r>
      <w:r w:rsidRPr="00527F39">
        <w:rPr>
          <w:rFonts w:ascii="Calibri" w:eastAsia="Times New Roman" w:hAnsi="Calibri" w:cs="Calibri"/>
          <w:color w:val="000000"/>
          <w:lang w:eastAsia="en-AU"/>
        </w:rPr>
        <w:t xml:space="preserve">: </w:t>
      </w:r>
    </w:p>
    <w:p w14:paraId="15144CDC" w14:textId="72ED4BEB" w:rsidR="00AA4149" w:rsidRPr="00943AF8" w:rsidRDefault="00AA4149" w:rsidP="000920C7">
      <w:pPr>
        <w:pStyle w:val="Quote"/>
      </w:pPr>
      <w:r w:rsidRPr="00943AF8">
        <w:t>‘</w:t>
      </w:r>
      <w:r w:rsidRPr="00AD3203">
        <w:t>The health centre at one stage tried giving out letters of eligibility from the front d</w:t>
      </w:r>
      <w:r w:rsidRPr="00E17DAA">
        <w:t xml:space="preserve">esk </w:t>
      </w:r>
      <w:r w:rsidR="00E54FAC">
        <w:t>–</w:t>
      </w:r>
      <w:r w:rsidRPr="00E17DAA">
        <w:t xml:space="preserve"> a laminated page that read, you’re eligible to have the conversation with the GP</w:t>
      </w:r>
      <w:r w:rsidRPr="00943AF8">
        <w:t>.</w:t>
      </w:r>
      <w:r>
        <w:t>’</w:t>
      </w:r>
    </w:p>
    <w:p w14:paraId="46D561EC" w14:textId="5B139102" w:rsidR="00AA4149" w:rsidRPr="00943AF8" w:rsidRDefault="00AA4149" w:rsidP="000920C7">
      <w:pPr>
        <w:pStyle w:val="Quote"/>
        <w:rPr>
          <w:color w:val="0D0D0D"/>
        </w:rPr>
      </w:pPr>
      <w:r w:rsidRPr="00943AF8">
        <w:t>‘</w:t>
      </w:r>
      <w:r w:rsidRPr="00AD3203">
        <w:t xml:space="preserve">I did initially get all </w:t>
      </w:r>
      <w:r w:rsidRPr="00E17DAA">
        <w:t>the girls at reception, for the patients in the age group that might be eligible for the bowel screening</w:t>
      </w:r>
      <w:r w:rsidRPr="009E1D0C">
        <w:t>, to put a litt</w:t>
      </w:r>
      <w:r w:rsidRPr="00182F82">
        <w:t>le one of the flyers on their board so the patients could sit and read it and that would also prompt the health workers and the GPs to talk about it when they got in there</w:t>
      </w:r>
      <w:r w:rsidRPr="00943AF8">
        <w:t>.</w:t>
      </w:r>
      <w:r>
        <w:t>’</w:t>
      </w:r>
    </w:p>
    <w:p w14:paraId="29785742" w14:textId="15D0DF24" w:rsidR="00AA4149" w:rsidRPr="0068331A" w:rsidRDefault="00AA4149" w:rsidP="000920C7">
      <w:pPr>
        <w:pStyle w:val="Quote"/>
      </w:pPr>
      <w:r w:rsidRPr="00943AF8">
        <w:t>‘</w:t>
      </w:r>
      <w:r w:rsidRPr="00AD3203">
        <w:t>The health centre implemented a checklist for when patients first came in the waiting roo</w:t>
      </w:r>
      <w:r w:rsidRPr="00E17DAA">
        <w:t xml:space="preserve">m, to start patients thinking about bowel screening and if they were due. The checklist gave patients a bit of </w:t>
      </w:r>
      <w:r w:rsidRPr="00E17DAA">
        <w:lastRenderedPageBreak/>
        <w:t>in</w:t>
      </w:r>
      <w:r w:rsidR="00842FF9">
        <w:t>form</w:t>
      </w:r>
      <w:r w:rsidRPr="00E17DAA">
        <w:t>ation abou</w:t>
      </w:r>
      <w:r w:rsidRPr="009E1D0C">
        <w:t>t screening, when they’re due, if they’re eligible/suitable, and how to access it and was used as a prompt for patients t</w:t>
      </w:r>
      <w:r w:rsidRPr="000E673F">
        <w:t>o ask or remind staff of the Alternative Pathway</w:t>
      </w:r>
      <w:r w:rsidRPr="00943AF8">
        <w:t>.</w:t>
      </w:r>
      <w:r>
        <w:t>’</w:t>
      </w:r>
    </w:p>
    <w:p w14:paraId="08B83861" w14:textId="77777777" w:rsidR="00AA4149" w:rsidRDefault="00AA4149" w:rsidP="00AA4149">
      <w:r>
        <w:t xml:space="preserve">Four of the health centres that gave out kits used special events and promotions to promote bowel screening and engage patients. These activities included a </w:t>
      </w:r>
      <w:r w:rsidRPr="00F40002">
        <w:t>bowel screening promotional day</w:t>
      </w:r>
      <w:r>
        <w:t xml:space="preserve"> or week, </w:t>
      </w:r>
      <w:r w:rsidRPr="00F40002">
        <w:t xml:space="preserve">social media advertisement campaigns, and presentations </w:t>
      </w:r>
      <w:r>
        <w:t xml:space="preserve">at elders’ or men’s and women’s groups. </w:t>
      </w:r>
    </w:p>
    <w:p w14:paraId="1E578A9A" w14:textId="3EA99716" w:rsidR="00AA4149" w:rsidRPr="00C94F1F" w:rsidRDefault="00AA4149" w:rsidP="004257B1">
      <w:pPr>
        <w:pStyle w:val="Heading4"/>
      </w:pPr>
      <w:bookmarkStart w:id="221" w:name="_Hlk43305207"/>
      <w:r w:rsidRPr="00C94F1F">
        <w:t xml:space="preserve">The online </w:t>
      </w:r>
      <w:r w:rsidR="00FD2E8C" w:rsidRPr="00C94F1F">
        <w:t>P</w:t>
      </w:r>
      <w:r w:rsidRPr="00C94F1F">
        <w:t xml:space="preserve">articipant </w:t>
      </w:r>
      <w:r w:rsidR="00FD2E8C" w:rsidRPr="00C94F1F">
        <w:t>D</w:t>
      </w:r>
      <w:r w:rsidRPr="00C94F1F">
        <w:t xml:space="preserve">etails </w:t>
      </w:r>
      <w:r w:rsidR="00842FF9" w:rsidRPr="00C94F1F">
        <w:t>Form</w:t>
      </w:r>
    </w:p>
    <w:bookmarkEnd w:id="221"/>
    <w:p w14:paraId="1F282033" w14:textId="1AE77A85" w:rsidR="00AA4149" w:rsidRDefault="00AA4149" w:rsidP="00AA4149">
      <w:r>
        <w:t xml:space="preserve">A crucial part of the process of offering screening through the Alternative Pathway was completion of the </w:t>
      </w:r>
      <w:r w:rsidRPr="00D1628A">
        <w:t xml:space="preserve">Participant Details Health Centre Initiated </w:t>
      </w:r>
      <w:r w:rsidR="00842FF9">
        <w:t>Form</w:t>
      </w:r>
      <w:r>
        <w:t xml:space="preserve">. This </w:t>
      </w:r>
      <w:r w:rsidR="00842FF9">
        <w:t>Form</w:t>
      </w:r>
      <w:r>
        <w:t xml:space="preserve"> was used to notify the National Bowel Cancer Screening Register (the Register) that a patient had been offered (invited) to screen; accepted a kit; been assessed as unsuitable for screening; or declined a kit. </w:t>
      </w:r>
    </w:p>
    <w:p w14:paraId="3D5C5F96" w14:textId="773933B8" w:rsidR="00AA4149" w:rsidRDefault="00AA4149" w:rsidP="00AA4149">
      <w:r>
        <w:t>In the usual pathway for the NBCSP, individuals receive a personalised letter of invitation by mail, generated by the Register using the individual’s Medicare details. For the Alternative Pathway, invitation letters could not be initiated from the Register; instead, health centre staff were a conduit for providing in</w:t>
      </w:r>
      <w:r w:rsidR="006922EB">
        <w:t>f</w:t>
      </w:r>
      <w:r w:rsidR="00842FF9">
        <w:t>orm</w:t>
      </w:r>
      <w:r>
        <w:t xml:space="preserve">ation to both the patient and the Register. </w:t>
      </w:r>
    </w:p>
    <w:p w14:paraId="1F6CF39D" w14:textId="6810021E" w:rsidR="00AA4149" w:rsidRDefault="00AA4149" w:rsidP="00AA4149">
      <w:r>
        <w:t xml:space="preserve">The notification to the Register was sent through a secure online </w:t>
      </w:r>
      <w:r w:rsidR="00842FF9">
        <w:t>Form</w:t>
      </w:r>
      <w:r>
        <w:t xml:space="preserve"> to the Department of Human Services (DHS), set up by </w:t>
      </w:r>
      <w:r w:rsidR="00EE499C">
        <w:rPr>
          <w:rFonts w:cstheme="minorHAnsi"/>
        </w:rPr>
        <w:t xml:space="preserve">the </w:t>
      </w:r>
      <w:r w:rsidR="00EE499C">
        <w:rPr>
          <w:rFonts w:eastAsiaTheme="majorEastAsia" w:cstheme="minorHAnsi"/>
        </w:rPr>
        <w:t>Department of Health</w:t>
      </w:r>
      <w:r w:rsidR="00EE499C" w:rsidRPr="004E4B3D">
        <w:t xml:space="preserve"> </w:t>
      </w:r>
      <w:r>
        <w:t xml:space="preserve">specifically for the Pilot. </w:t>
      </w:r>
    </w:p>
    <w:p w14:paraId="31CA9452" w14:textId="53068912" w:rsidR="00AA4149" w:rsidRDefault="00AA4149" w:rsidP="00AA4149">
      <w:r>
        <w:t xml:space="preserve">The </w:t>
      </w:r>
      <w:r w:rsidR="00842FF9">
        <w:t>Form</w:t>
      </w:r>
      <w:r>
        <w:t xml:space="preserve"> had two parts: </w:t>
      </w:r>
    </w:p>
    <w:p w14:paraId="43A8CFCD" w14:textId="77777777" w:rsidR="00AA4149" w:rsidRPr="00697B90" w:rsidRDefault="00AA4149" w:rsidP="00402F9A">
      <w:pPr>
        <w:pStyle w:val="ListParagraph"/>
        <w:numPr>
          <w:ilvl w:val="0"/>
          <w:numId w:val="28"/>
        </w:numPr>
        <w:spacing w:before="0" w:after="200"/>
      </w:pPr>
      <w:r w:rsidRPr="00697B90">
        <w:t xml:space="preserve">Part A notified that a patient had been assessed for screening; the outcome of that assessment; and whether the patient had accepted a kit. </w:t>
      </w:r>
    </w:p>
    <w:p w14:paraId="3E38C649" w14:textId="4EE4418A" w:rsidR="00AA4149" w:rsidRPr="00697B90" w:rsidRDefault="00AA4149" w:rsidP="00402F9A">
      <w:pPr>
        <w:pStyle w:val="ListParagraph"/>
        <w:numPr>
          <w:ilvl w:val="0"/>
          <w:numId w:val="28"/>
        </w:numPr>
        <w:spacing w:before="0" w:after="200"/>
      </w:pPr>
      <w:r w:rsidRPr="00697B90">
        <w:t xml:space="preserve">Part B of the </w:t>
      </w:r>
      <w:r w:rsidR="00842FF9">
        <w:t>Form</w:t>
      </w:r>
      <w:r w:rsidRPr="00697B90">
        <w:t xml:space="preserve"> was completed by the patient and contained the same questions as the usual pathway Participant Details </w:t>
      </w:r>
      <w:r w:rsidR="00842FF9">
        <w:t>Form</w:t>
      </w:r>
      <w:r w:rsidRPr="00697B90">
        <w:t xml:space="preserve">. </w:t>
      </w:r>
    </w:p>
    <w:p w14:paraId="34266A74" w14:textId="3BAE04EF" w:rsidR="007C437C" w:rsidRDefault="00AA4149" w:rsidP="00AA4149">
      <w:r>
        <w:t xml:space="preserve">The </w:t>
      </w:r>
      <w:r w:rsidR="00842FF9">
        <w:t>Form</w:t>
      </w:r>
      <w:r>
        <w:t xml:space="preserve"> also included privacy and consent questions for the transmission and use of the client’s in</w:t>
      </w:r>
      <w:r w:rsidR="006922EB">
        <w:t>f</w:t>
      </w:r>
      <w:r w:rsidR="00842FF9">
        <w:t>orm</w:t>
      </w:r>
      <w:r>
        <w:t xml:space="preserve">ation as per the usual pathway. Health centre staff were to complete Part A of the </w:t>
      </w:r>
      <w:r w:rsidR="00842FF9">
        <w:t>Form</w:t>
      </w:r>
      <w:r>
        <w:t xml:space="preserve"> for all patients assessed for screening. If a patient accepted a kit, both Part A and Part B of the </w:t>
      </w:r>
      <w:r w:rsidR="00842FF9">
        <w:t>Form</w:t>
      </w:r>
      <w:r>
        <w:t xml:space="preserve"> were to be printed and given to the patient so they could complete Part B, and both parts were to be included with the completed samples when returned for testing.  </w:t>
      </w:r>
    </w:p>
    <w:p w14:paraId="231BBE0E" w14:textId="0C8C0C5A" w:rsidR="00AA4149" w:rsidRDefault="00AA4149" w:rsidP="00AA4149">
      <w:r>
        <w:t xml:space="preserve">The two parts of the </w:t>
      </w:r>
      <w:r w:rsidR="00842FF9">
        <w:t>Form</w:t>
      </w:r>
      <w:r w:rsidR="00E54FAC">
        <w:t xml:space="preserve"> – </w:t>
      </w:r>
      <w:r>
        <w:t>along with the identifying in</w:t>
      </w:r>
      <w:r w:rsidR="006922EB">
        <w:t>f</w:t>
      </w:r>
      <w:r w:rsidR="00842FF9">
        <w:t>orm</w:t>
      </w:r>
      <w:r>
        <w:t xml:space="preserve">ation written on the sample tubes – provided a safety net to ensure that the samples could be linked to the correct individual, and the test results returned to that individual. </w:t>
      </w:r>
    </w:p>
    <w:p w14:paraId="7A56E943" w14:textId="5B11E34A" w:rsidR="00AA4149" w:rsidRPr="009D6C11" w:rsidRDefault="00AA4149" w:rsidP="00AA4149">
      <w:r>
        <w:t xml:space="preserve">The Participant Details </w:t>
      </w:r>
      <w:r w:rsidR="00842FF9">
        <w:t>Form</w:t>
      </w:r>
      <w:r>
        <w:t xml:space="preserve"> was intended to be completed online</w:t>
      </w:r>
      <w:r w:rsidR="009928A7">
        <w:t xml:space="preserve">, </w:t>
      </w:r>
      <w:r w:rsidR="00315D5B">
        <w:t>however;</w:t>
      </w:r>
      <w:r>
        <w:t xml:space="preserve"> </w:t>
      </w:r>
      <w:r w:rsidR="009928A7">
        <w:t>a</w:t>
      </w:r>
      <w:r>
        <w:t xml:space="preserve"> hard copy was available to health centres</w:t>
      </w:r>
      <w:r w:rsidR="009928A7">
        <w:t xml:space="preserve"> with an unreliable internet connection</w:t>
      </w:r>
      <w:r>
        <w:t xml:space="preserve">. </w:t>
      </w:r>
      <w:r w:rsidR="009928A7">
        <w:t>S</w:t>
      </w:r>
      <w:r>
        <w:t xml:space="preserve">ome health centre staff preferred to use a hardcopy </w:t>
      </w:r>
      <w:r w:rsidR="009928A7">
        <w:t xml:space="preserve">form and </w:t>
      </w:r>
      <w:r>
        <w:t>fax it to the DHS</w:t>
      </w:r>
      <w:r w:rsidR="009928A7">
        <w:t xml:space="preserve"> and e</w:t>
      </w:r>
      <w:r>
        <w:t xml:space="preserve">ight health centres requested to use or submitted </w:t>
      </w:r>
      <w:r w:rsidR="009928A7">
        <w:t>a</w:t>
      </w:r>
      <w:r>
        <w:t xml:space="preserve"> </w:t>
      </w:r>
      <w:r w:rsidR="00842FF9">
        <w:t>Form</w:t>
      </w:r>
      <w:r w:rsidR="009928A7">
        <w:t xml:space="preserve"> in this way</w:t>
      </w:r>
      <w:r>
        <w:t xml:space="preserve">. </w:t>
      </w:r>
    </w:p>
    <w:p w14:paraId="3A20D2EC" w14:textId="043D0C33" w:rsidR="007C437C" w:rsidRDefault="00AA4149" w:rsidP="00AA4149">
      <w:pPr>
        <w:rPr>
          <w:rFonts w:eastAsia="Times New Roman"/>
        </w:rPr>
      </w:pPr>
      <w:r>
        <w:rPr>
          <w:rFonts w:eastAsia="Times New Roman"/>
        </w:rPr>
        <w:t xml:space="preserve">The </w:t>
      </w:r>
      <w:r w:rsidR="00842FF9">
        <w:rPr>
          <w:rFonts w:eastAsia="Times New Roman"/>
        </w:rPr>
        <w:t>Form</w:t>
      </w:r>
      <w:r>
        <w:rPr>
          <w:rFonts w:eastAsia="Times New Roman"/>
        </w:rPr>
        <w:t xml:space="preserve"> was a temporary workaround designed to bridge the limited flexibility of the NBCS</w:t>
      </w:r>
      <w:r w:rsidR="00820402">
        <w:rPr>
          <w:rFonts w:eastAsia="Times New Roman"/>
        </w:rPr>
        <w:t>P Register</w:t>
      </w:r>
      <w:r>
        <w:rPr>
          <w:rFonts w:eastAsia="Times New Roman"/>
        </w:rPr>
        <w:t xml:space="preserve"> and the need for secure transmission of the personal health in</w:t>
      </w:r>
      <w:r w:rsidR="006922EB">
        <w:rPr>
          <w:rFonts w:eastAsia="Times New Roman"/>
        </w:rPr>
        <w:t>f</w:t>
      </w:r>
      <w:r w:rsidR="00842FF9">
        <w:rPr>
          <w:rFonts w:eastAsia="Times New Roman"/>
        </w:rPr>
        <w:t>orm</w:t>
      </w:r>
      <w:r>
        <w:rPr>
          <w:rFonts w:eastAsia="Times New Roman"/>
        </w:rPr>
        <w:t xml:space="preserve">ation of individuals, and to ensure the integrity of data going to the Register, while allowing health centre staff to provide kits to their patients at the time of the consultation. </w:t>
      </w:r>
    </w:p>
    <w:p w14:paraId="733FA8CC" w14:textId="10B7D04E" w:rsidR="00AA4149" w:rsidRDefault="00AA4149" w:rsidP="00AA4149">
      <w:pPr>
        <w:rPr>
          <w:rFonts w:eastAsia="Times New Roman"/>
        </w:rPr>
      </w:pPr>
      <w:r>
        <w:rPr>
          <w:rFonts w:eastAsia="Times New Roman"/>
        </w:rPr>
        <w:lastRenderedPageBreak/>
        <w:t xml:space="preserve">However, there were many aspects of the </w:t>
      </w:r>
      <w:r w:rsidR="00842FF9">
        <w:rPr>
          <w:rFonts w:eastAsia="Times New Roman"/>
        </w:rPr>
        <w:t>Form</w:t>
      </w:r>
      <w:r>
        <w:rPr>
          <w:rFonts w:eastAsia="Times New Roman"/>
        </w:rPr>
        <w:t xml:space="preserve"> that were not conducive to use in a busy health centre. It could not be fully integrated with a health centre’s CIS: the online </w:t>
      </w:r>
      <w:r w:rsidR="00842FF9">
        <w:rPr>
          <w:rFonts w:eastAsia="Times New Roman"/>
        </w:rPr>
        <w:t>Form</w:t>
      </w:r>
      <w:r>
        <w:rPr>
          <w:rFonts w:eastAsia="Times New Roman"/>
        </w:rPr>
        <w:t xml:space="preserve"> could only be completed by leaving the CIS. Patient details needed to be entered manually, along with most of the other in</w:t>
      </w:r>
      <w:r w:rsidR="006922EB">
        <w:rPr>
          <w:rFonts w:eastAsia="Times New Roman"/>
        </w:rPr>
        <w:t>f</w:t>
      </w:r>
      <w:r w:rsidR="00842FF9">
        <w:rPr>
          <w:rFonts w:eastAsia="Times New Roman"/>
        </w:rPr>
        <w:t>orm</w:t>
      </w:r>
      <w:r>
        <w:rPr>
          <w:rFonts w:eastAsia="Times New Roman"/>
        </w:rPr>
        <w:t xml:space="preserve">ation. The </w:t>
      </w:r>
      <w:r w:rsidR="00842FF9">
        <w:rPr>
          <w:rFonts w:eastAsia="Times New Roman"/>
        </w:rPr>
        <w:t>Form</w:t>
      </w:r>
      <w:r>
        <w:rPr>
          <w:rFonts w:eastAsia="Times New Roman"/>
        </w:rPr>
        <w:t xml:space="preserve"> could be prefilled and retrieved but the time allowed to do this was limited. The printed </w:t>
      </w:r>
      <w:r w:rsidR="00842FF9">
        <w:rPr>
          <w:rFonts w:eastAsia="Times New Roman"/>
        </w:rPr>
        <w:t>Form</w:t>
      </w:r>
      <w:r>
        <w:rPr>
          <w:rFonts w:eastAsia="Times New Roman"/>
        </w:rPr>
        <w:t xml:space="preserve"> given to the patient was difficult to fit into the Reply Post envelope with the samples. </w:t>
      </w:r>
    </w:p>
    <w:p w14:paraId="6C3B84E1" w14:textId="76D4F155" w:rsidR="00AA4149" w:rsidRPr="00AF2393" w:rsidRDefault="00AA4149" w:rsidP="00AA4149">
      <w:pPr>
        <w:rPr>
          <w:rFonts w:ascii="Calibri" w:eastAsia="Times New Roman" w:hAnsi="Calibri" w:cs="Calibri"/>
          <w:color w:val="000000"/>
          <w:lang w:eastAsia="en-AU"/>
        </w:rPr>
      </w:pPr>
      <w:r>
        <w:t xml:space="preserve">The requirement for health centre staff to complete Part A of the </w:t>
      </w:r>
      <w:r w:rsidR="00842FF9">
        <w:t>Form</w:t>
      </w:r>
      <w:r>
        <w:t xml:space="preserve"> for all clients assessed for screening, even if the patient was not given a kit, served several purposes. It provided a way to count how many people had been invited to screen. It alerted DHS that an individual had been invited to screen and </w:t>
      </w:r>
      <w:r w:rsidR="009928A7">
        <w:t xml:space="preserve">it </w:t>
      </w:r>
      <w:r>
        <w:t xml:space="preserve">was an opportunity to correct inaccuracies in the Register. There were no implications for patients if health centre staff failed to submit Part A of the </w:t>
      </w:r>
      <w:r w:rsidR="00842FF9">
        <w:t>Form</w:t>
      </w:r>
      <w:r>
        <w:t xml:space="preserve"> for those who were not given a kit. </w:t>
      </w:r>
      <w:r>
        <w:rPr>
          <w:rFonts w:ascii="Calibri" w:eastAsia="Times New Roman" w:hAnsi="Calibri" w:cs="Calibri"/>
          <w:color w:val="000000"/>
          <w:lang w:eastAsia="en-AU"/>
        </w:rPr>
        <w:t>O</w:t>
      </w:r>
      <w:r w:rsidRPr="00A632F3">
        <w:rPr>
          <w:rFonts w:ascii="Calibri" w:eastAsia="Times New Roman" w:hAnsi="Calibri" w:cs="Calibri"/>
          <w:color w:val="000000"/>
          <w:lang w:eastAsia="en-AU"/>
        </w:rPr>
        <w:t>nly 15 health centre</w:t>
      </w:r>
      <w:r>
        <w:rPr>
          <w:rFonts w:ascii="Calibri" w:eastAsia="Times New Roman" w:hAnsi="Calibri" w:cs="Calibri"/>
          <w:color w:val="000000"/>
          <w:lang w:eastAsia="en-AU"/>
        </w:rPr>
        <w:t>s</w:t>
      </w:r>
      <w:r w:rsidRPr="00A632F3">
        <w:rPr>
          <w:rFonts w:ascii="Calibri" w:eastAsia="Times New Roman" w:hAnsi="Calibri" w:cs="Calibri"/>
          <w:color w:val="000000"/>
          <w:lang w:eastAsia="en-AU"/>
        </w:rPr>
        <w:t xml:space="preserve"> </w:t>
      </w:r>
      <w:r>
        <w:rPr>
          <w:rFonts w:ascii="Calibri" w:eastAsia="Times New Roman" w:hAnsi="Calibri" w:cs="Calibri"/>
          <w:color w:val="000000"/>
          <w:lang w:eastAsia="en-AU"/>
        </w:rPr>
        <w:t>submitted</w:t>
      </w:r>
      <w:r w:rsidRPr="00A632F3">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Part A for </w:t>
      </w:r>
      <w:r w:rsidRPr="00A632F3">
        <w:rPr>
          <w:rFonts w:ascii="Calibri" w:eastAsia="Times New Roman" w:hAnsi="Calibri" w:cs="Calibri"/>
          <w:color w:val="000000"/>
          <w:lang w:eastAsia="en-AU"/>
        </w:rPr>
        <w:t xml:space="preserve">patients </w:t>
      </w:r>
      <w:r>
        <w:rPr>
          <w:rFonts w:ascii="Calibri" w:eastAsia="Times New Roman" w:hAnsi="Calibri" w:cs="Calibri"/>
          <w:color w:val="000000"/>
          <w:lang w:eastAsia="en-AU"/>
        </w:rPr>
        <w:t>who declined to take a kit or were assessed</w:t>
      </w:r>
      <w:r w:rsidRPr="00A632F3">
        <w:rPr>
          <w:rFonts w:ascii="Calibri" w:eastAsia="Times New Roman" w:hAnsi="Calibri" w:cs="Calibri"/>
          <w:color w:val="000000"/>
          <w:lang w:eastAsia="en-AU"/>
        </w:rPr>
        <w:t xml:space="preserve"> as unsuitable. </w:t>
      </w:r>
    </w:p>
    <w:p w14:paraId="2EAB8C94" w14:textId="6DEB3FBF" w:rsidR="007C437C" w:rsidRDefault="00AA4149" w:rsidP="00AA4149">
      <w:pPr>
        <w:rPr>
          <w:rFonts w:eastAsia="Times New Roman"/>
        </w:rPr>
      </w:pPr>
      <w:r>
        <w:rPr>
          <w:rFonts w:eastAsia="Times New Roman"/>
        </w:rPr>
        <w:t xml:space="preserve">Most of the health centres (n=33) that gave out kits completed the Participant Details </w:t>
      </w:r>
      <w:r w:rsidR="00842FF9">
        <w:rPr>
          <w:rFonts w:eastAsia="Times New Roman"/>
        </w:rPr>
        <w:t>Form</w:t>
      </w:r>
      <w:r>
        <w:rPr>
          <w:rFonts w:eastAsia="Times New Roman"/>
        </w:rPr>
        <w:t xml:space="preserve"> either during or around the conversation about screening. In most cases (n=15), the </w:t>
      </w:r>
      <w:r w:rsidR="00842FF9">
        <w:rPr>
          <w:rFonts w:eastAsia="Times New Roman"/>
        </w:rPr>
        <w:t>Form</w:t>
      </w:r>
      <w:r>
        <w:rPr>
          <w:rFonts w:eastAsia="Times New Roman"/>
        </w:rPr>
        <w:t xml:space="preserve"> was completed by a nurse or IHW after seeing a GP. Seven health centres reported filling out the </w:t>
      </w:r>
      <w:r w:rsidR="00842FF9">
        <w:rPr>
          <w:rFonts w:eastAsia="Times New Roman"/>
        </w:rPr>
        <w:t>Form</w:t>
      </w:r>
      <w:r>
        <w:rPr>
          <w:rFonts w:eastAsia="Times New Roman"/>
        </w:rPr>
        <w:t xml:space="preserve"> during a session with a nurse or IHW before seeing a GP. Only five reported that the </w:t>
      </w:r>
      <w:r w:rsidR="00842FF9">
        <w:rPr>
          <w:rFonts w:eastAsia="Times New Roman"/>
        </w:rPr>
        <w:t>Form</w:t>
      </w:r>
      <w:r>
        <w:rPr>
          <w:rFonts w:eastAsia="Times New Roman"/>
        </w:rPr>
        <w:t xml:space="preserve"> was completed during a GP appointment. </w:t>
      </w:r>
    </w:p>
    <w:p w14:paraId="4265A5CC" w14:textId="3509A970" w:rsidR="00AA4149" w:rsidRDefault="00AA4149" w:rsidP="00AA4149">
      <w:pPr>
        <w:rPr>
          <w:rFonts w:eastAsia="Times New Roman"/>
        </w:rPr>
      </w:pPr>
      <w:r>
        <w:rPr>
          <w:rFonts w:eastAsia="Times New Roman"/>
        </w:rPr>
        <w:t xml:space="preserve">One health centre used a different approach, completing the </w:t>
      </w:r>
      <w:r w:rsidR="00842FF9">
        <w:rPr>
          <w:rFonts w:eastAsia="Times New Roman"/>
        </w:rPr>
        <w:t>Form</w:t>
      </w:r>
      <w:r>
        <w:rPr>
          <w:rFonts w:eastAsia="Times New Roman"/>
        </w:rPr>
        <w:t xml:space="preserve"> after the patient had left the clinic. Patients were asked to return the samples to the health centre, where the completed </w:t>
      </w:r>
      <w:r w:rsidR="00842FF9">
        <w:rPr>
          <w:rFonts w:eastAsia="Times New Roman"/>
        </w:rPr>
        <w:t>Form</w:t>
      </w:r>
      <w:r>
        <w:rPr>
          <w:rFonts w:eastAsia="Times New Roman"/>
        </w:rPr>
        <w:t xml:space="preserve"> would be ready for their signature. Health centre staff would then post the samples and </w:t>
      </w:r>
      <w:r w:rsidR="00842FF9">
        <w:rPr>
          <w:rFonts w:eastAsia="Times New Roman"/>
        </w:rPr>
        <w:t>Form</w:t>
      </w:r>
      <w:r>
        <w:rPr>
          <w:rFonts w:eastAsia="Times New Roman"/>
        </w:rPr>
        <w:t xml:space="preserve"> to </w:t>
      </w:r>
      <w:r w:rsidR="00C67CA1">
        <w:rPr>
          <w:rFonts w:eastAsia="Times New Roman"/>
        </w:rPr>
        <w:t>Sonic Healthcare</w:t>
      </w:r>
      <w:r>
        <w:rPr>
          <w:rFonts w:eastAsia="Times New Roman"/>
        </w:rPr>
        <w:t>.</w:t>
      </w:r>
    </w:p>
    <w:p w14:paraId="509658E7" w14:textId="7A3F83E0" w:rsidR="00AA4149" w:rsidRPr="003C0C5D" w:rsidRDefault="00AA4149" w:rsidP="000920C7">
      <w:pPr>
        <w:pStyle w:val="Quote"/>
      </w:pPr>
      <w:r w:rsidRPr="00AD3203">
        <w:t>‘</w:t>
      </w:r>
      <w:r w:rsidRPr="00E17DAA">
        <w:t xml:space="preserve">To complete the online </w:t>
      </w:r>
      <w:r w:rsidR="00D1628A">
        <w:t>P</w:t>
      </w:r>
      <w:r w:rsidRPr="00E17DAA">
        <w:t xml:space="preserve">articipant </w:t>
      </w:r>
      <w:r w:rsidR="00D1628A">
        <w:t>D</w:t>
      </w:r>
      <w:r w:rsidRPr="00E17DAA">
        <w:t xml:space="preserve">etails </w:t>
      </w:r>
      <w:r w:rsidR="00842FF9">
        <w:t>Form</w:t>
      </w:r>
      <w:r w:rsidR="00E54FAC">
        <w:t xml:space="preserve"> – </w:t>
      </w:r>
      <w:r w:rsidRPr="00E17DAA">
        <w:t>our practice manager [notified] staff which patients we’ve given kits to and then we have been comp</w:t>
      </w:r>
      <w:r w:rsidRPr="009E1D0C">
        <w:t xml:space="preserve">leting the </w:t>
      </w:r>
      <w:r w:rsidR="00842FF9">
        <w:t>Form</w:t>
      </w:r>
      <w:r w:rsidRPr="009E1D0C">
        <w:t xml:space="preserve"> on their behalf and leaving it to be signed wh</w:t>
      </w:r>
      <w:r w:rsidRPr="00182F82">
        <w:t>en they come back and deliver their samples</w:t>
      </w:r>
      <w:r w:rsidR="007C437C">
        <w:t>.</w:t>
      </w:r>
      <w:r w:rsidRPr="003C0C5D">
        <w:t>’</w:t>
      </w:r>
    </w:p>
    <w:p w14:paraId="32DD6EEF" w14:textId="2BC6DF09" w:rsidR="00AA4149"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 xml:space="preserve">The </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 xml:space="preserve"> was much more likely to be completed by nurses </w:t>
      </w:r>
      <w:r w:rsidRPr="000233DE">
        <w:rPr>
          <w:rFonts w:ascii="Calibri" w:eastAsia="Times New Roman" w:hAnsi="Calibri" w:cs="Calibri"/>
          <w:color w:val="000000"/>
          <w:lang w:eastAsia="en-AU"/>
        </w:rPr>
        <w:t>(</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 xml:space="preserve">23) </w:t>
      </w:r>
      <w:r>
        <w:rPr>
          <w:rFonts w:ascii="Calibri" w:eastAsia="Times New Roman" w:hAnsi="Calibri" w:cs="Calibri"/>
          <w:color w:val="000000"/>
          <w:lang w:eastAsia="en-AU"/>
        </w:rPr>
        <w:t>or I</w:t>
      </w:r>
      <w:r w:rsidRPr="000233DE">
        <w:rPr>
          <w:rFonts w:ascii="Calibri" w:eastAsia="Times New Roman" w:hAnsi="Calibri" w:cs="Calibri"/>
          <w:color w:val="000000"/>
          <w:lang w:eastAsia="en-AU"/>
        </w:rPr>
        <w:t>HWs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 xml:space="preserve">11) </w:t>
      </w:r>
      <w:r>
        <w:rPr>
          <w:rFonts w:ascii="Calibri" w:eastAsia="Times New Roman" w:hAnsi="Calibri" w:cs="Calibri"/>
          <w:color w:val="000000"/>
          <w:lang w:eastAsia="en-AU"/>
        </w:rPr>
        <w:t>than</w:t>
      </w:r>
      <w:r w:rsidRPr="000233DE">
        <w:rPr>
          <w:rFonts w:ascii="Calibri" w:eastAsia="Times New Roman" w:hAnsi="Calibri" w:cs="Calibri"/>
          <w:color w:val="000000"/>
          <w:lang w:eastAsia="en-AU"/>
        </w:rPr>
        <w:t xml:space="preserve"> GPs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 xml:space="preserve">5). </w:t>
      </w:r>
      <w:r>
        <w:rPr>
          <w:rFonts w:ascii="Calibri" w:eastAsia="Times New Roman" w:hAnsi="Calibri" w:cs="Calibri"/>
          <w:color w:val="000000"/>
          <w:lang w:eastAsia="en-AU"/>
        </w:rPr>
        <w:t>At some health centres</w:t>
      </w:r>
      <w:r w:rsidRPr="000233DE">
        <w:rPr>
          <w:rFonts w:ascii="Calibri" w:eastAsia="Times New Roman" w:hAnsi="Calibri" w:cs="Calibri"/>
          <w:color w:val="000000"/>
          <w:lang w:eastAsia="en-AU"/>
        </w:rPr>
        <w:t xml:space="preserve">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 xml:space="preserve">13), </w:t>
      </w:r>
      <w:r>
        <w:rPr>
          <w:rFonts w:ascii="Calibri" w:eastAsia="Times New Roman" w:hAnsi="Calibri" w:cs="Calibri"/>
          <w:color w:val="000000"/>
          <w:lang w:eastAsia="en-AU"/>
        </w:rPr>
        <w:t xml:space="preserve">the job of completing the </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 xml:space="preserve"> was shared amongst </w:t>
      </w:r>
      <w:r w:rsidRPr="000233DE">
        <w:rPr>
          <w:rFonts w:ascii="Calibri" w:eastAsia="Times New Roman" w:hAnsi="Calibri" w:cs="Calibri"/>
          <w:color w:val="000000"/>
          <w:lang w:eastAsia="en-AU"/>
        </w:rPr>
        <w:t>clinical staff</w:t>
      </w:r>
      <w:r>
        <w:rPr>
          <w:rFonts w:ascii="Calibri" w:eastAsia="Times New Roman" w:hAnsi="Calibri" w:cs="Calibri"/>
          <w:color w:val="000000"/>
          <w:lang w:eastAsia="en-AU"/>
        </w:rPr>
        <w:t>;</w:t>
      </w:r>
      <w:r w:rsidRPr="000233DE">
        <w:rPr>
          <w:rFonts w:ascii="Calibri" w:eastAsia="Times New Roman" w:hAnsi="Calibri" w:cs="Calibri"/>
          <w:color w:val="000000"/>
          <w:lang w:eastAsia="en-AU"/>
        </w:rPr>
        <w:t xml:space="preserve"> for example, by nurse and </w:t>
      </w:r>
      <w:r>
        <w:rPr>
          <w:rFonts w:ascii="Calibri" w:eastAsia="Times New Roman" w:hAnsi="Calibri" w:cs="Calibri"/>
          <w:color w:val="000000"/>
          <w:lang w:eastAsia="en-AU"/>
        </w:rPr>
        <w:t>I</w:t>
      </w:r>
      <w:r w:rsidRPr="000233DE">
        <w:rPr>
          <w:rFonts w:ascii="Calibri" w:eastAsia="Times New Roman" w:hAnsi="Calibri" w:cs="Calibri"/>
          <w:color w:val="000000"/>
          <w:lang w:eastAsia="en-AU"/>
        </w:rPr>
        <w:t>HW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5), by nurse and GP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 xml:space="preserve">2), by </w:t>
      </w:r>
      <w:r>
        <w:rPr>
          <w:rFonts w:ascii="Calibri" w:eastAsia="Times New Roman" w:hAnsi="Calibri" w:cs="Calibri"/>
          <w:color w:val="000000"/>
          <w:lang w:eastAsia="en-AU"/>
        </w:rPr>
        <w:t>I</w:t>
      </w:r>
      <w:r w:rsidRPr="000233DE">
        <w:rPr>
          <w:rFonts w:ascii="Calibri" w:eastAsia="Times New Roman" w:hAnsi="Calibri" w:cs="Calibri"/>
          <w:color w:val="000000"/>
          <w:lang w:eastAsia="en-AU"/>
        </w:rPr>
        <w:t>HW and GP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1) or by any clinical staff member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 xml:space="preserve">5).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o</w:t>
      </w:r>
      <w:r w:rsidR="007C437C">
        <w:rPr>
          <w:rFonts w:ascii="Calibri" w:eastAsia="Times New Roman" w:hAnsi="Calibri" w:cs="Calibri"/>
          <w:color w:val="000000"/>
          <w:lang w:eastAsia="en-AU"/>
        </w:rPr>
        <w:t>ne of the</w:t>
      </w:r>
      <w:r w:rsidRPr="000233DE">
        <w:rPr>
          <w:rFonts w:ascii="Calibri" w:eastAsia="Times New Roman" w:hAnsi="Calibri" w:cs="Calibri"/>
          <w:color w:val="000000"/>
          <w:lang w:eastAsia="en-AU"/>
        </w:rPr>
        <w:t xml:space="preserve"> health centres </w:t>
      </w:r>
      <w:r>
        <w:rPr>
          <w:rFonts w:ascii="Calibri" w:eastAsia="Times New Roman" w:hAnsi="Calibri" w:cs="Calibri"/>
          <w:color w:val="000000"/>
          <w:lang w:eastAsia="en-AU"/>
        </w:rPr>
        <w:t>involved</w:t>
      </w:r>
      <w:r w:rsidRPr="000233DE">
        <w:rPr>
          <w:rFonts w:ascii="Calibri" w:eastAsia="Times New Roman" w:hAnsi="Calibri" w:cs="Calibri"/>
          <w:color w:val="000000"/>
          <w:lang w:eastAsia="en-AU"/>
        </w:rPr>
        <w:t xml:space="preserve"> a person from outside the clinical team</w:t>
      </w:r>
      <w:r>
        <w:rPr>
          <w:rFonts w:ascii="Calibri" w:eastAsia="Times New Roman" w:hAnsi="Calibri" w:cs="Calibri"/>
          <w:color w:val="000000"/>
          <w:lang w:eastAsia="en-AU"/>
        </w:rPr>
        <w:t xml:space="preserve"> (e.g. reception staff)</w:t>
      </w:r>
      <w:r w:rsidRPr="000233DE">
        <w:rPr>
          <w:rFonts w:ascii="Calibri" w:eastAsia="Times New Roman" w:hAnsi="Calibri" w:cs="Calibri"/>
          <w:color w:val="000000"/>
          <w:lang w:eastAsia="en-AU"/>
        </w:rPr>
        <w:t xml:space="preserve"> to complete the </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w:t>
      </w:r>
    </w:p>
    <w:p w14:paraId="73F59891" w14:textId="1CCA6AE6" w:rsidR="00AA4149"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 xml:space="preserve">Some health centres tried to reduce the barriers to completing the Participant Details </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 xml:space="preserve">. Ten reported setting up a direct link to the </w:t>
      </w:r>
      <w:r w:rsidR="00842FF9">
        <w:rPr>
          <w:rFonts w:ascii="Calibri" w:eastAsia="Times New Roman" w:hAnsi="Calibri" w:cs="Calibri"/>
          <w:color w:val="000000"/>
          <w:lang w:eastAsia="en-AU"/>
        </w:rPr>
        <w:t>Form</w:t>
      </w:r>
      <w:r>
        <w:rPr>
          <w:rFonts w:ascii="Calibri" w:eastAsia="Times New Roman" w:hAnsi="Calibri" w:cs="Calibri"/>
          <w:color w:val="000000"/>
          <w:lang w:eastAsia="en-AU"/>
        </w:rPr>
        <w:t xml:space="preserve"> within a recall or health assessment, or simply by encouraging staff to set up a bookmark or add as a favourite in their web browser.</w:t>
      </w:r>
    </w:p>
    <w:p w14:paraId="3EDFFEE0" w14:textId="2C661854" w:rsidR="007C437C" w:rsidRDefault="00AA4149" w:rsidP="00AA4149">
      <w:pPr>
        <w:rPr>
          <w:rFonts w:ascii="Calibri" w:eastAsia="Times New Roman" w:hAnsi="Calibri" w:cs="Calibri"/>
          <w:color w:val="000000"/>
          <w:lang w:eastAsia="en-AU"/>
        </w:rPr>
      </w:pPr>
      <w:r w:rsidRPr="00CA2773">
        <w:rPr>
          <w:rFonts w:ascii="Calibri" w:eastAsia="Times New Roman" w:hAnsi="Calibri" w:cs="Calibri"/>
          <w:color w:val="000000"/>
          <w:lang w:eastAsia="en-AU"/>
        </w:rPr>
        <w:t xml:space="preserve">One health centre </w:t>
      </w:r>
      <w:r>
        <w:rPr>
          <w:rFonts w:ascii="Calibri" w:eastAsia="Times New Roman" w:hAnsi="Calibri" w:cs="Calibri"/>
          <w:color w:val="000000"/>
          <w:lang w:eastAsia="en-AU"/>
        </w:rPr>
        <w:t xml:space="preserve">had a designated staff member who completed the </w:t>
      </w:r>
      <w:r w:rsidR="00842FF9">
        <w:rPr>
          <w:rFonts w:ascii="Calibri" w:eastAsia="Times New Roman" w:hAnsi="Calibri" w:cs="Calibri"/>
          <w:color w:val="000000"/>
          <w:lang w:eastAsia="en-AU"/>
        </w:rPr>
        <w:t>Form</w:t>
      </w:r>
      <w:r w:rsidR="007C437C">
        <w:rPr>
          <w:rFonts w:ascii="Calibri" w:eastAsia="Times New Roman" w:hAnsi="Calibri" w:cs="Calibri"/>
          <w:color w:val="000000"/>
          <w:lang w:eastAsia="en-AU"/>
        </w:rPr>
        <w:t>:</w:t>
      </w:r>
      <w:r>
        <w:rPr>
          <w:rFonts w:ascii="Calibri" w:eastAsia="Times New Roman" w:hAnsi="Calibri" w:cs="Calibri"/>
          <w:color w:val="000000"/>
          <w:lang w:eastAsia="en-AU"/>
        </w:rPr>
        <w:t xml:space="preserve"> </w:t>
      </w:r>
    </w:p>
    <w:p w14:paraId="2FEAF966" w14:textId="3E043A54" w:rsidR="00AA4149" w:rsidRPr="00CA2773" w:rsidRDefault="00AA4149" w:rsidP="000920C7">
      <w:pPr>
        <w:pStyle w:val="Quote"/>
        <w:rPr>
          <w:lang w:eastAsia="en-AU"/>
        </w:rPr>
      </w:pPr>
      <w:r>
        <w:rPr>
          <w:lang w:eastAsia="en-AU"/>
        </w:rPr>
        <w:t>‘</w:t>
      </w:r>
      <w:r w:rsidRPr="00CA2773">
        <w:rPr>
          <w:lang w:eastAsia="en-AU"/>
        </w:rPr>
        <w:t xml:space="preserve">If the patient accepts the kit, they’ll let me know [senior RN]. I’m </w:t>
      </w:r>
      <w:r>
        <w:rPr>
          <w:lang w:eastAsia="en-AU"/>
        </w:rPr>
        <w:t xml:space="preserve">[ </w:t>
      </w:r>
      <w:r w:rsidR="00D26A7C">
        <w:rPr>
          <w:lang w:eastAsia="en-AU"/>
        </w:rPr>
        <w:t>…]</w:t>
      </w:r>
      <w:r w:rsidRPr="00CA2773">
        <w:rPr>
          <w:lang w:eastAsia="en-AU"/>
        </w:rPr>
        <w:t xml:space="preserve"> the one who fills out all the </w:t>
      </w:r>
      <w:r w:rsidR="00842FF9">
        <w:rPr>
          <w:lang w:eastAsia="en-AU"/>
        </w:rPr>
        <w:t>Form</w:t>
      </w:r>
      <w:r w:rsidRPr="00CA2773">
        <w:rPr>
          <w:lang w:eastAsia="en-AU"/>
        </w:rPr>
        <w:t>s and gives it to them and explains to them how to use i</w:t>
      </w:r>
      <w:r>
        <w:rPr>
          <w:lang w:eastAsia="en-AU"/>
        </w:rPr>
        <w:t>t</w:t>
      </w:r>
      <w:r w:rsidRPr="00CA2773">
        <w:rPr>
          <w:lang w:eastAsia="en-AU"/>
        </w:rPr>
        <w:t>.</w:t>
      </w:r>
      <w:r>
        <w:rPr>
          <w:lang w:eastAsia="en-AU"/>
        </w:rPr>
        <w:t>’</w:t>
      </w:r>
    </w:p>
    <w:p w14:paraId="5CD2FB76" w14:textId="77777777" w:rsidR="007C437C" w:rsidRDefault="00AA4149" w:rsidP="00AA4149">
      <w:pPr>
        <w:rPr>
          <w:rFonts w:eastAsia="Times New Roman"/>
        </w:rPr>
      </w:pPr>
      <w:r>
        <w:rPr>
          <w:rFonts w:eastAsia="Times New Roman"/>
        </w:rPr>
        <w:t>One of the anticipated advantages of the Alternative Pathway was that as well as receiving the kit from a trusted health professional, patient follow up would be more effective through the local health centre. T</w:t>
      </w:r>
      <w:r w:rsidRPr="008E684A">
        <w:rPr>
          <w:rFonts w:eastAsia="Times New Roman"/>
        </w:rPr>
        <w:t xml:space="preserve">he NBCSP </w:t>
      </w:r>
      <w:r>
        <w:rPr>
          <w:rFonts w:eastAsia="Times New Roman"/>
        </w:rPr>
        <w:t>provides automatic</w:t>
      </w:r>
      <w:r w:rsidRPr="008E684A">
        <w:rPr>
          <w:rFonts w:eastAsia="Times New Roman"/>
        </w:rPr>
        <w:t xml:space="preserve"> follow up </w:t>
      </w:r>
      <w:r>
        <w:rPr>
          <w:rFonts w:eastAsia="Times New Roman"/>
        </w:rPr>
        <w:t>systems</w:t>
      </w:r>
      <w:r w:rsidRPr="008E684A">
        <w:rPr>
          <w:rFonts w:eastAsia="Times New Roman"/>
        </w:rPr>
        <w:t xml:space="preserve"> that are activated once a person has been given a kit and</w:t>
      </w:r>
      <w:r>
        <w:rPr>
          <w:rFonts w:eastAsia="Times New Roman"/>
        </w:rPr>
        <w:t xml:space="preserve"> a result has not been returned, </w:t>
      </w:r>
      <w:r w:rsidRPr="008E684A">
        <w:rPr>
          <w:rFonts w:eastAsia="Times New Roman"/>
        </w:rPr>
        <w:t xml:space="preserve">or </w:t>
      </w:r>
      <w:r>
        <w:rPr>
          <w:rFonts w:eastAsia="Times New Roman"/>
        </w:rPr>
        <w:t xml:space="preserve">if </w:t>
      </w:r>
      <w:r w:rsidRPr="008E684A">
        <w:rPr>
          <w:rFonts w:eastAsia="Times New Roman"/>
        </w:rPr>
        <w:t>a positive screening result</w:t>
      </w:r>
      <w:r w:rsidRPr="00CC75D8">
        <w:rPr>
          <w:rFonts w:eastAsia="Times New Roman"/>
        </w:rPr>
        <w:t xml:space="preserve"> </w:t>
      </w:r>
      <w:r>
        <w:rPr>
          <w:rFonts w:eastAsia="Times New Roman"/>
        </w:rPr>
        <w:t xml:space="preserve">is </w:t>
      </w:r>
      <w:r w:rsidRPr="008E684A">
        <w:rPr>
          <w:rFonts w:eastAsia="Times New Roman"/>
        </w:rPr>
        <w:t>received</w:t>
      </w:r>
      <w:r>
        <w:rPr>
          <w:rFonts w:eastAsia="Times New Roman"/>
        </w:rPr>
        <w:t xml:space="preserve">. These follow up systems remained in place for the Pilot, recognising that not all </w:t>
      </w:r>
      <w:r w:rsidRPr="008E684A">
        <w:rPr>
          <w:rFonts w:eastAsia="Times New Roman"/>
        </w:rPr>
        <w:t>health centre</w:t>
      </w:r>
      <w:r>
        <w:rPr>
          <w:rFonts w:eastAsia="Times New Roman"/>
        </w:rPr>
        <w:t>s</w:t>
      </w:r>
      <w:r w:rsidRPr="008E684A">
        <w:rPr>
          <w:rFonts w:eastAsia="Times New Roman"/>
        </w:rPr>
        <w:t xml:space="preserve"> </w:t>
      </w:r>
      <w:r>
        <w:rPr>
          <w:rFonts w:eastAsia="Times New Roman"/>
        </w:rPr>
        <w:t xml:space="preserve">may have the capacity to follow up every patient who was given a kit. </w:t>
      </w:r>
    </w:p>
    <w:p w14:paraId="646E884F" w14:textId="17A4FAE9" w:rsidR="00AA4149"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lastRenderedPageBreak/>
        <w:t xml:space="preserve">Sixteen health centres reported </w:t>
      </w:r>
      <w:r w:rsidR="007C437C">
        <w:rPr>
          <w:rFonts w:ascii="Calibri" w:eastAsia="Times New Roman" w:hAnsi="Calibri" w:cs="Calibri"/>
          <w:color w:val="000000"/>
          <w:lang w:eastAsia="en-AU"/>
        </w:rPr>
        <w:t>making follow up contact</w:t>
      </w:r>
      <w:r>
        <w:rPr>
          <w:rFonts w:ascii="Calibri" w:eastAsia="Times New Roman" w:hAnsi="Calibri" w:cs="Calibri"/>
          <w:color w:val="000000"/>
          <w:lang w:eastAsia="en-AU"/>
        </w:rPr>
        <w:t xml:space="preserve"> (usually phone calls) to check whether the test had been done, although </w:t>
      </w:r>
      <w:r w:rsidR="00F124EE">
        <w:rPr>
          <w:rFonts w:ascii="Calibri" w:eastAsia="Times New Roman" w:hAnsi="Calibri" w:cs="Calibri"/>
          <w:color w:val="000000"/>
          <w:lang w:eastAsia="en-AU"/>
        </w:rPr>
        <w:t xml:space="preserve">more often </w:t>
      </w:r>
      <w:r>
        <w:rPr>
          <w:rFonts w:ascii="Calibri" w:eastAsia="Times New Roman" w:hAnsi="Calibri" w:cs="Calibri"/>
          <w:color w:val="000000"/>
          <w:lang w:eastAsia="en-AU"/>
        </w:rPr>
        <w:t xml:space="preserve">this process was </w:t>
      </w:r>
      <w:r w:rsidR="00F124EE">
        <w:rPr>
          <w:rFonts w:ascii="Calibri" w:eastAsia="Times New Roman" w:hAnsi="Calibri" w:cs="Calibri"/>
          <w:color w:val="000000"/>
          <w:lang w:eastAsia="en-AU"/>
        </w:rPr>
        <w:t xml:space="preserve">reported as </w:t>
      </w:r>
      <w:r>
        <w:rPr>
          <w:rFonts w:ascii="Calibri" w:eastAsia="Times New Roman" w:hAnsi="Calibri" w:cs="Calibri"/>
          <w:color w:val="000000"/>
          <w:lang w:eastAsia="en-AU"/>
        </w:rPr>
        <w:t xml:space="preserve">ad hoc. For example: </w:t>
      </w:r>
    </w:p>
    <w:p w14:paraId="7F7018C2" w14:textId="156E71D1" w:rsidR="00AA4149" w:rsidRDefault="00AA4149" w:rsidP="000920C7">
      <w:pPr>
        <w:pStyle w:val="Quote"/>
      </w:pPr>
      <w:r>
        <w:t>‘</w:t>
      </w:r>
      <w:r w:rsidRPr="00AD3203">
        <w:t>N</w:t>
      </w:r>
      <w:r w:rsidRPr="00E17DAA">
        <w:t xml:space="preserve">urses and GPs would sometimes follow up patients when they came back into the clinic however, there was no </w:t>
      </w:r>
      <w:r w:rsidR="006922EB">
        <w:t>f</w:t>
      </w:r>
      <w:r w:rsidR="00842FF9">
        <w:t>orm</w:t>
      </w:r>
      <w:r w:rsidRPr="00E17DAA">
        <w:t>a</w:t>
      </w:r>
      <w:r w:rsidRPr="009E1D0C">
        <w:t>l proce</w:t>
      </w:r>
      <w:r w:rsidRPr="00182F82">
        <w:t>ss.’</w:t>
      </w:r>
    </w:p>
    <w:p w14:paraId="0A72D76C" w14:textId="0D7EAFBE" w:rsidR="00AA4149" w:rsidRPr="003E0CEE" w:rsidRDefault="00AA4149" w:rsidP="000920C7">
      <w:pPr>
        <w:pStyle w:val="Quote"/>
      </w:pPr>
      <w:r>
        <w:t>‘</w:t>
      </w:r>
      <w:r w:rsidRPr="00AD3203">
        <w:t>O</w:t>
      </w:r>
      <w:r w:rsidRPr="00E17DAA">
        <w:t>ccasionally if patients were coming back and the doctor still hadn’t gotten their results, the GP would check with them that they still</w:t>
      </w:r>
      <w:r w:rsidRPr="009E1D0C">
        <w:t xml:space="preserve"> had the kit or if they had any questions about it</w:t>
      </w:r>
      <w:r w:rsidRPr="00182F82">
        <w:t>. I wouldn’t – unless they were in here, I wasn’t following them up. It was not uncommon that a GP would receive a letter [from the NBCSP] saying: we haven’t received the sample; can you chase your patient up. The doctor who had done the initial sign-off I think would usually make a note in the file of that to discuss at a further appointment</w:t>
      </w:r>
      <w:r w:rsidR="007C437C">
        <w:t>.</w:t>
      </w:r>
      <w:r>
        <w:t>’</w:t>
      </w:r>
    </w:p>
    <w:p w14:paraId="72BEF0F8" w14:textId="77777777" w:rsidR="00AA4149"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Some health centre staff reported their efforts to check whether clients had completed the test were hampered by not receiving their patient’s results.</w:t>
      </w:r>
      <w:r>
        <w:rPr>
          <w:rStyle w:val="FootnoteReference"/>
          <w:rFonts w:ascii="Calibri" w:eastAsia="Times New Roman" w:hAnsi="Calibri" w:cs="Calibri"/>
          <w:color w:val="000000"/>
          <w:lang w:eastAsia="en-AU"/>
        </w:rPr>
        <w:footnoteReference w:id="35"/>
      </w:r>
      <w:r>
        <w:rPr>
          <w:rFonts w:ascii="Calibri" w:eastAsia="Times New Roman" w:hAnsi="Calibri" w:cs="Calibri"/>
          <w:color w:val="000000"/>
          <w:lang w:eastAsia="en-AU"/>
        </w:rPr>
        <w:t xml:space="preserve"> </w:t>
      </w:r>
    </w:p>
    <w:p w14:paraId="222F56C7" w14:textId="7DF1223E" w:rsidR="00AA4149" w:rsidRPr="0056528F" w:rsidRDefault="00AA4149" w:rsidP="000920C7">
      <w:pPr>
        <w:pStyle w:val="Quote"/>
      </w:pPr>
      <w:r>
        <w:t>‘</w:t>
      </w:r>
      <w:r w:rsidRPr="00AD3203">
        <w:t xml:space="preserve">I think a couple of times it had been sent but we hadn’t received the results,  so it wasn’t until we’d go, </w:t>
      </w:r>
      <w:r w:rsidRPr="00E17DAA">
        <w:t>“Have they done it?”</w:t>
      </w:r>
      <w:r w:rsidRPr="009E1D0C">
        <w:t xml:space="preserve"> and you’d call the client going, “</w:t>
      </w:r>
      <w:r w:rsidRPr="00182F82">
        <w:t>Have you done it?” and they said, “Yes”, then we’ve had to call and try and chase those results, for whatever reason haven’t come through</w:t>
      </w:r>
      <w:r>
        <w:t>.’</w:t>
      </w:r>
    </w:p>
    <w:p w14:paraId="3E731DAF" w14:textId="5028B7A2" w:rsidR="00AA4149" w:rsidRPr="0068331A" w:rsidRDefault="00AA4149" w:rsidP="00AA4149">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A small number of health centres (n=4) followed up on all their patient test results (whether positive, negative, inconclusive or no result). Most however only followed up on positive results. </w:t>
      </w:r>
    </w:p>
    <w:p w14:paraId="0671F37E" w14:textId="77777777" w:rsidR="007C437C"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 xml:space="preserve">Many of the health centres (n=19) provided patients with the option of returning their completed NBCSP kit to the health centre. Some also offered to pick up </w:t>
      </w:r>
      <w:r w:rsidRPr="00465D68">
        <w:rPr>
          <w:rFonts w:ascii="Calibri" w:eastAsia="Times New Roman" w:hAnsi="Calibri" w:cs="Calibri"/>
          <w:color w:val="000000"/>
          <w:lang w:eastAsia="en-AU"/>
        </w:rPr>
        <w:t>samples from the patient homes (</w:t>
      </w:r>
      <w:r>
        <w:rPr>
          <w:rFonts w:ascii="Calibri" w:eastAsia="Times New Roman" w:hAnsi="Calibri" w:cs="Calibri"/>
          <w:color w:val="000000"/>
          <w:lang w:eastAsia="en-AU"/>
        </w:rPr>
        <w:t>n=</w:t>
      </w:r>
      <w:r w:rsidRPr="00465D68">
        <w:rPr>
          <w:rFonts w:ascii="Calibri" w:eastAsia="Times New Roman" w:hAnsi="Calibri" w:cs="Calibri"/>
          <w:color w:val="000000"/>
          <w:lang w:eastAsia="en-AU"/>
        </w:rPr>
        <w:t xml:space="preserve">7). </w:t>
      </w:r>
    </w:p>
    <w:p w14:paraId="6146A58E" w14:textId="46B60B7C" w:rsidR="00AA4149" w:rsidRDefault="00AA4149" w:rsidP="00AA4149">
      <w:pPr>
        <w:rPr>
          <w:rFonts w:ascii="Calibri" w:eastAsia="Times New Roman" w:hAnsi="Calibri" w:cs="Calibri"/>
          <w:color w:val="000000"/>
          <w:lang w:eastAsia="en-AU"/>
        </w:rPr>
      </w:pPr>
      <w:r>
        <w:rPr>
          <w:rFonts w:ascii="Calibri" w:eastAsia="Times New Roman" w:hAnsi="Calibri" w:cs="Calibri"/>
          <w:color w:val="000000"/>
          <w:lang w:eastAsia="en-AU"/>
        </w:rPr>
        <w:t xml:space="preserve">The health centre would post the kit to one of the </w:t>
      </w:r>
      <w:r w:rsidR="00C67CA1">
        <w:rPr>
          <w:rFonts w:ascii="Calibri" w:eastAsia="Times New Roman" w:hAnsi="Calibri" w:cs="Calibri"/>
          <w:color w:val="000000"/>
          <w:lang w:eastAsia="en-AU"/>
        </w:rPr>
        <w:t>Sonic Healthcare</w:t>
      </w:r>
      <w:r>
        <w:rPr>
          <w:rFonts w:ascii="Calibri" w:eastAsia="Times New Roman" w:hAnsi="Calibri" w:cs="Calibri"/>
          <w:color w:val="000000"/>
          <w:lang w:eastAsia="en-AU"/>
        </w:rPr>
        <w:t xml:space="preserve"> testing centres.</w:t>
      </w:r>
      <w:r w:rsidRPr="0017710F">
        <w:rPr>
          <w:rFonts w:ascii="Calibri" w:eastAsia="Times New Roman" w:hAnsi="Calibri" w:cs="Calibri"/>
          <w:color w:val="000000"/>
          <w:lang w:eastAsia="en-AU"/>
        </w:rPr>
        <w:t xml:space="preserve"> </w:t>
      </w:r>
      <w:r>
        <w:rPr>
          <w:rFonts w:ascii="Calibri" w:eastAsia="Times New Roman" w:hAnsi="Calibri" w:cs="Calibri"/>
          <w:color w:val="000000"/>
          <w:lang w:eastAsia="en-AU"/>
        </w:rPr>
        <w:t>At one health centre, patients would return the samples there for posting anyway, even though this was not a service the health centre offered:</w:t>
      </w:r>
    </w:p>
    <w:p w14:paraId="2982AC75" w14:textId="112E27F5" w:rsidR="00A73D1A" w:rsidRPr="002C477A" w:rsidRDefault="00AA4149" w:rsidP="000920C7">
      <w:pPr>
        <w:pStyle w:val="Quote"/>
        <w:rPr>
          <w:sz w:val="24"/>
        </w:rPr>
      </w:pPr>
      <w:r w:rsidRPr="00AD3203">
        <w:t>‘</w:t>
      </w:r>
      <w:r w:rsidRPr="00E17DAA">
        <w:t xml:space="preserve">Usually we just say [to the patient] </w:t>
      </w:r>
      <w:r w:rsidRPr="009E1D0C">
        <w:t xml:space="preserve">to post it off </w:t>
      </w:r>
      <w:r w:rsidR="007C437C" w:rsidRPr="009E1D0C">
        <w:t>.</w:t>
      </w:r>
      <w:r w:rsidRPr="00182F82">
        <w:t>.. If they need to come back and bring us back the kit because sometimes, they feel more comfortable to do that, otherwise we don’t, but we’ll post it off straight away</w:t>
      </w:r>
      <w:r w:rsidR="007C437C">
        <w:t>.</w:t>
      </w:r>
      <w:r>
        <w:t>’</w:t>
      </w:r>
    </w:p>
    <w:p w14:paraId="13F30BA3" w14:textId="77777777" w:rsidR="00756D13" w:rsidRDefault="00756D13">
      <w:pPr>
        <w:spacing w:before="0" w:after="0" w:line="240" w:lineRule="auto"/>
        <w:rPr>
          <w:rFonts w:cstheme="minorHAnsi"/>
          <w:b/>
          <w:bCs/>
          <w:lang w:eastAsia="en-AU"/>
        </w:rPr>
      </w:pPr>
      <w:bookmarkStart w:id="222" w:name="_Toc44339225"/>
      <w:r>
        <w:br w:type="page"/>
      </w:r>
    </w:p>
    <w:p w14:paraId="4C802219" w14:textId="3568E3AC" w:rsidR="003341BA" w:rsidRDefault="003341BA" w:rsidP="00366EAB">
      <w:pPr>
        <w:pStyle w:val="Heading3"/>
      </w:pPr>
      <w:r w:rsidRPr="0068331A">
        <w:lastRenderedPageBreak/>
        <w:t xml:space="preserve">Health centres that </w:t>
      </w:r>
      <w:r>
        <w:t xml:space="preserve">did not </w:t>
      </w:r>
      <w:r w:rsidRPr="0068331A">
        <w:t>distribute kits</w:t>
      </w:r>
      <w:bookmarkEnd w:id="222"/>
    </w:p>
    <w:p w14:paraId="5B234FCF" w14:textId="77777777" w:rsidR="000074AE" w:rsidRDefault="00AA4149" w:rsidP="00AA4149">
      <w:r>
        <w:t xml:space="preserve">Eight of the 44 health centres that were approved to give out kits through the Pilot were not recorded as having distributed any kits. The reasons for this were varied. Two of the eight were only approved to give out kits two weeks before the end of the Pilot in October 2019, received their allocation of kits in the final week, and were unable to schedule training or give out any kits before the Pilot finished. </w:t>
      </w:r>
    </w:p>
    <w:p w14:paraId="5C7D527B" w14:textId="36725493" w:rsidR="00AA4149" w:rsidRDefault="00AA4149" w:rsidP="00AA4149">
      <w:r>
        <w:t xml:space="preserve">The umbrella organisation for these two health centres required a research contract (legal agreement) as well as HREC approval, which was only completed in September 2019. These health centres were therefore excluded from this analysis as they did not have the opportunity to start giving out kits. </w:t>
      </w:r>
    </w:p>
    <w:p w14:paraId="4ED22A20" w14:textId="77777777" w:rsidR="00AA4149" w:rsidRPr="00EA490E" w:rsidRDefault="00AA4149" w:rsidP="00AA4149">
      <w:pPr>
        <w:rPr>
          <w:rFonts w:eastAsia="Times New Roman"/>
          <w:color w:val="0D0D0D"/>
        </w:rPr>
      </w:pPr>
      <w:r>
        <w:t xml:space="preserve">Of the remaining six health centres, interviews confirmed that three had struggled with staff turnover or competing priorities </w:t>
      </w:r>
      <w:r>
        <w:rPr>
          <w:rFonts w:eastAsia="Times New Roman"/>
          <w:color w:val="0D0D0D"/>
        </w:rPr>
        <w:t xml:space="preserve">and </w:t>
      </w:r>
      <w:r>
        <w:t>did not manage to commence offering NBCSP kits. These centres were all from Group A (low intensity support)</w:t>
      </w:r>
      <w:r>
        <w:rPr>
          <w:rFonts w:eastAsia="Times New Roman"/>
          <w:color w:val="0D0D0D"/>
        </w:rPr>
        <w:t>.</w:t>
      </w:r>
    </w:p>
    <w:p w14:paraId="2501ED63" w14:textId="7606B214" w:rsidR="00AD3203" w:rsidRDefault="00AA4149" w:rsidP="00AA4149">
      <w:pPr>
        <w:rPr>
          <w:rFonts w:eastAsia="Times New Roman"/>
          <w:color w:val="0D0D0D"/>
        </w:rPr>
      </w:pPr>
      <w:r>
        <w:t xml:space="preserve">DHS records indicated that the three remaining centres did not report any patients who were offered screening or had accepted a kit. No samples were returned for testing that were identified as having originated from these health centres. However, a </w:t>
      </w:r>
      <w:r w:rsidR="007C437C">
        <w:t>s</w:t>
      </w:r>
      <w:r>
        <w:t xml:space="preserve">ite </w:t>
      </w:r>
      <w:r w:rsidR="007C437C">
        <w:t>c</w:t>
      </w:r>
      <w:r>
        <w:t xml:space="preserve">oordinator for one centre explained in an </w:t>
      </w:r>
      <w:r w:rsidR="000074AE">
        <w:t>i</w:t>
      </w:r>
      <w:r>
        <w:t xml:space="preserve">mplementation interview that they had given out around 50 kits but did not submit Part A of the Participant Details </w:t>
      </w:r>
      <w:r w:rsidR="00842FF9">
        <w:t>Form</w:t>
      </w:r>
      <w:r>
        <w:t xml:space="preserve"> or provide their patients with a copy of the </w:t>
      </w:r>
      <w:r w:rsidR="00842FF9">
        <w:rPr>
          <w:rFonts w:eastAsia="Times New Roman"/>
          <w:color w:val="0D0D0D"/>
        </w:rPr>
        <w:t>Form</w:t>
      </w:r>
      <w:r>
        <w:rPr>
          <w:rFonts w:eastAsia="Times New Roman"/>
          <w:color w:val="0D0D0D"/>
        </w:rPr>
        <w:t xml:space="preserve">. </w:t>
      </w:r>
    </w:p>
    <w:p w14:paraId="6FA6E79C" w14:textId="03C88B3C" w:rsidR="00AA4149" w:rsidRDefault="00AA4149" w:rsidP="00AA4149">
      <w:pPr>
        <w:rPr>
          <w:rFonts w:eastAsia="Times New Roman"/>
          <w:color w:val="0D0D0D"/>
        </w:rPr>
      </w:pPr>
      <w:r>
        <w:rPr>
          <w:rFonts w:eastAsia="Times New Roman"/>
          <w:color w:val="0D0D0D"/>
        </w:rPr>
        <w:t xml:space="preserve">Of the other two health centres, one </w:t>
      </w:r>
      <w:r w:rsidR="00796409">
        <w:rPr>
          <w:rFonts w:eastAsia="Times New Roman"/>
          <w:color w:val="0D0D0D"/>
        </w:rPr>
        <w:t>s</w:t>
      </w:r>
      <w:r>
        <w:rPr>
          <w:rFonts w:eastAsia="Times New Roman"/>
          <w:color w:val="0D0D0D"/>
        </w:rPr>
        <w:t xml:space="preserve">ite </w:t>
      </w:r>
      <w:r w:rsidR="00796409">
        <w:rPr>
          <w:rFonts w:eastAsia="Times New Roman"/>
          <w:color w:val="0D0D0D"/>
        </w:rPr>
        <w:t>c</w:t>
      </w:r>
      <w:r>
        <w:rPr>
          <w:rFonts w:eastAsia="Times New Roman"/>
          <w:color w:val="0D0D0D"/>
        </w:rPr>
        <w:t xml:space="preserve">oordinator reported that staff had tried to give out </w:t>
      </w:r>
      <w:r w:rsidR="00315D5B">
        <w:rPr>
          <w:rFonts w:eastAsia="Times New Roman"/>
          <w:color w:val="0D0D0D"/>
        </w:rPr>
        <w:t>kits,</w:t>
      </w:r>
      <w:r>
        <w:rPr>
          <w:rFonts w:eastAsia="Times New Roman"/>
          <w:color w:val="0D0D0D"/>
        </w:rPr>
        <w:t xml:space="preserve"> but patients would not accept them, and the other described a process that was vague about the completion of the online </w:t>
      </w:r>
      <w:r w:rsidR="00842FF9">
        <w:rPr>
          <w:rFonts w:eastAsia="Times New Roman"/>
          <w:color w:val="0D0D0D"/>
        </w:rPr>
        <w:t>Form</w:t>
      </w:r>
      <w:r>
        <w:rPr>
          <w:rFonts w:eastAsia="Times New Roman"/>
          <w:color w:val="0D0D0D"/>
        </w:rPr>
        <w:t xml:space="preserve"> but detailed in describing interactions with patients about screening. All three of these health centres were in Group B (high intensity support). </w:t>
      </w:r>
    </w:p>
    <w:p w14:paraId="711051A4" w14:textId="0573EE33" w:rsidR="00AA4149" w:rsidRDefault="00AA4149" w:rsidP="00AA4149">
      <w:r>
        <w:rPr>
          <w:rFonts w:eastAsia="Times New Roman"/>
          <w:color w:val="0D0D0D"/>
        </w:rPr>
        <w:t xml:space="preserve">There were few marked differences between the planned approaches of the six health centres that were recorded as having given out no kits and the 36 that did give out kits. A higher proportion of those that did not give out any kits carried out or intended to hold community events to promote bowel screening.  </w:t>
      </w:r>
      <w:r>
        <w:t xml:space="preserve">None of the six referred to having prompts in place in the CIS to remind staff to complete the Participant Details </w:t>
      </w:r>
      <w:r w:rsidR="00842FF9">
        <w:t>Form</w:t>
      </w:r>
      <w:r>
        <w:t xml:space="preserve">. </w:t>
      </w:r>
    </w:p>
    <w:p w14:paraId="1A18F817" w14:textId="77777777" w:rsidR="00AA4149" w:rsidRPr="0023713A" w:rsidRDefault="00AA4149" w:rsidP="00AA4149">
      <w:pPr>
        <w:rPr>
          <w:rFonts w:ascii="Calibri" w:eastAsia="Times New Roman" w:hAnsi="Calibri" w:cs="Calibri"/>
          <w:color w:val="000000"/>
          <w:sz w:val="24"/>
          <w:lang w:eastAsia="en-AU"/>
        </w:rPr>
      </w:pPr>
      <w:r>
        <w:t xml:space="preserve">There were more noticeable differences in other characteristics of those that did not record giving out any kits. </w:t>
      </w:r>
      <w:r>
        <w:rPr>
          <w:rFonts w:eastAsia="Times New Roman"/>
          <w:color w:val="0D0D0D"/>
        </w:rPr>
        <w:t xml:space="preserve">Four of the six health centres (60%) that did not give out kits were ‘very large’ (more than 3000 patients), compared to 45% of those that did give out kits. </w:t>
      </w:r>
      <w:r>
        <w:t>The proportion of health centres with fewer than 50% Indigenous patients was much higher among those that did not give out kits: 50% compared to 20% amongst all health centres.</w:t>
      </w:r>
    </w:p>
    <w:p w14:paraId="4E5CB675" w14:textId="1AB7517A" w:rsidR="00AA4149" w:rsidRDefault="00AA4149" w:rsidP="00AA4149">
      <w:pPr>
        <w:spacing w:after="0"/>
        <w:rPr>
          <w:rFonts w:eastAsia="Times New Roman" w:cstheme="minorHAnsi"/>
          <w:color w:val="0D0D0D"/>
          <w:lang w:eastAsia="en-AU"/>
        </w:rPr>
      </w:pPr>
      <w:r w:rsidRPr="006F4E85">
        <w:rPr>
          <w:rFonts w:ascii="Calibri" w:eastAsia="Times New Roman" w:hAnsi="Calibri" w:cs="Calibri"/>
          <w:color w:val="000000"/>
          <w:lang w:eastAsia="en-AU"/>
        </w:rPr>
        <w:t xml:space="preserve">There were also differences in the approaches that these six health centres took to preparing their staff to offer the Alternative Pathway. The three </w:t>
      </w:r>
      <w:r w:rsidRPr="006F4E85">
        <w:rPr>
          <w:rFonts w:eastAsia="Times New Roman" w:cstheme="minorHAnsi"/>
          <w:color w:val="0D0D0D"/>
          <w:lang w:eastAsia="en-AU"/>
        </w:rPr>
        <w:t>health centres in Group B (high intensity support) relied heavily on Menzies to supply in</w:t>
      </w:r>
      <w:r w:rsidR="00842FF9">
        <w:rPr>
          <w:rFonts w:eastAsia="Times New Roman" w:cstheme="minorHAnsi"/>
          <w:color w:val="0D0D0D"/>
          <w:lang w:eastAsia="en-AU"/>
        </w:rPr>
        <w:t>form</w:t>
      </w:r>
      <w:r w:rsidRPr="006F4E85">
        <w:rPr>
          <w:rFonts w:eastAsia="Times New Roman" w:cstheme="minorHAnsi"/>
          <w:color w:val="0D0D0D"/>
          <w:lang w:eastAsia="en-AU"/>
        </w:rPr>
        <w:t xml:space="preserve">ation about how to offer the Alternative Pathway. Only one of the three followed up the </w:t>
      </w:r>
      <w:r w:rsidR="00796409">
        <w:rPr>
          <w:rFonts w:eastAsia="Times New Roman" w:cstheme="minorHAnsi"/>
          <w:color w:val="0D0D0D"/>
          <w:lang w:eastAsia="en-AU"/>
        </w:rPr>
        <w:t>face-to-face</w:t>
      </w:r>
      <w:r w:rsidRPr="006F4E85">
        <w:rPr>
          <w:rFonts w:eastAsia="Times New Roman" w:cstheme="minorHAnsi"/>
          <w:color w:val="0D0D0D"/>
          <w:lang w:eastAsia="en-AU"/>
        </w:rPr>
        <w:t xml:space="preserve"> training with internal training or discussion.  </w:t>
      </w:r>
    </w:p>
    <w:p w14:paraId="65495927" w14:textId="77777777" w:rsidR="000A7EAD" w:rsidRDefault="00AA4149" w:rsidP="00796409">
      <w:pPr>
        <w:spacing w:after="0"/>
        <w:rPr>
          <w:rFonts w:eastAsia="Times New Roman" w:cstheme="minorHAnsi"/>
          <w:color w:val="0D0D0D"/>
          <w:szCs w:val="28"/>
          <w:lang w:eastAsia="en-AU"/>
        </w:rPr>
      </w:pPr>
      <w:r>
        <w:rPr>
          <w:rFonts w:eastAsia="Times New Roman" w:cstheme="minorHAnsi"/>
          <w:color w:val="0D0D0D"/>
          <w:szCs w:val="28"/>
          <w:lang w:eastAsia="en-AU"/>
        </w:rPr>
        <w:t xml:space="preserve">Of the three health centres in Group A (low intensity support): </w:t>
      </w:r>
    </w:p>
    <w:p w14:paraId="44B11DF5" w14:textId="49EE213B" w:rsidR="00796409" w:rsidRPr="0068331A" w:rsidRDefault="00AA4149" w:rsidP="0068331A">
      <w:pPr>
        <w:spacing w:after="0"/>
        <w:rPr>
          <w:color w:val="0D0D0D"/>
          <w:lang w:eastAsia="en-AU"/>
        </w:rPr>
      </w:pPr>
      <w:r w:rsidRPr="0068331A">
        <w:rPr>
          <w:iCs/>
        </w:rPr>
        <w:t>One centre supported staff to receive training but lost momentum when their staff champion went on leave:</w:t>
      </w:r>
    </w:p>
    <w:p w14:paraId="3D792361" w14:textId="08C9E70A" w:rsidR="00AA4149" w:rsidRPr="0068331A" w:rsidRDefault="00AA4149" w:rsidP="000920C7">
      <w:pPr>
        <w:pStyle w:val="Quote"/>
        <w:rPr>
          <w:rStyle w:val="normaltextrun"/>
        </w:rPr>
      </w:pPr>
      <w:r w:rsidRPr="00325403">
        <w:rPr>
          <w:color w:val="0D0D0D"/>
          <w:szCs w:val="28"/>
        </w:rPr>
        <w:lastRenderedPageBreak/>
        <w:t>‘</w:t>
      </w:r>
      <w:r w:rsidRPr="00AD3203">
        <w:rPr>
          <w:rStyle w:val="normaltextrun"/>
        </w:rPr>
        <w:t>W</w:t>
      </w:r>
      <w:r w:rsidRPr="00E17DAA">
        <w:rPr>
          <w:rStyle w:val="normaltextrun"/>
        </w:rPr>
        <w:t>e got to the stage of training the nurse and myself and one of the receptionists on the system and we did the video and ev</w:t>
      </w:r>
      <w:r w:rsidRPr="009E1D0C">
        <w:rPr>
          <w:rStyle w:val="normaltextrun"/>
        </w:rPr>
        <w:t>erything but then it all sort of ground to a halt with that person going on leave.</w:t>
      </w:r>
      <w:r w:rsidRPr="00796409">
        <w:rPr>
          <w:rStyle w:val="normaltextrun"/>
        </w:rPr>
        <w:t>..’</w:t>
      </w:r>
    </w:p>
    <w:p w14:paraId="108B722D" w14:textId="31483C01" w:rsidR="00796409" w:rsidRPr="007E11F1" w:rsidRDefault="00AA4149" w:rsidP="007E11F1">
      <w:pPr>
        <w:rPr>
          <w:rStyle w:val="normaltextrun"/>
        </w:rPr>
      </w:pPr>
      <w:r w:rsidRPr="007E11F1">
        <w:rPr>
          <w:rStyle w:val="normaltextrun"/>
        </w:rPr>
        <w:t>One did not support or mandate training – leaving it up to their staff to complete.</w:t>
      </w:r>
      <w:r w:rsidR="00AD3203" w:rsidRPr="007E11F1">
        <w:rPr>
          <w:rStyle w:val="normaltextrun"/>
        </w:rPr>
        <w:t xml:space="preserve"> However, </w:t>
      </w:r>
      <w:r w:rsidRPr="007E11F1">
        <w:rPr>
          <w:rStyle w:val="normaltextrun"/>
        </w:rPr>
        <w:t xml:space="preserve">it was expressed: </w:t>
      </w:r>
    </w:p>
    <w:p w14:paraId="12C3267B" w14:textId="76E19A08" w:rsidR="00AD3203" w:rsidRDefault="00AA4149" w:rsidP="000920C7">
      <w:pPr>
        <w:pStyle w:val="Quote"/>
      </w:pPr>
      <w:r w:rsidRPr="00AD3203">
        <w:rPr>
          <w:rStyle w:val="normaltextrun"/>
        </w:rPr>
        <w:t>‘</w:t>
      </w:r>
      <w:r w:rsidRPr="00E17DAA">
        <w:rPr>
          <w:rStyle w:val="normaltextrun"/>
        </w:rPr>
        <w:t xml:space="preserve">We were really disappointed we didn’t get the </w:t>
      </w:r>
      <w:r w:rsidR="00796409" w:rsidRPr="009E1D0C">
        <w:rPr>
          <w:rStyle w:val="normaltextrun"/>
        </w:rPr>
        <w:t>(f</w:t>
      </w:r>
      <w:r w:rsidRPr="009E1D0C">
        <w:rPr>
          <w:rStyle w:val="normaltextrun"/>
        </w:rPr>
        <w:t>ace-to-</w:t>
      </w:r>
      <w:r w:rsidR="00796409" w:rsidRPr="00796409">
        <w:rPr>
          <w:rStyle w:val="normaltextrun"/>
        </w:rPr>
        <w:t>f</w:t>
      </w:r>
      <w:r w:rsidRPr="00796409">
        <w:rPr>
          <w:rStyle w:val="normaltextrun"/>
        </w:rPr>
        <w:t xml:space="preserve">ace training] because we felt that it would have been a much easier. Everything was sort of done for </w:t>
      </w:r>
      <w:r w:rsidR="00D26A7C" w:rsidRPr="00796409">
        <w:rPr>
          <w:rStyle w:val="normaltextrun"/>
        </w:rPr>
        <w:t>us,</w:t>
      </w:r>
      <w:r w:rsidRPr="00796409">
        <w:rPr>
          <w:rStyle w:val="normaltextrun"/>
        </w:rPr>
        <w:t xml:space="preserve"> so we have to try and deal with some of this stuff and get it going. If we got face-to-face training our line managers say it would have made it a lot more sense yep.’</w:t>
      </w:r>
    </w:p>
    <w:p w14:paraId="365280D0" w14:textId="599167F8" w:rsidR="00AD3203" w:rsidRPr="0068331A" w:rsidRDefault="00AD3203" w:rsidP="00AD3203">
      <w:r w:rsidRPr="0068331A">
        <w:t xml:space="preserve">The </w:t>
      </w:r>
      <w:r>
        <w:t>t</w:t>
      </w:r>
      <w:r w:rsidRPr="0068331A">
        <w:t xml:space="preserve">hird health centre provided no details of training for their staff. </w:t>
      </w:r>
    </w:p>
    <w:p w14:paraId="3A1C765D" w14:textId="7E02BCA8" w:rsidR="00FD1478" w:rsidRDefault="004D0E90" w:rsidP="00070C12">
      <w:pPr>
        <w:pStyle w:val="Heading2"/>
      </w:pPr>
      <w:bookmarkStart w:id="223" w:name="_Toc45539266"/>
      <w:bookmarkStart w:id="224" w:name="_Toc54954853"/>
      <w:bookmarkStart w:id="225" w:name="_Toc44339226"/>
      <w:r>
        <w:t xml:space="preserve">7.2 </w:t>
      </w:r>
      <w:r w:rsidR="002E48FA">
        <w:t xml:space="preserve">Differences </w:t>
      </w:r>
      <w:r w:rsidR="00B362CC">
        <w:t>in</w:t>
      </w:r>
      <w:r w:rsidR="002E48FA">
        <w:t xml:space="preserve"> health centre</w:t>
      </w:r>
      <w:r w:rsidR="00FD1478">
        <w:t xml:space="preserve"> screening activity (</w:t>
      </w:r>
      <w:r w:rsidR="002E48FA">
        <w:t xml:space="preserve">kits given out </w:t>
      </w:r>
      <w:r w:rsidR="00FD1478">
        <w:t>by time available)</w:t>
      </w:r>
      <w:bookmarkEnd w:id="223"/>
      <w:bookmarkEnd w:id="224"/>
    </w:p>
    <w:p w14:paraId="0BA266D7" w14:textId="338BE2D5" w:rsidR="00FD1478" w:rsidRDefault="00FD1478" w:rsidP="00FD1478">
      <w:pPr>
        <w:rPr>
          <w:rFonts w:eastAsia="Times New Roman"/>
          <w:color w:val="0D0D0D"/>
        </w:rPr>
      </w:pPr>
      <w:r>
        <w:rPr>
          <w:rFonts w:eastAsia="Times New Roman"/>
          <w:color w:val="0D0D0D"/>
        </w:rPr>
        <w:t>The 36 health centres that gave out kits were ranked according to the number of kits given out over time eligible to give out kits (as described in Appendix F). The approaches used by the 12 health centres that ranked highest were compared to the 12 that gave out fewest kits in the time they had available.</w:t>
      </w:r>
    </w:p>
    <w:p w14:paraId="705006C4" w14:textId="401B10DB" w:rsidR="00FD1478" w:rsidRDefault="00FD1478" w:rsidP="00FD1478">
      <w:pPr>
        <w:rPr>
          <w:rFonts w:ascii="Calibri" w:eastAsia="Times New Roman" w:hAnsi="Calibri" w:cs="Calibri"/>
          <w:color w:val="000000"/>
          <w:lang w:eastAsia="en-AU"/>
        </w:rPr>
      </w:pPr>
      <w:r>
        <w:rPr>
          <w:rFonts w:eastAsia="Times New Roman"/>
          <w:color w:val="0D0D0D"/>
        </w:rPr>
        <w:t>The two group</w:t>
      </w:r>
      <w:r w:rsidR="00BB118B">
        <w:rPr>
          <w:rFonts w:eastAsia="Times New Roman"/>
          <w:color w:val="0D0D0D"/>
        </w:rPr>
        <w:t>s</w:t>
      </w:r>
      <w:r>
        <w:rPr>
          <w:rFonts w:eastAsia="Times New Roman"/>
          <w:color w:val="0D0D0D"/>
        </w:rPr>
        <w:t xml:space="preserve"> </w:t>
      </w:r>
      <w:r w:rsidR="003D46F1">
        <w:rPr>
          <w:rFonts w:eastAsia="Times New Roman"/>
          <w:color w:val="0D0D0D"/>
        </w:rPr>
        <w:t xml:space="preserve">used similar methods to offer screening. </w:t>
      </w:r>
      <w:r>
        <w:rPr>
          <w:rFonts w:eastAsia="Times New Roman"/>
          <w:color w:val="0D0D0D"/>
        </w:rPr>
        <w:t xml:space="preserve">However, in the higher performing group the approaches were applied in a more systematic and systems-oriented way.  For example, </w:t>
      </w:r>
      <w:r>
        <w:rPr>
          <w:rFonts w:ascii="Calibri" w:eastAsia="Times New Roman" w:hAnsi="Calibri" w:cs="Calibri"/>
          <w:color w:val="000000"/>
          <w:lang w:eastAsia="en-AU"/>
        </w:rPr>
        <w:t xml:space="preserve">the top 12 were much more likely (10/12 compared to 3/12) to use targeted approaches to engage with patients about screening, whereas the bottom 12 were much more likely to be exclusively opportunistic. </w:t>
      </w:r>
    </w:p>
    <w:p w14:paraId="4920840A" w14:textId="421D9691" w:rsidR="00FD1478" w:rsidRDefault="00FD1478" w:rsidP="00FD1478">
      <w:pPr>
        <w:rPr>
          <w:rFonts w:ascii="Calibri" w:eastAsia="Times New Roman" w:hAnsi="Calibri" w:cs="Calibri"/>
          <w:color w:val="000000"/>
          <w:lang w:eastAsia="en-AU"/>
        </w:rPr>
      </w:pPr>
      <w:r>
        <w:rPr>
          <w:rFonts w:ascii="Calibri" w:eastAsia="Times New Roman" w:hAnsi="Calibri" w:cs="Calibri"/>
          <w:color w:val="000000"/>
          <w:lang w:eastAsia="en-AU"/>
        </w:rPr>
        <w:t xml:space="preserve">The top 12 performing health centres also provided more support to patients, by way of storage of samples, transport and postage, to overcome the barriers to bowel screening their patients experienced. Most (9/12) of the top performers allowed patients to deliver completed kits back to the health centre, which would post the kits to </w:t>
      </w:r>
      <w:r w:rsidR="00C67CA1">
        <w:rPr>
          <w:rFonts w:ascii="Calibri" w:eastAsia="Times New Roman" w:hAnsi="Calibri" w:cs="Calibri"/>
          <w:color w:val="000000"/>
          <w:lang w:eastAsia="en-AU"/>
        </w:rPr>
        <w:t>Sonic Healthcare</w:t>
      </w:r>
      <w:r>
        <w:rPr>
          <w:rFonts w:ascii="Calibri" w:eastAsia="Times New Roman" w:hAnsi="Calibri" w:cs="Calibri"/>
          <w:color w:val="000000"/>
          <w:lang w:eastAsia="en-AU"/>
        </w:rPr>
        <w:t xml:space="preserve">. </w:t>
      </w:r>
    </w:p>
    <w:p w14:paraId="7F7650C4" w14:textId="77777777" w:rsidR="00FD1478" w:rsidRPr="00AA0698" w:rsidRDefault="00FD1478" w:rsidP="00FD1478">
      <w:pPr>
        <w:rPr>
          <w:rFonts w:ascii="Calibri" w:eastAsia="Times New Roman" w:hAnsi="Calibri" w:cs="Calibri"/>
          <w:color w:val="000000"/>
          <w:lang w:eastAsia="en-AU"/>
        </w:rPr>
      </w:pPr>
      <w:r>
        <w:rPr>
          <w:rFonts w:ascii="Calibri" w:eastAsia="Times New Roman" w:hAnsi="Calibri" w:cs="Calibri"/>
          <w:color w:val="000000"/>
          <w:lang w:eastAsia="en-AU"/>
        </w:rPr>
        <w:t xml:space="preserve">In comparison, only 5 out of the 12 lowest performing health centres offered a similar service. Three of the low performers did not offer any support to patients with storage, transport or postage. </w:t>
      </w:r>
    </w:p>
    <w:p w14:paraId="790566EF" w14:textId="77777777" w:rsidR="00FD1478" w:rsidRDefault="00FD1478" w:rsidP="00FD1478">
      <w:pPr>
        <w:rPr>
          <w:rFonts w:eastAsia="Times New Roman" w:cstheme="minorHAnsi"/>
          <w:color w:val="0D0D0D"/>
          <w:lang w:eastAsia="en-AU"/>
        </w:rPr>
      </w:pPr>
      <w:r w:rsidRPr="00A05348">
        <w:rPr>
          <w:rFonts w:eastAsia="Times New Roman" w:cstheme="minorHAnsi"/>
          <w:color w:val="0D0D0D"/>
        </w:rPr>
        <w:t>The top 12 health centres were also more like</w:t>
      </w:r>
      <w:r>
        <w:rPr>
          <w:rFonts w:eastAsia="Times New Roman" w:cstheme="minorHAnsi"/>
          <w:color w:val="0D0D0D"/>
        </w:rPr>
        <w:t>ly</w:t>
      </w:r>
      <w:r w:rsidRPr="00A05348">
        <w:rPr>
          <w:rFonts w:eastAsia="Times New Roman" w:cstheme="minorHAnsi"/>
          <w:color w:val="0D0D0D"/>
        </w:rPr>
        <w:t xml:space="preserve"> to </w:t>
      </w:r>
      <w:r>
        <w:rPr>
          <w:rFonts w:eastAsia="Times New Roman" w:cstheme="minorHAnsi"/>
          <w:color w:val="0D0D0D"/>
        </w:rPr>
        <w:t xml:space="preserve">make sure that staff were trained to offer the Alternative Pathway. </w:t>
      </w:r>
      <w:r w:rsidRPr="00A05348">
        <w:rPr>
          <w:rFonts w:eastAsia="Times New Roman" w:cstheme="minorHAnsi"/>
          <w:color w:val="0D0D0D"/>
          <w:lang w:eastAsia="en-AU"/>
        </w:rPr>
        <w:t xml:space="preserve"> </w:t>
      </w:r>
      <w:r>
        <w:rPr>
          <w:rFonts w:eastAsia="Times New Roman" w:cstheme="minorHAnsi"/>
          <w:color w:val="0D0D0D"/>
          <w:lang w:eastAsia="en-AU"/>
        </w:rPr>
        <w:t>A majority of these 12 health centres encouraged training, setup staff meetings about the pilot and/or reminded staff to complete the training. For example:</w:t>
      </w:r>
    </w:p>
    <w:p w14:paraId="5F4AE937" w14:textId="77777777" w:rsidR="00FD1478" w:rsidRDefault="00FD1478" w:rsidP="000920C7">
      <w:pPr>
        <w:pStyle w:val="Quote"/>
      </w:pPr>
      <w:r>
        <w:t>‘</w:t>
      </w:r>
      <w:r w:rsidRPr="00AD3203">
        <w:t>A</w:t>
      </w:r>
      <w:r w:rsidRPr="00E17DAA">
        <w:t xml:space="preserve">t each clinic </w:t>
      </w:r>
      <w:r w:rsidRPr="009E1D0C">
        <w:t>the Pilot was rolled out along the lines of</w:t>
      </w:r>
      <w:r w:rsidRPr="00EE42C4">
        <w:t>: the clinic managers being involved in discussing what it is [the Pilot] and then at our larger health professional meetings having a presentation about that, and then encouraging all staff to undertake the training module and then the main clinic supplied the test kits and the education materials</w:t>
      </w:r>
      <w:r w:rsidRPr="00A05348">
        <w:t>.</w:t>
      </w:r>
      <w:r>
        <w:t>’</w:t>
      </w:r>
    </w:p>
    <w:p w14:paraId="2F9D20A9" w14:textId="57347F03" w:rsidR="00FD1478" w:rsidRDefault="00FD1478" w:rsidP="00FD1478">
      <w:pPr>
        <w:rPr>
          <w:rFonts w:eastAsia="Times New Roman" w:cstheme="minorHAnsi"/>
          <w:color w:val="0D0D0D"/>
          <w:lang w:eastAsia="en-AU"/>
        </w:rPr>
      </w:pPr>
      <w:r>
        <w:rPr>
          <w:rFonts w:eastAsia="Times New Roman" w:cstheme="minorHAnsi"/>
          <w:color w:val="0D0D0D"/>
          <w:lang w:eastAsia="en-AU"/>
        </w:rPr>
        <w:t>These health centres were also more likely to have a champion/key person responsible for the Pilot, supporting other clinical staff to undertake and understand the requirements and engage patients.</w:t>
      </w:r>
    </w:p>
    <w:p w14:paraId="13F9874F" w14:textId="77777777" w:rsidR="00895A6F" w:rsidRPr="00895A6F" w:rsidRDefault="00895A6F" w:rsidP="00FD1478">
      <w:pPr>
        <w:rPr>
          <w:rFonts w:eastAsia="Times New Roman" w:cstheme="minorHAnsi"/>
          <w:color w:val="0D0D0D"/>
          <w:lang w:eastAsia="en-AU"/>
        </w:rPr>
      </w:pPr>
    </w:p>
    <w:p w14:paraId="1883A283" w14:textId="58280B2D" w:rsidR="007E05A7" w:rsidRDefault="00836B5D" w:rsidP="00070C12">
      <w:pPr>
        <w:pStyle w:val="Heading2"/>
      </w:pPr>
      <w:bookmarkStart w:id="226" w:name="_Toc45539267"/>
      <w:bookmarkStart w:id="227" w:name="_Toc54954854"/>
      <w:bookmarkEnd w:id="225"/>
      <w:r>
        <w:lastRenderedPageBreak/>
        <w:t xml:space="preserve">7.3 </w:t>
      </w:r>
      <w:r w:rsidR="008A3B33">
        <w:t xml:space="preserve">Differences in health </w:t>
      </w:r>
      <w:r>
        <w:t>centre compliance with NBCSP requirements</w:t>
      </w:r>
      <w:bookmarkEnd w:id="226"/>
      <w:bookmarkEnd w:id="227"/>
    </w:p>
    <w:p w14:paraId="15E59245" w14:textId="7F19D920" w:rsidR="00836B5D" w:rsidRDefault="008A3B33" w:rsidP="00AA4149">
      <w:r>
        <w:t xml:space="preserve">NBCSP requirements around the Participant Details form were the </w:t>
      </w:r>
      <w:r w:rsidR="00F7333A">
        <w:t>components</w:t>
      </w:r>
      <w:r>
        <w:t xml:space="preserve"> of the Alternative Pathway that were </w:t>
      </w:r>
      <w:r w:rsidR="00F7333A">
        <w:t>least likely to be complied with</w:t>
      </w:r>
      <w:r>
        <w:t xml:space="preserve"> by health centre staff. </w:t>
      </w:r>
    </w:p>
    <w:p w14:paraId="5AC28B96" w14:textId="316CB26E" w:rsidR="00F7333A" w:rsidRDefault="00F7333A" w:rsidP="00366EAB">
      <w:pPr>
        <w:pStyle w:val="Heading3"/>
      </w:pPr>
      <w:r>
        <w:t>Completion of Part A for patients assessed but not given a kit</w:t>
      </w:r>
    </w:p>
    <w:p w14:paraId="12C03D8E" w14:textId="45F1E5BA" w:rsidR="00AA4149" w:rsidRDefault="00AA4149" w:rsidP="00AA4149">
      <w:r>
        <w:t xml:space="preserve">Of the 36 health centres that gave out NBCSP kits, only 15 </w:t>
      </w:r>
      <w:r w:rsidR="00F7333A">
        <w:t>followed</w:t>
      </w:r>
      <w:r>
        <w:t xml:space="preserve"> instructions to complete Part A of the Participant Details </w:t>
      </w:r>
      <w:r w:rsidR="00842FF9">
        <w:t>Form</w:t>
      </w:r>
      <w:r>
        <w:t xml:space="preserve"> for </w:t>
      </w:r>
      <w:r w:rsidR="008A3B33" w:rsidRPr="005A509A">
        <w:rPr>
          <w:u w:val="single"/>
        </w:rPr>
        <w:t>a</w:t>
      </w:r>
      <w:r w:rsidR="00BB118B" w:rsidRPr="005A509A">
        <w:rPr>
          <w:u w:val="single"/>
        </w:rPr>
        <w:t>ll</w:t>
      </w:r>
      <w:r w:rsidRPr="005A509A">
        <w:rPr>
          <w:u w:val="single"/>
        </w:rPr>
        <w:t xml:space="preserve"> </w:t>
      </w:r>
      <w:r>
        <w:t>patient</w:t>
      </w:r>
      <w:r w:rsidR="00BB118B">
        <w:t>s</w:t>
      </w:r>
      <w:r>
        <w:t xml:space="preserve"> assessed for bowel screening, regardless of whether the patient was given a kit.</w:t>
      </w:r>
    </w:p>
    <w:p w14:paraId="74061C31" w14:textId="77777777" w:rsidR="00AA4149" w:rsidRDefault="00AA4149" w:rsidP="00AA4149">
      <w:r>
        <w:t xml:space="preserve">Of this grouping: </w:t>
      </w:r>
    </w:p>
    <w:p w14:paraId="29747911" w14:textId="22A62471" w:rsidR="00AA4149" w:rsidRDefault="00AA4149" w:rsidP="00402F9A">
      <w:pPr>
        <w:pStyle w:val="ListParagraph"/>
        <w:numPr>
          <w:ilvl w:val="0"/>
          <w:numId w:val="27"/>
        </w:numPr>
        <w:spacing w:before="0" w:after="200"/>
      </w:pPr>
      <w:r>
        <w:t>Nine health centres were Group B (high intensity support) sites, compared to six Group A (low intensity</w:t>
      </w:r>
      <w:r w:rsidR="008824B3">
        <w:t xml:space="preserve"> support</w:t>
      </w:r>
      <w:r>
        <w:t xml:space="preserve">) sites. </w:t>
      </w:r>
    </w:p>
    <w:p w14:paraId="74553EFD" w14:textId="20F93700" w:rsidR="00AA4149" w:rsidRPr="00C755D7" w:rsidRDefault="00AA4149" w:rsidP="00402F9A">
      <w:pPr>
        <w:pStyle w:val="ListParagraph"/>
        <w:numPr>
          <w:ilvl w:val="0"/>
          <w:numId w:val="27"/>
        </w:numPr>
        <w:spacing w:before="0" w:after="200"/>
      </w:pPr>
      <w:r>
        <w:t>Eight of the 15 were ranked in the top 12 for number of NBCSP kits given out by time available.</w:t>
      </w:r>
      <w:r w:rsidR="008824B3">
        <w:t xml:space="preserve"> </w:t>
      </w:r>
      <w:r>
        <w:t xml:space="preserve">Three ranked in the middle third; four amongst the bottom 12. </w:t>
      </w:r>
    </w:p>
    <w:p w14:paraId="055E6A7F" w14:textId="4B7FDF5D" w:rsidR="00AA4149" w:rsidRDefault="00AA4149" w:rsidP="00AA4149">
      <w:r>
        <w:rPr>
          <w:rFonts w:eastAsia="Times New Roman"/>
          <w:color w:val="0D0D0D"/>
        </w:rPr>
        <w:t>With such a substantial overlap between the highest per</w:t>
      </w:r>
      <w:r w:rsidR="00842FF9">
        <w:rPr>
          <w:rFonts w:eastAsia="Times New Roman"/>
          <w:color w:val="0D0D0D"/>
        </w:rPr>
        <w:t>form</w:t>
      </w:r>
      <w:r>
        <w:rPr>
          <w:rFonts w:eastAsia="Times New Roman"/>
          <w:color w:val="0D0D0D"/>
        </w:rPr>
        <w:t xml:space="preserve">ing 12 health centres and the 15 that gave out kits to all clients assessed for screening, it is unsurprising that the group of 15 was similarly systems-oriented in how they implemented and delivered the Alternative Pathway.  </w:t>
      </w:r>
    </w:p>
    <w:p w14:paraId="122843E9" w14:textId="00374B59" w:rsidR="00AA4149" w:rsidRDefault="00AA4149" w:rsidP="00AA4149">
      <w:r>
        <w:t xml:space="preserve">For example, the 15 </w:t>
      </w:r>
      <w:r w:rsidRPr="0041721B">
        <w:t xml:space="preserve">health centres that followed the instructions for reporting all </w:t>
      </w:r>
      <w:r>
        <w:t xml:space="preserve">patients </w:t>
      </w:r>
      <w:r w:rsidRPr="0041721B">
        <w:t>assessed</w:t>
      </w:r>
      <w:r>
        <w:t xml:space="preserve"> were more likely to </w:t>
      </w:r>
      <w:r w:rsidRPr="00CC7177">
        <w:rPr>
          <w:rFonts w:ascii="Calibri" w:eastAsia="Times New Roman" w:hAnsi="Calibri" w:cs="Calibri"/>
          <w:color w:val="000000"/>
          <w:lang w:eastAsia="en-AU"/>
        </w:rPr>
        <w:t>per</w:t>
      </w:r>
      <w:r w:rsidR="00842FF9">
        <w:rPr>
          <w:rFonts w:ascii="Calibri" w:eastAsia="Times New Roman" w:hAnsi="Calibri" w:cs="Calibri"/>
          <w:color w:val="000000"/>
          <w:lang w:eastAsia="en-AU"/>
        </w:rPr>
        <w:t>form</w:t>
      </w:r>
      <w:r w:rsidRPr="00CC7177">
        <w:rPr>
          <w:rFonts w:ascii="Calibri" w:eastAsia="Times New Roman" w:hAnsi="Calibri" w:cs="Calibri"/>
          <w:color w:val="000000"/>
          <w:lang w:eastAsia="en-AU"/>
        </w:rPr>
        <w:t xml:space="preserve"> an audit </w:t>
      </w:r>
      <w:r>
        <w:rPr>
          <w:rFonts w:ascii="Calibri" w:eastAsia="Times New Roman" w:hAnsi="Calibri" w:cs="Calibri"/>
          <w:color w:val="000000"/>
          <w:lang w:eastAsia="en-AU"/>
        </w:rPr>
        <w:t>or use flags or recalls to identify</w:t>
      </w:r>
      <w:r w:rsidRPr="00F97F0A">
        <w:rPr>
          <w:rFonts w:ascii="Calibri" w:eastAsia="Times New Roman" w:hAnsi="Calibri" w:cs="Calibri"/>
          <w:color w:val="000000"/>
          <w:lang w:eastAsia="en-AU"/>
        </w:rPr>
        <w:t xml:space="preserve"> eligible patients</w:t>
      </w:r>
      <w:r>
        <w:rPr>
          <w:rFonts w:ascii="Calibri" w:eastAsia="Times New Roman" w:hAnsi="Calibri" w:cs="Calibri"/>
          <w:color w:val="000000"/>
          <w:lang w:eastAsia="en-AU"/>
        </w:rPr>
        <w:t xml:space="preserve">; to use targeted strategies for invitation; to provide storage and mailing of kits; to ensure staff were trained; and to have an organisational champion for the Pilot; than those (n=21) that were less compliant in reporting patients who were assessed but not given a kit </w:t>
      </w:r>
    </w:p>
    <w:p w14:paraId="05DB0ACC" w14:textId="029E6C35" w:rsidR="00EE42C4" w:rsidRDefault="00AA4149" w:rsidP="00AA4149">
      <w:r>
        <w:t xml:space="preserve">This </w:t>
      </w:r>
      <w:r w:rsidR="008A3B33">
        <w:t>most</w:t>
      </w:r>
      <w:r>
        <w:t xml:space="preserve"> compliant group of </w:t>
      </w:r>
      <w:r w:rsidR="008A3B33">
        <w:t xml:space="preserve">the participating health centres </w:t>
      </w:r>
      <w:r>
        <w:t xml:space="preserve">also tended to have a more a collective approach to who was involved in delivering the Alternative Pathway. This was particularly true for the completion of the </w:t>
      </w:r>
      <w:r w:rsidR="00842FF9">
        <w:t>on</w:t>
      </w:r>
      <w:r>
        <w:t xml:space="preserve">line </w:t>
      </w:r>
      <w:r w:rsidR="00842FF9">
        <w:t>Form</w:t>
      </w:r>
      <w:r>
        <w:t xml:space="preserve">, where nurses, AHWs and GPs were likely to share this responsibility. At other health centres it was more likely that role would be carried out by one or two specific groups. </w:t>
      </w:r>
    </w:p>
    <w:p w14:paraId="12A9CF46" w14:textId="09DB946D" w:rsidR="008A3B33" w:rsidRPr="00F7333A" w:rsidRDefault="00F7333A" w:rsidP="00366EAB">
      <w:pPr>
        <w:pStyle w:val="Heading3"/>
      </w:pPr>
      <w:r w:rsidRPr="00F7333A">
        <w:t>Completion and provision of Participant Details form for patients given a kit</w:t>
      </w:r>
    </w:p>
    <w:p w14:paraId="178175BE" w14:textId="619AA176" w:rsidR="008A3B33" w:rsidRDefault="00253BD4" w:rsidP="008A3B33">
      <w:pPr>
        <w:rPr>
          <w:rFonts w:eastAsia="Times New Roman"/>
          <w:color w:val="0D0D0D"/>
        </w:rPr>
      </w:pPr>
      <w:r>
        <w:rPr>
          <w:rFonts w:eastAsia="Times New Roman"/>
          <w:color w:val="0D0D0D"/>
        </w:rPr>
        <w:t xml:space="preserve">If a health professional gave a patient a kit, they were required to provide the patient with a copy of the Participant Details form. The health professional was to complete Part A of the form and submit it electronically to the DHS, then print both Part A and Part B of the form for the patient to include </w:t>
      </w:r>
      <w:r w:rsidR="00B15C12">
        <w:rPr>
          <w:rFonts w:eastAsia="Times New Roman"/>
          <w:color w:val="0D0D0D"/>
        </w:rPr>
        <w:t xml:space="preserve">when </w:t>
      </w:r>
      <w:r>
        <w:rPr>
          <w:rFonts w:eastAsia="Times New Roman"/>
          <w:color w:val="0D0D0D"/>
        </w:rPr>
        <w:t xml:space="preserve">they returned the </w:t>
      </w:r>
      <w:r w:rsidR="00B15C12">
        <w:rPr>
          <w:rFonts w:eastAsia="Times New Roman"/>
          <w:color w:val="0D0D0D"/>
        </w:rPr>
        <w:t xml:space="preserve">completed samples to </w:t>
      </w:r>
      <w:r w:rsidR="00C67CA1">
        <w:rPr>
          <w:rFonts w:eastAsia="Times New Roman"/>
          <w:color w:val="0D0D0D"/>
        </w:rPr>
        <w:t>Sonic Healthcare</w:t>
      </w:r>
      <w:r w:rsidR="00B15C12">
        <w:rPr>
          <w:rFonts w:eastAsia="Times New Roman"/>
          <w:color w:val="0D0D0D"/>
        </w:rPr>
        <w:t xml:space="preserve"> for testing. </w:t>
      </w:r>
    </w:p>
    <w:p w14:paraId="59971073" w14:textId="77777777" w:rsidR="00B15C12" w:rsidRDefault="00B15C12" w:rsidP="00B15C12">
      <w:pPr>
        <w:rPr>
          <w:rFonts w:eastAsia="Times New Roman"/>
          <w:color w:val="0D0D0D"/>
        </w:rPr>
      </w:pPr>
      <w:r>
        <w:rPr>
          <w:rFonts w:eastAsia="Times New Roman"/>
          <w:color w:val="0D0D0D"/>
        </w:rPr>
        <w:t xml:space="preserve">Most health centres complied with the requirement to complete the Participant Details Form for patients who were given a kit. Some reported that an occasional kit was given out without the Form. </w:t>
      </w:r>
    </w:p>
    <w:p w14:paraId="135EDFDA" w14:textId="608914D8" w:rsidR="00B15C12" w:rsidRDefault="00B15C12" w:rsidP="00B15C12">
      <w:pPr>
        <w:rPr>
          <w:rFonts w:eastAsia="Times New Roman"/>
          <w:color w:val="0D0D0D"/>
        </w:rPr>
      </w:pPr>
      <w:r>
        <w:rPr>
          <w:rFonts w:eastAsia="Times New Roman"/>
          <w:color w:val="0D0D0D"/>
        </w:rPr>
        <w:t xml:space="preserve">One health centre, for example, gave out a </w:t>
      </w:r>
      <w:r w:rsidR="00756D13">
        <w:rPr>
          <w:rFonts w:eastAsia="Times New Roman"/>
          <w:color w:val="0D0D0D"/>
        </w:rPr>
        <w:t xml:space="preserve">few </w:t>
      </w:r>
      <w:r>
        <w:rPr>
          <w:rFonts w:eastAsia="Times New Roman"/>
          <w:color w:val="0D0D0D"/>
        </w:rPr>
        <w:t>kits before realising and rectifying the problem; while a site coordinator from another centre rang the Menzies Helpline seeking help after a doctor inadvertently gave out a kit without a Form.</w:t>
      </w:r>
    </w:p>
    <w:p w14:paraId="0E23DFFC" w14:textId="77777777" w:rsidR="00B15C12" w:rsidRDefault="00B15C12" w:rsidP="00B15C12">
      <w:pPr>
        <w:rPr>
          <w:rFonts w:eastAsia="Times New Roman"/>
          <w:color w:val="0D0D0D"/>
        </w:rPr>
      </w:pPr>
      <w:r>
        <w:rPr>
          <w:rFonts w:eastAsia="Times New Roman"/>
          <w:color w:val="0D0D0D"/>
        </w:rPr>
        <w:lastRenderedPageBreak/>
        <w:t>However, three health centres were confirmed to have given out substantial numbers of kits (ranging from 20 to 50) without completing the Form. In one case, DHS received no report of any kits being given out. At the other two centres, correct procedures were followed for some of the period of the Pilot, but staff changes led to a breakdown in the system: the correct procedure was followed for some of the time or by some staff, but nonetheless a substantial number of kits were given out without complying with the NBCSP requirements.</w:t>
      </w:r>
    </w:p>
    <w:p w14:paraId="6C2F304D" w14:textId="77777777" w:rsidR="008A3B33" w:rsidRDefault="008A3B33" w:rsidP="008A3B33">
      <w:pPr>
        <w:rPr>
          <w:rFonts w:eastAsia="Times New Roman"/>
          <w:color w:val="0D0D0D"/>
        </w:rPr>
      </w:pPr>
      <w:r>
        <w:rPr>
          <w:rFonts w:eastAsia="Times New Roman"/>
          <w:color w:val="0D0D0D"/>
        </w:rPr>
        <w:t>All three health centres were in</w:t>
      </w:r>
      <w:r>
        <w:t xml:space="preserve"> Group B (high intensity support).</w:t>
      </w:r>
    </w:p>
    <w:p w14:paraId="0E5D94D5" w14:textId="77777777" w:rsidR="008A3B33" w:rsidRDefault="008A3B33" w:rsidP="008A3B33">
      <w:pPr>
        <w:rPr>
          <w:rFonts w:eastAsia="Times New Roman"/>
          <w:color w:val="0D0D0D"/>
        </w:rPr>
      </w:pPr>
      <w:r>
        <w:rPr>
          <w:rFonts w:eastAsia="Times New Roman"/>
          <w:color w:val="0D0D0D"/>
        </w:rPr>
        <w:t>There were some</w:t>
      </w:r>
      <w:r w:rsidRPr="006C7127">
        <w:rPr>
          <w:rFonts w:eastAsia="Times New Roman"/>
          <w:color w:val="0D0D0D"/>
        </w:rPr>
        <w:t xml:space="preserve"> distinct</w:t>
      </w:r>
      <w:r>
        <w:rPr>
          <w:rFonts w:eastAsia="Times New Roman"/>
          <w:color w:val="0D0D0D"/>
        </w:rPr>
        <w:t>ive</w:t>
      </w:r>
      <w:r w:rsidRPr="006C7127">
        <w:rPr>
          <w:rFonts w:eastAsia="Times New Roman"/>
          <w:color w:val="0D0D0D"/>
        </w:rPr>
        <w:t xml:space="preserve"> similarit</w:t>
      </w:r>
      <w:r>
        <w:rPr>
          <w:rFonts w:eastAsia="Times New Roman"/>
          <w:color w:val="0D0D0D"/>
        </w:rPr>
        <w:t>ies</w:t>
      </w:r>
      <w:r w:rsidRPr="006C7127">
        <w:rPr>
          <w:rFonts w:eastAsia="Times New Roman"/>
          <w:color w:val="0D0D0D"/>
        </w:rPr>
        <w:t xml:space="preserve"> in how these </w:t>
      </w:r>
      <w:r>
        <w:rPr>
          <w:rFonts w:eastAsia="Times New Roman"/>
          <w:color w:val="0D0D0D"/>
        </w:rPr>
        <w:t xml:space="preserve">three </w:t>
      </w:r>
      <w:r w:rsidRPr="006C7127">
        <w:rPr>
          <w:rFonts w:eastAsia="Times New Roman"/>
          <w:color w:val="0D0D0D"/>
        </w:rPr>
        <w:t xml:space="preserve">health centres implemented and delivered the </w:t>
      </w:r>
      <w:r>
        <w:rPr>
          <w:rFonts w:eastAsia="Times New Roman"/>
          <w:color w:val="0D0D0D"/>
        </w:rPr>
        <w:t>A</w:t>
      </w:r>
      <w:r w:rsidRPr="006C7127">
        <w:rPr>
          <w:rFonts w:eastAsia="Times New Roman"/>
          <w:color w:val="0D0D0D"/>
        </w:rPr>
        <w:t xml:space="preserve">lternative </w:t>
      </w:r>
      <w:r>
        <w:rPr>
          <w:rFonts w:eastAsia="Times New Roman"/>
          <w:color w:val="0D0D0D"/>
        </w:rPr>
        <w:t>P</w:t>
      </w:r>
      <w:r w:rsidRPr="006C7127">
        <w:rPr>
          <w:rFonts w:eastAsia="Times New Roman"/>
          <w:color w:val="0D0D0D"/>
        </w:rPr>
        <w:t xml:space="preserve">athway. For example, eligible patients </w:t>
      </w:r>
      <w:r>
        <w:rPr>
          <w:rFonts w:eastAsia="Times New Roman"/>
          <w:color w:val="0D0D0D"/>
        </w:rPr>
        <w:t xml:space="preserve">were engaged opportunistically to talk about bowel screening, rather than in a targeted fashion. None of the health centres reported any prompts or reminders in their CIS to go outside of the system to access the Form, although one had their CIS team develop an internal Form to use instead of the Department of Health version. </w:t>
      </w:r>
    </w:p>
    <w:p w14:paraId="37237AC2" w14:textId="77777777" w:rsidR="008A3B33" w:rsidRPr="00796409" w:rsidRDefault="008A3B33" w:rsidP="000920C7">
      <w:pPr>
        <w:pStyle w:val="Quote"/>
      </w:pPr>
      <w:r w:rsidRPr="00935840">
        <w:t>‘</w:t>
      </w:r>
      <w:r w:rsidRPr="00AD3203">
        <w:t>…a</w:t>
      </w:r>
      <w:r w:rsidRPr="00E17DAA">
        <w:t>ll GPs basically said “N</w:t>
      </w:r>
      <w:r w:rsidRPr="009E1D0C">
        <w:t xml:space="preserve">o, we are not doing the online </w:t>
      </w:r>
      <w:r>
        <w:t>Form</w:t>
      </w:r>
      <w:r w:rsidRPr="009E1D0C">
        <w:t>, bugger you, you know, we want something pre-filled</w:t>
      </w:r>
      <w:r w:rsidRPr="000A7EAD">
        <w:t xml:space="preserve">.” So, our [CIS] template manager spent quite a bit of time devolving and putting it [the Participant Details </w:t>
      </w:r>
      <w:r>
        <w:t>Form</w:t>
      </w:r>
      <w:r w:rsidRPr="000A7EAD">
        <w:t xml:space="preserve">] into a [CIS] </w:t>
      </w:r>
      <w:r>
        <w:t>Form</w:t>
      </w:r>
      <w:r w:rsidRPr="000A7EAD">
        <w:t xml:space="preserve"> so most of it would pre-fill.  I had a look to see how many times that </w:t>
      </w:r>
      <w:r>
        <w:t>Form</w:t>
      </w:r>
      <w:r w:rsidRPr="000A7EAD">
        <w:t>’s been used, which it was only accessed twice</w:t>
      </w:r>
      <w:r w:rsidRPr="00796409">
        <w:t>.’</w:t>
      </w:r>
    </w:p>
    <w:p w14:paraId="672933F9" w14:textId="77777777" w:rsidR="008A3B33" w:rsidRDefault="008A3B33" w:rsidP="008A3B33">
      <w:pPr>
        <w:rPr>
          <w:rFonts w:eastAsia="Times New Roman" w:cstheme="minorHAnsi"/>
          <w:color w:val="0D0D0D"/>
          <w:szCs w:val="28"/>
          <w:lang w:eastAsia="en-AU"/>
        </w:rPr>
      </w:pPr>
      <w:r w:rsidRPr="00935840">
        <w:rPr>
          <w:rFonts w:eastAsia="Times New Roman"/>
          <w:color w:val="0D0D0D"/>
        </w:rPr>
        <w:t xml:space="preserve">These health centres also </w:t>
      </w:r>
      <w:r w:rsidRPr="00935840">
        <w:rPr>
          <w:rFonts w:eastAsia="Times New Roman" w:cstheme="minorHAnsi"/>
          <w:color w:val="0D0D0D"/>
          <w:szCs w:val="28"/>
          <w:lang w:eastAsia="en-AU"/>
        </w:rPr>
        <w:t>relied heavily on Menzies to supply in</w:t>
      </w:r>
      <w:r>
        <w:rPr>
          <w:rFonts w:eastAsia="Times New Roman" w:cstheme="minorHAnsi"/>
          <w:color w:val="0D0D0D"/>
          <w:szCs w:val="28"/>
          <w:lang w:eastAsia="en-AU"/>
        </w:rPr>
        <w:t>form</w:t>
      </w:r>
      <w:r w:rsidRPr="00935840">
        <w:rPr>
          <w:rFonts w:eastAsia="Times New Roman" w:cstheme="minorHAnsi"/>
          <w:color w:val="0D0D0D"/>
          <w:szCs w:val="28"/>
          <w:lang w:eastAsia="en-AU"/>
        </w:rPr>
        <w:t xml:space="preserve">ation about the Pilot; for example, two of the three had no internal meetings to discuss how to offer the Alternative Pathway. </w:t>
      </w:r>
    </w:p>
    <w:p w14:paraId="32BBCCF2" w14:textId="77777777" w:rsidR="008A3B33" w:rsidRPr="003C457A" w:rsidRDefault="008A3B33" w:rsidP="008A3B33">
      <w:pPr>
        <w:rPr>
          <w:rFonts w:eastAsia="Times New Roman" w:cstheme="minorHAnsi"/>
          <w:color w:val="0D0D0D"/>
          <w:szCs w:val="28"/>
          <w:lang w:eastAsia="en-AU"/>
        </w:rPr>
      </w:pPr>
      <w:r>
        <w:rPr>
          <w:rFonts w:eastAsia="Times New Roman" w:cstheme="minorHAnsi"/>
          <w:color w:val="0D0D0D"/>
          <w:szCs w:val="28"/>
          <w:lang w:eastAsia="en-AU"/>
        </w:rPr>
        <w:t>T</w:t>
      </w:r>
      <w:r w:rsidRPr="00935840">
        <w:rPr>
          <w:rFonts w:eastAsia="Times New Roman" w:cstheme="minorHAnsi"/>
          <w:color w:val="0D0D0D"/>
          <w:szCs w:val="28"/>
          <w:lang w:eastAsia="en-AU"/>
        </w:rPr>
        <w:t xml:space="preserve">hey all received face-to-face training, </w:t>
      </w:r>
      <w:r>
        <w:rPr>
          <w:rFonts w:eastAsia="Times New Roman" w:cstheme="minorHAnsi"/>
          <w:color w:val="0D0D0D"/>
          <w:szCs w:val="28"/>
          <w:lang w:eastAsia="en-AU"/>
        </w:rPr>
        <w:t xml:space="preserve">but two of the three </w:t>
      </w:r>
      <w:r w:rsidRPr="00935840">
        <w:rPr>
          <w:rFonts w:eastAsia="Times New Roman" w:cstheme="minorHAnsi"/>
          <w:color w:val="0D0D0D"/>
          <w:szCs w:val="28"/>
          <w:lang w:eastAsia="en-AU"/>
        </w:rPr>
        <w:t xml:space="preserve">requested a very brief timeslot for training to occur. These three health centres </w:t>
      </w:r>
      <w:r>
        <w:rPr>
          <w:rFonts w:eastAsia="Times New Roman" w:cstheme="minorHAnsi"/>
          <w:color w:val="0D0D0D"/>
          <w:szCs w:val="28"/>
          <w:lang w:eastAsia="en-AU"/>
        </w:rPr>
        <w:t xml:space="preserve">also </w:t>
      </w:r>
      <w:r w:rsidRPr="00935840">
        <w:rPr>
          <w:rFonts w:eastAsia="Times New Roman" w:cstheme="minorHAnsi"/>
          <w:color w:val="0D0D0D"/>
          <w:szCs w:val="28"/>
          <w:lang w:eastAsia="en-AU"/>
        </w:rPr>
        <w:t xml:space="preserve">all had at least one senior member of staff who was </w:t>
      </w:r>
      <w:r>
        <w:rPr>
          <w:rFonts w:eastAsia="Times New Roman" w:cstheme="minorHAnsi"/>
          <w:color w:val="0D0D0D"/>
          <w:szCs w:val="28"/>
          <w:lang w:eastAsia="en-AU"/>
        </w:rPr>
        <w:t xml:space="preserve">either strongly opposed to or disinterested in offering the </w:t>
      </w:r>
      <w:r w:rsidRPr="00935840">
        <w:rPr>
          <w:rFonts w:eastAsia="Times New Roman" w:cstheme="minorHAnsi"/>
          <w:color w:val="0D0D0D"/>
          <w:szCs w:val="28"/>
          <w:lang w:eastAsia="en-AU"/>
        </w:rPr>
        <w:t>Alternative Pathway.</w:t>
      </w:r>
    </w:p>
    <w:p w14:paraId="69B2328F" w14:textId="77777777" w:rsidR="008A3B33" w:rsidRDefault="008A3B33" w:rsidP="008A3B33">
      <w:pPr>
        <w:rPr>
          <w:rFonts w:eastAsia="Times New Roman"/>
          <w:color w:val="0D0D0D"/>
        </w:rPr>
      </w:pPr>
      <w:r>
        <w:rPr>
          <w:rFonts w:eastAsia="Times New Roman"/>
          <w:color w:val="0D0D0D"/>
        </w:rPr>
        <w:t xml:space="preserve">There may have been two other health centres that gave out kits without submitting or providing the Forms. Interviews with staff at these health centres described a clearly defined process that appeared to include giving out kits – and in some cases filling out the Form – but they had few or no kits recorded by DHS. This suggests some breakdown in the process, quite likely that the requirement to submit Part A of the Form was not followed correctly. </w:t>
      </w:r>
    </w:p>
    <w:p w14:paraId="744A7F33" w14:textId="77777777" w:rsidR="008A3B33" w:rsidRDefault="008A3B33" w:rsidP="008A3B33">
      <w:r w:rsidRPr="00452420">
        <w:rPr>
          <w:rFonts w:eastAsia="Times New Roman"/>
          <w:color w:val="0D0D0D"/>
        </w:rPr>
        <w:t xml:space="preserve">However, </w:t>
      </w:r>
      <w:r>
        <w:rPr>
          <w:rFonts w:eastAsia="Times New Roman"/>
          <w:color w:val="0D0D0D"/>
        </w:rPr>
        <w:t xml:space="preserve">due to the Covid-19 pandemic closures of Indigenous communities, this remains unverified. </w:t>
      </w:r>
      <w:r>
        <w:t xml:space="preserve">If these two health centres were included in the group that gave out substantial numbers of kits without the Form, the group would have another distinctive characteristic: a much higher proportion of health centres where GPs were designated to complete the Participant Details Form than the other 44 health centres that gave out kits (2/5 compared to 5/42).  </w:t>
      </w:r>
    </w:p>
    <w:p w14:paraId="602E889E" w14:textId="77777777" w:rsidR="008A3B33" w:rsidRDefault="008A3B33" w:rsidP="00AA4149"/>
    <w:p w14:paraId="4D6B9843" w14:textId="77777777" w:rsidR="009A323A" w:rsidRDefault="009A323A">
      <w:pPr>
        <w:spacing w:before="0" w:after="0" w:line="240" w:lineRule="auto"/>
      </w:pPr>
      <w:r>
        <w:br w:type="page"/>
      </w:r>
    </w:p>
    <w:p w14:paraId="350657CE" w14:textId="77777777" w:rsidR="00A74860" w:rsidRDefault="00A74860" w:rsidP="00510A67">
      <w:pPr>
        <w:pStyle w:val="Heading1"/>
        <w:rPr>
          <w:rFonts w:eastAsiaTheme="minorEastAsia"/>
          <w:sz w:val="32"/>
        </w:rPr>
      </w:pPr>
      <w:bookmarkStart w:id="228" w:name="_Toc44339229"/>
      <w:bookmarkStart w:id="229" w:name="_Toc44925015"/>
      <w:bookmarkStart w:id="230" w:name="_Toc54954855"/>
      <w:r>
        <w:lastRenderedPageBreak/>
        <w:t xml:space="preserve">8. RESULTS: SCREENING </w:t>
      </w:r>
      <w:r>
        <w:rPr>
          <w:rFonts w:cs="Angsana New (Headings CS)"/>
        </w:rPr>
        <w:t>ACTIVITY</w:t>
      </w:r>
      <w:r>
        <w:t xml:space="preserve"> </w:t>
      </w:r>
      <w:r>
        <w:rPr>
          <w:rFonts w:cs="Angsana New (Headings CS)"/>
          <w:w w:val="97"/>
        </w:rPr>
        <w:t>AND</w:t>
      </w:r>
      <w:r>
        <w:t xml:space="preserve"> OUTCOMES</w:t>
      </w:r>
      <w:bookmarkEnd w:id="228"/>
      <w:bookmarkEnd w:id="229"/>
      <w:bookmarkEnd w:id="230"/>
    </w:p>
    <w:p w14:paraId="4F634EE1" w14:textId="77777777" w:rsidR="00A74860" w:rsidRDefault="00A74860" w:rsidP="00A74860">
      <w:pPr>
        <w:pStyle w:val="Heading2"/>
      </w:pPr>
      <w:bookmarkStart w:id="231" w:name="_Toc54954856"/>
      <w:bookmarkStart w:id="232" w:name="_Toc44339230"/>
      <w:bookmarkStart w:id="233" w:name="_Toc44925016"/>
      <w:r>
        <w:t>8.1 Key results</w:t>
      </w:r>
      <w:bookmarkEnd w:id="231"/>
    </w:p>
    <w:bookmarkEnd w:id="232"/>
    <w:bookmarkEnd w:id="233"/>
    <w:p w14:paraId="2FD5EDCC" w14:textId="77777777" w:rsidR="00A74860" w:rsidRDefault="00A74860" w:rsidP="00C77532">
      <w:pPr>
        <w:pStyle w:val="ListParagraph"/>
        <w:numPr>
          <w:ilvl w:val="0"/>
          <w:numId w:val="66"/>
        </w:numPr>
        <w:ind w:left="714" w:hanging="357"/>
        <w:rPr>
          <w:rFonts w:cstheme="minorHAnsi"/>
        </w:rPr>
      </w:pPr>
      <w:r>
        <w:rPr>
          <w:rFonts w:cstheme="minorHAnsi"/>
        </w:rPr>
        <w:t>Screening participation through the Alternative Pathway (39.8%) was significantly higher than that of Indigenous people in the usual pathway (23.3%), and at a similar rate to that of non-Indigenous Australians (40.6%).</w:t>
      </w:r>
      <w:r>
        <w:rPr>
          <w:rStyle w:val="FootnoteReference"/>
          <w:rFonts w:cstheme="minorHAnsi"/>
        </w:rPr>
        <w:footnoteReference w:id="36"/>
      </w:r>
      <w:r>
        <w:rPr>
          <w:rFonts w:cstheme="minorHAnsi"/>
        </w:rPr>
        <w:t xml:space="preserve">  This was true even in remote areas, where some of the barriers to offering the Alternative Pathway were substantially more challenging than in urban and regional areas.</w:t>
      </w:r>
    </w:p>
    <w:p w14:paraId="3D107FB4" w14:textId="77777777" w:rsidR="00A74860" w:rsidRDefault="00A74860" w:rsidP="00C77532">
      <w:pPr>
        <w:pStyle w:val="ListParagraph"/>
        <w:numPr>
          <w:ilvl w:val="0"/>
          <w:numId w:val="66"/>
        </w:numPr>
        <w:ind w:left="714" w:hanging="357"/>
        <w:rPr>
          <w:rFonts w:cstheme="minorHAnsi"/>
        </w:rPr>
      </w:pPr>
      <w:r>
        <w:rPr>
          <w:rFonts w:cstheme="minorHAnsi"/>
        </w:rPr>
        <w:t xml:space="preserve">Comparison of usual pathway participation over two time periods showed no general increase in screening by Indigenous participants, indicating that the higher participation rates recorded through the Alternative Pathway are not part of a general increase in screening by Indigenous people. </w:t>
      </w:r>
    </w:p>
    <w:p w14:paraId="07D6722B" w14:textId="7167E674" w:rsidR="00756D13" w:rsidRPr="00756D13" w:rsidRDefault="00756D13" w:rsidP="00756D13">
      <w:pPr>
        <w:pStyle w:val="ListParagraph"/>
        <w:numPr>
          <w:ilvl w:val="0"/>
          <w:numId w:val="66"/>
        </w:numPr>
        <w:spacing w:before="60" w:after="120"/>
        <w:rPr>
          <w:rFonts w:cstheme="minorHAnsi"/>
        </w:rPr>
      </w:pPr>
      <w:r w:rsidRPr="00756D13">
        <w:rPr>
          <w:rFonts w:cstheme="minorHAnsi"/>
        </w:rPr>
        <w:t xml:space="preserve">The Alternative Pathway had greater reach into under-screened sections of the population (those who had been invited previously but not screened; those who live in areas of low socio-economic status or remote areas) than through the usual pathway. </w:t>
      </w:r>
    </w:p>
    <w:p w14:paraId="48E69FBB" w14:textId="50B53AAE" w:rsidR="00756D13" w:rsidRPr="00756D13" w:rsidRDefault="00756D13" w:rsidP="000E3E61">
      <w:pPr>
        <w:pStyle w:val="ListParagraph"/>
        <w:numPr>
          <w:ilvl w:val="1"/>
          <w:numId w:val="70"/>
        </w:numPr>
        <w:spacing w:before="60" w:after="120"/>
        <w:rPr>
          <w:rFonts w:cstheme="minorHAnsi"/>
        </w:rPr>
      </w:pPr>
      <w:r w:rsidRPr="00756D13">
        <w:rPr>
          <w:rFonts w:cstheme="minorHAnsi"/>
        </w:rPr>
        <w:t xml:space="preserve">Of those who screened through the Alternative Pathway, 70% of those who screened had been invited at least once before through the usual </w:t>
      </w:r>
      <w:r w:rsidR="00657A57" w:rsidRPr="00756D13">
        <w:rPr>
          <w:rFonts w:cstheme="minorHAnsi"/>
        </w:rPr>
        <w:t>pathway but</w:t>
      </w:r>
      <w:r w:rsidRPr="00756D13">
        <w:rPr>
          <w:rFonts w:cstheme="minorHAnsi"/>
        </w:rPr>
        <w:t xml:space="preserve"> had never screened. The rate of return of kits for this group (previously invited but never screened) was 42% for Alternative Pathway participants, compared to 18% for all Australians through the usual pathway. </w:t>
      </w:r>
    </w:p>
    <w:p w14:paraId="528AA70B" w14:textId="77777777" w:rsidR="00756D13" w:rsidRPr="00756D13" w:rsidRDefault="00756D13" w:rsidP="000E3E61">
      <w:pPr>
        <w:pStyle w:val="ListParagraph"/>
        <w:numPr>
          <w:ilvl w:val="1"/>
          <w:numId w:val="70"/>
        </w:numPr>
        <w:spacing w:before="60" w:after="120"/>
        <w:rPr>
          <w:rFonts w:cstheme="minorHAnsi"/>
        </w:rPr>
      </w:pPr>
      <w:r w:rsidRPr="00756D13">
        <w:rPr>
          <w:rFonts w:cstheme="minorHAnsi"/>
        </w:rPr>
        <w:t xml:space="preserve">Participation by those in the lowest socio-economic group (SEG) was 47% for the Alternative Pathway compared to 37% for all Australians for the usual pathway. Amongst those from the lowest socio-economic group (SEG), those who received their kits through the Alternative Pathway screened at a significantly higher rate than those who received kits through the usual pathway. </w:t>
      </w:r>
    </w:p>
    <w:p w14:paraId="4B7D3285" w14:textId="0E4FF00B" w:rsidR="00A74860" w:rsidRDefault="00A74860" w:rsidP="00C77532">
      <w:pPr>
        <w:pStyle w:val="ListParagraph"/>
        <w:numPr>
          <w:ilvl w:val="0"/>
          <w:numId w:val="66"/>
        </w:numPr>
        <w:rPr>
          <w:lang w:eastAsia="en-AU"/>
        </w:rPr>
      </w:pPr>
      <w:r>
        <w:rPr>
          <w:lang w:eastAsia="en-AU"/>
        </w:rPr>
        <w:t>Positivity rates were much higher for Indigenous men who screened through the Alternative Pathway (19.6%), compared to 10.6% for Indigenous men who screened through the usual pathway, and eight per cent of all men who screened. Indigenous women had similar positivity rates across both pathways (10.1% for the Alternative Pathway and 9.1% in the usual pathway), but Austr</w:t>
      </w:r>
      <w:r w:rsidR="00463DF2">
        <w:rPr>
          <w:lang w:eastAsia="en-AU"/>
        </w:rPr>
        <w:t xml:space="preserve">alian women overall recorded a </w:t>
      </w:r>
      <w:r>
        <w:rPr>
          <w:lang w:eastAsia="en-AU"/>
        </w:rPr>
        <w:t xml:space="preserve">significantly lower </w:t>
      </w:r>
      <w:r>
        <w:rPr>
          <w:color w:val="000000" w:themeColor="text1"/>
          <w:lang w:eastAsia="en-AU"/>
        </w:rPr>
        <w:t>rate</w:t>
      </w:r>
      <w:r>
        <w:rPr>
          <w:color w:val="C45911" w:themeColor="accent2" w:themeShade="BF"/>
          <w:lang w:eastAsia="en-AU"/>
        </w:rPr>
        <w:t xml:space="preserve"> </w:t>
      </w:r>
      <w:r>
        <w:rPr>
          <w:lang w:eastAsia="en-AU"/>
        </w:rPr>
        <w:t xml:space="preserve">of positivity, 5.6%.  </w:t>
      </w:r>
      <w:r>
        <w:rPr>
          <w:rFonts w:cstheme="minorHAnsi"/>
        </w:rPr>
        <w:t xml:space="preserve">Positivity is the proportion of </w:t>
      </w:r>
      <w:proofErr w:type="spellStart"/>
      <w:r>
        <w:rPr>
          <w:rFonts w:cstheme="minorHAnsi"/>
        </w:rPr>
        <w:t>iFOBT</w:t>
      </w:r>
      <w:proofErr w:type="spellEnd"/>
      <w:r>
        <w:rPr>
          <w:rFonts w:cstheme="minorHAnsi"/>
        </w:rPr>
        <w:t xml:space="preserve"> test results that are positive.</w:t>
      </w:r>
    </w:p>
    <w:p w14:paraId="1D07F4AB" w14:textId="77777777" w:rsidR="00A74860" w:rsidRDefault="00A74860" w:rsidP="00C77532">
      <w:pPr>
        <w:pStyle w:val="ListParagraph"/>
        <w:numPr>
          <w:ilvl w:val="0"/>
          <w:numId w:val="66"/>
        </w:numPr>
        <w:rPr>
          <w:rFonts w:cstheme="minorHAnsi"/>
        </w:rPr>
      </w:pPr>
      <w:r>
        <w:rPr>
          <w:rFonts w:cstheme="minorHAnsi"/>
        </w:rPr>
        <w:t xml:space="preserve">Those who screened through the Alternative Pathway did so more promptly than usual pathway participants. The median number of days in which Alternative Pathway kits were returned was 13 days, compared to 34 days for the usual pathway. </w:t>
      </w:r>
    </w:p>
    <w:p w14:paraId="554205E8" w14:textId="66B863F2" w:rsidR="000E3E61" w:rsidRDefault="000E3E61">
      <w:pPr>
        <w:spacing w:before="0" w:after="0" w:line="240" w:lineRule="auto"/>
        <w:rPr>
          <w:rFonts w:cstheme="minorHAnsi"/>
        </w:rPr>
      </w:pPr>
      <w:r>
        <w:rPr>
          <w:rFonts w:cstheme="minorHAnsi"/>
        </w:rPr>
        <w:br w:type="page"/>
      </w:r>
    </w:p>
    <w:p w14:paraId="4ADF27B6" w14:textId="77777777" w:rsidR="00A74860" w:rsidRDefault="00A74860" w:rsidP="000E3E61">
      <w:pPr>
        <w:pStyle w:val="ListParagraph"/>
        <w:numPr>
          <w:ilvl w:val="0"/>
          <w:numId w:val="0"/>
        </w:numPr>
        <w:ind w:left="720"/>
        <w:rPr>
          <w:rFonts w:cstheme="minorHAnsi"/>
        </w:rPr>
      </w:pPr>
    </w:p>
    <w:p w14:paraId="60E9818D" w14:textId="77777777" w:rsidR="00A74860" w:rsidRPr="000E3E61" w:rsidRDefault="00A74860" w:rsidP="000E3E61">
      <w:pPr>
        <w:rPr>
          <w:b/>
          <w:bCs/>
          <w:color w:val="C45911" w:themeColor="accent2" w:themeShade="BF"/>
        </w:rPr>
      </w:pPr>
      <w:bookmarkStart w:id="234" w:name="_Toc44339231"/>
      <w:bookmarkStart w:id="235" w:name="_Toc44925017"/>
      <w:r w:rsidRPr="000E3E61">
        <w:rPr>
          <w:b/>
          <w:bCs/>
          <w:color w:val="C45911" w:themeColor="accent2" w:themeShade="BF"/>
        </w:rPr>
        <w:t>8.2 Calculating screening participation</w:t>
      </w:r>
      <w:bookmarkEnd w:id="234"/>
      <w:bookmarkEnd w:id="235"/>
    </w:p>
    <w:p w14:paraId="791BEA1E" w14:textId="77777777" w:rsidR="00A74860" w:rsidRDefault="00A74860" w:rsidP="00A74860">
      <w:pPr>
        <w:rPr>
          <w:rFonts w:cstheme="minorHAnsi"/>
        </w:rPr>
      </w:pPr>
      <w:r>
        <w:rPr>
          <w:rFonts w:cstheme="minorHAnsi"/>
        </w:rPr>
        <w:t>Limitations in comparing the participation rates of those who screened through the usual and Alternative pathways include:</w:t>
      </w:r>
    </w:p>
    <w:p w14:paraId="3EF17051" w14:textId="77777777" w:rsidR="00A74860" w:rsidRDefault="00A74860" w:rsidP="00C77532">
      <w:pPr>
        <w:pStyle w:val="ListParagraph"/>
        <w:numPr>
          <w:ilvl w:val="0"/>
          <w:numId w:val="67"/>
        </w:numPr>
        <w:rPr>
          <w:rFonts w:cstheme="minorHAnsi"/>
        </w:rPr>
      </w:pPr>
      <w:r>
        <w:rPr>
          <w:rFonts w:cstheme="minorHAnsi"/>
        </w:rPr>
        <w:t xml:space="preserve">different definitions of who is ‘invited to screen’; </w:t>
      </w:r>
    </w:p>
    <w:p w14:paraId="4F6EB129" w14:textId="77777777" w:rsidR="00A74860" w:rsidRDefault="00A74860" w:rsidP="00C77532">
      <w:pPr>
        <w:pStyle w:val="ListParagraph"/>
        <w:numPr>
          <w:ilvl w:val="0"/>
          <w:numId w:val="67"/>
        </w:numPr>
        <w:rPr>
          <w:rFonts w:cstheme="minorHAnsi"/>
        </w:rPr>
      </w:pPr>
      <w:r>
        <w:rPr>
          <w:rFonts w:cstheme="minorHAnsi"/>
        </w:rPr>
        <w:t xml:space="preserve">how Indigenous invitees are calculated for the usual pathway; </w:t>
      </w:r>
    </w:p>
    <w:p w14:paraId="648F54A6" w14:textId="77777777" w:rsidR="00A74860" w:rsidRDefault="00A74860" w:rsidP="00C77532">
      <w:pPr>
        <w:pStyle w:val="ListParagraph"/>
        <w:numPr>
          <w:ilvl w:val="0"/>
          <w:numId w:val="67"/>
        </w:numPr>
        <w:rPr>
          <w:rFonts w:cstheme="minorHAnsi"/>
        </w:rPr>
      </w:pPr>
      <w:r>
        <w:rPr>
          <w:rFonts w:cstheme="minorHAnsi"/>
        </w:rPr>
        <w:t>limited data available to assess how many were invited to screen through the Alternative Pathway</w:t>
      </w:r>
    </w:p>
    <w:p w14:paraId="69AF4D94" w14:textId="77777777" w:rsidR="00A74860" w:rsidRDefault="00A74860" w:rsidP="00A74860">
      <w:pPr>
        <w:rPr>
          <w:rFonts w:cstheme="minorHAnsi"/>
          <w:b/>
          <w:bCs/>
        </w:rPr>
      </w:pPr>
      <w:r>
        <w:rPr>
          <w:rFonts w:cstheme="minorHAnsi"/>
          <w:b/>
          <w:bCs/>
        </w:rPr>
        <w:t>Definitions of who is ‘invited to screen’</w:t>
      </w:r>
    </w:p>
    <w:p w14:paraId="0540087A" w14:textId="77777777" w:rsidR="00A74860" w:rsidRDefault="00A74860" w:rsidP="00A74860">
      <w:pPr>
        <w:rPr>
          <w:rFonts w:cstheme="minorHAnsi"/>
        </w:rPr>
      </w:pPr>
      <w:r>
        <w:rPr>
          <w:rFonts w:cstheme="minorHAnsi"/>
        </w:rPr>
        <w:t>For the NBCSP, participation is defined as the number of those who screened as a proportion of those invited to screen. But what does it mean to be ‘invited to screen’?</w:t>
      </w:r>
    </w:p>
    <w:p w14:paraId="0491DE68" w14:textId="77777777" w:rsidR="00A74860" w:rsidRDefault="00A74860" w:rsidP="00A74860">
      <w:pPr>
        <w:rPr>
          <w:rFonts w:cstheme="minorHAnsi"/>
        </w:rPr>
      </w:pPr>
      <w:r>
        <w:rPr>
          <w:rFonts w:cstheme="minorHAnsi"/>
        </w:rPr>
        <w:t xml:space="preserve">Under the usual pathway, for the Australian population as a whole, ‘invited to screen’ is defined as those who were sent NBCSP kits, minus those who chose to opt off or suspended their involvement in the NBCSP. </w:t>
      </w:r>
    </w:p>
    <w:p w14:paraId="6B0DE417" w14:textId="2F69484D" w:rsidR="00A74860" w:rsidRDefault="00A74860" w:rsidP="00A74860">
      <w:pPr>
        <w:rPr>
          <w:rFonts w:cstheme="minorHAnsi"/>
        </w:rPr>
      </w:pPr>
      <w:r>
        <w:rPr>
          <w:rFonts w:cstheme="minorHAnsi"/>
        </w:rPr>
        <w:t xml:space="preserve">Kits are sent to the most recent address recorded with Medicare for each invitee. If an invitee’s Medicare address is not up to date, they are unlikely to receive the kit. </w:t>
      </w:r>
      <w:r w:rsidR="00657A57">
        <w:rPr>
          <w:rFonts w:cstheme="minorHAnsi"/>
        </w:rPr>
        <w:t>T</w:t>
      </w:r>
      <w:r>
        <w:rPr>
          <w:rFonts w:cstheme="minorHAnsi"/>
        </w:rPr>
        <w:t>he number of people counted as ‘</w:t>
      </w:r>
      <w:r>
        <w:rPr>
          <w:rFonts w:cstheme="minorHAnsi"/>
          <w:i/>
          <w:iCs/>
        </w:rPr>
        <w:t>invited to screen</w:t>
      </w:r>
      <w:r>
        <w:rPr>
          <w:rFonts w:cstheme="minorHAnsi"/>
        </w:rPr>
        <w:t xml:space="preserve">’ through the usual pathway is likely to be much larger than the number who </w:t>
      </w:r>
      <w:r>
        <w:rPr>
          <w:rFonts w:cstheme="minorHAnsi"/>
          <w:i/>
          <w:iCs/>
        </w:rPr>
        <w:t>receive</w:t>
      </w:r>
      <w:r>
        <w:rPr>
          <w:rFonts w:cstheme="minorHAnsi"/>
        </w:rPr>
        <w:t xml:space="preserve"> the invitation to screen. (Kits not getting to their intended recipient is an issue more likely to affect Indigenous invitees than, for example, middle class white Australians. Indigenous households are likely to be more mobile, less likely to receive mail deliveries to their residence, and less likely to be registered with Medicare. </w:t>
      </w:r>
    </w:p>
    <w:p w14:paraId="0EF43BEC" w14:textId="77777777" w:rsidR="00A74860" w:rsidRDefault="00A74860" w:rsidP="00A74860">
      <w:pPr>
        <w:rPr>
          <w:rFonts w:cstheme="minorHAnsi"/>
        </w:rPr>
      </w:pPr>
      <w:r>
        <w:rPr>
          <w:rFonts w:cstheme="minorHAnsi"/>
        </w:rPr>
        <w:t>Under the Alternative Pathway, those who are invited to screen are a different section of the population to those invited to screen through the usual pathway. Alternative Pathway invitees were, by necessity, patients attached to a primary health care service. This is a subset of the group that is eligible, as shown in Figure 8.1, and may include those who did not receive a kit in the mail as well as those who did.</w:t>
      </w:r>
    </w:p>
    <w:p w14:paraId="4AAB800F" w14:textId="41979E94" w:rsidR="00A74860" w:rsidRDefault="00A74860" w:rsidP="00A74860">
      <w:pPr>
        <w:rPr>
          <w:rFonts w:cstheme="minorHAnsi"/>
        </w:rPr>
      </w:pPr>
      <w:r>
        <w:rPr>
          <w:rFonts w:cstheme="minorHAnsi"/>
          <w:noProof/>
          <w:lang w:eastAsia="en-AU"/>
        </w:rPr>
        <w:lastRenderedPageBreak/>
        <w:drawing>
          <wp:inline distT="0" distB="0" distL="0" distR="0" wp14:anchorId="05FF534E" wp14:editId="49AD0FD5">
            <wp:extent cx="5730875" cy="3979545"/>
            <wp:effectExtent l="0" t="0" r="0" b="0"/>
            <wp:docPr id="15" name="Picture 15" descr="Diagram showing how the alternative pathway invites a small sub-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howing how the alternative pathway invites a small sub-section "/>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730875" cy="3979545"/>
                    </a:xfrm>
                    <a:prstGeom prst="rect">
                      <a:avLst/>
                    </a:prstGeom>
                    <a:noFill/>
                    <a:ln>
                      <a:noFill/>
                    </a:ln>
                  </pic:spPr>
                </pic:pic>
              </a:graphicData>
            </a:graphic>
          </wp:inline>
        </w:drawing>
      </w:r>
    </w:p>
    <w:p w14:paraId="305CA98D" w14:textId="303F1A19" w:rsidR="00A74860" w:rsidRDefault="00A74860" w:rsidP="00A74860">
      <w:pPr>
        <w:pStyle w:val="Caption"/>
        <w:rPr>
          <w:rFonts w:cstheme="minorHAnsi"/>
        </w:rPr>
      </w:pPr>
      <w:r>
        <w:t>Figure 8.</w:t>
      </w:r>
      <w:r w:rsidR="00B7221C">
        <w:fldChar w:fldCharType="begin"/>
      </w:r>
      <w:r w:rsidR="00B7221C">
        <w:instrText xml:space="preserve"> SEQ Figure_6. \* ARABIC </w:instrText>
      </w:r>
      <w:r w:rsidR="00B7221C">
        <w:fldChar w:fldCharType="separate"/>
      </w:r>
      <w:r w:rsidR="00C47D05">
        <w:rPr>
          <w:noProof/>
        </w:rPr>
        <w:t>1</w:t>
      </w:r>
      <w:r w:rsidR="00B7221C">
        <w:rPr>
          <w:noProof/>
        </w:rPr>
        <w:fldChar w:fldCharType="end"/>
      </w:r>
      <w:r>
        <w:t xml:space="preserve">: Different parameters of 'invitees' for the usual and Alternative pathways for the NBCSP. </w:t>
      </w:r>
    </w:p>
    <w:p w14:paraId="6DE1417D" w14:textId="77777777" w:rsidR="00A74860" w:rsidRDefault="00A74860" w:rsidP="00A74860">
      <w:pPr>
        <w:pStyle w:val="Tablenotes"/>
      </w:pPr>
      <w:r>
        <w:t>Source: Menzies School of Health Research</w:t>
      </w:r>
    </w:p>
    <w:p w14:paraId="759A4C3F" w14:textId="77777777" w:rsidR="00A74860" w:rsidRDefault="00A74860" w:rsidP="00A74860">
      <w:pPr>
        <w:rPr>
          <w:rFonts w:cstheme="minorHAnsi"/>
          <w:b/>
          <w:bCs/>
        </w:rPr>
      </w:pPr>
      <w:r>
        <w:rPr>
          <w:rFonts w:cstheme="minorHAnsi"/>
          <w:b/>
          <w:bCs/>
        </w:rPr>
        <w:t>Calculating the number of Indigenous people invited to screen through the usual pathway</w:t>
      </w:r>
    </w:p>
    <w:p w14:paraId="3B6C0632" w14:textId="77777777" w:rsidR="00A74860" w:rsidRDefault="00A74860" w:rsidP="00A74860">
      <w:pPr>
        <w:rPr>
          <w:rFonts w:cstheme="minorHAnsi"/>
        </w:rPr>
      </w:pPr>
      <w:r>
        <w:rPr>
          <w:rFonts w:cstheme="minorHAnsi"/>
        </w:rPr>
        <w:t>The method used to calculate the number of Indigenous people invited to screen through the usual pathway is complicated and imprecise. Prior to the transition of the NBCSP Register (the NBCSR) into the National Cancer Screening Register (NCSR)</w:t>
      </w:r>
      <w:r>
        <w:rPr>
          <w:rStyle w:val="FootnoteReference"/>
          <w:rFonts w:cstheme="minorHAnsi"/>
        </w:rPr>
        <w:t xml:space="preserve"> </w:t>
      </w:r>
      <w:r>
        <w:rPr>
          <w:rStyle w:val="FootnoteReference"/>
          <w:rFonts w:cstheme="minorHAnsi"/>
        </w:rPr>
        <w:footnoteReference w:id="37"/>
      </w:r>
      <w:r>
        <w:rPr>
          <w:rFonts w:cstheme="minorHAnsi"/>
        </w:rPr>
        <w:t xml:space="preserve">, Indigenous status was only recorded in the Register if self-reported on the Participant Details Form – when samples were returned. </w:t>
      </w:r>
    </w:p>
    <w:p w14:paraId="3A368900" w14:textId="77777777" w:rsidR="00A74860" w:rsidRDefault="00A74860" w:rsidP="00A74860">
      <w:pPr>
        <w:keepNext/>
        <w:rPr>
          <w:rFonts w:cstheme="minorHAnsi"/>
        </w:rPr>
      </w:pPr>
      <w:r>
        <w:rPr>
          <w:rFonts w:cstheme="minorHAnsi"/>
        </w:rPr>
        <w:t xml:space="preserve">NBCSR data reflects a lower percentage of Indigenous invitees, and a higher percentage of invitees whose Indigenous status is ‘not stated’, than in the four-yearly Australian Census. The AIHW has therefore </w:t>
      </w:r>
      <w:r>
        <w:rPr>
          <w:rFonts w:cstheme="minorHAnsi"/>
        </w:rPr>
        <w:lastRenderedPageBreak/>
        <w:t>estimated used the population proportions reported through the Census to estimate that a similar proportion of invitees through the NBCSP will be Indigenous.</w:t>
      </w:r>
      <w:r>
        <w:rPr>
          <w:rStyle w:val="FootnoteReference"/>
          <w:rFonts w:cstheme="minorHAnsi"/>
        </w:rPr>
        <w:footnoteReference w:id="38"/>
      </w:r>
    </w:p>
    <w:p w14:paraId="5932A0DC" w14:textId="77777777" w:rsidR="00A74860" w:rsidRDefault="00A74860" w:rsidP="00A74860">
      <w:pPr>
        <w:rPr>
          <w:rFonts w:cstheme="minorHAnsi"/>
        </w:rPr>
      </w:pPr>
      <w:r>
        <w:rPr>
          <w:rFonts w:cstheme="minorHAnsi"/>
        </w:rPr>
        <w:t>As a result, the screening participation rate for Indigenous Australians fluctuates with each Census as the number and proportion of Indigenous Australians within the Australian population varies – without necessarily reflecting a change in screening rate.</w:t>
      </w:r>
    </w:p>
    <w:p w14:paraId="06520C4A" w14:textId="77777777" w:rsidR="00A74860" w:rsidRDefault="00A74860" w:rsidP="00A74860">
      <w:pPr>
        <w:rPr>
          <w:rFonts w:cstheme="minorHAnsi"/>
          <w:b/>
          <w:bCs/>
        </w:rPr>
      </w:pPr>
      <w:r>
        <w:rPr>
          <w:rFonts w:cstheme="minorHAnsi"/>
          <w:b/>
          <w:bCs/>
        </w:rPr>
        <w:t>Data available for those invited to screen through the Alternative Pathway</w:t>
      </w:r>
    </w:p>
    <w:p w14:paraId="14AE29BC" w14:textId="77777777" w:rsidR="00A74860" w:rsidRDefault="00A74860" w:rsidP="00A74860">
      <w:pPr>
        <w:rPr>
          <w:rFonts w:cstheme="minorHAnsi"/>
        </w:rPr>
      </w:pPr>
      <w:r>
        <w:rPr>
          <w:rFonts w:cstheme="minorHAnsi"/>
        </w:rPr>
        <w:t>In the Pilot, health centres were asked to report every patient assessed for bowel screening regardless of whether the patient accepted a kit or not. This group is identified in Figure 8.1 as ‘Health centre patients assessed for screening’. Patients with a close family history of bowel cancer or existing symptoms of bowel disease could be considered unsuitable for screening and might be recommended a different program of monitoring. If suitable for screening, they would be offered a kit. In either case, health centre staff were asked to submit a brief online form to the DHS to record that a patient had been invited to screen.</w:t>
      </w:r>
    </w:p>
    <w:p w14:paraId="7883C345" w14:textId="226FED25" w:rsidR="00A74860" w:rsidRDefault="00A74860" w:rsidP="00A74860">
      <w:pPr>
        <w:rPr>
          <w:rFonts w:cstheme="minorHAnsi"/>
        </w:rPr>
      </w:pPr>
      <w:r>
        <w:rPr>
          <w:rFonts w:cstheme="minorHAnsi"/>
        </w:rPr>
        <w:t xml:space="preserve">Unfortunately, of the 44 health centres approved to give out kits, only 15 sites reported patients who were assessed </w:t>
      </w:r>
      <w:r>
        <w:rPr>
          <w:rFonts w:cstheme="minorHAnsi"/>
          <w:i/>
          <w:iCs/>
        </w:rPr>
        <w:t>but not given a kit</w:t>
      </w:r>
      <w:r>
        <w:rPr>
          <w:rFonts w:cstheme="minorHAnsi"/>
        </w:rPr>
        <w:t xml:space="preserve">. Post Pilot interviews with health centre staff and managers from other sites confirmed that most reported only those patients </w:t>
      </w:r>
      <w:r>
        <w:rPr>
          <w:rFonts w:cstheme="minorHAnsi"/>
          <w:i/>
          <w:iCs/>
        </w:rPr>
        <w:t>who accepted a kit</w:t>
      </w:r>
      <w:r>
        <w:rPr>
          <w:rFonts w:cstheme="minorHAnsi"/>
        </w:rPr>
        <w:t xml:space="preserve">. (See </w:t>
      </w:r>
      <w:r w:rsidR="00D43537">
        <w:rPr>
          <w:rFonts w:cstheme="minorHAnsi"/>
        </w:rPr>
        <w:t xml:space="preserve">Section 7 </w:t>
      </w:r>
      <w:r>
        <w:rPr>
          <w:rFonts w:cstheme="minorHAnsi"/>
        </w:rPr>
        <w:t xml:space="preserve">re non-compliance with NBCSP requirements.) </w:t>
      </w:r>
    </w:p>
    <w:p w14:paraId="71E7342F" w14:textId="77777777" w:rsidR="00A74860" w:rsidRDefault="00A74860" w:rsidP="00A74860">
      <w:pPr>
        <w:rPr>
          <w:rFonts w:cstheme="minorHAnsi"/>
        </w:rPr>
      </w:pPr>
      <w:r>
        <w:rPr>
          <w:rFonts w:cstheme="minorHAnsi"/>
        </w:rPr>
        <w:t xml:space="preserve">Consequently, and following discussion with the AIHW, the number of kits given out (reported through the online form) was considered as the denominator for calculating participation in the Pilot. </w:t>
      </w:r>
    </w:p>
    <w:p w14:paraId="4DC9F4AC" w14:textId="77777777" w:rsidR="00A74860" w:rsidRDefault="00A74860" w:rsidP="00A74860">
      <w:pPr>
        <w:rPr>
          <w:rFonts w:cstheme="minorHAnsi"/>
          <w:b/>
          <w:bCs/>
        </w:rPr>
      </w:pPr>
      <w:r>
        <w:rPr>
          <w:rFonts w:cstheme="minorHAnsi"/>
          <w:b/>
          <w:bCs/>
        </w:rPr>
        <w:t>Comparing participation for usual and Alternative pathways: Kits given out as denominator</w:t>
      </w:r>
    </w:p>
    <w:p w14:paraId="57BC3F3A" w14:textId="77777777" w:rsidR="00A74860" w:rsidRDefault="00A74860" w:rsidP="00A74860">
      <w:pPr>
        <w:rPr>
          <w:rFonts w:cstheme="minorHAnsi"/>
        </w:rPr>
      </w:pPr>
      <w:r>
        <w:rPr>
          <w:rFonts w:cstheme="minorHAnsi"/>
        </w:rPr>
        <w:t xml:space="preserve">When screening participation was calculated using </w:t>
      </w:r>
      <w:r>
        <w:rPr>
          <w:rFonts w:cstheme="minorHAnsi"/>
          <w:i/>
          <w:iCs/>
        </w:rPr>
        <w:t>kits given out</w:t>
      </w:r>
      <w:r>
        <w:rPr>
          <w:rFonts w:cstheme="minorHAnsi"/>
        </w:rPr>
        <w:t xml:space="preserve"> as the denominator, 45.1% of those given a kit through the Alternative Pathway returned the test. This compared to 23.3% of Indigenous Australians estimated to have been sent a kit through the usual pathway (the mail out model). </w:t>
      </w:r>
    </w:p>
    <w:p w14:paraId="095D73D8" w14:textId="77777777" w:rsidR="00703443" w:rsidRDefault="00703443">
      <w:pPr>
        <w:spacing w:before="0" w:after="0" w:line="240" w:lineRule="auto"/>
        <w:rPr>
          <w:rFonts w:cstheme="minorHAnsi"/>
          <w:b/>
          <w:bCs/>
          <w:sz w:val="20"/>
          <w:szCs w:val="21"/>
        </w:rPr>
      </w:pPr>
      <w:r>
        <w:rPr>
          <w:rFonts w:cstheme="minorHAnsi"/>
          <w:b/>
          <w:bCs/>
          <w:sz w:val="20"/>
          <w:szCs w:val="21"/>
        </w:rPr>
        <w:br w:type="page"/>
      </w:r>
    </w:p>
    <w:p w14:paraId="6BD27E9E" w14:textId="302EAADC" w:rsidR="00A74860" w:rsidRPr="00895A6F" w:rsidRDefault="00A74860" w:rsidP="00A74860">
      <w:pPr>
        <w:rPr>
          <w:rFonts w:cstheme="minorHAnsi"/>
          <w:b/>
          <w:bCs/>
          <w:sz w:val="20"/>
          <w:szCs w:val="21"/>
        </w:rPr>
      </w:pPr>
      <w:r w:rsidRPr="00895A6F">
        <w:rPr>
          <w:rFonts w:cstheme="minorHAnsi"/>
          <w:b/>
          <w:bCs/>
          <w:sz w:val="20"/>
          <w:szCs w:val="21"/>
        </w:rPr>
        <w:lastRenderedPageBreak/>
        <w:t xml:space="preserve">Table 8.1. Participation of Indigenous Australians in the NBCSP, usual pathway compared to Alternative Pathway, 1 Nov 2019 to 31 Oct 2019. </w:t>
      </w:r>
    </w:p>
    <w:tbl>
      <w:tblPr>
        <w:tblStyle w:val="TableGrid"/>
        <w:tblW w:w="8784"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96"/>
        <w:gridCol w:w="2196"/>
        <w:gridCol w:w="2196"/>
        <w:gridCol w:w="2196"/>
      </w:tblGrid>
      <w:tr w:rsidR="00A74860" w14:paraId="29A16A0D" w14:textId="77777777" w:rsidTr="00CA0599">
        <w:trPr>
          <w:tblHeader/>
        </w:trPr>
        <w:tc>
          <w:tcPr>
            <w:tcW w:w="2196" w:type="dxa"/>
            <w:tcBorders>
              <w:top w:val="nil"/>
              <w:left w:val="nil"/>
              <w:bottom w:val="single" w:sz="4" w:space="0" w:color="auto"/>
              <w:right w:val="single" w:sz="4" w:space="0" w:color="auto"/>
            </w:tcBorders>
            <w:hideMark/>
          </w:tcPr>
          <w:p w14:paraId="0550587B" w14:textId="77777777" w:rsidR="00A74860" w:rsidRDefault="00A74860">
            <w:pPr>
              <w:spacing w:after="120" w:line="240" w:lineRule="auto"/>
              <w:rPr>
                <w:rFonts w:cstheme="minorHAnsi"/>
                <w:b/>
                <w:bCs/>
                <w:sz w:val="18"/>
                <w:szCs w:val="20"/>
                <w:lang w:eastAsia="en-US"/>
              </w:rPr>
            </w:pPr>
            <w:r>
              <w:rPr>
                <w:rFonts w:cstheme="minorHAnsi"/>
                <w:b/>
                <w:bCs/>
                <w:sz w:val="18"/>
                <w:szCs w:val="20"/>
                <w:lang w:eastAsia="en-US"/>
              </w:rPr>
              <w:t xml:space="preserve">Group </w:t>
            </w:r>
          </w:p>
        </w:tc>
        <w:tc>
          <w:tcPr>
            <w:tcW w:w="2196" w:type="dxa"/>
            <w:tcBorders>
              <w:top w:val="nil"/>
              <w:left w:val="single" w:sz="4" w:space="0" w:color="auto"/>
              <w:bottom w:val="single" w:sz="4" w:space="0" w:color="auto"/>
              <w:right w:val="single" w:sz="4" w:space="0" w:color="auto"/>
            </w:tcBorders>
            <w:hideMark/>
          </w:tcPr>
          <w:p w14:paraId="765F1B81" w14:textId="77777777" w:rsidR="00A74860" w:rsidRDefault="00A74860">
            <w:pPr>
              <w:spacing w:after="120" w:line="240" w:lineRule="auto"/>
              <w:jc w:val="right"/>
              <w:rPr>
                <w:rFonts w:cstheme="minorHAnsi"/>
                <w:b/>
                <w:bCs/>
                <w:sz w:val="18"/>
                <w:szCs w:val="20"/>
                <w:lang w:eastAsia="en-US"/>
              </w:rPr>
            </w:pPr>
            <w:r>
              <w:rPr>
                <w:rFonts w:cstheme="minorHAnsi"/>
                <w:b/>
                <w:bCs/>
                <w:sz w:val="18"/>
                <w:szCs w:val="20"/>
                <w:lang w:eastAsia="en-US"/>
              </w:rPr>
              <w:t>Kits given out (N)</w:t>
            </w:r>
          </w:p>
        </w:tc>
        <w:tc>
          <w:tcPr>
            <w:tcW w:w="2196" w:type="dxa"/>
            <w:tcBorders>
              <w:top w:val="nil"/>
              <w:left w:val="single" w:sz="4" w:space="0" w:color="auto"/>
              <w:bottom w:val="single" w:sz="4" w:space="0" w:color="auto"/>
              <w:right w:val="single" w:sz="4" w:space="0" w:color="auto"/>
            </w:tcBorders>
            <w:hideMark/>
          </w:tcPr>
          <w:p w14:paraId="39AF263D" w14:textId="77777777" w:rsidR="00A74860" w:rsidRDefault="00A74860">
            <w:pPr>
              <w:spacing w:after="120" w:line="240" w:lineRule="auto"/>
              <w:jc w:val="right"/>
              <w:rPr>
                <w:rFonts w:cstheme="minorHAnsi"/>
                <w:b/>
                <w:bCs/>
                <w:sz w:val="18"/>
                <w:szCs w:val="20"/>
                <w:lang w:eastAsia="en-US"/>
              </w:rPr>
            </w:pPr>
            <w:r>
              <w:rPr>
                <w:rFonts w:cstheme="minorHAnsi"/>
                <w:b/>
                <w:bCs/>
                <w:sz w:val="18"/>
                <w:szCs w:val="20"/>
                <w:lang w:eastAsia="en-US"/>
              </w:rPr>
              <w:t>Kits returned (N)</w:t>
            </w:r>
          </w:p>
        </w:tc>
        <w:tc>
          <w:tcPr>
            <w:tcW w:w="2196" w:type="dxa"/>
            <w:tcBorders>
              <w:top w:val="nil"/>
              <w:left w:val="single" w:sz="4" w:space="0" w:color="auto"/>
              <w:bottom w:val="single" w:sz="4" w:space="0" w:color="auto"/>
              <w:right w:val="nil"/>
            </w:tcBorders>
            <w:hideMark/>
          </w:tcPr>
          <w:p w14:paraId="0F5ACE1A" w14:textId="77777777" w:rsidR="00A74860" w:rsidRDefault="00A74860">
            <w:pPr>
              <w:spacing w:after="120" w:line="240" w:lineRule="auto"/>
              <w:jc w:val="right"/>
              <w:rPr>
                <w:rFonts w:cstheme="minorHAnsi"/>
                <w:b/>
                <w:bCs/>
                <w:sz w:val="18"/>
                <w:szCs w:val="20"/>
                <w:lang w:eastAsia="en-US"/>
              </w:rPr>
            </w:pPr>
            <w:r>
              <w:rPr>
                <w:rFonts w:cstheme="minorHAnsi"/>
                <w:b/>
                <w:bCs/>
                <w:sz w:val="18"/>
                <w:szCs w:val="20"/>
                <w:lang w:eastAsia="en-US"/>
              </w:rPr>
              <w:t>Participation rate (%)</w:t>
            </w:r>
          </w:p>
        </w:tc>
      </w:tr>
      <w:tr w:rsidR="00A74860" w14:paraId="63B5F8B8" w14:textId="77777777" w:rsidTr="000E3E61">
        <w:tc>
          <w:tcPr>
            <w:tcW w:w="2196" w:type="dxa"/>
            <w:tcBorders>
              <w:top w:val="single" w:sz="4" w:space="0" w:color="auto"/>
              <w:left w:val="nil"/>
              <w:bottom w:val="single" w:sz="4" w:space="0" w:color="auto"/>
              <w:right w:val="nil"/>
            </w:tcBorders>
            <w:hideMark/>
          </w:tcPr>
          <w:p w14:paraId="306E4DD0" w14:textId="77777777" w:rsidR="00A74860" w:rsidRDefault="00A74860">
            <w:pPr>
              <w:spacing w:after="120" w:line="240" w:lineRule="auto"/>
              <w:rPr>
                <w:rFonts w:cstheme="minorHAnsi"/>
                <w:sz w:val="18"/>
                <w:szCs w:val="20"/>
                <w:vertAlign w:val="superscript"/>
                <w:lang w:eastAsia="en-US"/>
              </w:rPr>
            </w:pPr>
            <w:r>
              <w:rPr>
                <w:rFonts w:cstheme="minorHAnsi"/>
                <w:sz w:val="18"/>
                <w:szCs w:val="20"/>
                <w:lang w:eastAsia="en-US"/>
              </w:rPr>
              <w:t xml:space="preserve">Usual </w:t>
            </w:r>
            <w:proofErr w:type="spellStart"/>
            <w:r>
              <w:rPr>
                <w:rFonts w:cstheme="minorHAnsi"/>
                <w:sz w:val="18"/>
                <w:szCs w:val="20"/>
                <w:lang w:eastAsia="en-US"/>
              </w:rPr>
              <w:t>pathway</w:t>
            </w:r>
            <w:r>
              <w:rPr>
                <w:rFonts w:cstheme="minorHAnsi"/>
                <w:sz w:val="18"/>
                <w:szCs w:val="20"/>
                <w:vertAlign w:val="superscript"/>
                <w:lang w:eastAsia="en-US"/>
              </w:rPr>
              <w:t>a</w:t>
            </w:r>
            <w:proofErr w:type="spellEnd"/>
          </w:p>
        </w:tc>
        <w:tc>
          <w:tcPr>
            <w:tcW w:w="2196" w:type="dxa"/>
            <w:tcBorders>
              <w:top w:val="single" w:sz="4" w:space="0" w:color="auto"/>
              <w:left w:val="nil"/>
              <w:bottom w:val="single" w:sz="4" w:space="0" w:color="auto"/>
              <w:right w:val="nil"/>
            </w:tcBorders>
            <w:vAlign w:val="bottom"/>
          </w:tcPr>
          <w:p w14:paraId="12ABFD48" w14:textId="77777777" w:rsidR="00A74860" w:rsidRDefault="00A74860">
            <w:pPr>
              <w:spacing w:after="120" w:line="240" w:lineRule="auto"/>
              <w:jc w:val="right"/>
              <w:rPr>
                <w:rFonts w:cstheme="minorHAnsi"/>
                <w:sz w:val="18"/>
                <w:szCs w:val="20"/>
                <w:lang w:eastAsia="en-US"/>
              </w:rPr>
            </w:pPr>
          </w:p>
        </w:tc>
        <w:tc>
          <w:tcPr>
            <w:tcW w:w="2196" w:type="dxa"/>
            <w:tcBorders>
              <w:top w:val="single" w:sz="4" w:space="0" w:color="auto"/>
              <w:left w:val="nil"/>
              <w:bottom w:val="single" w:sz="4" w:space="0" w:color="auto"/>
              <w:right w:val="nil"/>
            </w:tcBorders>
            <w:vAlign w:val="bottom"/>
          </w:tcPr>
          <w:p w14:paraId="6B206907" w14:textId="77777777" w:rsidR="00A74860" w:rsidRDefault="00A74860">
            <w:pPr>
              <w:spacing w:after="120" w:line="240" w:lineRule="auto"/>
              <w:jc w:val="right"/>
              <w:rPr>
                <w:rFonts w:cstheme="minorHAnsi"/>
                <w:sz w:val="18"/>
                <w:szCs w:val="20"/>
                <w:lang w:eastAsia="en-US"/>
              </w:rPr>
            </w:pPr>
          </w:p>
        </w:tc>
        <w:tc>
          <w:tcPr>
            <w:tcW w:w="2196" w:type="dxa"/>
            <w:tcBorders>
              <w:top w:val="single" w:sz="4" w:space="0" w:color="auto"/>
              <w:left w:val="nil"/>
              <w:bottom w:val="single" w:sz="4" w:space="0" w:color="auto"/>
              <w:right w:val="nil"/>
            </w:tcBorders>
            <w:vAlign w:val="bottom"/>
          </w:tcPr>
          <w:p w14:paraId="556A2262" w14:textId="77777777" w:rsidR="00A74860" w:rsidRDefault="00A74860">
            <w:pPr>
              <w:spacing w:after="120" w:line="240" w:lineRule="auto"/>
              <w:jc w:val="right"/>
              <w:rPr>
                <w:rFonts w:cstheme="minorHAnsi"/>
                <w:sz w:val="18"/>
                <w:szCs w:val="20"/>
                <w:lang w:eastAsia="en-US"/>
              </w:rPr>
            </w:pPr>
          </w:p>
        </w:tc>
      </w:tr>
      <w:tr w:rsidR="00A74860" w14:paraId="5906BA0C" w14:textId="77777777" w:rsidTr="000E3E61">
        <w:tc>
          <w:tcPr>
            <w:tcW w:w="2196" w:type="dxa"/>
            <w:tcBorders>
              <w:top w:val="single" w:sz="4" w:space="0" w:color="auto"/>
              <w:left w:val="nil"/>
              <w:bottom w:val="nil"/>
              <w:right w:val="single" w:sz="4" w:space="0" w:color="auto"/>
            </w:tcBorders>
            <w:vAlign w:val="bottom"/>
            <w:hideMark/>
          </w:tcPr>
          <w:p w14:paraId="571392FE" w14:textId="77777777" w:rsidR="00A74860" w:rsidRDefault="00A74860">
            <w:pPr>
              <w:spacing w:after="120" w:line="240" w:lineRule="auto"/>
              <w:ind w:left="177"/>
              <w:rPr>
                <w:rFonts w:cstheme="minorHAnsi"/>
                <w:sz w:val="18"/>
                <w:szCs w:val="20"/>
                <w:lang w:eastAsia="en-US"/>
              </w:rPr>
            </w:pPr>
            <w:r>
              <w:rPr>
                <w:rFonts w:cstheme="minorHAnsi"/>
                <w:sz w:val="18"/>
                <w:szCs w:val="20"/>
                <w:lang w:eastAsia="en-US"/>
              </w:rPr>
              <w:t>Male</w:t>
            </w:r>
          </w:p>
        </w:tc>
        <w:tc>
          <w:tcPr>
            <w:tcW w:w="2196" w:type="dxa"/>
            <w:tcBorders>
              <w:top w:val="single" w:sz="4" w:space="0" w:color="auto"/>
              <w:left w:val="single" w:sz="4" w:space="0" w:color="auto"/>
              <w:bottom w:val="nil"/>
              <w:right w:val="nil"/>
            </w:tcBorders>
            <w:vAlign w:val="bottom"/>
            <w:hideMark/>
          </w:tcPr>
          <w:p w14:paraId="24FB068C"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22317</w:t>
            </w:r>
          </w:p>
        </w:tc>
        <w:tc>
          <w:tcPr>
            <w:tcW w:w="2196" w:type="dxa"/>
            <w:tcBorders>
              <w:top w:val="single" w:sz="4" w:space="0" w:color="auto"/>
              <w:left w:val="nil"/>
              <w:bottom w:val="nil"/>
              <w:right w:val="nil"/>
            </w:tcBorders>
            <w:vAlign w:val="bottom"/>
            <w:hideMark/>
          </w:tcPr>
          <w:p w14:paraId="4D36EE64"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5262</w:t>
            </w:r>
          </w:p>
        </w:tc>
        <w:tc>
          <w:tcPr>
            <w:tcW w:w="2196" w:type="dxa"/>
            <w:tcBorders>
              <w:top w:val="single" w:sz="4" w:space="0" w:color="auto"/>
              <w:left w:val="nil"/>
              <w:bottom w:val="nil"/>
              <w:right w:val="nil"/>
            </w:tcBorders>
            <w:vAlign w:val="bottom"/>
            <w:hideMark/>
          </w:tcPr>
          <w:p w14:paraId="4F6461BF"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23.6</w:t>
            </w:r>
          </w:p>
        </w:tc>
      </w:tr>
      <w:tr w:rsidR="00A74860" w14:paraId="383094EE" w14:textId="77777777" w:rsidTr="000E3E61">
        <w:tc>
          <w:tcPr>
            <w:tcW w:w="2196" w:type="dxa"/>
            <w:tcBorders>
              <w:top w:val="nil"/>
              <w:left w:val="nil"/>
              <w:bottom w:val="single" w:sz="4" w:space="0" w:color="auto"/>
              <w:right w:val="single" w:sz="4" w:space="0" w:color="auto"/>
            </w:tcBorders>
            <w:vAlign w:val="bottom"/>
            <w:hideMark/>
          </w:tcPr>
          <w:p w14:paraId="721C3A25" w14:textId="77777777" w:rsidR="00A74860" w:rsidRDefault="00A74860">
            <w:pPr>
              <w:spacing w:after="120" w:line="240" w:lineRule="auto"/>
              <w:ind w:left="177"/>
              <w:rPr>
                <w:rFonts w:cstheme="minorHAnsi"/>
                <w:sz w:val="18"/>
                <w:szCs w:val="20"/>
                <w:lang w:eastAsia="en-US"/>
              </w:rPr>
            </w:pPr>
            <w:r>
              <w:rPr>
                <w:rFonts w:cstheme="minorHAnsi"/>
                <w:sz w:val="18"/>
                <w:szCs w:val="20"/>
                <w:lang w:eastAsia="en-US"/>
              </w:rPr>
              <w:t xml:space="preserve">Female </w:t>
            </w:r>
          </w:p>
        </w:tc>
        <w:tc>
          <w:tcPr>
            <w:tcW w:w="2196" w:type="dxa"/>
            <w:tcBorders>
              <w:top w:val="nil"/>
              <w:left w:val="single" w:sz="4" w:space="0" w:color="auto"/>
              <w:bottom w:val="single" w:sz="4" w:space="0" w:color="auto"/>
              <w:right w:val="nil"/>
            </w:tcBorders>
            <w:vAlign w:val="bottom"/>
            <w:hideMark/>
          </w:tcPr>
          <w:p w14:paraId="3FEF8AD6"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24448</w:t>
            </w:r>
          </w:p>
        </w:tc>
        <w:tc>
          <w:tcPr>
            <w:tcW w:w="2196" w:type="dxa"/>
            <w:tcBorders>
              <w:top w:val="nil"/>
              <w:left w:val="nil"/>
              <w:bottom w:val="single" w:sz="4" w:space="0" w:color="auto"/>
              <w:right w:val="nil"/>
            </w:tcBorders>
            <w:vAlign w:val="bottom"/>
            <w:hideMark/>
          </w:tcPr>
          <w:p w14:paraId="63AE1512"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5656</w:t>
            </w:r>
          </w:p>
        </w:tc>
        <w:tc>
          <w:tcPr>
            <w:tcW w:w="2196" w:type="dxa"/>
            <w:tcBorders>
              <w:top w:val="nil"/>
              <w:left w:val="nil"/>
              <w:bottom w:val="single" w:sz="4" w:space="0" w:color="auto"/>
              <w:right w:val="nil"/>
            </w:tcBorders>
            <w:vAlign w:val="bottom"/>
            <w:hideMark/>
          </w:tcPr>
          <w:p w14:paraId="286B51DF"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23.1</w:t>
            </w:r>
          </w:p>
        </w:tc>
      </w:tr>
      <w:tr w:rsidR="00A74860" w14:paraId="3707D1F1" w14:textId="77777777" w:rsidTr="000E3E61">
        <w:tc>
          <w:tcPr>
            <w:tcW w:w="2196" w:type="dxa"/>
            <w:tcBorders>
              <w:top w:val="single" w:sz="4" w:space="0" w:color="auto"/>
              <w:left w:val="nil"/>
              <w:bottom w:val="single" w:sz="4" w:space="0" w:color="auto"/>
              <w:right w:val="single" w:sz="4" w:space="0" w:color="auto"/>
            </w:tcBorders>
            <w:vAlign w:val="bottom"/>
            <w:hideMark/>
          </w:tcPr>
          <w:p w14:paraId="3ACE3BCA" w14:textId="77777777" w:rsidR="00A74860" w:rsidRDefault="00A74860">
            <w:pPr>
              <w:spacing w:after="120" w:line="240" w:lineRule="auto"/>
              <w:ind w:left="177"/>
              <w:rPr>
                <w:rFonts w:cstheme="minorHAnsi"/>
                <w:sz w:val="18"/>
                <w:szCs w:val="20"/>
                <w:lang w:eastAsia="en-US"/>
              </w:rPr>
            </w:pPr>
            <w:r>
              <w:rPr>
                <w:rFonts w:cstheme="minorHAnsi"/>
                <w:sz w:val="18"/>
                <w:szCs w:val="20"/>
                <w:lang w:eastAsia="en-US"/>
              </w:rPr>
              <w:t xml:space="preserve">Total persons </w:t>
            </w:r>
          </w:p>
        </w:tc>
        <w:tc>
          <w:tcPr>
            <w:tcW w:w="2196" w:type="dxa"/>
            <w:tcBorders>
              <w:top w:val="single" w:sz="4" w:space="0" w:color="auto"/>
              <w:left w:val="single" w:sz="4" w:space="0" w:color="auto"/>
              <w:bottom w:val="single" w:sz="4" w:space="0" w:color="auto"/>
              <w:right w:val="nil"/>
            </w:tcBorders>
            <w:vAlign w:val="bottom"/>
            <w:hideMark/>
          </w:tcPr>
          <w:p w14:paraId="14D8793F"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46765</w:t>
            </w:r>
          </w:p>
        </w:tc>
        <w:tc>
          <w:tcPr>
            <w:tcW w:w="2196" w:type="dxa"/>
            <w:tcBorders>
              <w:top w:val="single" w:sz="4" w:space="0" w:color="auto"/>
              <w:left w:val="nil"/>
              <w:bottom w:val="single" w:sz="4" w:space="0" w:color="auto"/>
              <w:right w:val="nil"/>
            </w:tcBorders>
            <w:vAlign w:val="bottom"/>
            <w:hideMark/>
          </w:tcPr>
          <w:p w14:paraId="4FB01697"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10918</w:t>
            </w:r>
          </w:p>
        </w:tc>
        <w:tc>
          <w:tcPr>
            <w:tcW w:w="2196" w:type="dxa"/>
            <w:tcBorders>
              <w:top w:val="single" w:sz="4" w:space="0" w:color="auto"/>
              <w:left w:val="nil"/>
              <w:bottom w:val="single" w:sz="4" w:space="0" w:color="auto"/>
              <w:right w:val="nil"/>
            </w:tcBorders>
            <w:vAlign w:val="bottom"/>
            <w:hideMark/>
          </w:tcPr>
          <w:p w14:paraId="315F7B3E" w14:textId="77777777" w:rsidR="00A74860" w:rsidRDefault="00A74860">
            <w:pPr>
              <w:spacing w:after="120" w:line="240" w:lineRule="auto"/>
              <w:jc w:val="right"/>
              <w:rPr>
                <w:rFonts w:cstheme="minorHAnsi"/>
                <w:sz w:val="18"/>
                <w:szCs w:val="20"/>
                <w:lang w:eastAsia="en-US"/>
              </w:rPr>
            </w:pPr>
            <w:r>
              <w:rPr>
                <w:rFonts w:cstheme="minorHAnsi"/>
                <w:sz w:val="18"/>
                <w:szCs w:val="20"/>
                <w:lang w:eastAsia="en-US"/>
              </w:rPr>
              <w:t>23.3</w:t>
            </w:r>
          </w:p>
        </w:tc>
      </w:tr>
      <w:tr w:rsidR="00A74860" w14:paraId="7571F6E1" w14:textId="77777777" w:rsidTr="000E3E61">
        <w:tc>
          <w:tcPr>
            <w:tcW w:w="2196" w:type="dxa"/>
            <w:tcBorders>
              <w:top w:val="single" w:sz="4" w:space="0" w:color="auto"/>
              <w:left w:val="nil"/>
              <w:bottom w:val="single" w:sz="4" w:space="0" w:color="auto"/>
              <w:right w:val="nil"/>
            </w:tcBorders>
            <w:hideMark/>
          </w:tcPr>
          <w:p w14:paraId="420DCAEA" w14:textId="77777777" w:rsidR="00A74860" w:rsidRDefault="00A74860">
            <w:pPr>
              <w:spacing w:after="120" w:line="240" w:lineRule="auto"/>
              <w:rPr>
                <w:rFonts w:cstheme="minorHAnsi"/>
                <w:sz w:val="18"/>
                <w:szCs w:val="20"/>
                <w:lang w:eastAsia="en-US"/>
              </w:rPr>
            </w:pPr>
            <w:r>
              <w:rPr>
                <w:rFonts w:cstheme="minorHAnsi"/>
                <w:sz w:val="18"/>
                <w:szCs w:val="20"/>
                <w:lang w:eastAsia="en-US"/>
              </w:rPr>
              <w:t xml:space="preserve">Alternative </w:t>
            </w:r>
            <w:proofErr w:type="spellStart"/>
            <w:r>
              <w:rPr>
                <w:rFonts w:cstheme="minorHAnsi"/>
                <w:sz w:val="18"/>
                <w:szCs w:val="20"/>
                <w:lang w:eastAsia="en-US"/>
              </w:rPr>
              <w:t>Pathway</w:t>
            </w:r>
            <w:r>
              <w:rPr>
                <w:rFonts w:cstheme="minorHAnsi"/>
                <w:sz w:val="18"/>
                <w:szCs w:val="20"/>
                <w:vertAlign w:val="superscript"/>
                <w:lang w:eastAsia="en-US"/>
              </w:rPr>
              <w:t>b</w:t>
            </w:r>
            <w:proofErr w:type="spellEnd"/>
          </w:p>
        </w:tc>
        <w:tc>
          <w:tcPr>
            <w:tcW w:w="2196" w:type="dxa"/>
            <w:tcBorders>
              <w:top w:val="single" w:sz="4" w:space="0" w:color="auto"/>
              <w:left w:val="nil"/>
              <w:bottom w:val="single" w:sz="4" w:space="0" w:color="auto"/>
              <w:right w:val="nil"/>
            </w:tcBorders>
            <w:vAlign w:val="bottom"/>
          </w:tcPr>
          <w:p w14:paraId="262E4DF9" w14:textId="77777777" w:rsidR="00A74860" w:rsidRDefault="00A74860">
            <w:pPr>
              <w:spacing w:after="120" w:line="240" w:lineRule="auto"/>
              <w:jc w:val="right"/>
              <w:rPr>
                <w:rFonts w:cstheme="minorHAnsi"/>
                <w:sz w:val="18"/>
                <w:szCs w:val="20"/>
                <w:lang w:eastAsia="en-US"/>
              </w:rPr>
            </w:pPr>
          </w:p>
        </w:tc>
        <w:tc>
          <w:tcPr>
            <w:tcW w:w="2196" w:type="dxa"/>
            <w:tcBorders>
              <w:top w:val="single" w:sz="4" w:space="0" w:color="auto"/>
              <w:left w:val="nil"/>
              <w:bottom w:val="single" w:sz="4" w:space="0" w:color="auto"/>
              <w:right w:val="nil"/>
            </w:tcBorders>
            <w:vAlign w:val="bottom"/>
          </w:tcPr>
          <w:p w14:paraId="59721090" w14:textId="77777777" w:rsidR="00A74860" w:rsidRDefault="00A74860">
            <w:pPr>
              <w:spacing w:after="120" w:line="240" w:lineRule="auto"/>
              <w:jc w:val="right"/>
              <w:rPr>
                <w:rFonts w:cstheme="minorHAnsi"/>
                <w:sz w:val="18"/>
                <w:szCs w:val="20"/>
                <w:lang w:eastAsia="en-US"/>
              </w:rPr>
            </w:pPr>
          </w:p>
        </w:tc>
        <w:tc>
          <w:tcPr>
            <w:tcW w:w="2196" w:type="dxa"/>
            <w:tcBorders>
              <w:top w:val="single" w:sz="4" w:space="0" w:color="auto"/>
              <w:left w:val="nil"/>
              <w:bottom w:val="single" w:sz="4" w:space="0" w:color="auto"/>
              <w:right w:val="nil"/>
            </w:tcBorders>
            <w:vAlign w:val="bottom"/>
          </w:tcPr>
          <w:p w14:paraId="07F24C9E" w14:textId="77777777" w:rsidR="00A74860" w:rsidRDefault="00A74860">
            <w:pPr>
              <w:spacing w:after="120" w:line="240" w:lineRule="auto"/>
              <w:jc w:val="right"/>
              <w:rPr>
                <w:rFonts w:cstheme="minorHAnsi"/>
                <w:sz w:val="18"/>
                <w:szCs w:val="20"/>
                <w:lang w:eastAsia="en-US"/>
              </w:rPr>
            </w:pPr>
          </w:p>
        </w:tc>
      </w:tr>
      <w:tr w:rsidR="00A74860" w14:paraId="747B4844" w14:textId="77777777" w:rsidTr="000E3E61">
        <w:tc>
          <w:tcPr>
            <w:tcW w:w="2196" w:type="dxa"/>
            <w:tcBorders>
              <w:top w:val="single" w:sz="4" w:space="0" w:color="auto"/>
              <w:left w:val="nil"/>
              <w:bottom w:val="nil"/>
              <w:right w:val="single" w:sz="4" w:space="0" w:color="auto"/>
            </w:tcBorders>
            <w:vAlign w:val="bottom"/>
            <w:hideMark/>
          </w:tcPr>
          <w:p w14:paraId="3018F965" w14:textId="77777777" w:rsidR="00A74860" w:rsidRDefault="00A74860">
            <w:pPr>
              <w:spacing w:after="120" w:line="240" w:lineRule="auto"/>
              <w:ind w:left="177"/>
              <w:rPr>
                <w:rFonts w:cstheme="minorHAnsi"/>
                <w:sz w:val="18"/>
                <w:szCs w:val="20"/>
                <w:lang w:eastAsia="en-US"/>
              </w:rPr>
            </w:pPr>
            <w:r>
              <w:rPr>
                <w:rFonts w:cstheme="minorHAnsi"/>
                <w:sz w:val="18"/>
                <w:szCs w:val="20"/>
                <w:lang w:eastAsia="en-US"/>
              </w:rPr>
              <w:t>Male</w:t>
            </w:r>
          </w:p>
        </w:tc>
        <w:tc>
          <w:tcPr>
            <w:tcW w:w="2196" w:type="dxa"/>
            <w:tcBorders>
              <w:top w:val="single" w:sz="4" w:space="0" w:color="auto"/>
              <w:left w:val="single" w:sz="4" w:space="0" w:color="auto"/>
              <w:bottom w:val="nil"/>
              <w:right w:val="nil"/>
            </w:tcBorders>
            <w:vAlign w:val="bottom"/>
            <w:hideMark/>
          </w:tcPr>
          <w:p w14:paraId="492461A5"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352</w:t>
            </w:r>
          </w:p>
        </w:tc>
        <w:tc>
          <w:tcPr>
            <w:tcW w:w="2196" w:type="dxa"/>
            <w:tcBorders>
              <w:top w:val="single" w:sz="4" w:space="0" w:color="auto"/>
              <w:left w:val="nil"/>
              <w:bottom w:val="nil"/>
              <w:right w:val="nil"/>
            </w:tcBorders>
            <w:vAlign w:val="bottom"/>
            <w:hideMark/>
          </w:tcPr>
          <w:p w14:paraId="13C2DB80"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155</w:t>
            </w:r>
          </w:p>
        </w:tc>
        <w:tc>
          <w:tcPr>
            <w:tcW w:w="2196" w:type="dxa"/>
            <w:tcBorders>
              <w:top w:val="single" w:sz="4" w:space="0" w:color="auto"/>
              <w:left w:val="nil"/>
              <w:bottom w:val="nil"/>
              <w:right w:val="nil"/>
            </w:tcBorders>
            <w:vAlign w:val="bottom"/>
            <w:hideMark/>
          </w:tcPr>
          <w:p w14:paraId="356B67D6"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44.0</w:t>
            </w:r>
          </w:p>
        </w:tc>
      </w:tr>
      <w:tr w:rsidR="00A74860" w14:paraId="7466EE04" w14:textId="77777777" w:rsidTr="000E3E61">
        <w:tc>
          <w:tcPr>
            <w:tcW w:w="2196" w:type="dxa"/>
            <w:tcBorders>
              <w:top w:val="nil"/>
              <w:left w:val="nil"/>
              <w:bottom w:val="single" w:sz="4" w:space="0" w:color="auto"/>
              <w:right w:val="single" w:sz="4" w:space="0" w:color="auto"/>
            </w:tcBorders>
            <w:vAlign w:val="bottom"/>
            <w:hideMark/>
          </w:tcPr>
          <w:p w14:paraId="38905C81" w14:textId="77777777" w:rsidR="00A74860" w:rsidRDefault="00A74860">
            <w:pPr>
              <w:spacing w:after="120" w:line="240" w:lineRule="auto"/>
              <w:ind w:left="177"/>
              <w:rPr>
                <w:rFonts w:cstheme="minorHAnsi"/>
                <w:sz w:val="18"/>
                <w:szCs w:val="20"/>
                <w:lang w:eastAsia="en-US"/>
              </w:rPr>
            </w:pPr>
            <w:r>
              <w:rPr>
                <w:rFonts w:cstheme="minorHAnsi"/>
                <w:sz w:val="18"/>
                <w:szCs w:val="20"/>
                <w:lang w:eastAsia="en-US"/>
              </w:rPr>
              <w:t xml:space="preserve">Female </w:t>
            </w:r>
          </w:p>
        </w:tc>
        <w:tc>
          <w:tcPr>
            <w:tcW w:w="2196" w:type="dxa"/>
            <w:tcBorders>
              <w:top w:val="nil"/>
              <w:left w:val="single" w:sz="4" w:space="0" w:color="auto"/>
              <w:bottom w:val="single" w:sz="4" w:space="0" w:color="auto"/>
              <w:right w:val="nil"/>
            </w:tcBorders>
            <w:vAlign w:val="bottom"/>
            <w:hideMark/>
          </w:tcPr>
          <w:p w14:paraId="153987D3"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513</w:t>
            </w:r>
          </w:p>
        </w:tc>
        <w:tc>
          <w:tcPr>
            <w:tcW w:w="2196" w:type="dxa"/>
            <w:tcBorders>
              <w:top w:val="nil"/>
              <w:left w:val="nil"/>
              <w:bottom w:val="single" w:sz="4" w:space="0" w:color="auto"/>
              <w:right w:val="nil"/>
            </w:tcBorders>
            <w:vAlign w:val="bottom"/>
            <w:hideMark/>
          </w:tcPr>
          <w:p w14:paraId="5B1C5DA7"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235</w:t>
            </w:r>
          </w:p>
        </w:tc>
        <w:tc>
          <w:tcPr>
            <w:tcW w:w="2196" w:type="dxa"/>
            <w:tcBorders>
              <w:top w:val="nil"/>
              <w:left w:val="nil"/>
              <w:bottom w:val="single" w:sz="4" w:space="0" w:color="auto"/>
              <w:right w:val="nil"/>
            </w:tcBorders>
            <w:vAlign w:val="bottom"/>
            <w:hideMark/>
          </w:tcPr>
          <w:p w14:paraId="6A41ABC1"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45.8</w:t>
            </w:r>
          </w:p>
        </w:tc>
      </w:tr>
      <w:tr w:rsidR="00A74860" w14:paraId="7E3B0AC6" w14:textId="77777777" w:rsidTr="000E3E61">
        <w:tc>
          <w:tcPr>
            <w:tcW w:w="2196" w:type="dxa"/>
            <w:tcBorders>
              <w:top w:val="single" w:sz="4" w:space="0" w:color="auto"/>
              <w:left w:val="nil"/>
              <w:bottom w:val="single" w:sz="4" w:space="0" w:color="auto"/>
              <w:right w:val="single" w:sz="4" w:space="0" w:color="auto"/>
            </w:tcBorders>
            <w:vAlign w:val="bottom"/>
            <w:hideMark/>
          </w:tcPr>
          <w:p w14:paraId="2BC606AA" w14:textId="77777777" w:rsidR="00A74860" w:rsidRDefault="00A74860">
            <w:pPr>
              <w:spacing w:after="120" w:line="240" w:lineRule="auto"/>
              <w:ind w:left="177"/>
              <w:rPr>
                <w:rFonts w:cstheme="minorHAnsi"/>
                <w:sz w:val="18"/>
                <w:szCs w:val="20"/>
                <w:lang w:eastAsia="en-US"/>
              </w:rPr>
            </w:pPr>
            <w:r>
              <w:rPr>
                <w:rFonts w:cstheme="minorHAnsi"/>
                <w:sz w:val="18"/>
                <w:szCs w:val="20"/>
                <w:lang w:eastAsia="en-US"/>
              </w:rPr>
              <w:t xml:space="preserve">Total persons </w:t>
            </w:r>
          </w:p>
        </w:tc>
        <w:tc>
          <w:tcPr>
            <w:tcW w:w="2196" w:type="dxa"/>
            <w:tcBorders>
              <w:top w:val="single" w:sz="4" w:space="0" w:color="auto"/>
              <w:left w:val="single" w:sz="4" w:space="0" w:color="auto"/>
              <w:bottom w:val="single" w:sz="4" w:space="0" w:color="auto"/>
              <w:right w:val="nil"/>
            </w:tcBorders>
            <w:vAlign w:val="bottom"/>
            <w:hideMark/>
          </w:tcPr>
          <w:p w14:paraId="66FA814C"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865</w:t>
            </w:r>
          </w:p>
        </w:tc>
        <w:tc>
          <w:tcPr>
            <w:tcW w:w="2196" w:type="dxa"/>
            <w:tcBorders>
              <w:top w:val="single" w:sz="4" w:space="0" w:color="auto"/>
              <w:left w:val="nil"/>
              <w:bottom w:val="single" w:sz="4" w:space="0" w:color="auto"/>
              <w:right w:val="nil"/>
            </w:tcBorders>
            <w:vAlign w:val="bottom"/>
            <w:hideMark/>
          </w:tcPr>
          <w:p w14:paraId="333F1CC6"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390</w:t>
            </w:r>
          </w:p>
        </w:tc>
        <w:tc>
          <w:tcPr>
            <w:tcW w:w="2196" w:type="dxa"/>
            <w:tcBorders>
              <w:top w:val="single" w:sz="4" w:space="0" w:color="auto"/>
              <w:left w:val="nil"/>
              <w:bottom w:val="single" w:sz="4" w:space="0" w:color="auto"/>
              <w:right w:val="nil"/>
            </w:tcBorders>
            <w:vAlign w:val="bottom"/>
            <w:hideMark/>
          </w:tcPr>
          <w:p w14:paraId="173F9B71" w14:textId="77777777" w:rsidR="00A74860" w:rsidRDefault="00A74860">
            <w:pPr>
              <w:spacing w:after="120" w:line="240" w:lineRule="auto"/>
              <w:jc w:val="right"/>
              <w:rPr>
                <w:rFonts w:cstheme="minorHAnsi"/>
                <w:sz w:val="18"/>
                <w:szCs w:val="20"/>
                <w:lang w:eastAsia="en-US"/>
              </w:rPr>
            </w:pPr>
            <w:r>
              <w:rPr>
                <w:rFonts w:cstheme="minorHAnsi"/>
                <w:color w:val="000000"/>
                <w:sz w:val="16"/>
                <w:szCs w:val="16"/>
                <w:lang w:eastAsia="en-US"/>
              </w:rPr>
              <w:t>45.1</w:t>
            </w:r>
          </w:p>
        </w:tc>
      </w:tr>
    </w:tbl>
    <w:p w14:paraId="3A194E22" w14:textId="77777777" w:rsidR="00A74860" w:rsidRDefault="00A74860" w:rsidP="00A74860">
      <w:pPr>
        <w:spacing w:before="0" w:after="0"/>
        <w:rPr>
          <w:rFonts w:cstheme="minorHAnsi"/>
          <w:sz w:val="20"/>
          <w:szCs w:val="21"/>
        </w:rPr>
      </w:pPr>
      <w:r>
        <w:rPr>
          <w:rFonts w:cstheme="minorHAnsi"/>
          <w:sz w:val="20"/>
          <w:szCs w:val="21"/>
        </w:rPr>
        <w:t>Notes</w:t>
      </w:r>
    </w:p>
    <w:p w14:paraId="77D74018" w14:textId="77777777" w:rsidR="00A74860" w:rsidRDefault="00A74860" w:rsidP="00A74860">
      <w:pPr>
        <w:spacing w:before="0" w:after="0"/>
        <w:rPr>
          <w:rFonts w:cstheme="minorHAnsi"/>
          <w:sz w:val="18"/>
          <w:szCs w:val="18"/>
        </w:rPr>
      </w:pPr>
      <w:r>
        <w:rPr>
          <w:rFonts w:cstheme="minorHAnsi"/>
          <w:sz w:val="18"/>
          <w:szCs w:val="18"/>
        </w:rPr>
        <w:t>a. Participation is reported for usual pathway invitees for the period 1 November 2018 to 31 October 2019 (kits returned to 31 October 2019). Usual pathway invitees (all Australians who are eligible and have not suspended or opted off) are sent a kit with an invitation to screen. Participation rates for Non-Indigenous, Not Stated and Total categories were calculated using NBCSP register data. Indigenous invitees were estimated by applying 2016 Indigenous status Census proportions to total invitations. Participants who screened through the Alternative Pathway were not included in the count for the usual pathway.</w:t>
      </w:r>
    </w:p>
    <w:p w14:paraId="17C2DF71" w14:textId="77777777" w:rsidR="00A74860" w:rsidRDefault="00A74860" w:rsidP="00A74860">
      <w:pPr>
        <w:spacing w:before="0" w:after="0"/>
        <w:rPr>
          <w:rFonts w:cstheme="minorHAnsi"/>
          <w:sz w:val="18"/>
          <w:szCs w:val="18"/>
        </w:rPr>
      </w:pPr>
      <w:r>
        <w:rPr>
          <w:rFonts w:cstheme="minorHAnsi"/>
          <w:sz w:val="18"/>
          <w:szCs w:val="18"/>
        </w:rPr>
        <w:t xml:space="preserve">b. Alternative Pathway invitees given a kit were Indigenous people in the eligible age range (50-74), who attended a participating Pilot health centre, were assessed and found suitable to screen and accepted a kit, during the period 1 November 2018 to 31 October 2019 (kits returned to 31 October 2019). </w:t>
      </w:r>
    </w:p>
    <w:p w14:paraId="2A02BC4E" w14:textId="77777777" w:rsidR="00A74860" w:rsidRDefault="00A74860" w:rsidP="00A74860">
      <w:pPr>
        <w:spacing w:before="0" w:after="0"/>
        <w:rPr>
          <w:rFonts w:cstheme="minorHAnsi"/>
          <w:sz w:val="18"/>
          <w:szCs w:val="18"/>
        </w:rPr>
      </w:pPr>
    </w:p>
    <w:p w14:paraId="45FED666" w14:textId="77777777" w:rsidR="00A74860" w:rsidRDefault="00A74860" w:rsidP="00A74860">
      <w:pPr>
        <w:spacing w:before="0" w:after="0"/>
        <w:rPr>
          <w:rFonts w:cstheme="minorHAnsi"/>
          <w:sz w:val="18"/>
          <w:szCs w:val="20"/>
        </w:rPr>
      </w:pPr>
      <w:r>
        <w:rPr>
          <w:rFonts w:cstheme="minorHAnsi"/>
          <w:sz w:val="18"/>
          <w:szCs w:val="20"/>
        </w:rPr>
        <w:t>Source: Number of kits given out and kits returned were provided by the AIIHW, after cleaning and cross-checking NBCSR data with that provided to the DHS by Pilot health centres during the Pilot.</w:t>
      </w:r>
    </w:p>
    <w:p w14:paraId="5C73EDA1" w14:textId="77777777" w:rsidR="00A74860" w:rsidRDefault="00A74860" w:rsidP="00A74860">
      <w:pPr>
        <w:spacing w:before="0" w:after="0"/>
        <w:rPr>
          <w:rFonts w:cstheme="minorHAnsi"/>
          <w:sz w:val="20"/>
          <w:szCs w:val="21"/>
        </w:rPr>
      </w:pPr>
    </w:p>
    <w:p w14:paraId="66702CE0" w14:textId="77777777" w:rsidR="00A74860" w:rsidRDefault="00A74860" w:rsidP="00A74860">
      <w:pPr>
        <w:spacing w:before="0" w:after="0"/>
        <w:rPr>
          <w:rFonts w:cstheme="minorHAnsi"/>
        </w:rPr>
      </w:pPr>
      <w:r>
        <w:rPr>
          <w:rFonts w:cstheme="minorHAnsi"/>
        </w:rPr>
        <w:t xml:space="preserve">Table 8.1 reports the rate of return of kits given out through each pathway, and it is an accurate reflection of this measure. However, as </w:t>
      </w:r>
      <w:r w:rsidRPr="00703443">
        <w:rPr>
          <w:rFonts w:cstheme="minorHAnsi"/>
          <w:i/>
          <w:iCs/>
        </w:rPr>
        <w:t>Figure 8.1</w:t>
      </w:r>
      <w:r>
        <w:rPr>
          <w:rFonts w:cstheme="minorHAnsi"/>
        </w:rPr>
        <w:t xml:space="preserve"> illustrates, this comparison is a less accurate reflection of participation by Indigenous people (kits returned as a proportion of those </w:t>
      </w:r>
      <w:r>
        <w:rPr>
          <w:rFonts w:cstheme="minorHAnsi"/>
          <w:i/>
          <w:iCs/>
        </w:rPr>
        <w:t>invited</w:t>
      </w:r>
      <w:r>
        <w:rPr>
          <w:rFonts w:cstheme="minorHAnsi"/>
        </w:rPr>
        <w:t xml:space="preserve"> to screen) in either the usual or Alternative pathways.   </w:t>
      </w:r>
    </w:p>
    <w:p w14:paraId="78768316" w14:textId="77777777" w:rsidR="00A74860" w:rsidRDefault="00A74860" w:rsidP="00A74860">
      <w:pPr>
        <w:rPr>
          <w:rFonts w:cstheme="minorHAnsi"/>
          <w:b/>
          <w:bCs/>
        </w:rPr>
      </w:pPr>
      <w:r>
        <w:rPr>
          <w:rFonts w:cstheme="minorHAnsi"/>
          <w:b/>
          <w:bCs/>
        </w:rPr>
        <w:t>Contextualising participation using other analyses</w:t>
      </w:r>
    </w:p>
    <w:p w14:paraId="758FCA8A" w14:textId="77777777" w:rsidR="00A74860" w:rsidRDefault="00A74860" w:rsidP="00A74860">
      <w:pPr>
        <w:rPr>
          <w:rFonts w:cstheme="minorHAnsi"/>
        </w:rPr>
      </w:pPr>
      <w:r>
        <w:rPr>
          <w:rFonts w:cstheme="minorHAnsi"/>
        </w:rPr>
        <w:t>Other analyses (each with their own limitations) were conducted to gain a more multi-dimensional picture of screening participation. These analyses were:</w:t>
      </w:r>
    </w:p>
    <w:p w14:paraId="285A1189" w14:textId="77777777" w:rsidR="00A74860" w:rsidRDefault="00A74860" w:rsidP="00C77532">
      <w:pPr>
        <w:pStyle w:val="ListParagraph"/>
        <w:numPr>
          <w:ilvl w:val="0"/>
          <w:numId w:val="68"/>
        </w:numPr>
        <w:rPr>
          <w:rFonts w:cstheme="minorHAnsi"/>
        </w:rPr>
      </w:pPr>
      <w:r>
        <w:rPr>
          <w:rFonts w:cstheme="minorHAnsi"/>
        </w:rPr>
        <w:t xml:space="preserve">Change over time in the usual pathway, in geographic areas around Pilot health centres, for a two-year period before the Pilot and for the duration of the Pilot. </w:t>
      </w:r>
    </w:p>
    <w:p w14:paraId="225F82EC" w14:textId="6094DFCD" w:rsidR="00A74860" w:rsidRDefault="00A74860" w:rsidP="00C77532">
      <w:pPr>
        <w:pStyle w:val="ListParagraph"/>
        <w:numPr>
          <w:ilvl w:val="0"/>
          <w:numId w:val="68"/>
        </w:numPr>
        <w:rPr>
          <w:rFonts w:cstheme="minorHAnsi"/>
        </w:rPr>
      </w:pPr>
      <w:r>
        <w:rPr>
          <w:rFonts w:cstheme="minorHAnsi"/>
        </w:rPr>
        <w:t xml:space="preserve">Comparison of participation rates from the 15 health centres that reported patients assessed for screening but not given a kit. Participation was calculated using two different denominators: </w:t>
      </w:r>
      <w:r>
        <w:rPr>
          <w:rFonts w:cstheme="minorHAnsi"/>
          <w:i/>
          <w:iCs/>
        </w:rPr>
        <w:t xml:space="preserve">patients </w:t>
      </w:r>
      <w:r w:rsidR="00657A57">
        <w:rPr>
          <w:rFonts w:cstheme="minorHAnsi"/>
          <w:i/>
          <w:iCs/>
        </w:rPr>
        <w:t>assessed,</w:t>
      </w:r>
      <w:r>
        <w:rPr>
          <w:rFonts w:cstheme="minorHAnsi"/>
        </w:rPr>
        <w:t xml:space="preserve"> and </w:t>
      </w:r>
      <w:r>
        <w:rPr>
          <w:rFonts w:cstheme="minorHAnsi"/>
          <w:i/>
          <w:iCs/>
        </w:rPr>
        <w:t>kits given out</w:t>
      </w:r>
      <w:r>
        <w:rPr>
          <w:rFonts w:cstheme="minorHAnsi"/>
        </w:rPr>
        <w:t xml:space="preserve">. </w:t>
      </w:r>
    </w:p>
    <w:p w14:paraId="52B5528E" w14:textId="77777777" w:rsidR="00703443" w:rsidRDefault="00703443">
      <w:pPr>
        <w:spacing w:before="0" w:after="0" w:line="240" w:lineRule="auto"/>
        <w:rPr>
          <w:rFonts w:cstheme="minorHAnsi"/>
          <w:b/>
          <w:bCs/>
        </w:rPr>
      </w:pPr>
      <w:r>
        <w:rPr>
          <w:rFonts w:cstheme="minorHAnsi"/>
          <w:b/>
          <w:bCs/>
        </w:rPr>
        <w:br w:type="page"/>
      </w:r>
    </w:p>
    <w:p w14:paraId="452E5C85" w14:textId="6131E89A" w:rsidR="00A74860" w:rsidRDefault="00A74860" w:rsidP="00A74860">
      <w:pPr>
        <w:rPr>
          <w:rFonts w:cstheme="minorHAnsi"/>
          <w:b/>
          <w:bCs/>
        </w:rPr>
      </w:pPr>
      <w:r>
        <w:rPr>
          <w:rFonts w:cstheme="minorHAnsi"/>
          <w:b/>
          <w:bCs/>
        </w:rPr>
        <w:lastRenderedPageBreak/>
        <w:t>Change over time in participation through the usual pathway, in geographic areas around Pilot health centres</w:t>
      </w:r>
    </w:p>
    <w:p w14:paraId="1EA02A6B" w14:textId="77777777" w:rsidR="00A74860" w:rsidRDefault="00A74860" w:rsidP="00A74860">
      <w:pPr>
        <w:rPr>
          <w:rFonts w:cstheme="minorHAnsi"/>
        </w:rPr>
      </w:pPr>
      <w:r>
        <w:rPr>
          <w:rFonts w:cstheme="minorHAnsi"/>
        </w:rPr>
        <w:t xml:space="preserve">NBCSP data are not reported by health centre. Individuals who return samples for testing may include details of their health care provider (often an individual GP rather than a health centre) on their Participant Details Form, but many do not. Primary health care centres are also unlikely to hold records of their patients’ involvement in the NBCSP, other than receiving copies of test results.   </w:t>
      </w:r>
    </w:p>
    <w:p w14:paraId="01880505" w14:textId="77777777" w:rsidR="00A74860" w:rsidRDefault="00A74860" w:rsidP="00A74860">
      <w:pPr>
        <w:rPr>
          <w:rFonts w:cstheme="minorHAnsi"/>
        </w:rPr>
      </w:pPr>
      <w:r>
        <w:rPr>
          <w:rFonts w:cstheme="minorHAnsi"/>
        </w:rPr>
        <w:t>In order to calculate a background screening rate prior to the Pilot, postcodes were assigned to each Pilot health centre to approximate their catchment areas. Postcodes were matched to Pilot sites based on information provided by health centres and consideration of the demographics of some locations. The AIHW used NBCSR data to estimate screening participation for a two-year period prior to the Pilot (kits given out during the calendar years 2016-2017, with kits returned up to 30 June 2018).</w:t>
      </w:r>
      <w:r>
        <w:rPr>
          <w:rStyle w:val="FootnoteReference"/>
          <w:rFonts w:cstheme="minorHAnsi"/>
        </w:rPr>
        <w:footnoteReference w:id="39"/>
      </w:r>
      <w:r>
        <w:rPr>
          <w:rFonts w:cstheme="minorHAnsi"/>
        </w:rPr>
        <w:t xml:space="preserve">  Participation estimates for Indigenous people were obtained by applying 2016 Indigenous status Census proportions to the number of total invitations within the designated area around each centre. For 13 of the Pilot centres (11 in the 36 that gave out kits)</w:t>
      </w:r>
      <w:r>
        <w:rPr>
          <w:rStyle w:val="FootnoteReference"/>
          <w:rFonts w:cstheme="minorHAnsi"/>
        </w:rPr>
        <w:footnoteReference w:id="40"/>
      </w:r>
      <w:r>
        <w:rPr>
          <w:rFonts w:cstheme="minorHAnsi"/>
        </w:rPr>
        <w:t>, the AIHW found that the NBCSR showed more Indigenous people invited than the number estimated using the Census proportions. For those areas, Register data were used instead of the Census proportions.</w:t>
      </w:r>
    </w:p>
    <w:p w14:paraId="5A35427E" w14:textId="39EAA871" w:rsidR="00A74860" w:rsidRDefault="00A74860" w:rsidP="00A74860">
      <w:pPr>
        <w:rPr>
          <w:rFonts w:cstheme="minorHAnsi"/>
        </w:rPr>
      </w:pPr>
      <w:r>
        <w:rPr>
          <w:rFonts w:cstheme="minorHAnsi"/>
        </w:rPr>
        <w:t>The AIHW carried out a similar analysis for the same postcode sets for the time period of the Pilot, 31 October 2018 to 1 November 2019. People who screened through the Alternative Pathway were removed and counted separately, and participants through the usu</w:t>
      </w:r>
      <w:r w:rsidR="00463DF2">
        <w:rPr>
          <w:rFonts w:cstheme="minorHAnsi"/>
        </w:rPr>
        <w:t xml:space="preserve">al pathway were reported </w:t>
      </w:r>
      <w:r>
        <w:rPr>
          <w:rFonts w:cstheme="minorHAnsi"/>
        </w:rPr>
        <w:t xml:space="preserve">by Indigenous Status (Indigenous, Non-Indigenous and Not Stated) for the postcodes assigned to each Pilot site. </w:t>
      </w:r>
    </w:p>
    <w:p w14:paraId="4844C606" w14:textId="77777777" w:rsidR="00A74860" w:rsidRDefault="00A74860" w:rsidP="00A74860">
      <w:pPr>
        <w:spacing w:before="0" w:after="0" w:line="240" w:lineRule="auto"/>
        <w:rPr>
          <w:rFonts w:cstheme="minorHAnsi"/>
        </w:rPr>
      </w:pPr>
      <w:r>
        <w:rPr>
          <w:rFonts w:cstheme="minorHAnsi"/>
        </w:rPr>
        <w:t xml:space="preserve">Comparison of the participation rates for Indigenous, non-Indigenous and not stated groups for the areas around Pilot sites shows no pattern of increase among Indigenous participants over the two time periods, although there is a significant increase for non-Indigenous participants. This indicates that the higher level of participation for Pilot participants is a genuine increase and does not reflect a broader trend among Indigenous people.   </w:t>
      </w:r>
    </w:p>
    <w:p w14:paraId="4929B5FB" w14:textId="77777777" w:rsidR="00703443" w:rsidRDefault="00703443">
      <w:pPr>
        <w:spacing w:before="0" w:after="0" w:line="240" w:lineRule="auto"/>
        <w:rPr>
          <w:rFonts w:cstheme="minorHAnsi"/>
          <w:b/>
          <w:bCs/>
        </w:rPr>
      </w:pPr>
      <w:r>
        <w:rPr>
          <w:rFonts w:cstheme="minorHAnsi"/>
          <w:b/>
          <w:bCs/>
        </w:rPr>
        <w:br w:type="page"/>
      </w:r>
    </w:p>
    <w:p w14:paraId="116DA8DA" w14:textId="3B6FC01C" w:rsidR="00A74860" w:rsidRDefault="00A74860" w:rsidP="00A74860">
      <w:pPr>
        <w:rPr>
          <w:rFonts w:cstheme="minorHAnsi"/>
        </w:rPr>
      </w:pPr>
      <w:r>
        <w:rPr>
          <w:rFonts w:cstheme="minorHAnsi"/>
          <w:b/>
          <w:bCs/>
        </w:rPr>
        <w:lastRenderedPageBreak/>
        <w:t>Table 8.2. Changes over time in NBCSP participation (usual pathway), by geographic area and Indigenous status</w:t>
      </w:r>
      <w:r>
        <w:rPr>
          <w:rFonts w:cstheme="minorHAnsi"/>
        </w:rPr>
        <w:t>.</w:t>
      </w:r>
    </w:p>
    <w:tbl>
      <w:tblPr>
        <w:tblW w:w="8364" w:type="dxa"/>
        <w:tblLayout w:type="fixed"/>
        <w:tblLook w:val="04A0" w:firstRow="1" w:lastRow="0" w:firstColumn="1" w:lastColumn="0" w:noHBand="0" w:noVBand="1"/>
      </w:tblPr>
      <w:tblGrid>
        <w:gridCol w:w="1415"/>
        <w:gridCol w:w="350"/>
        <w:gridCol w:w="760"/>
        <w:gridCol w:w="1151"/>
        <w:gridCol w:w="1273"/>
        <w:gridCol w:w="908"/>
        <w:gridCol w:w="172"/>
        <w:gridCol w:w="762"/>
        <w:gridCol w:w="115"/>
        <w:gridCol w:w="1031"/>
        <w:gridCol w:w="132"/>
        <w:gridCol w:w="10"/>
        <w:gridCol w:w="142"/>
        <w:gridCol w:w="143"/>
      </w:tblGrid>
      <w:tr w:rsidR="00A74860" w14:paraId="1487B318" w14:textId="77777777" w:rsidTr="00D60301">
        <w:trPr>
          <w:trHeight w:val="274"/>
        </w:trPr>
        <w:tc>
          <w:tcPr>
            <w:tcW w:w="1765" w:type="dxa"/>
            <w:gridSpan w:val="2"/>
            <w:tcBorders>
              <w:top w:val="nil"/>
              <w:left w:val="nil"/>
              <w:bottom w:val="single" w:sz="4" w:space="0" w:color="auto"/>
              <w:right w:val="nil"/>
            </w:tcBorders>
            <w:noWrap/>
            <w:vAlign w:val="bottom"/>
          </w:tcPr>
          <w:p w14:paraId="36F3706A" w14:textId="77777777" w:rsidR="00A74860" w:rsidRDefault="00A74860">
            <w:pPr>
              <w:spacing w:before="100" w:beforeAutospacing="1" w:after="0"/>
              <w:rPr>
                <w:rFonts w:cstheme="minorHAnsi"/>
                <w:b/>
                <w:bCs/>
                <w:color w:val="000000"/>
                <w:sz w:val="18"/>
                <w:szCs w:val="18"/>
                <w:lang w:eastAsia="en-US"/>
              </w:rPr>
            </w:pPr>
          </w:p>
        </w:tc>
        <w:tc>
          <w:tcPr>
            <w:tcW w:w="3184" w:type="dxa"/>
            <w:gridSpan w:val="3"/>
            <w:tcBorders>
              <w:top w:val="nil"/>
              <w:left w:val="nil"/>
              <w:bottom w:val="single" w:sz="4" w:space="0" w:color="auto"/>
              <w:right w:val="nil"/>
            </w:tcBorders>
            <w:noWrap/>
            <w:vAlign w:val="bottom"/>
            <w:hideMark/>
          </w:tcPr>
          <w:p w14:paraId="342C5558" w14:textId="77777777" w:rsidR="00A74860" w:rsidRDefault="00A74860">
            <w:pPr>
              <w:spacing w:before="100" w:beforeAutospacing="1" w:after="0"/>
              <w:jc w:val="center"/>
              <w:rPr>
                <w:rFonts w:cstheme="minorHAnsi"/>
                <w:b/>
                <w:bCs/>
                <w:color w:val="000000"/>
                <w:sz w:val="18"/>
                <w:szCs w:val="18"/>
                <w:vertAlign w:val="superscript"/>
                <w:lang w:eastAsia="en-US"/>
              </w:rPr>
            </w:pPr>
            <w:r>
              <w:rPr>
                <w:rFonts w:cstheme="minorHAnsi"/>
                <w:b/>
                <w:bCs/>
                <w:color w:val="000000"/>
                <w:sz w:val="18"/>
                <w:szCs w:val="18"/>
                <w:lang w:eastAsia="en-US"/>
              </w:rPr>
              <w:t>2016-2017</w:t>
            </w:r>
            <w:r>
              <w:rPr>
                <w:rFonts w:cstheme="minorHAnsi"/>
                <w:b/>
                <w:bCs/>
                <w:color w:val="000000"/>
                <w:sz w:val="18"/>
                <w:szCs w:val="18"/>
                <w:vertAlign w:val="superscript"/>
                <w:lang w:eastAsia="en-US"/>
              </w:rPr>
              <w:t>a</w:t>
            </w:r>
          </w:p>
        </w:tc>
        <w:tc>
          <w:tcPr>
            <w:tcW w:w="3130" w:type="dxa"/>
            <w:gridSpan w:val="7"/>
            <w:tcBorders>
              <w:top w:val="nil"/>
              <w:left w:val="nil"/>
              <w:bottom w:val="single" w:sz="4" w:space="0" w:color="auto"/>
              <w:right w:val="nil"/>
            </w:tcBorders>
            <w:noWrap/>
            <w:vAlign w:val="bottom"/>
            <w:hideMark/>
          </w:tcPr>
          <w:p w14:paraId="23D2EBB5" w14:textId="77777777" w:rsidR="00A74860" w:rsidRDefault="00A74860">
            <w:pPr>
              <w:spacing w:before="100" w:beforeAutospacing="1" w:after="0"/>
              <w:jc w:val="center"/>
              <w:rPr>
                <w:rFonts w:cstheme="minorHAnsi"/>
                <w:b/>
                <w:bCs/>
                <w:color w:val="000000"/>
                <w:sz w:val="18"/>
                <w:szCs w:val="18"/>
                <w:vertAlign w:val="superscript"/>
                <w:lang w:eastAsia="en-US"/>
              </w:rPr>
            </w:pPr>
            <w:r>
              <w:rPr>
                <w:rFonts w:cstheme="minorHAnsi"/>
                <w:b/>
                <w:bCs/>
                <w:color w:val="000000"/>
                <w:sz w:val="18"/>
                <w:szCs w:val="18"/>
                <w:lang w:eastAsia="en-US"/>
              </w:rPr>
              <w:t xml:space="preserve">Pilot </w:t>
            </w:r>
            <w:proofErr w:type="spellStart"/>
            <w:r>
              <w:rPr>
                <w:rFonts w:cstheme="minorHAnsi"/>
                <w:b/>
                <w:bCs/>
                <w:color w:val="000000"/>
                <w:sz w:val="18"/>
                <w:szCs w:val="18"/>
                <w:lang w:eastAsia="en-US"/>
              </w:rPr>
              <w:t>period</w:t>
            </w:r>
            <w:r>
              <w:rPr>
                <w:rFonts w:cstheme="minorHAnsi"/>
                <w:b/>
                <w:bCs/>
                <w:color w:val="000000"/>
                <w:sz w:val="18"/>
                <w:szCs w:val="18"/>
                <w:vertAlign w:val="superscript"/>
                <w:lang w:eastAsia="en-US"/>
              </w:rPr>
              <w:t>n</w:t>
            </w:r>
            <w:proofErr w:type="spellEnd"/>
          </w:p>
        </w:tc>
        <w:tc>
          <w:tcPr>
            <w:tcW w:w="285" w:type="dxa"/>
            <w:gridSpan w:val="2"/>
            <w:tcBorders>
              <w:top w:val="nil"/>
              <w:left w:val="nil"/>
              <w:right w:val="nil"/>
            </w:tcBorders>
            <w:noWrap/>
            <w:vAlign w:val="bottom"/>
          </w:tcPr>
          <w:p w14:paraId="6DA95751" w14:textId="77777777" w:rsidR="00A74860" w:rsidRDefault="00A74860">
            <w:pPr>
              <w:spacing w:before="100" w:beforeAutospacing="1" w:after="0"/>
              <w:rPr>
                <w:rFonts w:cstheme="minorHAnsi"/>
                <w:b/>
                <w:bCs/>
                <w:color w:val="000000"/>
                <w:sz w:val="18"/>
                <w:szCs w:val="18"/>
                <w:lang w:eastAsia="en-US"/>
              </w:rPr>
            </w:pPr>
          </w:p>
        </w:tc>
      </w:tr>
      <w:tr w:rsidR="00D60301" w14:paraId="5664E5DF" w14:textId="77777777" w:rsidTr="00D60301">
        <w:trPr>
          <w:gridAfter w:val="2"/>
          <w:wAfter w:w="285" w:type="dxa"/>
          <w:trHeight w:val="320"/>
        </w:trPr>
        <w:tc>
          <w:tcPr>
            <w:tcW w:w="1415" w:type="dxa"/>
            <w:tcBorders>
              <w:top w:val="single" w:sz="4" w:space="0" w:color="auto"/>
              <w:left w:val="nil"/>
              <w:bottom w:val="single" w:sz="4" w:space="0" w:color="auto"/>
              <w:right w:val="nil"/>
            </w:tcBorders>
            <w:noWrap/>
            <w:hideMark/>
          </w:tcPr>
          <w:p w14:paraId="34EE4C27" w14:textId="77777777" w:rsidR="00D60301" w:rsidRDefault="00D60301">
            <w:pPr>
              <w:rPr>
                <w:rFonts w:cstheme="minorHAnsi"/>
                <w:b/>
                <w:bCs/>
                <w:color w:val="000000"/>
                <w:sz w:val="18"/>
                <w:szCs w:val="18"/>
                <w:lang w:eastAsia="en-US"/>
              </w:rPr>
            </w:pPr>
            <w:r>
              <w:rPr>
                <w:rFonts w:cstheme="minorHAnsi"/>
                <w:b/>
                <w:bCs/>
                <w:color w:val="000000"/>
                <w:sz w:val="18"/>
                <w:szCs w:val="18"/>
                <w:lang w:eastAsia="en-US"/>
              </w:rPr>
              <w:t>Indigenous status</w:t>
            </w:r>
          </w:p>
        </w:tc>
        <w:tc>
          <w:tcPr>
            <w:tcW w:w="1110" w:type="dxa"/>
            <w:gridSpan w:val="2"/>
            <w:tcBorders>
              <w:top w:val="single" w:sz="4" w:space="0" w:color="auto"/>
              <w:left w:val="nil"/>
              <w:bottom w:val="single" w:sz="4" w:space="0" w:color="auto"/>
              <w:right w:val="nil"/>
            </w:tcBorders>
            <w:noWrap/>
            <w:hideMark/>
          </w:tcPr>
          <w:p w14:paraId="34EC42FE" w14:textId="77777777" w:rsidR="00D60301" w:rsidRDefault="00D60301">
            <w:pPr>
              <w:jc w:val="center"/>
              <w:rPr>
                <w:rFonts w:cstheme="minorHAnsi"/>
                <w:b/>
                <w:bCs/>
                <w:color w:val="000000"/>
                <w:sz w:val="18"/>
                <w:szCs w:val="18"/>
                <w:lang w:eastAsia="en-US"/>
              </w:rPr>
            </w:pPr>
            <w:r>
              <w:rPr>
                <w:rFonts w:cstheme="minorHAnsi"/>
                <w:b/>
                <w:bCs/>
                <w:color w:val="000000"/>
                <w:sz w:val="18"/>
                <w:szCs w:val="18"/>
                <w:lang w:eastAsia="en-US"/>
              </w:rPr>
              <w:t>Number invited (N)</w:t>
            </w:r>
          </w:p>
        </w:tc>
        <w:tc>
          <w:tcPr>
            <w:tcW w:w="1151" w:type="dxa"/>
            <w:tcBorders>
              <w:top w:val="single" w:sz="4" w:space="0" w:color="auto"/>
              <w:left w:val="nil"/>
              <w:bottom w:val="single" w:sz="4" w:space="0" w:color="auto"/>
              <w:right w:val="nil"/>
            </w:tcBorders>
            <w:noWrap/>
            <w:hideMark/>
          </w:tcPr>
          <w:p w14:paraId="66D2E768" w14:textId="77777777" w:rsidR="00D60301" w:rsidRDefault="00D60301">
            <w:pPr>
              <w:jc w:val="center"/>
              <w:rPr>
                <w:rFonts w:cstheme="minorHAnsi"/>
                <w:b/>
                <w:bCs/>
                <w:color w:val="000000"/>
                <w:sz w:val="18"/>
                <w:szCs w:val="18"/>
                <w:lang w:eastAsia="en-US"/>
              </w:rPr>
            </w:pPr>
            <w:r>
              <w:rPr>
                <w:rFonts w:cstheme="minorHAnsi"/>
                <w:b/>
                <w:bCs/>
                <w:color w:val="000000"/>
                <w:sz w:val="18"/>
                <w:szCs w:val="18"/>
                <w:lang w:eastAsia="en-US"/>
              </w:rPr>
              <w:t>Kits returned (N)</w:t>
            </w:r>
          </w:p>
        </w:tc>
        <w:tc>
          <w:tcPr>
            <w:tcW w:w="1273" w:type="dxa"/>
            <w:tcBorders>
              <w:top w:val="single" w:sz="4" w:space="0" w:color="auto"/>
              <w:left w:val="nil"/>
              <w:bottom w:val="single" w:sz="4" w:space="0" w:color="auto"/>
              <w:right w:val="nil"/>
            </w:tcBorders>
            <w:noWrap/>
            <w:hideMark/>
          </w:tcPr>
          <w:p w14:paraId="44047884" w14:textId="77777777" w:rsidR="00D60301" w:rsidRDefault="00D60301">
            <w:pPr>
              <w:jc w:val="center"/>
              <w:rPr>
                <w:rFonts w:cstheme="minorHAnsi"/>
                <w:b/>
                <w:bCs/>
                <w:color w:val="000000"/>
                <w:sz w:val="18"/>
                <w:szCs w:val="18"/>
                <w:lang w:eastAsia="en-US"/>
              </w:rPr>
            </w:pPr>
            <w:r>
              <w:rPr>
                <w:rFonts w:cstheme="minorHAnsi"/>
                <w:b/>
                <w:bCs/>
                <w:color w:val="000000"/>
                <w:sz w:val="18"/>
                <w:szCs w:val="18"/>
                <w:lang w:eastAsia="en-US"/>
              </w:rPr>
              <w:t>Participation rate (%)</w:t>
            </w:r>
          </w:p>
        </w:tc>
        <w:tc>
          <w:tcPr>
            <w:tcW w:w="908" w:type="dxa"/>
            <w:tcBorders>
              <w:top w:val="single" w:sz="4" w:space="0" w:color="auto"/>
              <w:left w:val="nil"/>
              <w:bottom w:val="single" w:sz="4" w:space="0" w:color="auto"/>
              <w:right w:val="nil"/>
            </w:tcBorders>
            <w:noWrap/>
            <w:hideMark/>
          </w:tcPr>
          <w:p w14:paraId="7A9043D4" w14:textId="77777777" w:rsidR="00D60301" w:rsidRDefault="00D60301">
            <w:pPr>
              <w:jc w:val="center"/>
              <w:rPr>
                <w:rFonts w:cstheme="minorHAnsi"/>
                <w:b/>
                <w:bCs/>
                <w:color w:val="000000"/>
                <w:sz w:val="18"/>
                <w:szCs w:val="18"/>
                <w:lang w:eastAsia="en-US"/>
              </w:rPr>
            </w:pPr>
            <w:r>
              <w:rPr>
                <w:rFonts w:cstheme="minorHAnsi"/>
                <w:b/>
                <w:bCs/>
                <w:color w:val="000000"/>
                <w:sz w:val="18"/>
                <w:szCs w:val="18"/>
                <w:lang w:eastAsia="en-US"/>
              </w:rPr>
              <w:t>Number invited (N)</w:t>
            </w:r>
          </w:p>
        </w:tc>
        <w:tc>
          <w:tcPr>
            <w:tcW w:w="934" w:type="dxa"/>
            <w:gridSpan w:val="2"/>
            <w:tcBorders>
              <w:top w:val="single" w:sz="4" w:space="0" w:color="auto"/>
              <w:left w:val="nil"/>
              <w:bottom w:val="single" w:sz="4" w:space="0" w:color="auto"/>
              <w:right w:val="nil"/>
            </w:tcBorders>
            <w:noWrap/>
            <w:hideMark/>
          </w:tcPr>
          <w:p w14:paraId="0B872117" w14:textId="77777777" w:rsidR="00D60301" w:rsidRDefault="00D60301">
            <w:pPr>
              <w:jc w:val="center"/>
              <w:rPr>
                <w:rFonts w:cstheme="minorHAnsi"/>
                <w:b/>
                <w:bCs/>
                <w:color w:val="000000"/>
                <w:sz w:val="18"/>
                <w:szCs w:val="18"/>
                <w:lang w:eastAsia="en-US"/>
              </w:rPr>
            </w:pPr>
            <w:r>
              <w:rPr>
                <w:rFonts w:cstheme="minorHAnsi"/>
                <w:b/>
                <w:bCs/>
                <w:color w:val="000000"/>
                <w:sz w:val="18"/>
                <w:szCs w:val="18"/>
                <w:lang w:eastAsia="en-US"/>
              </w:rPr>
              <w:t>Kits returned (N)</w:t>
            </w:r>
          </w:p>
        </w:tc>
        <w:tc>
          <w:tcPr>
            <w:tcW w:w="1288" w:type="dxa"/>
            <w:gridSpan w:val="4"/>
            <w:tcBorders>
              <w:top w:val="single" w:sz="4" w:space="0" w:color="auto"/>
              <w:left w:val="nil"/>
              <w:bottom w:val="single" w:sz="4" w:space="0" w:color="auto"/>
            </w:tcBorders>
            <w:noWrap/>
            <w:hideMark/>
          </w:tcPr>
          <w:p w14:paraId="4867EFBC" w14:textId="59B772D3" w:rsidR="00D60301" w:rsidRDefault="00D60301">
            <w:pPr>
              <w:jc w:val="center"/>
              <w:rPr>
                <w:rFonts w:cstheme="minorHAnsi"/>
                <w:b/>
                <w:bCs/>
                <w:color w:val="000000"/>
                <w:sz w:val="18"/>
                <w:szCs w:val="18"/>
                <w:lang w:eastAsia="en-US"/>
              </w:rPr>
            </w:pPr>
            <w:r>
              <w:rPr>
                <w:rFonts w:cstheme="minorHAnsi"/>
                <w:b/>
                <w:bCs/>
                <w:color w:val="000000"/>
                <w:sz w:val="18"/>
                <w:szCs w:val="18"/>
                <w:lang w:eastAsia="en-US"/>
              </w:rPr>
              <w:t>Participation rate (%)</w:t>
            </w:r>
          </w:p>
        </w:tc>
      </w:tr>
      <w:tr w:rsidR="00D60301" w14:paraId="0A3131C5" w14:textId="77777777" w:rsidTr="00D60301">
        <w:trPr>
          <w:gridAfter w:val="1"/>
          <w:wAfter w:w="143" w:type="dxa"/>
          <w:trHeight w:val="320"/>
        </w:trPr>
        <w:tc>
          <w:tcPr>
            <w:tcW w:w="7937" w:type="dxa"/>
            <w:gridSpan w:val="10"/>
            <w:tcBorders>
              <w:top w:val="single" w:sz="4" w:space="0" w:color="auto"/>
              <w:left w:val="nil"/>
              <w:bottom w:val="single" w:sz="4" w:space="0" w:color="auto"/>
              <w:right w:val="nil"/>
            </w:tcBorders>
            <w:shd w:val="clear" w:color="auto" w:fill="auto"/>
            <w:noWrap/>
            <w:hideMark/>
          </w:tcPr>
          <w:p w14:paraId="60C91A04" w14:textId="77777777" w:rsidR="00D60301" w:rsidRDefault="00D60301">
            <w:pPr>
              <w:spacing w:before="60" w:after="60" w:line="240" w:lineRule="auto"/>
              <w:rPr>
                <w:rFonts w:cstheme="minorHAnsi"/>
                <w:color w:val="000000"/>
                <w:sz w:val="18"/>
                <w:szCs w:val="18"/>
                <w:vertAlign w:val="superscript"/>
                <w:lang w:eastAsia="en-US"/>
              </w:rPr>
            </w:pPr>
            <w:r>
              <w:rPr>
                <w:rFonts w:cstheme="minorHAnsi"/>
                <w:color w:val="000000"/>
                <w:sz w:val="18"/>
                <w:szCs w:val="18"/>
                <w:lang w:eastAsia="en-US"/>
              </w:rPr>
              <w:t xml:space="preserve">Geographic areas around Pilot </w:t>
            </w:r>
            <w:proofErr w:type="spellStart"/>
            <w:r>
              <w:rPr>
                <w:rFonts w:cstheme="minorHAnsi"/>
                <w:color w:val="000000"/>
                <w:sz w:val="18"/>
                <w:szCs w:val="18"/>
                <w:lang w:eastAsia="en-US"/>
              </w:rPr>
              <w:t>sites</w:t>
            </w:r>
            <w:r>
              <w:rPr>
                <w:rFonts w:cstheme="minorHAnsi"/>
                <w:color w:val="000000"/>
                <w:sz w:val="18"/>
                <w:szCs w:val="18"/>
                <w:vertAlign w:val="superscript"/>
                <w:lang w:eastAsia="en-US"/>
              </w:rPr>
              <w:t>c</w:t>
            </w:r>
            <w:proofErr w:type="spellEnd"/>
          </w:p>
        </w:tc>
        <w:tc>
          <w:tcPr>
            <w:tcW w:w="284" w:type="dxa"/>
            <w:gridSpan w:val="3"/>
            <w:tcBorders>
              <w:left w:val="nil"/>
              <w:right w:val="nil"/>
            </w:tcBorders>
            <w:shd w:val="clear" w:color="auto" w:fill="auto"/>
          </w:tcPr>
          <w:p w14:paraId="77D38F66" w14:textId="14B78DD6" w:rsidR="00D60301" w:rsidRDefault="00D60301">
            <w:pPr>
              <w:spacing w:before="60" w:after="60" w:line="240" w:lineRule="auto"/>
              <w:rPr>
                <w:rFonts w:cstheme="minorHAnsi"/>
                <w:color w:val="000000"/>
                <w:sz w:val="18"/>
                <w:szCs w:val="18"/>
                <w:vertAlign w:val="superscript"/>
                <w:lang w:eastAsia="en-US"/>
              </w:rPr>
            </w:pPr>
          </w:p>
        </w:tc>
      </w:tr>
      <w:tr w:rsidR="00A74860" w14:paraId="5DBB5459" w14:textId="77777777" w:rsidTr="00D60301">
        <w:trPr>
          <w:trHeight w:val="320"/>
        </w:trPr>
        <w:tc>
          <w:tcPr>
            <w:tcW w:w="1415" w:type="dxa"/>
            <w:tcBorders>
              <w:top w:val="single" w:sz="4" w:space="0" w:color="auto"/>
              <w:left w:val="nil"/>
              <w:bottom w:val="nil"/>
              <w:right w:val="nil"/>
            </w:tcBorders>
            <w:noWrap/>
            <w:hideMark/>
          </w:tcPr>
          <w:p w14:paraId="1C4F13D5" w14:textId="77777777" w:rsidR="00A74860" w:rsidRDefault="00A74860">
            <w:pPr>
              <w:spacing w:before="60" w:after="60" w:line="240" w:lineRule="auto"/>
              <w:rPr>
                <w:rFonts w:cstheme="minorHAnsi"/>
                <w:color w:val="000000"/>
                <w:sz w:val="18"/>
                <w:szCs w:val="18"/>
                <w:vertAlign w:val="superscript"/>
                <w:lang w:eastAsia="en-US"/>
              </w:rPr>
            </w:pPr>
            <w:r>
              <w:rPr>
                <w:rFonts w:cstheme="minorHAnsi"/>
                <w:color w:val="000000"/>
                <w:sz w:val="18"/>
                <w:szCs w:val="18"/>
                <w:lang w:eastAsia="en-US"/>
              </w:rPr>
              <w:t xml:space="preserve">Usual pathway </w:t>
            </w:r>
            <w:proofErr w:type="spellStart"/>
            <w:r>
              <w:rPr>
                <w:rFonts w:cstheme="minorHAnsi"/>
                <w:color w:val="000000"/>
                <w:sz w:val="18"/>
                <w:szCs w:val="18"/>
                <w:lang w:eastAsia="en-US"/>
              </w:rPr>
              <w:t>Indigenous</w:t>
            </w:r>
            <w:r>
              <w:rPr>
                <w:rFonts w:cstheme="minorHAnsi"/>
                <w:color w:val="000000"/>
                <w:sz w:val="18"/>
                <w:szCs w:val="18"/>
                <w:vertAlign w:val="superscript"/>
                <w:lang w:eastAsia="en-US"/>
              </w:rPr>
              <w:t>d</w:t>
            </w:r>
            <w:proofErr w:type="spellEnd"/>
          </w:p>
        </w:tc>
        <w:tc>
          <w:tcPr>
            <w:tcW w:w="1110" w:type="dxa"/>
            <w:gridSpan w:val="2"/>
            <w:tcBorders>
              <w:top w:val="single" w:sz="4" w:space="0" w:color="auto"/>
              <w:left w:val="nil"/>
              <w:bottom w:val="nil"/>
              <w:right w:val="nil"/>
            </w:tcBorders>
            <w:noWrap/>
            <w:hideMark/>
          </w:tcPr>
          <w:p w14:paraId="20B88DE0"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7,561</w:t>
            </w:r>
          </w:p>
        </w:tc>
        <w:tc>
          <w:tcPr>
            <w:tcW w:w="1151" w:type="dxa"/>
            <w:tcBorders>
              <w:top w:val="single" w:sz="4" w:space="0" w:color="auto"/>
              <w:left w:val="nil"/>
              <w:bottom w:val="nil"/>
              <w:right w:val="nil"/>
            </w:tcBorders>
            <w:noWrap/>
            <w:hideMark/>
          </w:tcPr>
          <w:p w14:paraId="63278664"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2256</w:t>
            </w:r>
          </w:p>
        </w:tc>
        <w:tc>
          <w:tcPr>
            <w:tcW w:w="1273" w:type="dxa"/>
            <w:tcBorders>
              <w:top w:val="single" w:sz="4" w:space="0" w:color="auto"/>
              <w:left w:val="nil"/>
              <w:bottom w:val="nil"/>
              <w:right w:val="nil"/>
            </w:tcBorders>
            <w:shd w:val="clear" w:color="auto" w:fill="D9D9D9" w:themeFill="background1" w:themeFillShade="D9"/>
            <w:noWrap/>
            <w:hideMark/>
          </w:tcPr>
          <w:p w14:paraId="7E5B971F"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29.8</w:t>
            </w:r>
          </w:p>
        </w:tc>
        <w:tc>
          <w:tcPr>
            <w:tcW w:w="908" w:type="dxa"/>
            <w:tcBorders>
              <w:top w:val="single" w:sz="4" w:space="0" w:color="auto"/>
              <w:left w:val="nil"/>
              <w:bottom w:val="nil"/>
              <w:right w:val="nil"/>
            </w:tcBorders>
            <w:noWrap/>
            <w:hideMark/>
          </w:tcPr>
          <w:p w14:paraId="1AC17693"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6,358</w:t>
            </w:r>
          </w:p>
        </w:tc>
        <w:tc>
          <w:tcPr>
            <w:tcW w:w="934" w:type="dxa"/>
            <w:gridSpan w:val="2"/>
            <w:tcBorders>
              <w:top w:val="single" w:sz="4" w:space="0" w:color="auto"/>
              <w:left w:val="nil"/>
              <w:bottom w:val="nil"/>
              <w:right w:val="nil"/>
            </w:tcBorders>
            <w:noWrap/>
            <w:hideMark/>
          </w:tcPr>
          <w:p w14:paraId="0AEEB80D"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2006</w:t>
            </w:r>
          </w:p>
        </w:tc>
        <w:tc>
          <w:tcPr>
            <w:tcW w:w="1278" w:type="dxa"/>
            <w:gridSpan w:val="3"/>
            <w:tcBorders>
              <w:top w:val="single" w:sz="4" w:space="0" w:color="auto"/>
              <w:left w:val="nil"/>
              <w:bottom w:val="nil"/>
              <w:right w:val="nil"/>
            </w:tcBorders>
            <w:shd w:val="clear" w:color="auto" w:fill="D9D9D9" w:themeFill="background1" w:themeFillShade="D9"/>
            <w:noWrap/>
            <w:hideMark/>
          </w:tcPr>
          <w:p w14:paraId="03178B9D"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31.6</w:t>
            </w:r>
          </w:p>
        </w:tc>
        <w:tc>
          <w:tcPr>
            <w:tcW w:w="295" w:type="dxa"/>
            <w:gridSpan w:val="3"/>
            <w:tcBorders>
              <w:left w:val="nil"/>
              <w:bottom w:val="nil"/>
              <w:right w:val="nil"/>
            </w:tcBorders>
            <w:noWrap/>
          </w:tcPr>
          <w:p w14:paraId="3953C50D" w14:textId="164147C8" w:rsidR="00A74860" w:rsidRDefault="00A74860">
            <w:pPr>
              <w:spacing w:before="60" w:after="60" w:line="240" w:lineRule="auto"/>
              <w:jc w:val="right"/>
              <w:rPr>
                <w:rFonts w:cstheme="minorHAnsi"/>
                <w:color w:val="000000"/>
                <w:sz w:val="18"/>
                <w:szCs w:val="18"/>
                <w:lang w:eastAsia="en-US"/>
              </w:rPr>
            </w:pPr>
          </w:p>
        </w:tc>
      </w:tr>
      <w:tr w:rsidR="00A74860" w14:paraId="47C66D62" w14:textId="77777777" w:rsidTr="00D60301">
        <w:trPr>
          <w:trHeight w:val="320"/>
        </w:trPr>
        <w:tc>
          <w:tcPr>
            <w:tcW w:w="1415" w:type="dxa"/>
            <w:noWrap/>
            <w:hideMark/>
          </w:tcPr>
          <w:p w14:paraId="769FB5E4"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Usual pathway non-Indigenous</w:t>
            </w:r>
          </w:p>
        </w:tc>
        <w:tc>
          <w:tcPr>
            <w:tcW w:w="1110" w:type="dxa"/>
            <w:gridSpan w:val="2"/>
            <w:noWrap/>
            <w:hideMark/>
          </w:tcPr>
          <w:p w14:paraId="6811EAAE"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550,043</w:t>
            </w:r>
          </w:p>
        </w:tc>
        <w:tc>
          <w:tcPr>
            <w:tcW w:w="1151" w:type="dxa"/>
            <w:noWrap/>
            <w:hideMark/>
          </w:tcPr>
          <w:p w14:paraId="126502FC"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231,319</w:t>
            </w:r>
          </w:p>
        </w:tc>
        <w:tc>
          <w:tcPr>
            <w:tcW w:w="1273" w:type="dxa"/>
            <w:shd w:val="clear" w:color="auto" w:fill="D9D9D9" w:themeFill="background1" w:themeFillShade="D9"/>
            <w:noWrap/>
            <w:hideMark/>
          </w:tcPr>
          <w:p w14:paraId="483034FE"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42.1</w:t>
            </w:r>
          </w:p>
        </w:tc>
        <w:tc>
          <w:tcPr>
            <w:tcW w:w="908" w:type="dxa"/>
            <w:noWrap/>
            <w:hideMark/>
          </w:tcPr>
          <w:p w14:paraId="7C6DDDFE"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436,968</w:t>
            </w:r>
          </w:p>
        </w:tc>
        <w:tc>
          <w:tcPr>
            <w:tcW w:w="934" w:type="dxa"/>
            <w:gridSpan w:val="2"/>
            <w:noWrap/>
            <w:hideMark/>
          </w:tcPr>
          <w:p w14:paraId="1DEA64CB"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173,389</w:t>
            </w:r>
          </w:p>
        </w:tc>
        <w:tc>
          <w:tcPr>
            <w:tcW w:w="1278" w:type="dxa"/>
            <w:gridSpan w:val="3"/>
            <w:shd w:val="clear" w:color="auto" w:fill="D9D9D9" w:themeFill="background1" w:themeFillShade="D9"/>
            <w:noWrap/>
            <w:hideMark/>
          </w:tcPr>
          <w:p w14:paraId="44297B9D"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39.7</w:t>
            </w:r>
          </w:p>
        </w:tc>
        <w:tc>
          <w:tcPr>
            <w:tcW w:w="295" w:type="dxa"/>
            <w:gridSpan w:val="3"/>
            <w:noWrap/>
          </w:tcPr>
          <w:p w14:paraId="067814E6" w14:textId="616B8A16" w:rsidR="00A74860" w:rsidRDefault="00A74860">
            <w:pPr>
              <w:spacing w:before="60" w:after="60" w:line="240" w:lineRule="auto"/>
              <w:jc w:val="right"/>
              <w:rPr>
                <w:rFonts w:cstheme="minorHAnsi"/>
                <w:color w:val="000000"/>
                <w:sz w:val="18"/>
                <w:szCs w:val="18"/>
                <w:lang w:eastAsia="en-US"/>
              </w:rPr>
            </w:pPr>
          </w:p>
        </w:tc>
      </w:tr>
      <w:tr w:rsidR="00A74860" w14:paraId="4A63B91F" w14:textId="77777777" w:rsidTr="00D60301">
        <w:trPr>
          <w:trHeight w:val="320"/>
        </w:trPr>
        <w:tc>
          <w:tcPr>
            <w:tcW w:w="1415" w:type="dxa"/>
            <w:tcBorders>
              <w:top w:val="nil"/>
              <w:left w:val="nil"/>
              <w:bottom w:val="single" w:sz="4" w:space="0" w:color="auto"/>
              <w:right w:val="nil"/>
            </w:tcBorders>
            <w:noWrap/>
            <w:hideMark/>
          </w:tcPr>
          <w:p w14:paraId="225F1A6D"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Usual pathway not stated</w:t>
            </w:r>
          </w:p>
        </w:tc>
        <w:tc>
          <w:tcPr>
            <w:tcW w:w="1110" w:type="dxa"/>
            <w:gridSpan w:val="2"/>
            <w:tcBorders>
              <w:top w:val="nil"/>
              <w:left w:val="nil"/>
              <w:bottom w:val="single" w:sz="4" w:space="0" w:color="auto"/>
              <w:right w:val="nil"/>
            </w:tcBorders>
            <w:noWrap/>
            <w:hideMark/>
          </w:tcPr>
          <w:p w14:paraId="35858890"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36,814</w:t>
            </w:r>
          </w:p>
        </w:tc>
        <w:tc>
          <w:tcPr>
            <w:tcW w:w="1151" w:type="dxa"/>
            <w:tcBorders>
              <w:top w:val="nil"/>
              <w:left w:val="nil"/>
              <w:bottom w:val="single" w:sz="4" w:space="0" w:color="auto"/>
              <w:right w:val="nil"/>
            </w:tcBorders>
            <w:noWrap/>
            <w:hideMark/>
          </w:tcPr>
          <w:p w14:paraId="5ED4C24B"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6,004</w:t>
            </w:r>
          </w:p>
        </w:tc>
        <w:tc>
          <w:tcPr>
            <w:tcW w:w="1273" w:type="dxa"/>
            <w:tcBorders>
              <w:top w:val="nil"/>
              <w:left w:val="nil"/>
              <w:bottom w:val="single" w:sz="4" w:space="0" w:color="auto"/>
              <w:right w:val="nil"/>
            </w:tcBorders>
            <w:shd w:val="clear" w:color="auto" w:fill="D9D9D9" w:themeFill="background1" w:themeFillShade="D9"/>
            <w:noWrap/>
            <w:hideMark/>
          </w:tcPr>
          <w:p w14:paraId="232EAA1D"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16.3</w:t>
            </w:r>
          </w:p>
        </w:tc>
        <w:tc>
          <w:tcPr>
            <w:tcW w:w="908" w:type="dxa"/>
            <w:tcBorders>
              <w:top w:val="nil"/>
              <w:left w:val="nil"/>
              <w:bottom w:val="single" w:sz="4" w:space="0" w:color="auto"/>
              <w:right w:val="nil"/>
            </w:tcBorders>
            <w:noWrap/>
            <w:hideMark/>
          </w:tcPr>
          <w:p w14:paraId="5040DF78"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28,844</w:t>
            </w:r>
          </w:p>
        </w:tc>
        <w:tc>
          <w:tcPr>
            <w:tcW w:w="934" w:type="dxa"/>
            <w:gridSpan w:val="2"/>
            <w:tcBorders>
              <w:top w:val="nil"/>
              <w:left w:val="nil"/>
              <w:bottom w:val="single" w:sz="4" w:space="0" w:color="auto"/>
              <w:right w:val="nil"/>
            </w:tcBorders>
            <w:noWrap/>
            <w:hideMark/>
          </w:tcPr>
          <w:p w14:paraId="63C9DCA0"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4,751</w:t>
            </w:r>
          </w:p>
        </w:tc>
        <w:tc>
          <w:tcPr>
            <w:tcW w:w="1278" w:type="dxa"/>
            <w:gridSpan w:val="3"/>
            <w:tcBorders>
              <w:top w:val="nil"/>
              <w:left w:val="nil"/>
              <w:bottom w:val="single" w:sz="4" w:space="0" w:color="auto"/>
              <w:right w:val="nil"/>
            </w:tcBorders>
            <w:shd w:val="clear" w:color="auto" w:fill="D9D9D9" w:themeFill="background1" w:themeFillShade="D9"/>
            <w:noWrap/>
            <w:hideMark/>
          </w:tcPr>
          <w:p w14:paraId="5221E4C1"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16.5</w:t>
            </w:r>
          </w:p>
        </w:tc>
        <w:tc>
          <w:tcPr>
            <w:tcW w:w="295" w:type="dxa"/>
            <w:gridSpan w:val="3"/>
            <w:tcBorders>
              <w:top w:val="nil"/>
              <w:left w:val="nil"/>
              <w:right w:val="nil"/>
            </w:tcBorders>
            <w:noWrap/>
          </w:tcPr>
          <w:p w14:paraId="795198E6" w14:textId="759D644D" w:rsidR="00A74860" w:rsidRDefault="00A74860">
            <w:pPr>
              <w:spacing w:before="60" w:after="60" w:line="240" w:lineRule="auto"/>
              <w:jc w:val="right"/>
              <w:rPr>
                <w:rFonts w:cstheme="minorHAnsi"/>
                <w:color w:val="000000"/>
                <w:sz w:val="18"/>
                <w:szCs w:val="18"/>
                <w:lang w:eastAsia="en-US"/>
              </w:rPr>
            </w:pPr>
          </w:p>
        </w:tc>
      </w:tr>
      <w:tr w:rsidR="00A74860" w14:paraId="3A7B8E02" w14:textId="77777777" w:rsidTr="00D60301">
        <w:trPr>
          <w:trHeight w:val="320"/>
        </w:trPr>
        <w:tc>
          <w:tcPr>
            <w:tcW w:w="1415" w:type="dxa"/>
            <w:tcBorders>
              <w:top w:val="single" w:sz="4" w:space="0" w:color="auto"/>
              <w:left w:val="nil"/>
              <w:bottom w:val="single" w:sz="4" w:space="0" w:color="auto"/>
              <w:right w:val="nil"/>
            </w:tcBorders>
            <w:noWrap/>
            <w:hideMark/>
          </w:tcPr>
          <w:p w14:paraId="6EC1C6FB" w14:textId="77777777" w:rsidR="00A74860" w:rsidRDefault="00A74860">
            <w:pPr>
              <w:spacing w:before="60" w:after="60" w:line="240" w:lineRule="auto"/>
              <w:rPr>
                <w:rFonts w:cstheme="minorHAnsi"/>
                <w:b/>
                <w:bCs/>
                <w:color w:val="000000"/>
                <w:sz w:val="18"/>
                <w:szCs w:val="18"/>
                <w:lang w:eastAsia="en-US"/>
              </w:rPr>
            </w:pPr>
            <w:r>
              <w:rPr>
                <w:rFonts w:cstheme="minorHAnsi"/>
                <w:b/>
                <w:bCs/>
                <w:color w:val="000000"/>
                <w:sz w:val="18"/>
                <w:szCs w:val="18"/>
                <w:lang w:eastAsia="en-US"/>
              </w:rPr>
              <w:t>Usual pathway total</w:t>
            </w:r>
          </w:p>
        </w:tc>
        <w:tc>
          <w:tcPr>
            <w:tcW w:w="1110" w:type="dxa"/>
            <w:gridSpan w:val="2"/>
            <w:tcBorders>
              <w:top w:val="single" w:sz="4" w:space="0" w:color="auto"/>
              <w:left w:val="nil"/>
              <w:bottom w:val="single" w:sz="4" w:space="0" w:color="auto"/>
              <w:right w:val="nil"/>
            </w:tcBorders>
            <w:noWrap/>
            <w:hideMark/>
          </w:tcPr>
          <w:p w14:paraId="1AFB7A88"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594,215</w:t>
            </w:r>
          </w:p>
        </w:tc>
        <w:tc>
          <w:tcPr>
            <w:tcW w:w="1151" w:type="dxa"/>
            <w:tcBorders>
              <w:top w:val="single" w:sz="4" w:space="0" w:color="auto"/>
              <w:left w:val="nil"/>
              <w:bottom w:val="single" w:sz="4" w:space="0" w:color="auto"/>
              <w:right w:val="nil"/>
            </w:tcBorders>
            <w:noWrap/>
            <w:hideMark/>
          </w:tcPr>
          <w:p w14:paraId="3C9863E3"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239,579</w:t>
            </w:r>
          </w:p>
        </w:tc>
        <w:tc>
          <w:tcPr>
            <w:tcW w:w="1273" w:type="dxa"/>
            <w:tcBorders>
              <w:top w:val="single" w:sz="4" w:space="0" w:color="auto"/>
              <w:left w:val="nil"/>
              <w:bottom w:val="single" w:sz="4" w:space="0" w:color="auto"/>
              <w:right w:val="nil"/>
            </w:tcBorders>
            <w:shd w:val="clear" w:color="auto" w:fill="D9D9D9" w:themeFill="background1" w:themeFillShade="D9"/>
            <w:noWrap/>
            <w:hideMark/>
          </w:tcPr>
          <w:p w14:paraId="3D3CC2F2"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40.3</w:t>
            </w:r>
          </w:p>
        </w:tc>
        <w:tc>
          <w:tcPr>
            <w:tcW w:w="908" w:type="dxa"/>
            <w:tcBorders>
              <w:top w:val="single" w:sz="4" w:space="0" w:color="auto"/>
              <w:left w:val="nil"/>
              <w:bottom w:val="single" w:sz="4" w:space="0" w:color="auto"/>
              <w:right w:val="nil"/>
            </w:tcBorders>
            <w:noWrap/>
            <w:hideMark/>
          </w:tcPr>
          <w:p w14:paraId="5F0FA2B1"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472,169</w:t>
            </w:r>
          </w:p>
        </w:tc>
        <w:tc>
          <w:tcPr>
            <w:tcW w:w="934" w:type="dxa"/>
            <w:gridSpan w:val="2"/>
            <w:tcBorders>
              <w:top w:val="single" w:sz="4" w:space="0" w:color="auto"/>
              <w:left w:val="nil"/>
              <w:bottom w:val="single" w:sz="4" w:space="0" w:color="auto"/>
              <w:right w:val="nil"/>
            </w:tcBorders>
            <w:shd w:val="clear" w:color="auto" w:fill="FFFFFF"/>
            <w:hideMark/>
          </w:tcPr>
          <w:p w14:paraId="75E145E7"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180,146</w:t>
            </w:r>
          </w:p>
        </w:tc>
        <w:tc>
          <w:tcPr>
            <w:tcW w:w="1278" w:type="dxa"/>
            <w:gridSpan w:val="3"/>
            <w:tcBorders>
              <w:top w:val="single" w:sz="4" w:space="0" w:color="auto"/>
              <w:left w:val="nil"/>
              <w:bottom w:val="single" w:sz="4" w:space="0" w:color="auto"/>
              <w:right w:val="nil"/>
            </w:tcBorders>
            <w:shd w:val="clear" w:color="auto" w:fill="D9D9D9" w:themeFill="background1" w:themeFillShade="D9"/>
            <w:noWrap/>
            <w:hideMark/>
          </w:tcPr>
          <w:p w14:paraId="5E439472"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38.2</w:t>
            </w:r>
          </w:p>
        </w:tc>
        <w:tc>
          <w:tcPr>
            <w:tcW w:w="295" w:type="dxa"/>
            <w:gridSpan w:val="3"/>
            <w:tcBorders>
              <w:left w:val="nil"/>
              <w:right w:val="nil"/>
            </w:tcBorders>
            <w:noWrap/>
            <w:hideMark/>
          </w:tcPr>
          <w:p w14:paraId="61A2B80C" w14:textId="321DD6E8" w:rsidR="00A74860" w:rsidRDefault="00A74860">
            <w:pPr>
              <w:spacing w:before="60" w:after="60" w:line="240" w:lineRule="auto"/>
              <w:jc w:val="right"/>
              <w:rPr>
                <w:rFonts w:cstheme="minorHAnsi"/>
                <w:color w:val="000000"/>
                <w:sz w:val="18"/>
                <w:szCs w:val="18"/>
                <w:lang w:eastAsia="en-US"/>
              </w:rPr>
            </w:pPr>
          </w:p>
        </w:tc>
      </w:tr>
      <w:tr w:rsidR="00D60301" w14:paraId="780C90D8" w14:textId="77777777" w:rsidTr="00D60301">
        <w:trPr>
          <w:trHeight w:val="320"/>
        </w:trPr>
        <w:tc>
          <w:tcPr>
            <w:tcW w:w="8079" w:type="dxa"/>
            <w:gridSpan w:val="12"/>
            <w:tcBorders>
              <w:top w:val="single" w:sz="4" w:space="0" w:color="auto"/>
              <w:left w:val="nil"/>
              <w:bottom w:val="single" w:sz="4" w:space="0" w:color="auto"/>
              <w:right w:val="nil"/>
            </w:tcBorders>
            <w:noWrap/>
            <w:hideMark/>
          </w:tcPr>
          <w:p w14:paraId="70D1A191" w14:textId="77777777" w:rsidR="00D60301" w:rsidRDefault="00D60301">
            <w:pPr>
              <w:spacing w:before="60" w:after="60" w:line="240" w:lineRule="auto"/>
              <w:rPr>
                <w:rFonts w:cstheme="minorHAnsi"/>
                <w:color w:val="000000"/>
                <w:sz w:val="18"/>
                <w:szCs w:val="18"/>
                <w:vertAlign w:val="superscript"/>
                <w:lang w:eastAsia="en-US"/>
              </w:rPr>
            </w:pPr>
            <w:r>
              <w:rPr>
                <w:rFonts w:cstheme="minorHAnsi"/>
                <w:color w:val="000000"/>
                <w:sz w:val="18"/>
                <w:szCs w:val="18"/>
                <w:lang w:eastAsia="en-US"/>
              </w:rPr>
              <w:t>All Australia</w:t>
            </w:r>
          </w:p>
        </w:tc>
        <w:tc>
          <w:tcPr>
            <w:tcW w:w="285" w:type="dxa"/>
            <w:gridSpan w:val="2"/>
            <w:tcBorders>
              <w:left w:val="nil"/>
              <w:right w:val="nil"/>
            </w:tcBorders>
          </w:tcPr>
          <w:p w14:paraId="3103C0EA" w14:textId="0E7D1D17" w:rsidR="00D60301" w:rsidRDefault="00D60301">
            <w:pPr>
              <w:spacing w:before="60" w:after="60" w:line="240" w:lineRule="auto"/>
              <w:rPr>
                <w:rFonts w:cstheme="minorHAnsi"/>
                <w:color w:val="000000"/>
                <w:sz w:val="18"/>
                <w:szCs w:val="18"/>
                <w:vertAlign w:val="superscript"/>
                <w:lang w:eastAsia="en-US"/>
              </w:rPr>
            </w:pPr>
          </w:p>
        </w:tc>
      </w:tr>
      <w:tr w:rsidR="00A74860" w14:paraId="4CF31C97" w14:textId="77777777" w:rsidTr="00D60301">
        <w:trPr>
          <w:trHeight w:val="320"/>
        </w:trPr>
        <w:tc>
          <w:tcPr>
            <w:tcW w:w="1415" w:type="dxa"/>
            <w:tcBorders>
              <w:left w:val="nil"/>
              <w:bottom w:val="nil"/>
              <w:right w:val="nil"/>
            </w:tcBorders>
            <w:noWrap/>
            <w:hideMark/>
          </w:tcPr>
          <w:p w14:paraId="151DA562"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Indigenous</w:t>
            </w:r>
          </w:p>
        </w:tc>
        <w:tc>
          <w:tcPr>
            <w:tcW w:w="1110" w:type="dxa"/>
            <w:gridSpan w:val="2"/>
            <w:tcBorders>
              <w:left w:val="nil"/>
              <w:bottom w:val="nil"/>
              <w:right w:val="nil"/>
            </w:tcBorders>
            <w:noWrap/>
            <w:hideMark/>
          </w:tcPr>
          <w:p w14:paraId="2D5E5E45"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63,539</w:t>
            </w:r>
          </w:p>
        </w:tc>
        <w:tc>
          <w:tcPr>
            <w:tcW w:w="1151" w:type="dxa"/>
            <w:tcBorders>
              <w:left w:val="nil"/>
              <w:bottom w:val="nil"/>
              <w:right w:val="nil"/>
            </w:tcBorders>
            <w:noWrap/>
            <w:hideMark/>
          </w:tcPr>
          <w:p w14:paraId="1853435A"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13,224</w:t>
            </w:r>
          </w:p>
        </w:tc>
        <w:tc>
          <w:tcPr>
            <w:tcW w:w="1273" w:type="dxa"/>
            <w:tcBorders>
              <w:left w:val="nil"/>
              <w:bottom w:val="nil"/>
              <w:right w:val="nil"/>
            </w:tcBorders>
            <w:shd w:val="clear" w:color="auto" w:fill="D9D9D9" w:themeFill="background1" w:themeFillShade="D9"/>
            <w:noWrap/>
            <w:hideMark/>
          </w:tcPr>
          <w:p w14:paraId="4D4B95B5"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20.8</w:t>
            </w:r>
          </w:p>
        </w:tc>
        <w:tc>
          <w:tcPr>
            <w:tcW w:w="908" w:type="dxa"/>
            <w:tcBorders>
              <w:left w:val="nil"/>
              <w:bottom w:val="nil"/>
              <w:right w:val="nil"/>
            </w:tcBorders>
            <w:noWrap/>
            <w:hideMark/>
          </w:tcPr>
          <w:p w14:paraId="67BB1B91"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46792</w:t>
            </w:r>
          </w:p>
        </w:tc>
        <w:tc>
          <w:tcPr>
            <w:tcW w:w="934" w:type="dxa"/>
            <w:gridSpan w:val="2"/>
            <w:tcBorders>
              <w:left w:val="nil"/>
              <w:bottom w:val="nil"/>
              <w:right w:val="nil"/>
            </w:tcBorders>
            <w:noWrap/>
            <w:hideMark/>
          </w:tcPr>
          <w:p w14:paraId="101D6936"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10918</w:t>
            </w:r>
          </w:p>
        </w:tc>
        <w:tc>
          <w:tcPr>
            <w:tcW w:w="1278" w:type="dxa"/>
            <w:gridSpan w:val="3"/>
            <w:tcBorders>
              <w:left w:val="nil"/>
              <w:bottom w:val="nil"/>
              <w:right w:val="nil"/>
            </w:tcBorders>
            <w:shd w:val="clear" w:color="auto" w:fill="D9D9D9" w:themeFill="background1" w:themeFillShade="D9"/>
            <w:noWrap/>
            <w:hideMark/>
          </w:tcPr>
          <w:p w14:paraId="535A06CC"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23.3</w:t>
            </w:r>
          </w:p>
        </w:tc>
        <w:tc>
          <w:tcPr>
            <w:tcW w:w="295" w:type="dxa"/>
            <w:gridSpan w:val="3"/>
            <w:tcBorders>
              <w:left w:val="nil"/>
              <w:bottom w:val="nil"/>
              <w:right w:val="nil"/>
            </w:tcBorders>
            <w:noWrap/>
          </w:tcPr>
          <w:p w14:paraId="3FC39335" w14:textId="3044D749" w:rsidR="00A74860" w:rsidRDefault="00A74860">
            <w:pPr>
              <w:spacing w:before="60" w:after="60" w:line="240" w:lineRule="auto"/>
              <w:jc w:val="right"/>
              <w:rPr>
                <w:rFonts w:cstheme="minorHAnsi"/>
                <w:color w:val="000000"/>
                <w:sz w:val="18"/>
                <w:szCs w:val="18"/>
                <w:lang w:eastAsia="en-US"/>
              </w:rPr>
            </w:pPr>
          </w:p>
        </w:tc>
      </w:tr>
      <w:tr w:rsidR="00A74860" w14:paraId="078BDDF9" w14:textId="77777777" w:rsidTr="00D60301">
        <w:trPr>
          <w:trHeight w:val="320"/>
        </w:trPr>
        <w:tc>
          <w:tcPr>
            <w:tcW w:w="1415" w:type="dxa"/>
            <w:noWrap/>
            <w:hideMark/>
          </w:tcPr>
          <w:p w14:paraId="259C9982"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Non-Indigenous</w:t>
            </w:r>
          </w:p>
        </w:tc>
        <w:tc>
          <w:tcPr>
            <w:tcW w:w="1110" w:type="dxa"/>
            <w:gridSpan w:val="2"/>
            <w:noWrap/>
            <w:hideMark/>
          </w:tcPr>
          <w:p w14:paraId="03B9E31A"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3,782,367</w:t>
            </w:r>
          </w:p>
        </w:tc>
        <w:tc>
          <w:tcPr>
            <w:tcW w:w="1151" w:type="dxa"/>
            <w:noWrap/>
            <w:hideMark/>
          </w:tcPr>
          <w:p w14:paraId="0D4A0BE1"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1,636,433</w:t>
            </w:r>
          </w:p>
        </w:tc>
        <w:tc>
          <w:tcPr>
            <w:tcW w:w="1273" w:type="dxa"/>
            <w:shd w:val="clear" w:color="auto" w:fill="D9D9D9" w:themeFill="background1" w:themeFillShade="D9"/>
            <w:noWrap/>
            <w:hideMark/>
          </w:tcPr>
          <w:p w14:paraId="6CB66963"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43.3</w:t>
            </w:r>
          </w:p>
        </w:tc>
        <w:tc>
          <w:tcPr>
            <w:tcW w:w="908" w:type="dxa"/>
            <w:noWrap/>
            <w:hideMark/>
          </w:tcPr>
          <w:p w14:paraId="2CF5F314"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2761617</w:t>
            </w:r>
          </w:p>
        </w:tc>
        <w:tc>
          <w:tcPr>
            <w:tcW w:w="934" w:type="dxa"/>
            <w:gridSpan w:val="2"/>
            <w:noWrap/>
            <w:hideMark/>
          </w:tcPr>
          <w:p w14:paraId="727B0055"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1122379</w:t>
            </w:r>
          </w:p>
        </w:tc>
        <w:tc>
          <w:tcPr>
            <w:tcW w:w="1278" w:type="dxa"/>
            <w:gridSpan w:val="3"/>
            <w:shd w:val="clear" w:color="auto" w:fill="D9D9D9" w:themeFill="background1" w:themeFillShade="D9"/>
            <w:noWrap/>
            <w:hideMark/>
          </w:tcPr>
          <w:p w14:paraId="73C8B450"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40.6</w:t>
            </w:r>
          </w:p>
        </w:tc>
        <w:tc>
          <w:tcPr>
            <w:tcW w:w="295" w:type="dxa"/>
            <w:gridSpan w:val="3"/>
            <w:noWrap/>
          </w:tcPr>
          <w:p w14:paraId="75BA4F94" w14:textId="5C03DA0B" w:rsidR="00A74860" w:rsidRDefault="00A74860">
            <w:pPr>
              <w:spacing w:before="60" w:after="60" w:line="240" w:lineRule="auto"/>
              <w:jc w:val="right"/>
              <w:rPr>
                <w:rFonts w:cstheme="minorHAnsi"/>
                <w:color w:val="000000"/>
                <w:sz w:val="18"/>
                <w:szCs w:val="18"/>
                <w:lang w:eastAsia="en-US"/>
              </w:rPr>
            </w:pPr>
          </w:p>
        </w:tc>
      </w:tr>
      <w:tr w:rsidR="00A74860" w14:paraId="4E11A375" w14:textId="77777777" w:rsidTr="00E47DCC">
        <w:trPr>
          <w:trHeight w:val="320"/>
        </w:trPr>
        <w:tc>
          <w:tcPr>
            <w:tcW w:w="1415" w:type="dxa"/>
            <w:tcBorders>
              <w:top w:val="nil"/>
              <w:left w:val="nil"/>
              <w:bottom w:val="single" w:sz="4" w:space="0" w:color="auto"/>
              <w:right w:val="nil"/>
            </w:tcBorders>
            <w:noWrap/>
            <w:hideMark/>
          </w:tcPr>
          <w:p w14:paraId="1BCF6104"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Not stated</w:t>
            </w:r>
          </w:p>
        </w:tc>
        <w:tc>
          <w:tcPr>
            <w:tcW w:w="1110" w:type="dxa"/>
            <w:gridSpan w:val="2"/>
            <w:tcBorders>
              <w:top w:val="nil"/>
              <w:left w:val="nil"/>
              <w:bottom w:val="single" w:sz="4" w:space="0" w:color="auto"/>
              <w:right w:val="nil"/>
            </w:tcBorders>
            <w:noWrap/>
            <w:hideMark/>
          </w:tcPr>
          <w:p w14:paraId="7DC99BD5"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254,440</w:t>
            </w:r>
          </w:p>
        </w:tc>
        <w:tc>
          <w:tcPr>
            <w:tcW w:w="1151" w:type="dxa"/>
            <w:tcBorders>
              <w:top w:val="nil"/>
              <w:left w:val="nil"/>
              <w:bottom w:val="single" w:sz="4" w:space="0" w:color="auto"/>
              <w:right w:val="nil"/>
            </w:tcBorders>
            <w:noWrap/>
            <w:hideMark/>
          </w:tcPr>
          <w:p w14:paraId="3A6C4239"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43,149</w:t>
            </w:r>
          </w:p>
        </w:tc>
        <w:tc>
          <w:tcPr>
            <w:tcW w:w="1273" w:type="dxa"/>
            <w:tcBorders>
              <w:top w:val="nil"/>
              <w:left w:val="nil"/>
              <w:bottom w:val="single" w:sz="4" w:space="0" w:color="auto"/>
              <w:right w:val="nil"/>
            </w:tcBorders>
            <w:shd w:val="clear" w:color="auto" w:fill="D9D9D9" w:themeFill="background1" w:themeFillShade="D9"/>
            <w:noWrap/>
            <w:hideMark/>
          </w:tcPr>
          <w:p w14:paraId="66356AAF"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17.0</w:t>
            </w:r>
          </w:p>
        </w:tc>
        <w:tc>
          <w:tcPr>
            <w:tcW w:w="908" w:type="dxa"/>
            <w:tcBorders>
              <w:top w:val="nil"/>
              <w:left w:val="nil"/>
              <w:bottom w:val="single" w:sz="4" w:space="0" w:color="auto"/>
              <w:right w:val="nil"/>
            </w:tcBorders>
            <w:noWrap/>
            <w:hideMark/>
          </w:tcPr>
          <w:p w14:paraId="2A4A9D95"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185910</w:t>
            </w:r>
          </w:p>
        </w:tc>
        <w:tc>
          <w:tcPr>
            <w:tcW w:w="934" w:type="dxa"/>
            <w:gridSpan w:val="2"/>
            <w:tcBorders>
              <w:top w:val="nil"/>
              <w:left w:val="nil"/>
              <w:bottom w:val="single" w:sz="4" w:space="0" w:color="auto"/>
              <w:right w:val="nil"/>
            </w:tcBorders>
            <w:noWrap/>
            <w:hideMark/>
          </w:tcPr>
          <w:p w14:paraId="0B8C2716" w14:textId="77777777" w:rsidR="00A74860" w:rsidRDefault="00A74860">
            <w:pPr>
              <w:spacing w:before="60" w:after="60" w:line="240" w:lineRule="auto"/>
              <w:jc w:val="right"/>
              <w:rPr>
                <w:rFonts w:cstheme="minorHAnsi"/>
                <w:color w:val="000000"/>
                <w:sz w:val="18"/>
                <w:szCs w:val="18"/>
                <w:lang w:eastAsia="en-US"/>
              </w:rPr>
            </w:pPr>
            <w:r>
              <w:rPr>
                <w:rFonts w:cstheme="minorHAnsi"/>
                <w:color w:val="000000"/>
                <w:sz w:val="18"/>
                <w:szCs w:val="18"/>
                <w:lang w:eastAsia="en-US"/>
              </w:rPr>
              <w:t>31019</w:t>
            </w:r>
          </w:p>
        </w:tc>
        <w:tc>
          <w:tcPr>
            <w:tcW w:w="1278" w:type="dxa"/>
            <w:gridSpan w:val="3"/>
            <w:tcBorders>
              <w:top w:val="nil"/>
              <w:left w:val="nil"/>
              <w:bottom w:val="single" w:sz="4" w:space="0" w:color="auto"/>
              <w:right w:val="nil"/>
            </w:tcBorders>
            <w:shd w:val="clear" w:color="auto" w:fill="D9D9D9" w:themeFill="background1" w:themeFillShade="D9"/>
            <w:noWrap/>
            <w:hideMark/>
          </w:tcPr>
          <w:p w14:paraId="1AC4352F" w14:textId="77777777" w:rsidR="00A74860" w:rsidRDefault="00A74860">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16.7</w:t>
            </w:r>
          </w:p>
        </w:tc>
        <w:tc>
          <w:tcPr>
            <w:tcW w:w="295" w:type="dxa"/>
            <w:gridSpan w:val="3"/>
            <w:tcBorders>
              <w:top w:val="nil"/>
              <w:left w:val="nil"/>
              <w:right w:val="nil"/>
            </w:tcBorders>
            <w:noWrap/>
          </w:tcPr>
          <w:p w14:paraId="74391CC5" w14:textId="1AD0BFA0" w:rsidR="00A74860" w:rsidRDefault="00A74860">
            <w:pPr>
              <w:spacing w:before="60" w:after="60" w:line="240" w:lineRule="auto"/>
              <w:jc w:val="right"/>
              <w:rPr>
                <w:rFonts w:cstheme="minorHAnsi"/>
                <w:color w:val="000000"/>
                <w:sz w:val="18"/>
                <w:szCs w:val="18"/>
                <w:lang w:eastAsia="en-US"/>
              </w:rPr>
            </w:pPr>
          </w:p>
        </w:tc>
      </w:tr>
      <w:tr w:rsidR="00E47DCC" w14:paraId="3E155ED8" w14:textId="77777777" w:rsidTr="00E47DCC">
        <w:trPr>
          <w:gridAfter w:val="3"/>
          <w:wAfter w:w="295" w:type="dxa"/>
          <w:trHeight w:val="320"/>
        </w:trPr>
        <w:tc>
          <w:tcPr>
            <w:tcW w:w="1415" w:type="dxa"/>
            <w:tcBorders>
              <w:top w:val="single" w:sz="4" w:space="0" w:color="auto"/>
              <w:left w:val="nil"/>
              <w:bottom w:val="single" w:sz="4" w:space="0" w:color="auto"/>
              <w:right w:val="nil"/>
            </w:tcBorders>
            <w:noWrap/>
            <w:hideMark/>
          </w:tcPr>
          <w:p w14:paraId="15B89CF1" w14:textId="77777777" w:rsidR="00E47DCC" w:rsidRDefault="00E47DCC">
            <w:pPr>
              <w:spacing w:before="60" w:after="60" w:line="240" w:lineRule="auto"/>
              <w:rPr>
                <w:rFonts w:cstheme="minorHAnsi"/>
                <w:b/>
                <w:bCs/>
                <w:color w:val="000000"/>
                <w:sz w:val="18"/>
                <w:szCs w:val="18"/>
                <w:lang w:eastAsia="en-US"/>
              </w:rPr>
            </w:pPr>
            <w:r>
              <w:rPr>
                <w:rFonts w:cstheme="minorHAnsi"/>
                <w:b/>
                <w:bCs/>
                <w:color w:val="000000"/>
                <w:sz w:val="18"/>
                <w:szCs w:val="18"/>
                <w:lang w:eastAsia="en-US"/>
              </w:rPr>
              <w:t>All Australia</w:t>
            </w:r>
            <w:r>
              <w:rPr>
                <w:rFonts w:cstheme="minorHAnsi"/>
                <w:b/>
                <w:bCs/>
                <w:color w:val="000000"/>
                <w:sz w:val="18"/>
                <w:szCs w:val="18"/>
                <w:lang w:eastAsia="en-US"/>
              </w:rPr>
              <w:br/>
              <w:t>total</w:t>
            </w:r>
          </w:p>
        </w:tc>
        <w:tc>
          <w:tcPr>
            <w:tcW w:w="1110" w:type="dxa"/>
            <w:gridSpan w:val="2"/>
            <w:tcBorders>
              <w:top w:val="single" w:sz="4" w:space="0" w:color="auto"/>
              <w:left w:val="nil"/>
              <w:bottom w:val="single" w:sz="4" w:space="0" w:color="auto"/>
              <w:right w:val="nil"/>
            </w:tcBorders>
            <w:noWrap/>
            <w:hideMark/>
          </w:tcPr>
          <w:p w14:paraId="6669906E" w14:textId="77777777" w:rsidR="00E47DCC" w:rsidRDefault="00E47DCC">
            <w:pPr>
              <w:spacing w:before="60" w:after="60" w:line="240" w:lineRule="auto"/>
              <w:jc w:val="right"/>
              <w:rPr>
                <w:rFonts w:cstheme="minorHAnsi"/>
                <w:color w:val="000000"/>
                <w:sz w:val="18"/>
                <w:szCs w:val="18"/>
                <w:lang w:eastAsia="en-US"/>
              </w:rPr>
            </w:pPr>
            <w:r>
              <w:rPr>
                <w:rFonts w:cstheme="minorHAnsi"/>
                <w:color w:val="000000"/>
                <w:sz w:val="18"/>
                <w:szCs w:val="18"/>
                <w:lang w:eastAsia="en-US"/>
              </w:rPr>
              <w:t>4,100,347</w:t>
            </w:r>
          </w:p>
        </w:tc>
        <w:tc>
          <w:tcPr>
            <w:tcW w:w="1151" w:type="dxa"/>
            <w:tcBorders>
              <w:top w:val="single" w:sz="4" w:space="0" w:color="auto"/>
              <w:left w:val="nil"/>
              <w:bottom w:val="single" w:sz="4" w:space="0" w:color="auto"/>
              <w:right w:val="nil"/>
            </w:tcBorders>
            <w:noWrap/>
            <w:hideMark/>
          </w:tcPr>
          <w:p w14:paraId="7AD6C5B7" w14:textId="77777777" w:rsidR="00E47DCC" w:rsidRDefault="00E47DCC">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1,692,806</w:t>
            </w:r>
          </w:p>
        </w:tc>
        <w:tc>
          <w:tcPr>
            <w:tcW w:w="1273" w:type="dxa"/>
            <w:tcBorders>
              <w:top w:val="single" w:sz="4" w:space="0" w:color="auto"/>
              <w:left w:val="nil"/>
              <w:bottom w:val="single" w:sz="4" w:space="0" w:color="auto"/>
              <w:right w:val="nil"/>
            </w:tcBorders>
            <w:shd w:val="clear" w:color="auto" w:fill="D9D9D9" w:themeFill="background1" w:themeFillShade="D9"/>
            <w:noWrap/>
            <w:hideMark/>
          </w:tcPr>
          <w:p w14:paraId="1C6C040E" w14:textId="77777777" w:rsidR="00E47DCC" w:rsidRDefault="00E47DCC">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41.3</w:t>
            </w:r>
          </w:p>
        </w:tc>
        <w:tc>
          <w:tcPr>
            <w:tcW w:w="908" w:type="dxa"/>
            <w:tcBorders>
              <w:top w:val="single" w:sz="4" w:space="0" w:color="auto"/>
              <w:left w:val="nil"/>
              <w:bottom w:val="single" w:sz="4" w:space="0" w:color="auto"/>
              <w:right w:val="nil"/>
            </w:tcBorders>
            <w:noWrap/>
            <w:hideMark/>
          </w:tcPr>
          <w:p w14:paraId="76E44940" w14:textId="77777777" w:rsidR="00E47DCC" w:rsidRDefault="00E47DCC">
            <w:pPr>
              <w:spacing w:before="60" w:after="60" w:line="240" w:lineRule="auto"/>
              <w:jc w:val="right"/>
              <w:rPr>
                <w:rFonts w:cstheme="minorHAnsi"/>
                <w:color w:val="000000"/>
                <w:sz w:val="18"/>
                <w:szCs w:val="18"/>
                <w:lang w:eastAsia="en-US"/>
              </w:rPr>
            </w:pPr>
            <w:r>
              <w:rPr>
                <w:rFonts w:cstheme="minorHAnsi"/>
                <w:color w:val="000000"/>
                <w:sz w:val="18"/>
                <w:szCs w:val="18"/>
                <w:lang w:eastAsia="en-US"/>
              </w:rPr>
              <w:t>2994319</w:t>
            </w:r>
          </w:p>
        </w:tc>
        <w:tc>
          <w:tcPr>
            <w:tcW w:w="934" w:type="dxa"/>
            <w:gridSpan w:val="2"/>
            <w:tcBorders>
              <w:top w:val="single" w:sz="4" w:space="0" w:color="auto"/>
              <w:left w:val="nil"/>
              <w:bottom w:val="single" w:sz="4" w:space="0" w:color="auto"/>
              <w:right w:val="nil"/>
            </w:tcBorders>
            <w:noWrap/>
            <w:hideMark/>
          </w:tcPr>
          <w:p w14:paraId="2EDB16FC" w14:textId="77777777" w:rsidR="00E47DCC" w:rsidRDefault="00E47DCC">
            <w:pPr>
              <w:spacing w:before="60" w:after="60" w:line="240" w:lineRule="auto"/>
              <w:jc w:val="right"/>
              <w:rPr>
                <w:rFonts w:cstheme="minorHAnsi"/>
                <w:color w:val="000000"/>
                <w:sz w:val="18"/>
                <w:szCs w:val="18"/>
                <w:lang w:eastAsia="en-US"/>
              </w:rPr>
            </w:pPr>
            <w:r>
              <w:rPr>
                <w:rFonts w:cstheme="minorHAnsi"/>
                <w:color w:val="000000"/>
                <w:sz w:val="18"/>
                <w:szCs w:val="18"/>
                <w:lang w:eastAsia="en-US"/>
              </w:rPr>
              <w:t>1164316</w:t>
            </w:r>
          </w:p>
        </w:tc>
        <w:tc>
          <w:tcPr>
            <w:tcW w:w="1278" w:type="dxa"/>
            <w:gridSpan w:val="3"/>
            <w:tcBorders>
              <w:top w:val="single" w:sz="4" w:space="0" w:color="auto"/>
              <w:left w:val="nil"/>
              <w:bottom w:val="single" w:sz="4" w:space="0" w:color="auto"/>
              <w:right w:val="nil"/>
            </w:tcBorders>
            <w:shd w:val="clear" w:color="auto" w:fill="D9D9D9" w:themeFill="background1" w:themeFillShade="D9"/>
            <w:noWrap/>
            <w:hideMark/>
          </w:tcPr>
          <w:p w14:paraId="260D8968" w14:textId="77777777" w:rsidR="00E47DCC" w:rsidRDefault="00E47DCC">
            <w:pPr>
              <w:spacing w:before="60" w:after="60" w:line="240" w:lineRule="auto"/>
              <w:jc w:val="center"/>
              <w:rPr>
                <w:rFonts w:cstheme="minorHAnsi"/>
                <w:color w:val="000000"/>
                <w:sz w:val="18"/>
                <w:szCs w:val="18"/>
                <w:lang w:eastAsia="en-US"/>
              </w:rPr>
            </w:pPr>
            <w:r>
              <w:rPr>
                <w:rFonts w:cstheme="minorHAnsi"/>
                <w:color w:val="000000"/>
                <w:sz w:val="18"/>
                <w:szCs w:val="18"/>
                <w:lang w:eastAsia="en-US"/>
              </w:rPr>
              <w:t>38.9</w:t>
            </w:r>
          </w:p>
        </w:tc>
      </w:tr>
      <w:tr w:rsidR="00A74860" w14:paraId="756B3AE3" w14:textId="77777777" w:rsidTr="00E47DCC">
        <w:trPr>
          <w:trHeight w:val="320"/>
        </w:trPr>
        <w:tc>
          <w:tcPr>
            <w:tcW w:w="8364" w:type="dxa"/>
            <w:gridSpan w:val="14"/>
            <w:tcBorders>
              <w:left w:val="nil"/>
              <w:bottom w:val="nil"/>
              <w:right w:val="nil"/>
            </w:tcBorders>
            <w:noWrap/>
            <w:hideMark/>
          </w:tcPr>
          <w:p w14:paraId="54E46BF2"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Notes</w:t>
            </w:r>
          </w:p>
          <w:p w14:paraId="5A0DF6D5" w14:textId="77777777" w:rsidR="00A74860" w:rsidRDefault="00A74860">
            <w:pPr>
              <w:spacing w:before="60" w:after="60" w:line="240" w:lineRule="auto"/>
              <w:rPr>
                <w:rFonts w:cstheme="minorHAnsi"/>
                <w:sz w:val="18"/>
                <w:szCs w:val="18"/>
                <w:lang w:eastAsia="en-US"/>
              </w:rPr>
            </w:pPr>
            <w:r>
              <w:rPr>
                <w:rFonts w:cstheme="minorHAnsi"/>
                <w:sz w:val="18"/>
                <w:szCs w:val="18"/>
                <w:lang w:eastAsia="en-US"/>
              </w:rPr>
              <w:t xml:space="preserve">a. Participation is reported for 2016–2017 invitees through the usual pathway, with kits returned until 30 June 2018. Participation rates for non-Indigenous, Indigenous status not stated and total were calculated using NBCSP Register data. </w:t>
            </w:r>
          </w:p>
          <w:p w14:paraId="64C33400" w14:textId="77777777" w:rsidR="00A74860" w:rsidRDefault="00A74860">
            <w:pPr>
              <w:spacing w:before="60" w:after="60" w:line="240" w:lineRule="auto"/>
              <w:rPr>
                <w:rFonts w:cstheme="minorHAnsi"/>
                <w:sz w:val="18"/>
                <w:szCs w:val="18"/>
                <w:lang w:eastAsia="en-US"/>
              </w:rPr>
            </w:pPr>
            <w:r>
              <w:rPr>
                <w:rFonts w:cstheme="minorHAnsi"/>
                <w:sz w:val="18"/>
                <w:szCs w:val="18"/>
                <w:lang w:eastAsia="en-US"/>
              </w:rPr>
              <w:t>b. Participation for the Pilot period includes those invited through the usual pathway between 1 November 2018 to 31 October 2019, including kits returned until 31 October 2019. Those given kits through the Alternative Pathway were not included.</w:t>
            </w:r>
          </w:p>
          <w:p w14:paraId="2FAED00C" w14:textId="77777777" w:rsidR="00A74860" w:rsidRDefault="00A74860">
            <w:pPr>
              <w:spacing w:before="60" w:after="60" w:line="240" w:lineRule="auto"/>
              <w:rPr>
                <w:rFonts w:cstheme="minorHAnsi"/>
                <w:sz w:val="18"/>
                <w:szCs w:val="18"/>
                <w:lang w:eastAsia="en-US"/>
              </w:rPr>
            </w:pPr>
            <w:r>
              <w:rPr>
                <w:rFonts w:cstheme="minorHAnsi"/>
                <w:sz w:val="18"/>
                <w:szCs w:val="18"/>
                <w:lang w:eastAsia="en-US"/>
              </w:rPr>
              <w:t xml:space="preserve">c. Geographic areas around Pilot sites were identified by postcodes approximating health centre catchment areas, or, in the case of metropolitan areas, to an area large enough to avoid postcode-specific outliers. Areas around Pilot health centres were not exclusive; some postcodes were linked with more than one Pilot health centre. (There is no direct link in NBCSP data between health centres and invitees.) </w:t>
            </w:r>
          </w:p>
          <w:p w14:paraId="60703359" w14:textId="7D90B236" w:rsidR="00A74860" w:rsidRDefault="00A74860">
            <w:pPr>
              <w:spacing w:before="60" w:after="60" w:line="240" w:lineRule="auto"/>
              <w:rPr>
                <w:rFonts w:cstheme="minorHAnsi"/>
                <w:color w:val="000000"/>
                <w:sz w:val="18"/>
                <w:szCs w:val="18"/>
                <w:lang w:eastAsia="en-US"/>
              </w:rPr>
            </w:pPr>
            <w:r>
              <w:rPr>
                <w:rFonts w:cstheme="minorHAnsi"/>
                <w:sz w:val="18"/>
                <w:szCs w:val="18"/>
                <w:lang w:eastAsia="en-US"/>
              </w:rPr>
              <w:t xml:space="preserve">d. Indigenous invitees in areas around Pilot sites were estimated by applying 2016 Indigenous status Census proportions to total invitations, for postcodes defined for each health centre area, except where a higher number of invitations than the Census estimate were recorded in the Register for that postcode. In these </w:t>
            </w:r>
            <w:r w:rsidR="00657A57">
              <w:rPr>
                <w:rFonts w:cstheme="minorHAnsi"/>
                <w:sz w:val="18"/>
                <w:szCs w:val="18"/>
                <w:lang w:eastAsia="en-US"/>
              </w:rPr>
              <w:t>cases,</w:t>
            </w:r>
            <w:r>
              <w:rPr>
                <w:rFonts w:cstheme="minorHAnsi"/>
                <w:sz w:val="18"/>
                <w:szCs w:val="18"/>
                <w:lang w:eastAsia="en-US"/>
              </w:rPr>
              <w:t xml:space="preserve"> the higher number of invitations was counted. </w:t>
            </w:r>
          </w:p>
          <w:p w14:paraId="4B6ED91D" w14:textId="77777777" w:rsidR="00A74860" w:rsidRDefault="00A74860">
            <w:pPr>
              <w:spacing w:before="60" w:after="60" w:line="240" w:lineRule="auto"/>
              <w:rPr>
                <w:rFonts w:cstheme="minorHAnsi"/>
                <w:sz w:val="18"/>
                <w:szCs w:val="18"/>
                <w:lang w:eastAsia="en-US"/>
              </w:rPr>
            </w:pPr>
            <w:r>
              <w:rPr>
                <w:rFonts w:cstheme="minorHAnsi"/>
                <w:sz w:val="18"/>
                <w:szCs w:val="18"/>
                <w:lang w:eastAsia="en-US"/>
              </w:rPr>
              <w:t xml:space="preserve">Biennial screening for those aged 50–74 was not fully rolled out during 2016-2017; the specific ages invited within the 50–74 age range included 50, 54, 55, 58, 60, 64, 65, 68, 70, 72 and 74. </w:t>
            </w:r>
          </w:p>
          <w:p w14:paraId="768C0A12" w14:textId="77777777" w:rsidR="00A74860" w:rsidRDefault="00A74860">
            <w:pPr>
              <w:spacing w:before="60" w:after="60" w:line="240" w:lineRule="auto"/>
              <w:rPr>
                <w:rFonts w:cstheme="minorHAnsi"/>
                <w:sz w:val="20"/>
                <w:szCs w:val="20"/>
                <w:highlight w:val="yellow"/>
                <w:lang w:eastAsia="en-US"/>
              </w:rPr>
            </w:pPr>
            <w:r>
              <w:rPr>
                <w:rFonts w:cstheme="minorHAnsi"/>
                <w:sz w:val="18"/>
                <w:szCs w:val="18"/>
                <w:lang w:eastAsia="en-US"/>
              </w:rPr>
              <w:t xml:space="preserve">Source: 2016-2017 data from AIHW analysis of the NBCSP Register as at 30 June 2018; Pilot period data from </w:t>
            </w:r>
            <w:r>
              <w:rPr>
                <w:rFonts w:cstheme="minorHAnsi"/>
                <w:color w:val="000000"/>
                <w:sz w:val="18"/>
                <w:szCs w:val="18"/>
                <w:lang w:eastAsia="en-US"/>
              </w:rPr>
              <w:t>AIHW analysis of the NBCSP Register as at 31 October 2019; AIHW data collated and participation rates compared by Menzies.</w:t>
            </w:r>
          </w:p>
        </w:tc>
      </w:tr>
      <w:tr w:rsidR="00A74860" w14:paraId="39D6C51F" w14:textId="77777777" w:rsidTr="00D60301">
        <w:trPr>
          <w:trHeight w:val="320"/>
        </w:trPr>
        <w:tc>
          <w:tcPr>
            <w:tcW w:w="6029" w:type="dxa"/>
            <w:gridSpan w:val="7"/>
            <w:noWrap/>
            <w:vAlign w:val="bottom"/>
            <w:hideMark/>
          </w:tcPr>
          <w:p w14:paraId="2DBF1B77" w14:textId="77777777" w:rsidR="00A74860" w:rsidRDefault="00A74860">
            <w:pPr>
              <w:rPr>
                <w:rFonts w:cstheme="minorHAnsi"/>
                <w:sz w:val="20"/>
                <w:szCs w:val="20"/>
                <w:highlight w:val="yellow"/>
                <w:lang w:eastAsia="en-US"/>
              </w:rPr>
            </w:pPr>
          </w:p>
        </w:tc>
        <w:tc>
          <w:tcPr>
            <w:tcW w:w="877" w:type="dxa"/>
            <w:gridSpan w:val="2"/>
            <w:noWrap/>
            <w:vAlign w:val="bottom"/>
            <w:hideMark/>
          </w:tcPr>
          <w:p w14:paraId="178D6798" w14:textId="77777777" w:rsidR="00A74860" w:rsidRDefault="00A74860">
            <w:pPr>
              <w:spacing w:before="0" w:after="0" w:line="240" w:lineRule="auto"/>
              <w:rPr>
                <w:rFonts w:eastAsiaTheme="minorHAnsi"/>
                <w:sz w:val="20"/>
                <w:szCs w:val="20"/>
              </w:rPr>
            </w:pPr>
          </w:p>
        </w:tc>
        <w:tc>
          <w:tcPr>
            <w:tcW w:w="1173" w:type="dxa"/>
            <w:gridSpan w:val="3"/>
            <w:noWrap/>
            <w:vAlign w:val="bottom"/>
            <w:hideMark/>
          </w:tcPr>
          <w:p w14:paraId="26CBF103" w14:textId="77777777" w:rsidR="00A74860" w:rsidRDefault="00A74860">
            <w:pPr>
              <w:spacing w:before="0" w:after="0" w:line="240" w:lineRule="auto"/>
              <w:rPr>
                <w:rFonts w:eastAsiaTheme="minorHAnsi"/>
                <w:sz w:val="20"/>
                <w:szCs w:val="20"/>
              </w:rPr>
            </w:pPr>
          </w:p>
        </w:tc>
        <w:tc>
          <w:tcPr>
            <w:tcW w:w="285" w:type="dxa"/>
            <w:gridSpan w:val="2"/>
            <w:noWrap/>
            <w:vAlign w:val="bottom"/>
            <w:hideMark/>
          </w:tcPr>
          <w:p w14:paraId="78E9BBCE" w14:textId="77777777" w:rsidR="00A74860" w:rsidRDefault="00A74860">
            <w:pPr>
              <w:spacing w:before="0" w:after="0" w:line="240" w:lineRule="auto"/>
              <w:rPr>
                <w:rFonts w:eastAsiaTheme="minorHAnsi"/>
                <w:sz w:val="20"/>
                <w:szCs w:val="20"/>
              </w:rPr>
            </w:pPr>
          </w:p>
        </w:tc>
      </w:tr>
    </w:tbl>
    <w:p w14:paraId="7F5516B1" w14:textId="77777777" w:rsidR="00A74860" w:rsidRDefault="00A74860" w:rsidP="00A74860">
      <w:pPr>
        <w:rPr>
          <w:rFonts w:cstheme="minorHAnsi"/>
          <w:b/>
          <w:bCs/>
        </w:rPr>
      </w:pPr>
      <w:r>
        <w:rPr>
          <w:rFonts w:cstheme="minorHAnsi"/>
          <w:b/>
          <w:bCs/>
        </w:rPr>
        <w:t>Calculating Alternative Pathway participation using different denominators</w:t>
      </w:r>
    </w:p>
    <w:p w14:paraId="7E547BBC" w14:textId="77777777" w:rsidR="00A74860" w:rsidRDefault="00A74860" w:rsidP="00A74860">
      <w:pPr>
        <w:rPr>
          <w:rFonts w:cstheme="minorHAnsi"/>
        </w:rPr>
      </w:pPr>
      <w:r>
        <w:rPr>
          <w:rFonts w:cstheme="minorHAnsi"/>
        </w:rPr>
        <w:t>Table 8.3 presents a comparison of three different denominators that can be used to calculate screening participation using the available data, to try to gain a broader perspective on the suitability of using ‘kits given out’ as a denominator for participation through the Alternative  Pathway.</w:t>
      </w:r>
    </w:p>
    <w:p w14:paraId="0A1BC9D2" w14:textId="77777777" w:rsidR="00A74860" w:rsidRDefault="00A74860" w:rsidP="00A74860">
      <w:pPr>
        <w:rPr>
          <w:rFonts w:cstheme="minorHAnsi"/>
        </w:rPr>
      </w:pPr>
      <w:r>
        <w:rPr>
          <w:rFonts w:cstheme="minorHAnsi"/>
          <w:i/>
          <w:iCs/>
        </w:rPr>
        <w:lastRenderedPageBreak/>
        <w:t>Example 1: Persons assessed for screening</w:t>
      </w:r>
      <w:r>
        <w:rPr>
          <w:rFonts w:cstheme="minorHAnsi"/>
        </w:rPr>
        <w:t xml:space="preserve">. Participation was calculated for the 15 Pilot sites that reported patients who were assessed for screening but not given kits, in addition to those who were given kits, and compared with usual pathway participation by Indigenous people in the geographic areas around those 15 sites.  </w:t>
      </w:r>
    </w:p>
    <w:p w14:paraId="671A2DC4" w14:textId="5ED48422" w:rsidR="00A74860" w:rsidRDefault="00A74860" w:rsidP="00A74860">
      <w:pPr>
        <w:rPr>
          <w:rFonts w:cstheme="minorHAnsi"/>
        </w:rPr>
      </w:pPr>
      <w:r>
        <w:rPr>
          <w:rFonts w:cstheme="minorHAnsi"/>
        </w:rPr>
        <w:t xml:space="preserve">Of the 670 individuals assessed by these 15 health centres, 558 were given kits and 112 were assessed as unsuitable for screening or declined to take a kit. Participation </w:t>
      </w:r>
      <w:r w:rsidR="00463DF2">
        <w:rPr>
          <w:rFonts w:cstheme="minorHAnsi"/>
        </w:rPr>
        <w:t xml:space="preserve">using these figures was 37.2%, </w:t>
      </w:r>
      <w:r>
        <w:rPr>
          <w:rFonts w:cstheme="minorHAnsi"/>
        </w:rPr>
        <w:t>compared with the usual pathway rate for participation for Indigenous people for the same area and time</w:t>
      </w:r>
      <w:r w:rsidR="00703443">
        <w:rPr>
          <w:rFonts w:cstheme="minorHAnsi"/>
        </w:rPr>
        <w:t xml:space="preserve">: </w:t>
      </w:r>
      <w:r>
        <w:rPr>
          <w:rFonts w:cstheme="minorHAnsi"/>
        </w:rPr>
        <w:t xml:space="preserve">31.6%.  </w:t>
      </w:r>
    </w:p>
    <w:p w14:paraId="725AA60C" w14:textId="77777777" w:rsidR="00A74860" w:rsidRDefault="00A74860" w:rsidP="00A74860">
      <w:pPr>
        <w:rPr>
          <w:rFonts w:cstheme="minorHAnsi"/>
        </w:rPr>
      </w:pPr>
      <w:r>
        <w:rPr>
          <w:rFonts w:cstheme="minorHAnsi"/>
          <w:i/>
          <w:iCs/>
        </w:rPr>
        <w:t>Example 2.</w:t>
      </w:r>
      <w:r>
        <w:rPr>
          <w:rFonts w:cstheme="minorHAnsi"/>
        </w:rPr>
        <w:t xml:space="preserve"> </w:t>
      </w:r>
      <w:r>
        <w:rPr>
          <w:rFonts w:cstheme="minorHAnsi"/>
          <w:i/>
          <w:iCs/>
        </w:rPr>
        <w:t>Kits given out, cleaned and corrected data</w:t>
      </w:r>
      <w:r>
        <w:rPr>
          <w:rFonts w:cstheme="minorHAnsi"/>
        </w:rPr>
        <w:t xml:space="preserve">, as reported in Table 8.1 above. </w:t>
      </w:r>
    </w:p>
    <w:p w14:paraId="1AA0FF24" w14:textId="0AD1AE43" w:rsidR="00A74860" w:rsidRDefault="00A74860" w:rsidP="00A74860">
      <w:pPr>
        <w:rPr>
          <w:rFonts w:cstheme="minorHAnsi"/>
        </w:rPr>
      </w:pPr>
      <w:r>
        <w:rPr>
          <w:rFonts w:cstheme="minorHAnsi"/>
          <w:i/>
          <w:iCs/>
        </w:rPr>
        <w:t>Example 3.</w:t>
      </w:r>
      <w:r>
        <w:rPr>
          <w:rFonts w:cstheme="minorHAnsi"/>
        </w:rPr>
        <w:t xml:space="preserve"> </w:t>
      </w:r>
      <w:r>
        <w:rPr>
          <w:rFonts w:cstheme="minorHAnsi"/>
          <w:i/>
          <w:iCs/>
        </w:rPr>
        <w:t>Kits given out plus persons assessed but not given a kit.</w:t>
      </w:r>
      <w:r>
        <w:rPr>
          <w:rFonts w:cstheme="minorHAnsi"/>
        </w:rPr>
        <w:t xml:space="preserve"> When the AIHW cleaned and corrected the data from Pilot sites from the Register data, the number of kits given out by these 15 Pilot sites dropped by 20 to 538, and the number of kits returned increased by 10 to 259. The AIHW only looked at the data recorded in the Register, so these adjustments did not affect the numbers of patients who were assessed but not given a kit. If the number of people assessed but not given a kit is added to the corrected figures of who were given a kit</w:t>
      </w:r>
      <w:r>
        <w:rPr>
          <w:rFonts w:cstheme="minorHAnsi"/>
          <w:i/>
          <w:iCs/>
        </w:rPr>
        <w:t xml:space="preserve">, </w:t>
      </w:r>
      <w:r>
        <w:rPr>
          <w:rFonts w:cstheme="minorHAnsi"/>
        </w:rPr>
        <w:t>the participation rate for this sample is 39.8%.</w:t>
      </w:r>
    </w:p>
    <w:p w14:paraId="2D68C765" w14:textId="77777777" w:rsidR="00A74860" w:rsidRDefault="00A74860" w:rsidP="00A74860">
      <w:pPr>
        <w:rPr>
          <w:rFonts w:cstheme="minorHAnsi"/>
        </w:rPr>
      </w:pPr>
      <w:r>
        <w:rPr>
          <w:rFonts w:cstheme="minorHAnsi"/>
        </w:rPr>
        <w:t xml:space="preserve">Examples 1 and 3 uses a denominator to calculate Pilot participation that is the closest available to the concept of ‘those invited’ in routine reporting of the usual pathway for all Australians. It may therefore be a more reliable measure of participation than using the denominator of kits given out. A limitation of using this denominator is that these 15 sites were predominantly health centres that achieved high levels of participation, suggesting the participation rate of 39.8% may still be an overestimate. Unfortunately, this denominator of ‘persons assessed’ for screening (whether given a kit or not) cannot be applied when comparing other variables or for totals including other Pilot sites. Therefore ‘kits given out’ is used as the denominator for the reporting of all other screening participation results in this report. </w:t>
      </w:r>
    </w:p>
    <w:p w14:paraId="27B633D3" w14:textId="77777777" w:rsidR="00A74860" w:rsidRDefault="00A74860" w:rsidP="00A74860">
      <w:pPr>
        <w:rPr>
          <w:rFonts w:cstheme="minorHAnsi"/>
        </w:rPr>
      </w:pPr>
    </w:p>
    <w:p w14:paraId="43A35660" w14:textId="77777777" w:rsidR="00703443" w:rsidRDefault="00703443">
      <w:pPr>
        <w:spacing w:before="0" w:after="0" w:line="240" w:lineRule="auto"/>
        <w:rPr>
          <w:rFonts w:cstheme="minorHAnsi"/>
          <w:b/>
          <w:bCs/>
        </w:rPr>
      </w:pPr>
      <w:r>
        <w:rPr>
          <w:rFonts w:cstheme="minorHAnsi"/>
          <w:b/>
          <w:bCs/>
        </w:rPr>
        <w:br w:type="page"/>
      </w:r>
    </w:p>
    <w:p w14:paraId="13EF0018" w14:textId="603746C8" w:rsidR="00A74860" w:rsidRDefault="00A74860" w:rsidP="00A74860">
      <w:pPr>
        <w:rPr>
          <w:rFonts w:cstheme="minorHAnsi"/>
          <w:b/>
          <w:bCs/>
        </w:rPr>
      </w:pPr>
      <w:r>
        <w:rPr>
          <w:rFonts w:cstheme="minorHAnsi"/>
          <w:b/>
          <w:bCs/>
        </w:rPr>
        <w:lastRenderedPageBreak/>
        <w:t xml:space="preserve">Table 8.3. Participation in NBCSP through Alternative Pathway (various denominators </w:t>
      </w:r>
      <w:proofErr w:type="gramStart"/>
      <w:r>
        <w:rPr>
          <w:rFonts w:cstheme="minorHAnsi"/>
          <w:b/>
          <w:bCs/>
        </w:rPr>
        <w:t>applied)  and</w:t>
      </w:r>
      <w:proofErr w:type="gramEnd"/>
      <w:r>
        <w:rPr>
          <w:rFonts w:cstheme="minorHAnsi"/>
          <w:b/>
          <w:bCs/>
        </w:rPr>
        <w:t xml:space="preserve"> usual pathway, for geographic areas around 15 Pilot sites, 1 Nov 2019 to 31 Oct 2019.</w:t>
      </w:r>
    </w:p>
    <w:tbl>
      <w:tblPr>
        <w:tblStyle w:val="TableGrid"/>
        <w:tblW w:w="9135"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72"/>
        <w:gridCol w:w="141"/>
        <w:gridCol w:w="142"/>
        <w:gridCol w:w="1535"/>
        <w:gridCol w:w="1315"/>
        <w:gridCol w:w="1315"/>
        <w:gridCol w:w="1315"/>
      </w:tblGrid>
      <w:tr w:rsidR="00A74860" w14:paraId="4ADC5CC9" w14:textId="77777777" w:rsidTr="00CA0599">
        <w:trPr>
          <w:tblHeader/>
        </w:trPr>
        <w:tc>
          <w:tcPr>
            <w:tcW w:w="3369" w:type="dxa"/>
            <w:tcBorders>
              <w:top w:val="nil"/>
              <w:left w:val="nil"/>
              <w:bottom w:val="single" w:sz="4" w:space="0" w:color="auto"/>
              <w:right w:val="nil"/>
            </w:tcBorders>
            <w:hideMark/>
          </w:tcPr>
          <w:p w14:paraId="52E35569" w14:textId="77777777" w:rsidR="00A74860" w:rsidRDefault="00A74860">
            <w:pPr>
              <w:keepLines/>
              <w:widowControl w:val="0"/>
              <w:spacing w:before="80" w:after="80" w:line="240" w:lineRule="auto"/>
              <w:rPr>
                <w:rFonts w:cstheme="minorHAnsi"/>
                <w:b/>
                <w:bCs/>
                <w:sz w:val="18"/>
                <w:szCs w:val="20"/>
                <w:lang w:eastAsia="en-US"/>
              </w:rPr>
            </w:pPr>
            <w:r>
              <w:rPr>
                <w:rFonts w:cstheme="minorHAnsi"/>
                <w:b/>
                <w:bCs/>
                <w:sz w:val="18"/>
                <w:szCs w:val="20"/>
                <w:lang w:eastAsia="en-US"/>
              </w:rPr>
              <w:t xml:space="preserve"> Group</w:t>
            </w:r>
          </w:p>
        </w:tc>
        <w:tc>
          <w:tcPr>
            <w:tcW w:w="1817" w:type="dxa"/>
            <w:gridSpan w:val="3"/>
            <w:tcBorders>
              <w:top w:val="nil"/>
              <w:left w:val="nil"/>
              <w:bottom w:val="single" w:sz="4" w:space="0" w:color="auto"/>
              <w:right w:val="nil"/>
            </w:tcBorders>
            <w:hideMark/>
          </w:tcPr>
          <w:p w14:paraId="76507BED" w14:textId="77777777" w:rsidR="00A74860" w:rsidRDefault="00A74860">
            <w:pPr>
              <w:keepLines/>
              <w:widowControl w:val="0"/>
              <w:spacing w:before="80" w:after="80" w:line="240" w:lineRule="auto"/>
              <w:jc w:val="center"/>
              <w:rPr>
                <w:rFonts w:cstheme="minorHAnsi"/>
                <w:b/>
                <w:bCs/>
                <w:sz w:val="18"/>
                <w:szCs w:val="20"/>
                <w:lang w:eastAsia="en-US"/>
              </w:rPr>
            </w:pPr>
            <w:r>
              <w:rPr>
                <w:rFonts w:cstheme="minorHAnsi"/>
                <w:b/>
                <w:bCs/>
                <w:sz w:val="18"/>
                <w:szCs w:val="20"/>
                <w:lang w:eastAsia="en-US"/>
              </w:rPr>
              <w:t>Denominator applied</w:t>
            </w:r>
          </w:p>
        </w:tc>
        <w:tc>
          <w:tcPr>
            <w:tcW w:w="1314" w:type="dxa"/>
            <w:tcBorders>
              <w:top w:val="nil"/>
              <w:left w:val="nil"/>
              <w:bottom w:val="single" w:sz="4" w:space="0" w:color="auto"/>
              <w:right w:val="nil"/>
            </w:tcBorders>
            <w:hideMark/>
          </w:tcPr>
          <w:p w14:paraId="08AF2AB0" w14:textId="77777777" w:rsidR="00A74860" w:rsidRDefault="00A74860">
            <w:pPr>
              <w:keepLines/>
              <w:widowControl w:val="0"/>
              <w:spacing w:before="80" w:after="80" w:line="240" w:lineRule="auto"/>
              <w:jc w:val="center"/>
              <w:rPr>
                <w:rFonts w:cstheme="minorHAnsi"/>
                <w:b/>
                <w:bCs/>
                <w:sz w:val="18"/>
                <w:szCs w:val="20"/>
                <w:lang w:eastAsia="en-US"/>
              </w:rPr>
            </w:pPr>
            <w:r>
              <w:rPr>
                <w:rFonts w:cstheme="minorHAnsi"/>
                <w:b/>
                <w:bCs/>
                <w:sz w:val="18"/>
                <w:szCs w:val="20"/>
                <w:lang w:eastAsia="en-US"/>
              </w:rPr>
              <w:t>Number invited (N)</w:t>
            </w:r>
          </w:p>
        </w:tc>
        <w:tc>
          <w:tcPr>
            <w:tcW w:w="1314" w:type="dxa"/>
            <w:tcBorders>
              <w:top w:val="nil"/>
              <w:left w:val="nil"/>
              <w:bottom w:val="single" w:sz="4" w:space="0" w:color="auto"/>
              <w:right w:val="nil"/>
            </w:tcBorders>
            <w:hideMark/>
          </w:tcPr>
          <w:p w14:paraId="43055184" w14:textId="77777777" w:rsidR="00A74860" w:rsidRDefault="00A74860">
            <w:pPr>
              <w:keepLines/>
              <w:widowControl w:val="0"/>
              <w:spacing w:before="80" w:after="80" w:line="240" w:lineRule="auto"/>
              <w:jc w:val="center"/>
              <w:rPr>
                <w:rFonts w:cstheme="minorHAnsi"/>
                <w:b/>
                <w:bCs/>
                <w:sz w:val="18"/>
                <w:szCs w:val="20"/>
                <w:lang w:eastAsia="en-US"/>
              </w:rPr>
            </w:pPr>
            <w:r>
              <w:rPr>
                <w:rFonts w:cstheme="minorHAnsi"/>
                <w:b/>
                <w:bCs/>
                <w:sz w:val="18"/>
                <w:szCs w:val="20"/>
                <w:lang w:eastAsia="en-US"/>
              </w:rPr>
              <w:t>Kits returned (N)</w:t>
            </w:r>
          </w:p>
        </w:tc>
        <w:tc>
          <w:tcPr>
            <w:tcW w:w="1314" w:type="dxa"/>
            <w:tcBorders>
              <w:top w:val="nil"/>
              <w:left w:val="nil"/>
              <w:bottom w:val="single" w:sz="4" w:space="0" w:color="auto"/>
              <w:right w:val="nil"/>
            </w:tcBorders>
            <w:hideMark/>
          </w:tcPr>
          <w:p w14:paraId="3E151BE8" w14:textId="77777777" w:rsidR="00A74860" w:rsidRDefault="00A74860">
            <w:pPr>
              <w:keepLines/>
              <w:widowControl w:val="0"/>
              <w:spacing w:before="80" w:after="80" w:line="240" w:lineRule="auto"/>
              <w:jc w:val="center"/>
              <w:rPr>
                <w:rFonts w:cstheme="minorHAnsi"/>
                <w:b/>
                <w:bCs/>
                <w:sz w:val="18"/>
                <w:szCs w:val="20"/>
                <w:lang w:eastAsia="en-US"/>
              </w:rPr>
            </w:pPr>
            <w:r>
              <w:rPr>
                <w:rFonts w:cstheme="minorHAnsi"/>
                <w:b/>
                <w:bCs/>
                <w:sz w:val="18"/>
                <w:szCs w:val="20"/>
                <w:lang w:eastAsia="en-US"/>
              </w:rPr>
              <w:t>Participation rate (%)</w:t>
            </w:r>
          </w:p>
        </w:tc>
      </w:tr>
      <w:tr w:rsidR="00A74860" w14:paraId="5629A4ED" w14:textId="77777777" w:rsidTr="00A74860">
        <w:tc>
          <w:tcPr>
            <w:tcW w:w="3652" w:type="dxa"/>
            <w:gridSpan w:val="3"/>
            <w:tcBorders>
              <w:top w:val="single" w:sz="4" w:space="0" w:color="auto"/>
              <w:left w:val="nil"/>
              <w:bottom w:val="single" w:sz="4" w:space="0" w:color="auto"/>
              <w:right w:val="nil"/>
            </w:tcBorders>
            <w:shd w:val="clear" w:color="auto" w:fill="D9D9D9" w:themeFill="background1" w:themeFillShade="D9"/>
            <w:hideMark/>
          </w:tcPr>
          <w:p w14:paraId="02E06C21" w14:textId="77777777" w:rsidR="00A74860" w:rsidRDefault="00A74860">
            <w:pPr>
              <w:keepLines/>
              <w:widowControl w:val="0"/>
              <w:spacing w:before="80" w:after="80" w:line="240" w:lineRule="auto"/>
              <w:rPr>
                <w:rFonts w:cstheme="minorHAnsi"/>
                <w:sz w:val="18"/>
                <w:szCs w:val="18"/>
                <w:lang w:eastAsia="en-US"/>
              </w:rPr>
            </w:pPr>
            <w:r>
              <w:rPr>
                <w:rFonts w:cstheme="minorHAnsi"/>
                <w:sz w:val="18"/>
                <w:szCs w:val="18"/>
                <w:lang w:eastAsia="en-US"/>
              </w:rPr>
              <w:t>Alternative Pathway (AP)</w:t>
            </w:r>
          </w:p>
        </w:tc>
        <w:tc>
          <w:tcPr>
            <w:tcW w:w="1534" w:type="dxa"/>
            <w:tcBorders>
              <w:top w:val="single" w:sz="4" w:space="0" w:color="auto"/>
              <w:left w:val="nil"/>
              <w:bottom w:val="single" w:sz="4" w:space="0" w:color="auto"/>
              <w:right w:val="nil"/>
            </w:tcBorders>
            <w:shd w:val="clear" w:color="auto" w:fill="D9D9D9" w:themeFill="background1" w:themeFillShade="D9"/>
            <w:vAlign w:val="center"/>
          </w:tcPr>
          <w:p w14:paraId="76A0F10C" w14:textId="77777777" w:rsidR="00A74860" w:rsidRDefault="00A74860">
            <w:pPr>
              <w:keepLines/>
              <w:widowControl w:val="0"/>
              <w:spacing w:before="80" w:after="80" w:line="240" w:lineRule="auto"/>
              <w:jc w:val="center"/>
              <w:rPr>
                <w:rFonts w:cstheme="minorHAnsi"/>
                <w:sz w:val="18"/>
                <w:szCs w:val="18"/>
                <w:lang w:eastAsia="en-US"/>
              </w:rPr>
            </w:pPr>
          </w:p>
        </w:tc>
        <w:tc>
          <w:tcPr>
            <w:tcW w:w="1314" w:type="dxa"/>
            <w:tcBorders>
              <w:top w:val="single" w:sz="4" w:space="0" w:color="auto"/>
              <w:left w:val="nil"/>
              <w:bottom w:val="single" w:sz="4" w:space="0" w:color="auto"/>
              <w:right w:val="nil"/>
            </w:tcBorders>
            <w:shd w:val="clear" w:color="auto" w:fill="D9D9D9" w:themeFill="background1" w:themeFillShade="D9"/>
          </w:tcPr>
          <w:p w14:paraId="174C4902" w14:textId="77777777" w:rsidR="00A74860" w:rsidRDefault="00A74860">
            <w:pPr>
              <w:keepLines/>
              <w:widowControl w:val="0"/>
              <w:spacing w:before="80" w:after="80" w:line="240" w:lineRule="auto"/>
              <w:jc w:val="right"/>
              <w:rPr>
                <w:rFonts w:cstheme="minorHAnsi"/>
                <w:sz w:val="18"/>
                <w:szCs w:val="18"/>
                <w:lang w:eastAsia="en-US"/>
              </w:rPr>
            </w:pPr>
          </w:p>
        </w:tc>
        <w:tc>
          <w:tcPr>
            <w:tcW w:w="1314" w:type="dxa"/>
            <w:tcBorders>
              <w:top w:val="single" w:sz="4" w:space="0" w:color="auto"/>
              <w:left w:val="nil"/>
              <w:bottom w:val="single" w:sz="4" w:space="0" w:color="auto"/>
              <w:right w:val="nil"/>
            </w:tcBorders>
            <w:shd w:val="clear" w:color="auto" w:fill="D9D9D9" w:themeFill="background1" w:themeFillShade="D9"/>
          </w:tcPr>
          <w:p w14:paraId="64998EA4" w14:textId="77777777" w:rsidR="00A74860" w:rsidRDefault="00A74860">
            <w:pPr>
              <w:keepLines/>
              <w:widowControl w:val="0"/>
              <w:spacing w:before="80" w:after="80" w:line="240" w:lineRule="auto"/>
              <w:jc w:val="right"/>
              <w:rPr>
                <w:rFonts w:cstheme="minorHAnsi"/>
                <w:sz w:val="18"/>
                <w:szCs w:val="18"/>
                <w:lang w:eastAsia="en-US"/>
              </w:rPr>
            </w:pPr>
          </w:p>
        </w:tc>
        <w:tc>
          <w:tcPr>
            <w:tcW w:w="1314" w:type="dxa"/>
            <w:tcBorders>
              <w:top w:val="single" w:sz="4" w:space="0" w:color="auto"/>
              <w:left w:val="nil"/>
              <w:bottom w:val="single" w:sz="4" w:space="0" w:color="auto"/>
              <w:right w:val="nil"/>
            </w:tcBorders>
            <w:shd w:val="clear" w:color="auto" w:fill="D9D9D9" w:themeFill="background1" w:themeFillShade="D9"/>
          </w:tcPr>
          <w:p w14:paraId="72021D44" w14:textId="77777777" w:rsidR="00A74860" w:rsidRDefault="00A74860">
            <w:pPr>
              <w:keepLines/>
              <w:widowControl w:val="0"/>
              <w:spacing w:before="80" w:after="80" w:line="240" w:lineRule="auto"/>
              <w:jc w:val="right"/>
              <w:rPr>
                <w:rFonts w:cstheme="minorHAnsi"/>
                <w:sz w:val="18"/>
                <w:szCs w:val="18"/>
                <w:lang w:eastAsia="en-US"/>
              </w:rPr>
            </w:pPr>
          </w:p>
        </w:tc>
      </w:tr>
      <w:tr w:rsidR="00A74860" w14:paraId="1C2EC7A3" w14:textId="77777777" w:rsidTr="00A74860">
        <w:tc>
          <w:tcPr>
            <w:tcW w:w="3652" w:type="dxa"/>
            <w:gridSpan w:val="3"/>
            <w:tcBorders>
              <w:top w:val="single" w:sz="4" w:space="0" w:color="auto"/>
              <w:left w:val="nil"/>
              <w:bottom w:val="single" w:sz="4" w:space="0" w:color="auto"/>
              <w:right w:val="nil"/>
            </w:tcBorders>
            <w:hideMark/>
          </w:tcPr>
          <w:p w14:paraId="16A8EF3E" w14:textId="77777777" w:rsidR="00A74860" w:rsidRDefault="00A74860">
            <w:pPr>
              <w:keepLines/>
              <w:widowControl w:val="0"/>
              <w:spacing w:before="80" w:after="80" w:line="240" w:lineRule="auto"/>
              <w:rPr>
                <w:rFonts w:cstheme="minorHAnsi"/>
                <w:sz w:val="18"/>
                <w:szCs w:val="18"/>
                <w:vertAlign w:val="superscript"/>
                <w:lang w:eastAsia="en-US"/>
              </w:rPr>
            </w:pPr>
            <w:r>
              <w:rPr>
                <w:rFonts w:cstheme="minorHAnsi"/>
                <w:sz w:val="18"/>
                <w:szCs w:val="18"/>
                <w:lang w:eastAsia="en-US"/>
              </w:rPr>
              <w:t>AP data from DHS (includes those reported as assessed as well as those given kits, uncorrected)</w:t>
            </w:r>
            <w:r>
              <w:rPr>
                <w:rFonts w:cstheme="minorHAnsi"/>
                <w:sz w:val="18"/>
                <w:szCs w:val="18"/>
                <w:vertAlign w:val="superscript"/>
                <w:lang w:eastAsia="en-US"/>
              </w:rPr>
              <w:t>a</w:t>
            </w:r>
          </w:p>
        </w:tc>
        <w:tc>
          <w:tcPr>
            <w:tcW w:w="1534" w:type="dxa"/>
            <w:tcBorders>
              <w:top w:val="single" w:sz="4" w:space="0" w:color="auto"/>
              <w:left w:val="nil"/>
              <w:bottom w:val="single" w:sz="4" w:space="0" w:color="auto"/>
              <w:right w:val="nil"/>
            </w:tcBorders>
            <w:hideMark/>
          </w:tcPr>
          <w:p w14:paraId="69EEDA83" w14:textId="77777777" w:rsidR="00A74860" w:rsidRDefault="00A74860">
            <w:pPr>
              <w:keepLines/>
              <w:widowControl w:val="0"/>
              <w:spacing w:before="80" w:after="80" w:line="240" w:lineRule="auto"/>
              <w:jc w:val="center"/>
              <w:rPr>
                <w:rFonts w:cstheme="minorHAnsi"/>
                <w:sz w:val="18"/>
                <w:szCs w:val="18"/>
                <w:lang w:eastAsia="en-US"/>
              </w:rPr>
            </w:pPr>
            <w:r>
              <w:rPr>
                <w:rFonts w:cstheme="minorHAnsi"/>
                <w:color w:val="000000"/>
                <w:sz w:val="18"/>
                <w:szCs w:val="18"/>
                <w:lang w:eastAsia="en-US"/>
              </w:rPr>
              <w:t>Persons assessed</w:t>
            </w:r>
            <w:r>
              <w:rPr>
                <w:rFonts w:cstheme="minorHAnsi"/>
                <w:color w:val="000000"/>
                <w:sz w:val="18"/>
                <w:szCs w:val="18"/>
                <w:lang w:eastAsia="en-US"/>
              </w:rPr>
              <w:br/>
              <w:t>(</w:t>
            </w:r>
            <w:proofErr w:type="spellStart"/>
            <w:r>
              <w:rPr>
                <w:rFonts w:cstheme="minorHAnsi"/>
                <w:color w:val="000000"/>
                <w:sz w:val="18"/>
                <w:szCs w:val="18"/>
                <w:lang w:eastAsia="en-US"/>
              </w:rPr>
              <w:t>inc</w:t>
            </w:r>
            <w:proofErr w:type="spellEnd"/>
            <w:r>
              <w:rPr>
                <w:rFonts w:cstheme="minorHAnsi"/>
                <w:color w:val="000000"/>
                <w:sz w:val="18"/>
                <w:szCs w:val="18"/>
                <w:lang w:eastAsia="en-US"/>
              </w:rPr>
              <w:t xml:space="preserve"> given kits)</w:t>
            </w:r>
          </w:p>
        </w:tc>
        <w:tc>
          <w:tcPr>
            <w:tcW w:w="1314" w:type="dxa"/>
            <w:tcBorders>
              <w:top w:val="single" w:sz="4" w:space="0" w:color="auto"/>
              <w:left w:val="nil"/>
              <w:bottom w:val="single" w:sz="4" w:space="0" w:color="auto"/>
              <w:right w:val="nil"/>
            </w:tcBorders>
            <w:hideMark/>
          </w:tcPr>
          <w:p w14:paraId="0B41CE40"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670</w:t>
            </w:r>
          </w:p>
        </w:tc>
        <w:tc>
          <w:tcPr>
            <w:tcW w:w="1314" w:type="dxa"/>
            <w:tcBorders>
              <w:top w:val="single" w:sz="4" w:space="0" w:color="auto"/>
              <w:left w:val="nil"/>
              <w:bottom w:val="single" w:sz="4" w:space="0" w:color="auto"/>
              <w:right w:val="nil"/>
            </w:tcBorders>
            <w:hideMark/>
          </w:tcPr>
          <w:p w14:paraId="76922DFC"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249</w:t>
            </w:r>
          </w:p>
        </w:tc>
        <w:tc>
          <w:tcPr>
            <w:tcW w:w="1314" w:type="dxa"/>
            <w:tcBorders>
              <w:top w:val="single" w:sz="4" w:space="0" w:color="auto"/>
              <w:left w:val="nil"/>
              <w:bottom w:val="single" w:sz="4" w:space="0" w:color="auto"/>
              <w:right w:val="nil"/>
            </w:tcBorders>
            <w:hideMark/>
          </w:tcPr>
          <w:p w14:paraId="60FB1A5A"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37.2</w:t>
            </w:r>
          </w:p>
        </w:tc>
      </w:tr>
      <w:tr w:rsidR="00A74860" w14:paraId="058ACBA5" w14:textId="77777777" w:rsidTr="00A74860">
        <w:tc>
          <w:tcPr>
            <w:tcW w:w="3652" w:type="dxa"/>
            <w:gridSpan w:val="3"/>
            <w:tcBorders>
              <w:top w:val="single" w:sz="4" w:space="0" w:color="auto"/>
              <w:left w:val="nil"/>
              <w:bottom w:val="single" w:sz="4" w:space="0" w:color="auto"/>
              <w:right w:val="nil"/>
            </w:tcBorders>
            <w:hideMark/>
          </w:tcPr>
          <w:p w14:paraId="49AD82FE" w14:textId="77777777" w:rsidR="00A74860" w:rsidRDefault="00A74860">
            <w:pPr>
              <w:keepLines/>
              <w:widowControl w:val="0"/>
              <w:spacing w:before="80" w:after="80" w:line="240" w:lineRule="auto"/>
              <w:rPr>
                <w:rFonts w:cstheme="minorHAnsi"/>
                <w:sz w:val="18"/>
                <w:szCs w:val="18"/>
                <w:vertAlign w:val="superscript"/>
                <w:lang w:eastAsia="en-US"/>
              </w:rPr>
            </w:pPr>
            <w:r>
              <w:rPr>
                <w:rFonts w:cstheme="minorHAnsi"/>
                <w:sz w:val="18"/>
                <w:szCs w:val="18"/>
                <w:lang w:eastAsia="en-US"/>
              </w:rPr>
              <w:t>AP data ex AIHW (cleaned and corrected, does not include those assessed but not given kits)</w:t>
            </w:r>
            <w:r>
              <w:rPr>
                <w:rFonts w:cstheme="minorHAnsi"/>
                <w:sz w:val="18"/>
                <w:szCs w:val="18"/>
                <w:vertAlign w:val="superscript"/>
                <w:lang w:eastAsia="en-US"/>
              </w:rPr>
              <w:t>b</w:t>
            </w:r>
          </w:p>
        </w:tc>
        <w:tc>
          <w:tcPr>
            <w:tcW w:w="1534" w:type="dxa"/>
            <w:tcBorders>
              <w:top w:val="single" w:sz="4" w:space="0" w:color="auto"/>
              <w:left w:val="nil"/>
              <w:bottom w:val="single" w:sz="4" w:space="0" w:color="auto"/>
              <w:right w:val="nil"/>
            </w:tcBorders>
            <w:vAlign w:val="center"/>
            <w:hideMark/>
          </w:tcPr>
          <w:p w14:paraId="20872EC1" w14:textId="77777777" w:rsidR="00A74860" w:rsidRDefault="00A74860">
            <w:pPr>
              <w:keepLines/>
              <w:widowControl w:val="0"/>
              <w:spacing w:before="80" w:after="80" w:line="240" w:lineRule="auto"/>
              <w:jc w:val="center"/>
              <w:rPr>
                <w:rFonts w:cstheme="minorHAnsi"/>
                <w:sz w:val="18"/>
                <w:szCs w:val="18"/>
                <w:lang w:eastAsia="en-US"/>
              </w:rPr>
            </w:pPr>
            <w:r>
              <w:rPr>
                <w:rFonts w:cstheme="minorHAnsi"/>
                <w:color w:val="000000"/>
                <w:sz w:val="18"/>
                <w:szCs w:val="18"/>
                <w:lang w:eastAsia="en-US"/>
              </w:rPr>
              <w:t>Kits given out</w:t>
            </w:r>
          </w:p>
        </w:tc>
        <w:tc>
          <w:tcPr>
            <w:tcW w:w="1314" w:type="dxa"/>
            <w:tcBorders>
              <w:top w:val="single" w:sz="4" w:space="0" w:color="auto"/>
              <w:left w:val="nil"/>
              <w:bottom w:val="single" w:sz="4" w:space="0" w:color="auto"/>
              <w:right w:val="nil"/>
            </w:tcBorders>
            <w:hideMark/>
          </w:tcPr>
          <w:p w14:paraId="7D196BD7"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538</w:t>
            </w:r>
          </w:p>
        </w:tc>
        <w:tc>
          <w:tcPr>
            <w:tcW w:w="1314" w:type="dxa"/>
            <w:tcBorders>
              <w:top w:val="single" w:sz="4" w:space="0" w:color="auto"/>
              <w:left w:val="nil"/>
              <w:bottom w:val="single" w:sz="4" w:space="0" w:color="auto"/>
              <w:right w:val="nil"/>
            </w:tcBorders>
            <w:hideMark/>
          </w:tcPr>
          <w:p w14:paraId="534B0D1E"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259</w:t>
            </w:r>
          </w:p>
        </w:tc>
        <w:tc>
          <w:tcPr>
            <w:tcW w:w="1314" w:type="dxa"/>
            <w:tcBorders>
              <w:top w:val="single" w:sz="4" w:space="0" w:color="auto"/>
              <w:left w:val="nil"/>
              <w:bottom w:val="single" w:sz="4" w:space="0" w:color="auto"/>
              <w:right w:val="nil"/>
            </w:tcBorders>
            <w:hideMark/>
          </w:tcPr>
          <w:p w14:paraId="0143150A"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48.1</w:t>
            </w:r>
          </w:p>
        </w:tc>
      </w:tr>
      <w:tr w:rsidR="00A74860" w14:paraId="032A9C46" w14:textId="77777777" w:rsidTr="00A74860">
        <w:tc>
          <w:tcPr>
            <w:tcW w:w="3652" w:type="dxa"/>
            <w:gridSpan w:val="3"/>
            <w:tcBorders>
              <w:top w:val="single" w:sz="4" w:space="0" w:color="auto"/>
              <w:left w:val="nil"/>
              <w:bottom w:val="single" w:sz="4" w:space="0" w:color="auto"/>
              <w:right w:val="nil"/>
            </w:tcBorders>
            <w:hideMark/>
          </w:tcPr>
          <w:p w14:paraId="38B33676" w14:textId="77777777" w:rsidR="00A74860" w:rsidRDefault="00A74860">
            <w:pPr>
              <w:keepLines/>
              <w:widowControl w:val="0"/>
              <w:spacing w:before="80" w:after="80" w:line="240" w:lineRule="auto"/>
              <w:rPr>
                <w:rFonts w:cstheme="minorHAnsi"/>
                <w:sz w:val="18"/>
                <w:szCs w:val="18"/>
                <w:vertAlign w:val="superscript"/>
                <w:lang w:eastAsia="en-US"/>
              </w:rPr>
            </w:pPr>
            <w:r>
              <w:rPr>
                <w:rFonts w:cstheme="minorHAnsi"/>
                <w:b/>
                <w:bCs/>
                <w:sz w:val="18"/>
                <w:szCs w:val="18"/>
                <w:lang w:eastAsia="en-US"/>
              </w:rPr>
              <w:t>AP data ex AIHW (+ those reported as assessed but not given a kit, ex DHS)</w:t>
            </w:r>
            <w:r>
              <w:rPr>
                <w:rFonts w:cstheme="minorHAnsi"/>
                <w:b/>
                <w:bCs/>
                <w:sz w:val="18"/>
                <w:szCs w:val="18"/>
                <w:vertAlign w:val="superscript"/>
                <w:lang w:eastAsia="en-US"/>
              </w:rPr>
              <w:t>c</w:t>
            </w:r>
          </w:p>
        </w:tc>
        <w:tc>
          <w:tcPr>
            <w:tcW w:w="1534" w:type="dxa"/>
            <w:tcBorders>
              <w:top w:val="single" w:sz="4" w:space="0" w:color="auto"/>
              <w:left w:val="nil"/>
              <w:bottom w:val="single" w:sz="4" w:space="0" w:color="auto"/>
              <w:right w:val="nil"/>
            </w:tcBorders>
            <w:vAlign w:val="center"/>
            <w:hideMark/>
          </w:tcPr>
          <w:p w14:paraId="4E3D10B6" w14:textId="77777777" w:rsidR="00A74860" w:rsidRDefault="00A74860">
            <w:pPr>
              <w:keepLines/>
              <w:widowControl w:val="0"/>
              <w:spacing w:before="80" w:after="80" w:line="240" w:lineRule="auto"/>
              <w:jc w:val="center"/>
              <w:rPr>
                <w:rFonts w:cstheme="minorHAnsi"/>
                <w:sz w:val="18"/>
                <w:szCs w:val="18"/>
                <w:lang w:eastAsia="en-US"/>
              </w:rPr>
            </w:pPr>
            <w:r>
              <w:rPr>
                <w:rFonts w:cstheme="minorHAnsi"/>
                <w:b/>
                <w:bCs/>
                <w:color w:val="000000"/>
                <w:sz w:val="18"/>
                <w:szCs w:val="18"/>
                <w:lang w:eastAsia="en-US"/>
              </w:rPr>
              <w:t>Persons assessed</w:t>
            </w:r>
            <w:r>
              <w:rPr>
                <w:rFonts w:cstheme="minorHAnsi"/>
                <w:b/>
                <w:bCs/>
                <w:color w:val="000000"/>
                <w:sz w:val="18"/>
                <w:szCs w:val="18"/>
                <w:lang w:eastAsia="en-US"/>
              </w:rPr>
              <w:br/>
              <w:t>(</w:t>
            </w:r>
            <w:proofErr w:type="spellStart"/>
            <w:r>
              <w:rPr>
                <w:rFonts w:cstheme="minorHAnsi"/>
                <w:b/>
                <w:bCs/>
                <w:color w:val="000000"/>
                <w:sz w:val="18"/>
                <w:szCs w:val="18"/>
                <w:lang w:eastAsia="en-US"/>
              </w:rPr>
              <w:t>inc</w:t>
            </w:r>
            <w:proofErr w:type="spellEnd"/>
            <w:r>
              <w:rPr>
                <w:rFonts w:cstheme="minorHAnsi"/>
                <w:b/>
                <w:bCs/>
                <w:color w:val="000000"/>
                <w:sz w:val="18"/>
                <w:szCs w:val="18"/>
                <w:lang w:eastAsia="en-US"/>
              </w:rPr>
              <w:t xml:space="preserve"> given kits)</w:t>
            </w:r>
          </w:p>
        </w:tc>
        <w:tc>
          <w:tcPr>
            <w:tcW w:w="1314" w:type="dxa"/>
            <w:tcBorders>
              <w:top w:val="single" w:sz="4" w:space="0" w:color="auto"/>
              <w:left w:val="nil"/>
              <w:bottom w:val="single" w:sz="4" w:space="0" w:color="auto"/>
              <w:right w:val="nil"/>
            </w:tcBorders>
            <w:hideMark/>
          </w:tcPr>
          <w:p w14:paraId="17B6E76B" w14:textId="77777777" w:rsidR="00A74860" w:rsidRDefault="00A74860">
            <w:pPr>
              <w:keepLines/>
              <w:widowControl w:val="0"/>
              <w:spacing w:before="80" w:after="80" w:line="240" w:lineRule="auto"/>
              <w:jc w:val="right"/>
              <w:rPr>
                <w:rFonts w:cstheme="minorHAnsi"/>
                <w:sz w:val="18"/>
                <w:szCs w:val="18"/>
                <w:lang w:eastAsia="en-US"/>
              </w:rPr>
            </w:pPr>
            <w:r>
              <w:rPr>
                <w:rFonts w:cstheme="minorHAnsi"/>
                <w:b/>
                <w:bCs/>
                <w:sz w:val="18"/>
                <w:szCs w:val="18"/>
                <w:lang w:eastAsia="en-US"/>
              </w:rPr>
              <w:t>650</w:t>
            </w:r>
          </w:p>
        </w:tc>
        <w:tc>
          <w:tcPr>
            <w:tcW w:w="1314" w:type="dxa"/>
            <w:tcBorders>
              <w:top w:val="single" w:sz="4" w:space="0" w:color="auto"/>
              <w:left w:val="nil"/>
              <w:bottom w:val="single" w:sz="4" w:space="0" w:color="auto"/>
              <w:right w:val="nil"/>
            </w:tcBorders>
            <w:hideMark/>
          </w:tcPr>
          <w:p w14:paraId="5ED8AA6B" w14:textId="77777777" w:rsidR="00A74860" w:rsidRDefault="00A74860">
            <w:pPr>
              <w:keepLines/>
              <w:widowControl w:val="0"/>
              <w:spacing w:before="80" w:after="80" w:line="240" w:lineRule="auto"/>
              <w:jc w:val="right"/>
              <w:rPr>
                <w:rFonts w:cstheme="minorHAnsi"/>
                <w:sz w:val="18"/>
                <w:szCs w:val="18"/>
                <w:lang w:eastAsia="en-US"/>
              </w:rPr>
            </w:pPr>
            <w:r>
              <w:rPr>
                <w:rFonts w:cstheme="minorHAnsi"/>
                <w:b/>
                <w:bCs/>
                <w:sz w:val="18"/>
                <w:szCs w:val="18"/>
                <w:lang w:eastAsia="en-US"/>
              </w:rPr>
              <w:t>259</w:t>
            </w:r>
          </w:p>
        </w:tc>
        <w:tc>
          <w:tcPr>
            <w:tcW w:w="1314" w:type="dxa"/>
            <w:tcBorders>
              <w:top w:val="single" w:sz="4" w:space="0" w:color="auto"/>
              <w:left w:val="nil"/>
              <w:bottom w:val="single" w:sz="4" w:space="0" w:color="auto"/>
              <w:right w:val="nil"/>
            </w:tcBorders>
            <w:hideMark/>
          </w:tcPr>
          <w:p w14:paraId="390EADB4" w14:textId="77777777" w:rsidR="00A74860" w:rsidRDefault="00A74860">
            <w:pPr>
              <w:keepLines/>
              <w:widowControl w:val="0"/>
              <w:spacing w:before="80" w:after="80" w:line="240" w:lineRule="auto"/>
              <w:jc w:val="right"/>
              <w:rPr>
                <w:rFonts w:cstheme="minorHAnsi"/>
                <w:sz w:val="18"/>
                <w:szCs w:val="18"/>
                <w:lang w:eastAsia="en-US"/>
              </w:rPr>
            </w:pPr>
            <w:r>
              <w:rPr>
                <w:rFonts w:cstheme="minorHAnsi"/>
                <w:b/>
                <w:bCs/>
                <w:sz w:val="18"/>
                <w:szCs w:val="18"/>
                <w:lang w:eastAsia="en-US"/>
              </w:rPr>
              <w:t>39.8</w:t>
            </w:r>
          </w:p>
        </w:tc>
      </w:tr>
      <w:tr w:rsidR="00A74860" w14:paraId="31D5175C" w14:textId="77777777" w:rsidTr="00A74860">
        <w:tc>
          <w:tcPr>
            <w:tcW w:w="3652" w:type="dxa"/>
            <w:gridSpan w:val="3"/>
            <w:tcBorders>
              <w:top w:val="single" w:sz="4" w:space="0" w:color="auto"/>
              <w:left w:val="nil"/>
              <w:bottom w:val="single" w:sz="4" w:space="0" w:color="auto"/>
              <w:right w:val="nil"/>
            </w:tcBorders>
            <w:shd w:val="clear" w:color="auto" w:fill="D9D9D9" w:themeFill="background1" w:themeFillShade="D9"/>
            <w:hideMark/>
          </w:tcPr>
          <w:p w14:paraId="14B9E0A8" w14:textId="77777777" w:rsidR="00A74860" w:rsidRDefault="00A74860">
            <w:pPr>
              <w:keepLines/>
              <w:widowControl w:val="0"/>
              <w:spacing w:before="80" w:after="80" w:line="240" w:lineRule="auto"/>
              <w:rPr>
                <w:rFonts w:cstheme="minorHAnsi"/>
                <w:sz w:val="18"/>
                <w:szCs w:val="18"/>
                <w:vertAlign w:val="superscript"/>
                <w:lang w:eastAsia="en-US"/>
              </w:rPr>
            </w:pPr>
            <w:r>
              <w:rPr>
                <w:rFonts w:cstheme="minorHAnsi"/>
                <w:sz w:val="18"/>
                <w:szCs w:val="18"/>
                <w:lang w:eastAsia="en-US"/>
              </w:rPr>
              <w:t>Usual pathway (UP)</w:t>
            </w:r>
            <w:r>
              <w:rPr>
                <w:rFonts w:cstheme="minorHAnsi"/>
                <w:sz w:val="18"/>
                <w:szCs w:val="18"/>
                <w:vertAlign w:val="superscript"/>
                <w:lang w:eastAsia="en-US"/>
              </w:rPr>
              <w:t>d</w:t>
            </w:r>
          </w:p>
        </w:tc>
        <w:tc>
          <w:tcPr>
            <w:tcW w:w="1534" w:type="dxa"/>
            <w:tcBorders>
              <w:top w:val="single" w:sz="4" w:space="0" w:color="auto"/>
              <w:left w:val="nil"/>
              <w:bottom w:val="single" w:sz="4" w:space="0" w:color="auto"/>
              <w:right w:val="nil"/>
            </w:tcBorders>
            <w:shd w:val="clear" w:color="auto" w:fill="D9D9D9" w:themeFill="background1" w:themeFillShade="D9"/>
            <w:vAlign w:val="center"/>
          </w:tcPr>
          <w:p w14:paraId="39EC3B7D" w14:textId="77777777" w:rsidR="00A74860" w:rsidRDefault="00A74860">
            <w:pPr>
              <w:keepLines/>
              <w:widowControl w:val="0"/>
              <w:spacing w:before="80" w:after="80" w:line="240" w:lineRule="auto"/>
              <w:jc w:val="center"/>
              <w:rPr>
                <w:rFonts w:cstheme="minorHAnsi"/>
                <w:sz w:val="18"/>
                <w:szCs w:val="18"/>
                <w:lang w:eastAsia="en-US"/>
              </w:rPr>
            </w:pPr>
          </w:p>
        </w:tc>
        <w:tc>
          <w:tcPr>
            <w:tcW w:w="1314" w:type="dxa"/>
            <w:tcBorders>
              <w:top w:val="single" w:sz="4" w:space="0" w:color="auto"/>
              <w:left w:val="nil"/>
              <w:bottom w:val="single" w:sz="4" w:space="0" w:color="auto"/>
              <w:right w:val="nil"/>
            </w:tcBorders>
            <w:shd w:val="clear" w:color="auto" w:fill="D9D9D9" w:themeFill="background1" w:themeFillShade="D9"/>
            <w:vAlign w:val="bottom"/>
          </w:tcPr>
          <w:p w14:paraId="36B30C91" w14:textId="77777777" w:rsidR="00A74860" w:rsidRDefault="00A74860">
            <w:pPr>
              <w:keepLines/>
              <w:widowControl w:val="0"/>
              <w:spacing w:before="80" w:after="80" w:line="240" w:lineRule="auto"/>
              <w:jc w:val="right"/>
              <w:rPr>
                <w:rFonts w:cstheme="minorHAnsi"/>
                <w:sz w:val="18"/>
                <w:szCs w:val="18"/>
                <w:lang w:eastAsia="en-US"/>
              </w:rPr>
            </w:pPr>
          </w:p>
        </w:tc>
        <w:tc>
          <w:tcPr>
            <w:tcW w:w="1314" w:type="dxa"/>
            <w:tcBorders>
              <w:top w:val="single" w:sz="4" w:space="0" w:color="auto"/>
              <w:left w:val="nil"/>
              <w:bottom w:val="single" w:sz="4" w:space="0" w:color="auto"/>
              <w:right w:val="nil"/>
            </w:tcBorders>
            <w:shd w:val="clear" w:color="auto" w:fill="D9D9D9" w:themeFill="background1" w:themeFillShade="D9"/>
            <w:vAlign w:val="bottom"/>
          </w:tcPr>
          <w:p w14:paraId="0DF5EE92" w14:textId="77777777" w:rsidR="00A74860" w:rsidRDefault="00A74860">
            <w:pPr>
              <w:keepLines/>
              <w:widowControl w:val="0"/>
              <w:spacing w:before="80" w:after="80" w:line="240" w:lineRule="auto"/>
              <w:jc w:val="right"/>
              <w:rPr>
                <w:rFonts w:cstheme="minorHAnsi"/>
                <w:sz w:val="18"/>
                <w:szCs w:val="18"/>
                <w:lang w:eastAsia="en-US"/>
              </w:rPr>
            </w:pPr>
          </w:p>
        </w:tc>
        <w:tc>
          <w:tcPr>
            <w:tcW w:w="1314" w:type="dxa"/>
            <w:tcBorders>
              <w:top w:val="single" w:sz="4" w:space="0" w:color="auto"/>
              <w:left w:val="nil"/>
              <w:bottom w:val="single" w:sz="4" w:space="0" w:color="auto"/>
              <w:right w:val="nil"/>
            </w:tcBorders>
            <w:shd w:val="clear" w:color="auto" w:fill="D9D9D9" w:themeFill="background1" w:themeFillShade="D9"/>
            <w:vAlign w:val="bottom"/>
          </w:tcPr>
          <w:p w14:paraId="2ECE0CFD" w14:textId="77777777" w:rsidR="00A74860" w:rsidRDefault="00A74860">
            <w:pPr>
              <w:keepLines/>
              <w:widowControl w:val="0"/>
              <w:spacing w:before="80" w:after="80" w:line="240" w:lineRule="auto"/>
              <w:jc w:val="right"/>
              <w:rPr>
                <w:rFonts w:cstheme="minorHAnsi"/>
                <w:sz w:val="18"/>
                <w:szCs w:val="18"/>
                <w:lang w:eastAsia="en-US"/>
              </w:rPr>
            </w:pPr>
          </w:p>
        </w:tc>
      </w:tr>
      <w:tr w:rsidR="00A74860" w14:paraId="5B26F120" w14:textId="77777777" w:rsidTr="00880215">
        <w:tc>
          <w:tcPr>
            <w:tcW w:w="3510" w:type="dxa"/>
            <w:gridSpan w:val="2"/>
            <w:tcBorders>
              <w:top w:val="single" w:sz="4" w:space="0" w:color="auto"/>
              <w:left w:val="nil"/>
              <w:bottom w:val="single" w:sz="4" w:space="0" w:color="auto"/>
              <w:right w:val="nil"/>
            </w:tcBorders>
            <w:hideMark/>
          </w:tcPr>
          <w:p w14:paraId="56EDE8E8" w14:textId="77777777" w:rsidR="00A74860" w:rsidRDefault="00A74860">
            <w:pPr>
              <w:keepLines/>
              <w:widowControl w:val="0"/>
              <w:spacing w:before="80" w:after="80" w:line="240" w:lineRule="auto"/>
              <w:ind w:left="177"/>
              <w:rPr>
                <w:rFonts w:cstheme="minorHAnsi"/>
                <w:sz w:val="18"/>
                <w:szCs w:val="18"/>
                <w:lang w:eastAsia="en-US"/>
              </w:rPr>
            </w:pPr>
            <w:r>
              <w:rPr>
                <w:rFonts w:cstheme="minorHAnsi"/>
                <w:sz w:val="18"/>
                <w:szCs w:val="18"/>
                <w:lang w:eastAsia="en-US"/>
              </w:rPr>
              <w:t>UP Indigenous</w:t>
            </w:r>
          </w:p>
        </w:tc>
        <w:tc>
          <w:tcPr>
            <w:tcW w:w="1676" w:type="dxa"/>
            <w:gridSpan w:val="2"/>
            <w:tcBorders>
              <w:top w:val="single" w:sz="4" w:space="0" w:color="auto"/>
              <w:left w:val="nil"/>
              <w:bottom w:val="single" w:sz="4" w:space="0" w:color="auto"/>
              <w:right w:val="nil"/>
            </w:tcBorders>
            <w:hideMark/>
          </w:tcPr>
          <w:p w14:paraId="000CE6E0" w14:textId="77777777" w:rsidR="00A74860" w:rsidRDefault="00A74860">
            <w:pPr>
              <w:keepLines/>
              <w:widowControl w:val="0"/>
              <w:spacing w:before="80" w:after="80" w:line="240" w:lineRule="auto"/>
              <w:jc w:val="center"/>
              <w:rPr>
                <w:rFonts w:cstheme="minorHAnsi"/>
                <w:sz w:val="18"/>
                <w:szCs w:val="18"/>
                <w:lang w:eastAsia="en-US"/>
              </w:rPr>
            </w:pPr>
            <w:r>
              <w:rPr>
                <w:rFonts w:cstheme="minorHAnsi"/>
                <w:sz w:val="18"/>
                <w:szCs w:val="18"/>
                <w:lang w:eastAsia="en-US"/>
              </w:rPr>
              <w:t>Persons invited</w:t>
            </w:r>
          </w:p>
        </w:tc>
        <w:tc>
          <w:tcPr>
            <w:tcW w:w="1314" w:type="dxa"/>
            <w:tcBorders>
              <w:top w:val="single" w:sz="4" w:space="0" w:color="auto"/>
              <w:left w:val="nil"/>
              <w:bottom w:val="single" w:sz="4" w:space="0" w:color="auto"/>
              <w:right w:val="nil"/>
            </w:tcBorders>
            <w:hideMark/>
          </w:tcPr>
          <w:p w14:paraId="0A01C3A5"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3717</w:t>
            </w:r>
          </w:p>
        </w:tc>
        <w:tc>
          <w:tcPr>
            <w:tcW w:w="1314" w:type="dxa"/>
            <w:tcBorders>
              <w:top w:val="single" w:sz="4" w:space="0" w:color="auto"/>
              <w:left w:val="nil"/>
              <w:bottom w:val="single" w:sz="4" w:space="0" w:color="auto"/>
              <w:right w:val="nil"/>
            </w:tcBorders>
            <w:hideMark/>
          </w:tcPr>
          <w:p w14:paraId="00BB4120"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1173</w:t>
            </w:r>
          </w:p>
        </w:tc>
        <w:tc>
          <w:tcPr>
            <w:tcW w:w="1314" w:type="dxa"/>
            <w:tcBorders>
              <w:top w:val="single" w:sz="4" w:space="0" w:color="auto"/>
              <w:left w:val="nil"/>
              <w:bottom w:val="single" w:sz="4" w:space="0" w:color="auto"/>
              <w:right w:val="nil"/>
            </w:tcBorders>
            <w:hideMark/>
          </w:tcPr>
          <w:p w14:paraId="2ABE21E4"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31.6</w:t>
            </w:r>
          </w:p>
        </w:tc>
      </w:tr>
      <w:tr w:rsidR="00A74860" w14:paraId="5E2F31FB" w14:textId="77777777" w:rsidTr="00880215">
        <w:tc>
          <w:tcPr>
            <w:tcW w:w="3510" w:type="dxa"/>
            <w:gridSpan w:val="2"/>
            <w:tcBorders>
              <w:top w:val="single" w:sz="4" w:space="0" w:color="auto"/>
              <w:bottom w:val="nil"/>
              <w:right w:val="nil"/>
            </w:tcBorders>
            <w:hideMark/>
          </w:tcPr>
          <w:p w14:paraId="7FFD4ED2" w14:textId="77777777" w:rsidR="00A74860" w:rsidRDefault="00A74860">
            <w:pPr>
              <w:keepLines/>
              <w:widowControl w:val="0"/>
              <w:spacing w:before="80" w:after="80" w:line="240" w:lineRule="auto"/>
              <w:ind w:left="177"/>
              <w:rPr>
                <w:rFonts w:cstheme="minorHAnsi"/>
                <w:sz w:val="18"/>
                <w:szCs w:val="18"/>
                <w:lang w:eastAsia="en-US"/>
              </w:rPr>
            </w:pPr>
            <w:r>
              <w:rPr>
                <w:rFonts w:cstheme="minorHAnsi"/>
                <w:sz w:val="18"/>
                <w:szCs w:val="18"/>
                <w:lang w:eastAsia="en-US"/>
              </w:rPr>
              <w:t>UP Non-Indigenous</w:t>
            </w:r>
          </w:p>
        </w:tc>
        <w:tc>
          <w:tcPr>
            <w:tcW w:w="1676" w:type="dxa"/>
            <w:gridSpan w:val="2"/>
            <w:tcBorders>
              <w:top w:val="single" w:sz="4" w:space="0" w:color="auto"/>
              <w:left w:val="nil"/>
              <w:bottom w:val="nil"/>
              <w:right w:val="nil"/>
            </w:tcBorders>
            <w:hideMark/>
          </w:tcPr>
          <w:p w14:paraId="33C5CFEB" w14:textId="77777777" w:rsidR="00A74860" w:rsidRDefault="00A74860">
            <w:pPr>
              <w:keepLines/>
              <w:widowControl w:val="0"/>
              <w:spacing w:before="80" w:after="80" w:line="240" w:lineRule="auto"/>
              <w:jc w:val="center"/>
              <w:rPr>
                <w:rFonts w:cstheme="minorHAnsi"/>
                <w:sz w:val="18"/>
                <w:szCs w:val="18"/>
                <w:lang w:eastAsia="en-US"/>
              </w:rPr>
            </w:pPr>
            <w:r>
              <w:rPr>
                <w:rFonts w:cstheme="minorHAnsi"/>
                <w:sz w:val="18"/>
                <w:szCs w:val="18"/>
                <w:lang w:eastAsia="en-US"/>
              </w:rPr>
              <w:t>Persons invited</w:t>
            </w:r>
          </w:p>
        </w:tc>
        <w:tc>
          <w:tcPr>
            <w:tcW w:w="1314" w:type="dxa"/>
            <w:tcBorders>
              <w:top w:val="single" w:sz="4" w:space="0" w:color="auto"/>
              <w:left w:val="nil"/>
              <w:bottom w:val="nil"/>
              <w:right w:val="nil"/>
            </w:tcBorders>
            <w:hideMark/>
          </w:tcPr>
          <w:p w14:paraId="46C62723"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269190</w:t>
            </w:r>
          </w:p>
        </w:tc>
        <w:tc>
          <w:tcPr>
            <w:tcW w:w="1314" w:type="dxa"/>
            <w:tcBorders>
              <w:top w:val="single" w:sz="4" w:space="0" w:color="auto"/>
              <w:left w:val="nil"/>
              <w:bottom w:val="nil"/>
              <w:right w:val="nil"/>
            </w:tcBorders>
            <w:hideMark/>
          </w:tcPr>
          <w:p w14:paraId="3AD84F78"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105043</w:t>
            </w:r>
          </w:p>
        </w:tc>
        <w:tc>
          <w:tcPr>
            <w:tcW w:w="1314" w:type="dxa"/>
            <w:tcBorders>
              <w:top w:val="single" w:sz="4" w:space="0" w:color="auto"/>
              <w:left w:val="nil"/>
              <w:bottom w:val="nil"/>
            </w:tcBorders>
            <w:hideMark/>
          </w:tcPr>
          <w:p w14:paraId="176D7BB3"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39.0</w:t>
            </w:r>
          </w:p>
        </w:tc>
      </w:tr>
      <w:tr w:rsidR="00A74860" w14:paraId="391DCA96" w14:textId="77777777" w:rsidTr="00880215">
        <w:tc>
          <w:tcPr>
            <w:tcW w:w="3510" w:type="dxa"/>
            <w:gridSpan w:val="2"/>
            <w:tcBorders>
              <w:top w:val="nil"/>
              <w:bottom w:val="single" w:sz="4" w:space="0" w:color="auto"/>
              <w:right w:val="nil"/>
            </w:tcBorders>
            <w:hideMark/>
          </w:tcPr>
          <w:p w14:paraId="539D4D9D" w14:textId="77777777" w:rsidR="00A74860" w:rsidRDefault="00A74860">
            <w:pPr>
              <w:keepLines/>
              <w:widowControl w:val="0"/>
              <w:spacing w:before="80" w:after="80" w:line="240" w:lineRule="auto"/>
              <w:ind w:left="177"/>
              <w:rPr>
                <w:rFonts w:cstheme="minorHAnsi"/>
                <w:sz w:val="18"/>
                <w:szCs w:val="18"/>
                <w:lang w:eastAsia="en-US"/>
              </w:rPr>
            </w:pPr>
            <w:r>
              <w:rPr>
                <w:rFonts w:cstheme="minorHAnsi"/>
                <w:sz w:val="18"/>
                <w:szCs w:val="18"/>
                <w:lang w:eastAsia="en-US"/>
              </w:rPr>
              <w:t>UP Not stated</w:t>
            </w:r>
          </w:p>
        </w:tc>
        <w:tc>
          <w:tcPr>
            <w:tcW w:w="1676" w:type="dxa"/>
            <w:gridSpan w:val="2"/>
            <w:tcBorders>
              <w:top w:val="nil"/>
              <w:left w:val="nil"/>
              <w:bottom w:val="single" w:sz="4" w:space="0" w:color="auto"/>
              <w:right w:val="nil"/>
            </w:tcBorders>
            <w:hideMark/>
          </w:tcPr>
          <w:p w14:paraId="54B75B4C" w14:textId="77777777" w:rsidR="00A74860" w:rsidRDefault="00A74860">
            <w:pPr>
              <w:keepLines/>
              <w:widowControl w:val="0"/>
              <w:spacing w:before="80" w:after="80" w:line="240" w:lineRule="auto"/>
              <w:jc w:val="center"/>
              <w:rPr>
                <w:rFonts w:cstheme="minorHAnsi"/>
                <w:sz w:val="18"/>
                <w:szCs w:val="18"/>
                <w:lang w:eastAsia="en-US"/>
              </w:rPr>
            </w:pPr>
            <w:r>
              <w:rPr>
                <w:rFonts w:cstheme="minorHAnsi"/>
                <w:sz w:val="18"/>
                <w:szCs w:val="18"/>
                <w:lang w:eastAsia="en-US"/>
              </w:rPr>
              <w:t>Persons invited</w:t>
            </w:r>
          </w:p>
        </w:tc>
        <w:tc>
          <w:tcPr>
            <w:tcW w:w="1314" w:type="dxa"/>
            <w:tcBorders>
              <w:top w:val="nil"/>
              <w:left w:val="nil"/>
              <w:bottom w:val="single" w:sz="4" w:space="0" w:color="auto"/>
              <w:right w:val="nil"/>
            </w:tcBorders>
            <w:hideMark/>
          </w:tcPr>
          <w:p w14:paraId="19365598"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16032</w:t>
            </w:r>
          </w:p>
        </w:tc>
        <w:tc>
          <w:tcPr>
            <w:tcW w:w="1314" w:type="dxa"/>
            <w:tcBorders>
              <w:top w:val="nil"/>
              <w:left w:val="nil"/>
              <w:bottom w:val="single" w:sz="4" w:space="0" w:color="auto"/>
              <w:right w:val="nil"/>
            </w:tcBorders>
            <w:hideMark/>
          </w:tcPr>
          <w:p w14:paraId="547E59AC"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2894</w:t>
            </w:r>
          </w:p>
        </w:tc>
        <w:tc>
          <w:tcPr>
            <w:tcW w:w="1314" w:type="dxa"/>
            <w:tcBorders>
              <w:top w:val="nil"/>
              <w:left w:val="nil"/>
              <w:bottom w:val="single" w:sz="4" w:space="0" w:color="auto"/>
            </w:tcBorders>
            <w:hideMark/>
          </w:tcPr>
          <w:p w14:paraId="0E42F0D5"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18.1</w:t>
            </w:r>
          </w:p>
        </w:tc>
      </w:tr>
      <w:tr w:rsidR="00A74860" w14:paraId="0BF662D5" w14:textId="77777777" w:rsidTr="00880215">
        <w:tc>
          <w:tcPr>
            <w:tcW w:w="3510" w:type="dxa"/>
            <w:gridSpan w:val="2"/>
            <w:tcBorders>
              <w:top w:val="single" w:sz="4" w:space="0" w:color="auto"/>
              <w:left w:val="nil"/>
              <w:bottom w:val="single" w:sz="4" w:space="0" w:color="auto"/>
              <w:right w:val="nil"/>
            </w:tcBorders>
            <w:hideMark/>
          </w:tcPr>
          <w:p w14:paraId="46F1A09A" w14:textId="77777777" w:rsidR="00A74860" w:rsidRDefault="00A74860">
            <w:pPr>
              <w:keepLines/>
              <w:widowControl w:val="0"/>
              <w:spacing w:before="80" w:after="80" w:line="240" w:lineRule="auto"/>
              <w:ind w:left="177"/>
              <w:rPr>
                <w:rFonts w:cstheme="minorHAnsi"/>
                <w:sz w:val="18"/>
                <w:szCs w:val="18"/>
                <w:lang w:eastAsia="en-US"/>
              </w:rPr>
            </w:pPr>
            <w:r>
              <w:rPr>
                <w:rFonts w:cstheme="minorHAnsi"/>
                <w:sz w:val="18"/>
                <w:szCs w:val="18"/>
                <w:lang w:eastAsia="en-US"/>
              </w:rPr>
              <w:t>UP All persons</w:t>
            </w:r>
          </w:p>
        </w:tc>
        <w:tc>
          <w:tcPr>
            <w:tcW w:w="1676" w:type="dxa"/>
            <w:gridSpan w:val="2"/>
            <w:tcBorders>
              <w:top w:val="single" w:sz="4" w:space="0" w:color="auto"/>
              <w:left w:val="nil"/>
              <w:bottom w:val="single" w:sz="4" w:space="0" w:color="auto"/>
              <w:right w:val="nil"/>
            </w:tcBorders>
            <w:hideMark/>
          </w:tcPr>
          <w:p w14:paraId="3EAB120E" w14:textId="77777777" w:rsidR="00A74860" w:rsidRDefault="00A74860">
            <w:pPr>
              <w:keepLines/>
              <w:widowControl w:val="0"/>
              <w:spacing w:before="80" w:after="80" w:line="240" w:lineRule="auto"/>
              <w:jc w:val="center"/>
              <w:rPr>
                <w:rFonts w:cstheme="minorHAnsi"/>
                <w:sz w:val="18"/>
                <w:szCs w:val="18"/>
                <w:lang w:eastAsia="en-US"/>
              </w:rPr>
            </w:pPr>
            <w:r>
              <w:rPr>
                <w:rFonts w:cstheme="minorHAnsi"/>
                <w:sz w:val="18"/>
                <w:szCs w:val="18"/>
                <w:lang w:eastAsia="en-US"/>
              </w:rPr>
              <w:t>Persons invited</w:t>
            </w:r>
          </w:p>
        </w:tc>
        <w:tc>
          <w:tcPr>
            <w:tcW w:w="1314" w:type="dxa"/>
            <w:tcBorders>
              <w:top w:val="single" w:sz="4" w:space="0" w:color="auto"/>
              <w:left w:val="nil"/>
              <w:bottom w:val="single" w:sz="4" w:space="0" w:color="auto"/>
              <w:right w:val="nil"/>
            </w:tcBorders>
            <w:hideMark/>
          </w:tcPr>
          <w:p w14:paraId="43E08252"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288941</w:t>
            </w:r>
          </w:p>
        </w:tc>
        <w:tc>
          <w:tcPr>
            <w:tcW w:w="1314" w:type="dxa"/>
            <w:tcBorders>
              <w:top w:val="single" w:sz="4" w:space="0" w:color="auto"/>
              <w:left w:val="nil"/>
              <w:bottom w:val="single" w:sz="4" w:space="0" w:color="auto"/>
              <w:right w:val="nil"/>
            </w:tcBorders>
            <w:hideMark/>
          </w:tcPr>
          <w:p w14:paraId="16F45876"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109110</w:t>
            </w:r>
          </w:p>
        </w:tc>
        <w:tc>
          <w:tcPr>
            <w:tcW w:w="1314" w:type="dxa"/>
            <w:tcBorders>
              <w:top w:val="single" w:sz="4" w:space="0" w:color="auto"/>
              <w:left w:val="nil"/>
              <w:bottom w:val="single" w:sz="4" w:space="0" w:color="auto"/>
              <w:right w:val="nil"/>
            </w:tcBorders>
            <w:hideMark/>
          </w:tcPr>
          <w:p w14:paraId="36F26416" w14:textId="77777777" w:rsidR="00A74860" w:rsidRDefault="00A74860">
            <w:pPr>
              <w:keepLines/>
              <w:widowControl w:val="0"/>
              <w:spacing w:before="80" w:after="80" w:line="240" w:lineRule="auto"/>
              <w:jc w:val="right"/>
              <w:rPr>
                <w:rFonts w:cstheme="minorHAnsi"/>
                <w:sz w:val="18"/>
                <w:szCs w:val="18"/>
                <w:lang w:eastAsia="en-US"/>
              </w:rPr>
            </w:pPr>
            <w:r>
              <w:rPr>
                <w:rFonts w:cstheme="minorHAnsi"/>
                <w:sz w:val="18"/>
                <w:szCs w:val="18"/>
                <w:lang w:eastAsia="en-US"/>
              </w:rPr>
              <w:t>37.8</w:t>
            </w:r>
          </w:p>
        </w:tc>
      </w:tr>
    </w:tbl>
    <w:p w14:paraId="063A39C2" w14:textId="77777777" w:rsidR="00A74860" w:rsidRDefault="00A74860" w:rsidP="00A74860">
      <w:pPr>
        <w:rPr>
          <w:rFonts w:cstheme="minorHAnsi"/>
          <w:sz w:val="18"/>
          <w:szCs w:val="18"/>
        </w:rPr>
      </w:pPr>
      <w:r>
        <w:rPr>
          <w:rFonts w:cstheme="minorHAnsi"/>
          <w:sz w:val="18"/>
          <w:szCs w:val="18"/>
        </w:rPr>
        <w:t>Notes</w:t>
      </w:r>
    </w:p>
    <w:p w14:paraId="02C679AF" w14:textId="77777777" w:rsidR="00A74860" w:rsidRDefault="00A74860" w:rsidP="00A74860">
      <w:pPr>
        <w:rPr>
          <w:rFonts w:cstheme="minorHAnsi"/>
          <w:sz w:val="18"/>
          <w:szCs w:val="18"/>
        </w:rPr>
      </w:pPr>
      <w:r>
        <w:rPr>
          <w:rFonts w:cstheme="minorHAnsi"/>
          <w:sz w:val="18"/>
          <w:szCs w:val="18"/>
        </w:rPr>
        <w:t xml:space="preserve">a. Denominator for participation is calculated using numbers reported to DHS during the Pilot by 15 Pilot sites, for those who were given kits </w:t>
      </w:r>
      <w:r>
        <w:rPr>
          <w:rFonts w:cstheme="minorHAnsi"/>
          <w:i/>
          <w:iCs/>
          <w:sz w:val="18"/>
          <w:szCs w:val="18"/>
        </w:rPr>
        <w:t>and</w:t>
      </w:r>
      <w:r>
        <w:rPr>
          <w:rFonts w:cstheme="minorHAnsi"/>
          <w:sz w:val="18"/>
          <w:szCs w:val="18"/>
        </w:rPr>
        <w:t xml:space="preserve"> those assessed for screening but found unsuitable or who declined to take a kit, between 1 November 2018 and 31 October 2019. Only these 15 Pilot sites reported patients who were assessed for screening but not given a kit.  </w:t>
      </w:r>
    </w:p>
    <w:p w14:paraId="1336D684" w14:textId="77777777" w:rsidR="00A74860" w:rsidRDefault="00A74860" w:rsidP="00A74860">
      <w:pPr>
        <w:rPr>
          <w:rFonts w:cstheme="minorHAnsi"/>
          <w:sz w:val="18"/>
          <w:szCs w:val="18"/>
        </w:rPr>
      </w:pPr>
      <w:r>
        <w:rPr>
          <w:rFonts w:cstheme="minorHAnsi"/>
          <w:sz w:val="18"/>
          <w:szCs w:val="18"/>
        </w:rPr>
        <w:t>b. Participation reported from analysis by AIHW, using same data as a., cleaned and corrected, and data in NBCSP register as at 31 October.</w:t>
      </w:r>
    </w:p>
    <w:p w14:paraId="39D03250" w14:textId="77777777" w:rsidR="00A74860" w:rsidRDefault="00A74860" w:rsidP="00A74860">
      <w:pPr>
        <w:rPr>
          <w:rFonts w:cstheme="minorHAnsi"/>
          <w:sz w:val="18"/>
          <w:szCs w:val="18"/>
        </w:rPr>
      </w:pPr>
      <w:r>
        <w:rPr>
          <w:rFonts w:cstheme="minorHAnsi"/>
          <w:sz w:val="18"/>
          <w:szCs w:val="18"/>
        </w:rPr>
        <w:t>c. The denominator for participation includes the cleaned and corrected AIHW data reported in note b., plus the number of people assessed but not given a kit (N = 112) described in note a.</w:t>
      </w:r>
    </w:p>
    <w:p w14:paraId="032705ED" w14:textId="77777777" w:rsidR="00A74860" w:rsidRDefault="00A74860" w:rsidP="00A74860">
      <w:pPr>
        <w:rPr>
          <w:rFonts w:cstheme="minorHAnsi"/>
          <w:sz w:val="18"/>
          <w:szCs w:val="18"/>
        </w:rPr>
      </w:pPr>
      <w:r>
        <w:rPr>
          <w:rFonts w:cstheme="minorHAnsi"/>
          <w:sz w:val="18"/>
          <w:szCs w:val="18"/>
        </w:rPr>
        <w:t xml:space="preserve">d. Usual pathway participation reported here for comparison only. Participation is from analysis of NBCSP register data for non-Indigenous, not stated and all persons for those invited through the usual pathway between 1 November 2018 to 31 October 2019, with follow up until 31 October 2019. Indigenous participation is from analysis by AIHW using estimates based on Indigenous status Census proportions. </w:t>
      </w:r>
    </w:p>
    <w:p w14:paraId="0B1B06EE" w14:textId="77777777" w:rsidR="00A74860" w:rsidRDefault="00A74860" w:rsidP="00A74860">
      <w:pPr>
        <w:rPr>
          <w:rFonts w:cstheme="minorHAnsi"/>
          <w:sz w:val="18"/>
          <w:szCs w:val="18"/>
        </w:rPr>
      </w:pPr>
      <w:r>
        <w:rPr>
          <w:rFonts w:cstheme="minorHAnsi"/>
          <w:sz w:val="18"/>
          <w:szCs w:val="18"/>
        </w:rPr>
        <w:t>Source: Analysis by Menzies of raw Pilot data reported by health centres to DHS, uncorrected; AIHW analysis of Pilot data reported to DHS and recorded in NBCSP register, cleaned and corrected; usual pathway participation reported by AIHW from analysis of NBCSP register data for non-Indigenous, not stated and all persons; usual pathway Indigenous participation from analysis by AIHW using estimates based on Indigenous status Census proportions.</w:t>
      </w:r>
    </w:p>
    <w:p w14:paraId="26E583EC" w14:textId="77777777" w:rsidR="00A74860" w:rsidRDefault="00A74860" w:rsidP="00A74860">
      <w:pPr>
        <w:rPr>
          <w:rFonts w:cstheme="minorHAnsi"/>
        </w:rPr>
      </w:pPr>
    </w:p>
    <w:p w14:paraId="4E02CCB1" w14:textId="77777777" w:rsidR="00A74860" w:rsidRDefault="00A74860" w:rsidP="00A74860">
      <w:pPr>
        <w:spacing w:before="0" w:after="0" w:line="240" w:lineRule="auto"/>
        <w:rPr>
          <w:rFonts w:cstheme="minorHAnsi"/>
          <w:b/>
          <w:bCs/>
          <w:color w:val="C45911" w:themeColor="accent2" w:themeShade="BF"/>
        </w:rPr>
      </w:pPr>
      <w:r>
        <w:rPr>
          <w:rFonts w:cstheme="minorHAnsi"/>
          <w:b/>
          <w:bCs/>
          <w:color w:val="C45911" w:themeColor="accent2" w:themeShade="BF"/>
        </w:rPr>
        <w:br w:type="page"/>
      </w:r>
    </w:p>
    <w:p w14:paraId="5C737655" w14:textId="77777777" w:rsidR="00A74860" w:rsidRDefault="00A74860" w:rsidP="00A74860">
      <w:pPr>
        <w:rPr>
          <w:rFonts w:cstheme="minorHAnsi"/>
          <w:b/>
          <w:bCs/>
          <w:color w:val="FFC000" w:themeColor="accent4"/>
        </w:rPr>
      </w:pPr>
      <w:r>
        <w:rPr>
          <w:rFonts w:cstheme="minorHAnsi"/>
          <w:b/>
          <w:bCs/>
          <w:color w:val="C45911" w:themeColor="accent2" w:themeShade="BF"/>
        </w:rPr>
        <w:lastRenderedPageBreak/>
        <w:t>8</w:t>
      </w:r>
      <w:r>
        <w:rPr>
          <w:rFonts w:eastAsiaTheme="majorEastAsia" w:cstheme="minorHAnsi"/>
          <w:b/>
          <w:color w:val="C45911" w:themeColor="accent2" w:themeShade="BF"/>
          <w:szCs w:val="22"/>
          <w:lang w:eastAsia="en-AU"/>
        </w:rPr>
        <w:t>.3 Other screening results</w:t>
      </w:r>
    </w:p>
    <w:p w14:paraId="548F7CBC" w14:textId="77777777" w:rsidR="00A74860" w:rsidRDefault="00A74860" w:rsidP="00A74860">
      <w:pPr>
        <w:rPr>
          <w:rFonts w:cstheme="minorHAnsi"/>
          <w:b/>
          <w:bCs/>
        </w:rPr>
      </w:pPr>
      <w:r>
        <w:rPr>
          <w:rFonts w:cstheme="minorHAnsi"/>
          <w:b/>
          <w:bCs/>
        </w:rPr>
        <w:t>Time between invitation and return of completed screening test, usual and Alternative pathways</w:t>
      </w:r>
    </w:p>
    <w:p w14:paraId="1FB11AAE" w14:textId="77777777" w:rsidR="00A74860" w:rsidRDefault="00A74860" w:rsidP="00A74860">
      <w:pPr>
        <w:rPr>
          <w:rFonts w:cstheme="minorHAnsi"/>
        </w:rPr>
      </w:pPr>
      <w:r>
        <w:rPr>
          <w:rFonts w:cstheme="minorHAnsi"/>
        </w:rPr>
        <w:t xml:space="preserve">An unexpected outcome of the Pilot was that those who screened through the Alternative Pathway did so much more promptly than usual pathway participants, as shown in Table 8.4. The median number of days taken to return Alternative Pathway kits was 13 days, compared to 34 days for the usual pathway. </w:t>
      </w:r>
    </w:p>
    <w:p w14:paraId="68594BA4" w14:textId="77777777" w:rsidR="00A74860" w:rsidRDefault="00A74860" w:rsidP="00A74860">
      <w:pPr>
        <w:rPr>
          <w:rFonts w:cstheme="minorHAnsi"/>
        </w:rPr>
      </w:pPr>
      <w:r>
        <w:rPr>
          <w:rFonts w:cstheme="minorHAnsi"/>
        </w:rPr>
        <w:t xml:space="preserve">Factors that contributed to this difference could include the time taken for kits to get to and from usual pathway invitees through the mail, that the health centre staff involved in the Alternative Pathway gave clear directions about getting samples back for testing in a timely way, or, as reported in Section 9, that invitees wanted to complete the test before they went back to see the health worker, nurse or GP who gave them the kit. This marked difference in times to return tests could also be an indicator of what so many primary health care staff said when interviewed: for many patients, receiving an NBCSP kit (with its colourful Pilot sticker on the front) from a trusted health professional created a completely different experience to receiving the kit through the mail.  </w:t>
      </w:r>
    </w:p>
    <w:p w14:paraId="44B7C8E4" w14:textId="77777777" w:rsidR="00A74860" w:rsidRDefault="00A74860" w:rsidP="00A74860">
      <w:pPr>
        <w:rPr>
          <w:rFonts w:cstheme="minorHAnsi"/>
          <w:b/>
          <w:bCs/>
        </w:rPr>
      </w:pPr>
      <w:r>
        <w:rPr>
          <w:rFonts w:cstheme="minorHAnsi"/>
          <w:b/>
          <w:bCs/>
        </w:rPr>
        <w:t>Table 8.4. Time between invitation and return of completed screening test, usual and Alternative pathways, 1 November 2018 to 31 October 2019.</w:t>
      </w:r>
    </w:p>
    <w:p w14:paraId="59A2A566" w14:textId="77777777" w:rsidR="00A74860" w:rsidRDefault="00A74860" w:rsidP="00A74860">
      <w:pPr>
        <w:rPr>
          <w:rFonts w:cstheme="minorHAnsi"/>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464"/>
        <w:gridCol w:w="1465"/>
        <w:gridCol w:w="1465"/>
        <w:gridCol w:w="2267"/>
      </w:tblGrid>
      <w:tr w:rsidR="00A74860" w14:paraId="6EFB05F6" w14:textId="77777777" w:rsidTr="00A74860">
        <w:trPr>
          <w:trHeight w:val="573"/>
        </w:trPr>
        <w:tc>
          <w:tcPr>
            <w:tcW w:w="1980" w:type="dxa"/>
            <w:tcBorders>
              <w:top w:val="nil"/>
              <w:left w:val="nil"/>
              <w:bottom w:val="single" w:sz="4" w:space="0" w:color="auto"/>
              <w:right w:val="single" w:sz="4" w:space="0" w:color="auto"/>
            </w:tcBorders>
            <w:noWrap/>
            <w:hideMark/>
          </w:tcPr>
          <w:p w14:paraId="4FB01A56" w14:textId="77777777" w:rsidR="00A74860" w:rsidRDefault="00A74860">
            <w:pPr>
              <w:rPr>
                <w:rFonts w:cstheme="minorHAnsi"/>
                <w:b/>
                <w:bCs/>
                <w:color w:val="000000"/>
                <w:sz w:val="18"/>
                <w:szCs w:val="18"/>
                <w:lang w:eastAsia="en-US"/>
              </w:rPr>
            </w:pPr>
            <w:r>
              <w:rPr>
                <w:rFonts w:cstheme="minorHAnsi"/>
                <w:b/>
                <w:bCs/>
                <w:color w:val="000000"/>
                <w:sz w:val="18"/>
                <w:szCs w:val="18"/>
                <w:lang w:eastAsia="en-US"/>
              </w:rPr>
              <w:t>Indigenous status</w:t>
            </w:r>
          </w:p>
        </w:tc>
        <w:tc>
          <w:tcPr>
            <w:tcW w:w="1464" w:type="dxa"/>
            <w:tcBorders>
              <w:top w:val="nil"/>
              <w:left w:val="single" w:sz="4" w:space="0" w:color="auto"/>
              <w:bottom w:val="single" w:sz="4" w:space="0" w:color="auto"/>
              <w:right w:val="nil"/>
            </w:tcBorders>
            <w:noWrap/>
            <w:hideMark/>
          </w:tcPr>
          <w:p w14:paraId="31EF3EBE" w14:textId="77777777" w:rsidR="00A74860" w:rsidRDefault="00A74860">
            <w:pPr>
              <w:rPr>
                <w:rFonts w:cstheme="minorHAnsi"/>
                <w:b/>
                <w:bCs/>
                <w:color w:val="000000"/>
                <w:sz w:val="18"/>
                <w:szCs w:val="18"/>
                <w:lang w:eastAsia="en-US"/>
              </w:rPr>
            </w:pPr>
            <w:r>
              <w:rPr>
                <w:rFonts w:cstheme="minorHAnsi"/>
                <w:b/>
                <w:bCs/>
                <w:color w:val="000000"/>
                <w:sz w:val="18"/>
                <w:szCs w:val="18"/>
                <w:lang w:eastAsia="en-US"/>
              </w:rPr>
              <w:t>Sex</w:t>
            </w:r>
          </w:p>
        </w:tc>
        <w:tc>
          <w:tcPr>
            <w:tcW w:w="1465" w:type="dxa"/>
            <w:tcBorders>
              <w:top w:val="nil"/>
              <w:left w:val="nil"/>
              <w:bottom w:val="single" w:sz="4" w:space="0" w:color="auto"/>
              <w:right w:val="nil"/>
            </w:tcBorders>
            <w:noWrap/>
            <w:hideMark/>
          </w:tcPr>
          <w:p w14:paraId="4246CF46" w14:textId="77777777" w:rsidR="00A74860" w:rsidRDefault="00A74860">
            <w:pPr>
              <w:jc w:val="center"/>
              <w:rPr>
                <w:rFonts w:cstheme="minorHAnsi"/>
                <w:b/>
                <w:bCs/>
                <w:color w:val="000000"/>
                <w:sz w:val="18"/>
                <w:szCs w:val="18"/>
                <w:lang w:eastAsia="en-US"/>
              </w:rPr>
            </w:pPr>
            <w:r>
              <w:rPr>
                <w:rFonts w:cstheme="minorHAnsi"/>
                <w:b/>
                <w:bCs/>
                <w:color w:val="000000"/>
                <w:sz w:val="18"/>
                <w:szCs w:val="18"/>
                <w:lang w:eastAsia="en-US"/>
              </w:rPr>
              <w:t>Median days</w:t>
            </w:r>
          </w:p>
        </w:tc>
        <w:tc>
          <w:tcPr>
            <w:tcW w:w="1465" w:type="dxa"/>
            <w:tcBorders>
              <w:top w:val="nil"/>
              <w:left w:val="nil"/>
              <w:bottom w:val="single" w:sz="4" w:space="0" w:color="auto"/>
              <w:right w:val="nil"/>
            </w:tcBorders>
            <w:noWrap/>
            <w:hideMark/>
          </w:tcPr>
          <w:p w14:paraId="318A7883" w14:textId="77777777" w:rsidR="00A74860" w:rsidRDefault="00A74860">
            <w:pPr>
              <w:jc w:val="center"/>
              <w:rPr>
                <w:rFonts w:cstheme="minorHAnsi"/>
                <w:b/>
                <w:bCs/>
                <w:color w:val="000000"/>
                <w:sz w:val="18"/>
                <w:szCs w:val="18"/>
                <w:lang w:eastAsia="en-US"/>
              </w:rPr>
            </w:pPr>
            <w:r>
              <w:rPr>
                <w:rFonts w:cstheme="minorHAnsi"/>
                <w:b/>
                <w:bCs/>
                <w:color w:val="000000"/>
                <w:sz w:val="18"/>
                <w:szCs w:val="18"/>
                <w:lang w:eastAsia="en-US"/>
              </w:rPr>
              <w:t>90th percentile</w:t>
            </w:r>
          </w:p>
        </w:tc>
        <w:tc>
          <w:tcPr>
            <w:tcW w:w="2268" w:type="dxa"/>
            <w:tcBorders>
              <w:top w:val="nil"/>
              <w:left w:val="nil"/>
              <w:bottom w:val="single" w:sz="4" w:space="0" w:color="auto"/>
              <w:right w:val="nil"/>
            </w:tcBorders>
            <w:noWrap/>
            <w:hideMark/>
          </w:tcPr>
          <w:p w14:paraId="283E0964" w14:textId="77777777" w:rsidR="00A74860" w:rsidRDefault="00A74860">
            <w:pPr>
              <w:jc w:val="center"/>
              <w:rPr>
                <w:rFonts w:cstheme="minorHAnsi"/>
                <w:b/>
                <w:bCs/>
                <w:color w:val="000000"/>
                <w:sz w:val="18"/>
                <w:szCs w:val="18"/>
                <w:lang w:eastAsia="en-US"/>
              </w:rPr>
            </w:pPr>
            <w:r>
              <w:rPr>
                <w:rFonts w:cstheme="minorHAnsi"/>
                <w:b/>
                <w:bCs/>
                <w:color w:val="000000"/>
                <w:sz w:val="18"/>
                <w:szCs w:val="18"/>
                <w:lang w:eastAsia="en-US"/>
              </w:rPr>
              <w:t>Returned completed</w:t>
            </w:r>
            <w:r>
              <w:rPr>
                <w:rFonts w:cstheme="minorHAnsi"/>
                <w:b/>
                <w:bCs/>
                <w:color w:val="000000"/>
                <w:sz w:val="18"/>
                <w:szCs w:val="18"/>
                <w:lang w:eastAsia="en-US"/>
              </w:rPr>
              <w:br/>
              <w:t>screening test (N)</w:t>
            </w:r>
          </w:p>
        </w:tc>
      </w:tr>
      <w:tr w:rsidR="00A74860" w14:paraId="6075EAF9" w14:textId="77777777" w:rsidTr="00A74860">
        <w:trPr>
          <w:trHeight w:val="320"/>
        </w:trPr>
        <w:tc>
          <w:tcPr>
            <w:tcW w:w="1980" w:type="dxa"/>
            <w:vMerge w:val="restart"/>
            <w:tcBorders>
              <w:top w:val="single" w:sz="4" w:space="0" w:color="auto"/>
              <w:left w:val="nil"/>
              <w:bottom w:val="single" w:sz="4" w:space="0" w:color="auto"/>
              <w:right w:val="single" w:sz="4" w:space="0" w:color="auto"/>
            </w:tcBorders>
            <w:noWrap/>
            <w:hideMark/>
          </w:tcPr>
          <w:p w14:paraId="2F2096E5" w14:textId="77777777" w:rsidR="00A74860" w:rsidRDefault="00A74860">
            <w:pPr>
              <w:spacing w:before="60" w:after="60" w:line="240" w:lineRule="auto"/>
              <w:rPr>
                <w:rFonts w:cstheme="minorHAnsi"/>
                <w:color w:val="000000"/>
                <w:sz w:val="18"/>
                <w:szCs w:val="18"/>
                <w:vertAlign w:val="superscript"/>
                <w:lang w:eastAsia="en-US"/>
              </w:rPr>
            </w:pPr>
            <w:r>
              <w:rPr>
                <w:rFonts w:cstheme="minorHAnsi"/>
                <w:color w:val="000000"/>
                <w:sz w:val="18"/>
                <w:szCs w:val="18"/>
                <w:lang w:eastAsia="en-US"/>
              </w:rPr>
              <w:t>Usual pathway Indigenous</w:t>
            </w:r>
          </w:p>
        </w:tc>
        <w:tc>
          <w:tcPr>
            <w:tcW w:w="1464" w:type="dxa"/>
            <w:tcBorders>
              <w:top w:val="single" w:sz="4" w:space="0" w:color="auto"/>
              <w:left w:val="single" w:sz="4" w:space="0" w:color="auto"/>
              <w:bottom w:val="nil"/>
              <w:right w:val="nil"/>
            </w:tcBorders>
            <w:noWrap/>
            <w:hideMark/>
          </w:tcPr>
          <w:p w14:paraId="104991A8"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Males</w:t>
            </w:r>
          </w:p>
        </w:tc>
        <w:tc>
          <w:tcPr>
            <w:tcW w:w="1465" w:type="dxa"/>
            <w:tcBorders>
              <w:top w:val="single" w:sz="4" w:space="0" w:color="auto"/>
              <w:left w:val="nil"/>
              <w:bottom w:val="nil"/>
              <w:right w:val="nil"/>
            </w:tcBorders>
            <w:shd w:val="clear" w:color="auto" w:fill="E6E6E6"/>
            <w:hideMark/>
          </w:tcPr>
          <w:p w14:paraId="716591ED"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37</w:t>
            </w:r>
          </w:p>
        </w:tc>
        <w:tc>
          <w:tcPr>
            <w:tcW w:w="1465" w:type="dxa"/>
            <w:tcBorders>
              <w:top w:val="single" w:sz="4" w:space="0" w:color="auto"/>
              <w:left w:val="nil"/>
              <w:bottom w:val="nil"/>
              <w:right w:val="nil"/>
            </w:tcBorders>
            <w:hideMark/>
          </w:tcPr>
          <w:p w14:paraId="609C1E44"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103</w:t>
            </w:r>
          </w:p>
        </w:tc>
        <w:tc>
          <w:tcPr>
            <w:tcW w:w="2268" w:type="dxa"/>
            <w:tcBorders>
              <w:top w:val="single" w:sz="4" w:space="0" w:color="auto"/>
              <w:left w:val="nil"/>
              <w:bottom w:val="nil"/>
              <w:right w:val="nil"/>
            </w:tcBorders>
            <w:hideMark/>
          </w:tcPr>
          <w:p w14:paraId="60420991"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5,262</w:t>
            </w:r>
          </w:p>
        </w:tc>
      </w:tr>
      <w:tr w:rsidR="00A74860" w14:paraId="0F876A21"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26C4307E" w14:textId="77777777" w:rsidR="00A74860" w:rsidRDefault="00A74860">
            <w:pPr>
              <w:spacing w:before="0" w:after="0" w:line="240" w:lineRule="auto"/>
              <w:rPr>
                <w:rFonts w:cstheme="minorHAnsi"/>
                <w:color w:val="000000"/>
                <w:sz w:val="18"/>
                <w:szCs w:val="18"/>
                <w:vertAlign w:val="superscript"/>
                <w:lang w:eastAsia="en-US"/>
              </w:rPr>
            </w:pPr>
          </w:p>
        </w:tc>
        <w:tc>
          <w:tcPr>
            <w:tcW w:w="1464" w:type="dxa"/>
            <w:tcBorders>
              <w:top w:val="nil"/>
              <w:left w:val="single" w:sz="4" w:space="0" w:color="auto"/>
              <w:bottom w:val="nil"/>
              <w:right w:val="nil"/>
            </w:tcBorders>
            <w:noWrap/>
            <w:hideMark/>
          </w:tcPr>
          <w:p w14:paraId="4F852A0A"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Females</w:t>
            </w:r>
          </w:p>
        </w:tc>
        <w:tc>
          <w:tcPr>
            <w:tcW w:w="1465" w:type="dxa"/>
            <w:tcBorders>
              <w:top w:val="nil"/>
              <w:left w:val="nil"/>
              <w:bottom w:val="nil"/>
              <w:right w:val="nil"/>
            </w:tcBorders>
            <w:shd w:val="clear" w:color="auto" w:fill="E6E6E6"/>
            <w:hideMark/>
          </w:tcPr>
          <w:p w14:paraId="42AA9A6C"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37</w:t>
            </w:r>
          </w:p>
        </w:tc>
        <w:tc>
          <w:tcPr>
            <w:tcW w:w="1465" w:type="dxa"/>
            <w:tcBorders>
              <w:top w:val="nil"/>
              <w:left w:val="nil"/>
              <w:bottom w:val="nil"/>
              <w:right w:val="nil"/>
            </w:tcBorders>
            <w:hideMark/>
          </w:tcPr>
          <w:p w14:paraId="25F30471"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104</w:t>
            </w:r>
          </w:p>
        </w:tc>
        <w:tc>
          <w:tcPr>
            <w:tcW w:w="2268" w:type="dxa"/>
            <w:tcBorders>
              <w:top w:val="nil"/>
              <w:left w:val="nil"/>
              <w:bottom w:val="nil"/>
              <w:right w:val="nil"/>
            </w:tcBorders>
            <w:hideMark/>
          </w:tcPr>
          <w:p w14:paraId="76FE2968"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5,656</w:t>
            </w:r>
          </w:p>
        </w:tc>
      </w:tr>
      <w:tr w:rsidR="00A74860" w14:paraId="5C766DEA"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58FF2477" w14:textId="77777777" w:rsidR="00A74860" w:rsidRDefault="00A74860">
            <w:pPr>
              <w:spacing w:before="0" w:after="0" w:line="240" w:lineRule="auto"/>
              <w:rPr>
                <w:rFonts w:cstheme="minorHAnsi"/>
                <w:color w:val="000000"/>
                <w:sz w:val="18"/>
                <w:szCs w:val="18"/>
                <w:vertAlign w:val="superscript"/>
                <w:lang w:eastAsia="en-US"/>
              </w:rPr>
            </w:pPr>
          </w:p>
        </w:tc>
        <w:tc>
          <w:tcPr>
            <w:tcW w:w="1464" w:type="dxa"/>
            <w:tcBorders>
              <w:top w:val="nil"/>
              <w:left w:val="single" w:sz="4" w:space="0" w:color="auto"/>
              <w:bottom w:val="single" w:sz="4" w:space="0" w:color="auto"/>
              <w:right w:val="nil"/>
            </w:tcBorders>
            <w:noWrap/>
            <w:hideMark/>
          </w:tcPr>
          <w:p w14:paraId="4F26D713" w14:textId="77777777" w:rsidR="00A74860" w:rsidRDefault="00A74860">
            <w:pPr>
              <w:spacing w:before="60" w:after="60" w:line="240" w:lineRule="auto"/>
              <w:rPr>
                <w:rFonts w:cstheme="minorHAnsi"/>
                <w:i/>
                <w:iCs/>
                <w:color w:val="000000"/>
                <w:sz w:val="18"/>
                <w:szCs w:val="18"/>
                <w:lang w:eastAsia="en-US"/>
              </w:rPr>
            </w:pPr>
            <w:r>
              <w:rPr>
                <w:rFonts w:ascii="Calibri" w:hAnsi="Calibri" w:cs="Calibri"/>
                <w:i/>
                <w:iCs/>
                <w:color w:val="000000"/>
                <w:sz w:val="18"/>
                <w:szCs w:val="18"/>
                <w:lang w:eastAsia="en-US"/>
              </w:rPr>
              <w:t>Persons</w:t>
            </w:r>
          </w:p>
        </w:tc>
        <w:tc>
          <w:tcPr>
            <w:tcW w:w="1465" w:type="dxa"/>
            <w:tcBorders>
              <w:top w:val="nil"/>
              <w:left w:val="nil"/>
              <w:bottom w:val="single" w:sz="4" w:space="0" w:color="auto"/>
              <w:right w:val="nil"/>
            </w:tcBorders>
            <w:shd w:val="clear" w:color="auto" w:fill="E6E6E6"/>
            <w:hideMark/>
          </w:tcPr>
          <w:p w14:paraId="2015D8AF"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37</w:t>
            </w:r>
          </w:p>
        </w:tc>
        <w:tc>
          <w:tcPr>
            <w:tcW w:w="1465" w:type="dxa"/>
            <w:tcBorders>
              <w:top w:val="nil"/>
              <w:left w:val="nil"/>
              <w:bottom w:val="single" w:sz="4" w:space="0" w:color="auto"/>
              <w:right w:val="nil"/>
            </w:tcBorders>
            <w:hideMark/>
          </w:tcPr>
          <w:p w14:paraId="012670D1"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103</w:t>
            </w:r>
          </w:p>
        </w:tc>
        <w:tc>
          <w:tcPr>
            <w:tcW w:w="2268" w:type="dxa"/>
            <w:tcBorders>
              <w:top w:val="nil"/>
              <w:left w:val="nil"/>
              <w:bottom w:val="single" w:sz="4" w:space="0" w:color="auto"/>
              <w:right w:val="nil"/>
            </w:tcBorders>
            <w:hideMark/>
          </w:tcPr>
          <w:p w14:paraId="3AC2C117"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10,918</w:t>
            </w:r>
          </w:p>
        </w:tc>
      </w:tr>
      <w:tr w:rsidR="00A74860" w14:paraId="770F348B" w14:textId="77777777" w:rsidTr="00A74860">
        <w:trPr>
          <w:trHeight w:val="320"/>
        </w:trPr>
        <w:tc>
          <w:tcPr>
            <w:tcW w:w="1980" w:type="dxa"/>
            <w:vMerge w:val="restart"/>
            <w:tcBorders>
              <w:top w:val="single" w:sz="4" w:space="0" w:color="auto"/>
              <w:left w:val="nil"/>
              <w:bottom w:val="single" w:sz="4" w:space="0" w:color="auto"/>
              <w:right w:val="single" w:sz="4" w:space="0" w:color="auto"/>
            </w:tcBorders>
            <w:noWrap/>
            <w:hideMark/>
          </w:tcPr>
          <w:p w14:paraId="46639827"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Usual pathway non-Indigenous</w:t>
            </w:r>
          </w:p>
        </w:tc>
        <w:tc>
          <w:tcPr>
            <w:tcW w:w="1464" w:type="dxa"/>
            <w:tcBorders>
              <w:top w:val="single" w:sz="4" w:space="0" w:color="auto"/>
              <w:left w:val="single" w:sz="4" w:space="0" w:color="auto"/>
              <w:bottom w:val="nil"/>
              <w:right w:val="nil"/>
            </w:tcBorders>
            <w:noWrap/>
            <w:hideMark/>
          </w:tcPr>
          <w:p w14:paraId="75D0EA74"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Males</w:t>
            </w:r>
          </w:p>
        </w:tc>
        <w:tc>
          <w:tcPr>
            <w:tcW w:w="1465" w:type="dxa"/>
            <w:tcBorders>
              <w:top w:val="single" w:sz="4" w:space="0" w:color="auto"/>
              <w:left w:val="nil"/>
              <w:bottom w:val="nil"/>
              <w:right w:val="nil"/>
            </w:tcBorders>
            <w:shd w:val="clear" w:color="auto" w:fill="E6E6E6"/>
            <w:hideMark/>
          </w:tcPr>
          <w:p w14:paraId="6ABF5F9F"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34</w:t>
            </w:r>
          </w:p>
        </w:tc>
        <w:tc>
          <w:tcPr>
            <w:tcW w:w="1465" w:type="dxa"/>
            <w:tcBorders>
              <w:top w:val="single" w:sz="4" w:space="0" w:color="auto"/>
              <w:left w:val="nil"/>
              <w:bottom w:val="nil"/>
              <w:right w:val="nil"/>
            </w:tcBorders>
            <w:hideMark/>
          </w:tcPr>
          <w:p w14:paraId="4AC43DCA"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100</w:t>
            </w:r>
          </w:p>
        </w:tc>
        <w:tc>
          <w:tcPr>
            <w:tcW w:w="2268" w:type="dxa"/>
            <w:tcBorders>
              <w:top w:val="single" w:sz="4" w:space="0" w:color="auto"/>
              <w:left w:val="nil"/>
              <w:bottom w:val="nil"/>
              <w:right w:val="nil"/>
            </w:tcBorders>
            <w:hideMark/>
          </w:tcPr>
          <w:p w14:paraId="65833EDB"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528,023</w:t>
            </w:r>
          </w:p>
        </w:tc>
      </w:tr>
      <w:tr w:rsidR="00A74860" w14:paraId="246415A0"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1D5FA24C"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nil"/>
              <w:right w:val="nil"/>
            </w:tcBorders>
            <w:noWrap/>
            <w:hideMark/>
          </w:tcPr>
          <w:p w14:paraId="78E2035D"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Females</w:t>
            </w:r>
          </w:p>
        </w:tc>
        <w:tc>
          <w:tcPr>
            <w:tcW w:w="1465" w:type="dxa"/>
            <w:tcBorders>
              <w:top w:val="nil"/>
              <w:left w:val="nil"/>
              <w:bottom w:val="nil"/>
              <w:right w:val="nil"/>
            </w:tcBorders>
            <w:shd w:val="clear" w:color="auto" w:fill="E6E6E6"/>
            <w:hideMark/>
          </w:tcPr>
          <w:p w14:paraId="11A80B1D"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34</w:t>
            </w:r>
          </w:p>
        </w:tc>
        <w:tc>
          <w:tcPr>
            <w:tcW w:w="1465" w:type="dxa"/>
            <w:tcBorders>
              <w:top w:val="nil"/>
              <w:left w:val="nil"/>
              <w:bottom w:val="nil"/>
              <w:right w:val="nil"/>
            </w:tcBorders>
            <w:hideMark/>
          </w:tcPr>
          <w:p w14:paraId="76BF029E"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97</w:t>
            </w:r>
          </w:p>
        </w:tc>
        <w:tc>
          <w:tcPr>
            <w:tcW w:w="2268" w:type="dxa"/>
            <w:tcBorders>
              <w:top w:val="nil"/>
              <w:left w:val="nil"/>
              <w:bottom w:val="nil"/>
              <w:right w:val="nil"/>
            </w:tcBorders>
            <w:hideMark/>
          </w:tcPr>
          <w:p w14:paraId="18D45240"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594,356</w:t>
            </w:r>
          </w:p>
        </w:tc>
      </w:tr>
      <w:tr w:rsidR="00A74860" w14:paraId="4C0B3043"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2E9E73B1"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single" w:sz="4" w:space="0" w:color="auto"/>
              <w:right w:val="nil"/>
            </w:tcBorders>
            <w:noWrap/>
            <w:hideMark/>
          </w:tcPr>
          <w:p w14:paraId="0FC91B9B" w14:textId="77777777" w:rsidR="00A74860" w:rsidRDefault="00A74860">
            <w:pPr>
              <w:spacing w:before="60" w:after="60" w:line="240" w:lineRule="auto"/>
              <w:rPr>
                <w:rFonts w:cstheme="minorHAnsi"/>
                <w:i/>
                <w:iCs/>
                <w:color w:val="000000"/>
                <w:sz w:val="18"/>
                <w:szCs w:val="18"/>
                <w:lang w:eastAsia="en-US"/>
              </w:rPr>
            </w:pPr>
            <w:r>
              <w:rPr>
                <w:rFonts w:ascii="Calibri" w:hAnsi="Calibri" w:cs="Calibri"/>
                <w:i/>
                <w:iCs/>
                <w:color w:val="000000"/>
                <w:sz w:val="18"/>
                <w:szCs w:val="18"/>
                <w:lang w:eastAsia="en-US"/>
              </w:rPr>
              <w:t>Persons</w:t>
            </w:r>
          </w:p>
        </w:tc>
        <w:tc>
          <w:tcPr>
            <w:tcW w:w="1465" w:type="dxa"/>
            <w:tcBorders>
              <w:top w:val="nil"/>
              <w:left w:val="nil"/>
              <w:bottom w:val="single" w:sz="4" w:space="0" w:color="auto"/>
              <w:right w:val="nil"/>
            </w:tcBorders>
            <w:shd w:val="clear" w:color="auto" w:fill="E6E6E6"/>
            <w:hideMark/>
          </w:tcPr>
          <w:p w14:paraId="3134B5AB"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34</w:t>
            </w:r>
          </w:p>
        </w:tc>
        <w:tc>
          <w:tcPr>
            <w:tcW w:w="1465" w:type="dxa"/>
            <w:tcBorders>
              <w:top w:val="nil"/>
              <w:left w:val="nil"/>
              <w:bottom w:val="single" w:sz="4" w:space="0" w:color="auto"/>
              <w:right w:val="nil"/>
            </w:tcBorders>
            <w:hideMark/>
          </w:tcPr>
          <w:p w14:paraId="4E2A28FA"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100</w:t>
            </w:r>
          </w:p>
        </w:tc>
        <w:tc>
          <w:tcPr>
            <w:tcW w:w="2268" w:type="dxa"/>
            <w:tcBorders>
              <w:top w:val="nil"/>
              <w:left w:val="nil"/>
              <w:bottom w:val="single" w:sz="4" w:space="0" w:color="auto"/>
              <w:right w:val="nil"/>
            </w:tcBorders>
            <w:hideMark/>
          </w:tcPr>
          <w:p w14:paraId="4272E014"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1,122,379</w:t>
            </w:r>
          </w:p>
        </w:tc>
      </w:tr>
      <w:tr w:rsidR="00A74860" w14:paraId="2AC7F9A8" w14:textId="77777777" w:rsidTr="00A74860">
        <w:trPr>
          <w:trHeight w:val="320"/>
        </w:trPr>
        <w:tc>
          <w:tcPr>
            <w:tcW w:w="1980" w:type="dxa"/>
            <w:vMerge w:val="restart"/>
            <w:tcBorders>
              <w:top w:val="single" w:sz="4" w:space="0" w:color="auto"/>
              <w:left w:val="nil"/>
              <w:bottom w:val="single" w:sz="4" w:space="0" w:color="auto"/>
              <w:right w:val="single" w:sz="4" w:space="0" w:color="auto"/>
            </w:tcBorders>
            <w:noWrap/>
            <w:hideMark/>
          </w:tcPr>
          <w:p w14:paraId="644761BD"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Usual pathway not stated</w:t>
            </w:r>
          </w:p>
        </w:tc>
        <w:tc>
          <w:tcPr>
            <w:tcW w:w="1464" w:type="dxa"/>
            <w:tcBorders>
              <w:top w:val="single" w:sz="4" w:space="0" w:color="auto"/>
              <w:left w:val="single" w:sz="4" w:space="0" w:color="auto"/>
              <w:bottom w:val="nil"/>
              <w:right w:val="nil"/>
            </w:tcBorders>
            <w:noWrap/>
            <w:hideMark/>
          </w:tcPr>
          <w:p w14:paraId="217D82FA"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Males</w:t>
            </w:r>
          </w:p>
        </w:tc>
        <w:tc>
          <w:tcPr>
            <w:tcW w:w="1465" w:type="dxa"/>
            <w:tcBorders>
              <w:top w:val="single" w:sz="4" w:space="0" w:color="auto"/>
              <w:left w:val="nil"/>
              <w:bottom w:val="nil"/>
              <w:right w:val="nil"/>
            </w:tcBorders>
            <w:shd w:val="clear" w:color="auto" w:fill="E6E6E6"/>
            <w:hideMark/>
          </w:tcPr>
          <w:p w14:paraId="67167933"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52</w:t>
            </w:r>
          </w:p>
        </w:tc>
        <w:tc>
          <w:tcPr>
            <w:tcW w:w="1465" w:type="dxa"/>
            <w:tcBorders>
              <w:top w:val="single" w:sz="4" w:space="0" w:color="auto"/>
              <w:left w:val="nil"/>
              <w:bottom w:val="nil"/>
              <w:right w:val="nil"/>
            </w:tcBorders>
            <w:hideMark/>
          </w:tcPr>
          <w:p w14:paraId="64348533"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137</w:t>
            </w:r>
          </w:p>
        </w:tc>
        <w:tc>
          <w:tcPr>
            <w:tcW w:w="2268" w:type="dxa"/>
            <w:tcBorders>
              <w:top w:val="single" w:sz="4" w:space="0" w:color="auto"/>
              <w:left w:val="nil"/>
              <w:bottom w:val="nil"/>
              <w:right w:val="nil"/>
            </w:tcBorders>
            <w:hideMark/>
          </w:tcPr>
          <w:p w14:paraId="4DE6D00A"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16,423</w:t>
            </w:r>
          </w:p>
        </w:tc>
      </w:tr>
      <w:tr w:rsidR="00A74860" w14:paraId="586A466C"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54C17CB2"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nil"/>
              <w:right w:val="nil"/>
            </w:tcBorders>
            <w:noWrap/>
            <w:hideMark/>
          </w:tcPr>
          <w:p w14:paraId="1DD98A43"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Females</w:t>
            </w:r>
          </w:p>
        </w:tc>
        <w:tc>
          <w:tcPr>
            <w:tcW w:w="1465" w:type="dxa"/>
            <w:tcBorders>
              <w:top w:val="nil"/>
              <w:left w:val="nil"/>
              <w:bottom w:val="nil"/>
              <w:right w:val="nil"/>
            </w:tcBorders>
            <w:shd w:val="clear" w:color="auto" w:fill="E6E6E6"/>
            <w:hideMark/>
          </w:tcPr>
          <w:p w14:paraId="3D99FEC3"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50</w:t>
            </w:r>
          </w:p>
        </w:tc>
        <w:tc>
          <w:tcPr>
            <w:tcW w:w="1465" w:type="dxa"/>
            <w:tcBorders>
              <w:top w:val="nil"/>
              <w:left w:val="nil"/>
              <w:bottom w:val="nil"/>
              <w:right w:val="nil"/>
            </w:tcBorders>
            <w:hideMark/>
          </w:tcPr>
          <w:p w14:paraId="57CF512F"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136</w:t>
            </w:r>
          </w:p>
        </w:tc>
        <w:tc>
          <w:tcPr>
            <w:tcW w:w="2268" w:type="dxa"/>
            <w:tcBorders>
              <w:top w:val="nil"/>
              <w:left w:val="nil"/>
              <w:bottom w:val="nil"/>
              <w:right w:val="nil"/>
            </w:tcBorders>
            <w:hideMark/>
          </w:tcPr>
          <w:p w14:paraId="476A69D1"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14,596</w:t>
            </w:r>
          </w:p>
        </w:tc>
      </w:tr>
      <w:tr w:rsidR="00A74860" w14:paraId="31480114"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001C92BA"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single" w:sz="4" w:space="0" w:color="auto"/>
              <w:right w:val="nil"/>
            </w:tcBorders>
            <w:noWrap/>
            <w:hideMark/>
          </w:tcPr>
          <w:p w14:paraId="633595DA" w14:textId="77777777" w:rsidR="00A74860" w:rsidRDefault="00A74860">
            <w:pPr>
              <w:spacing w:before="60" w:after="60" w:line="240" w:lineRule="auto"/>
              <w:rPr>
                <w:rFonts w:cstheme="minorHAnsi"/>
                <w:i/>
                <w:iCs/>
                <w:color w:val="000000"/>
                <w:sz w:val="18"/>
                <w:szCs w:val="18"/>
                <w:lang w:eastAsia="en-US"/>
              </w:rPr>
            </w:pPr>
            <w:r>
              <w:rPr>
                <w:rFonts w:ascii="Calibri" w:hAnsi="Calibri" w:cs="Calibri"/>
                <w:i/>
                <w:iCs/>
                <w:color w:val="000000"/>
                <w:sz w:val="18"/>
                <w:szCs w:val="18"/>
                <w:lang w:eastAsia="en-US"/>
              </w:rPr>
              <w:t>Persons</w:t>
            </w:r>
          </w:p>
        </w:tc>
        <w:tc>
          <w:tcPr>
            <w:tcW w:w="1465" w:type="dxa"/>
            <w:tcBorders>
              <w:top w:val="nil"/>
              <w:left w:val="nil"/>
              <w:bottom w:val="single" w:sz="4" w:space="0" w:color="auto"/>
              <w:right w:val="nil"/>
            </w:tcBorders>
            <w:shd w:val="clear" w:color="auto" w:fill="E6E6E6"/>
            <w:hideMark/>
          </w:tcPr>
          <w:p w14:paraId="19C2B373"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51</w:t>
            </w:r>
          </w:p>
        </w:tc>
        <w:tc>
          <w:tcPr>
            <w:tcW w:w="1465" w:type="dxa"/>
            <w:tcBorders>
              <w:top w:val="nil"/>
              <w:left w:val="nil"/>
              <w:bottom w:val="single" w:sz="4" w:space="0" w:color="auto"/>
              <w:right w:val="nil"/>
            </w:tcBorders>
            <w:hideMark/>
          </w:tcPr>
          <w:p w14:paraId="5D6B102D"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137</w:t>
            </w:r>
          </w:p>
        </w:tc>
        <w:tc>
          <w:tcPr>
            <w:tcW w:w="2268" w:type="dxa"/>
            <w:tcBorders>
              <w:top w:val="nil"/>
              <w:left w:val="nil"/>
              <w:bottom w:val="single" w:sz="4" w:space="0" w:color="auto"/>
              <w:right w:val="nil"/>
            </w:tcBorders>
            <w:hideMark/>
          </w:tcPr>
          <w:p w14:paraId="6F588089"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31,019</w:t>
            </w:r>
          </w:p>
        </w:tc>
      </w:tr>
      <w:tr w:rsidR="00A74860" w14:paraId="1FA45443" w14:textId="77777777" w:rsidTr="00A74860">
        <w:trPr>
          <w:trHeight w:val="320"/>
        </w:trPr>
        <w:tc>
          <w:tcPr>
            <w:tcW w:w="1980" w:type="dxa"/>
            <w:vMerge w:val="restart"/>
            <w:tcBorders>
              <w:top w:val="single" w:sz="4" w:space="0" w:color="auto"/>
              <w:left w:val="nil"/>
              <w:bottom w:val="single" w:sz="4" w:space="0" w:color="auto"/>
              <w:right w:val="single" w:sz="4" w:space="0" w:color="auto"/>
            </w:tcBorders>
            <w:noWrap/>
            <w:hideMark/>
          </w:tcPr>
          <w:p w14:paraId="325E391A"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Usual pathway total</w:t>
            </w:r>
          </w:p>
        </w:tc>
        <w:tc>
          <w:tcPr>
            <w:tcW w:w="1464" w:type="dxa"/>
            <w:tcBorders>
              <w:top w:val="single" w:sz="4" w:space="0" w:color="auto"/>
              <w:left w:val="single" w:sz="4" w:space="0" w:color="auto"/>
              <w:bottom w:val="nil"/>
              <w:right w:val="nil"/>
            </w:tcBorders>
            <w:noWrap/>
            <w:hideMark/>
          </w:tcPr>
          <w:p w14:paraId="63C1764E"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Males</w:t>
            </w:r>
          </w:p>
        </w:tc>
        <w:tc>
          <w:tcPr>
            <w:tcW w:w="1465" w:type="dxa"/>
            <w:tcBorders>
              <w:top w:val="single" w:sz="4" w:space="0" w:color="auto"/>
              <w:left w:val="nil"/>
              <w:bottom w:val="nil"/>
              <w:right w:val="nil"/>
            </w:tcBorders>
            <w:shd w:val="clear" w:color="auto" w:fill="E6E6E6"/>
            <w:hideMark/>
          </w:tcPr>
          <w:p w14:paraId="0FE482B4"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36</w:t>
            </w:r>
          </w:p>
        </w:tc>
        <w:tc>
          <w:tcPr>
            <w:tcW w:w="1465" w:type="dxa"/>
            <w:tcBorders>
              <w:top w:val="single" w:sz="4" w:space="0" w:color="auto"/>
              <w:left w:val="nil"/>
              <w:bottom w:val="nil"/>
              <w:right w:val="nil"/>
            </w:tcBorders>
            <w:hideMark/>
          </w:tcPr>
          <w:p w14:paraId="4C76EA3D"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101</w:t>
            </w:r>
          </w:p>
        </w:tc>
        <w:tc>
          <w:tcPr>
            <w:tcW w:w="2268" w:type="dxa"/>
            <w:tcBorders>
              <w:top w:val="single" w:sz="4" w:space="0" w:color="auto"/>
              <w:left w:val="nil"/>
              <w:bottom w:val="nil"/>
              <w:right w:val="nil"/>
            </w:tcBorders>
            <w:hideMark/>
          </w:tcPr>
          <w:p w14:paraId="0904FE81"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549,708</w:t>
            </w:r>
          </w:p>
        </w:tc>
      </w:tr>
      <w:tr w:rsidR="00A74860" w14:paraId="45256AAF"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7E41470F"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nil"/>
              <w:right w:val="nil"/>
            </w:tcBorders>
            <w:noWrap/>
            <w:hideMark/>
          </w:tcPr>
          <w:p w14:paraId="294FF78C" w14:textId="77777777" w:rsidR="00A74860" w:rsidRDefault="00A74860">
            <w:pPr>
              <w:spacing w:before="60" w:after="60" w:line="240" w:lineRule="auto"/>
              <w:rPr>
                <w:rFonts w:cstheme="minorHAnsi"/>
                <w:color w:val="000000"/>
                <w:sz w:val="18"/>
                <w:szCs w:val="18"/>
                <w:lang w:eastAsia="en-US"/>
              </w:rPr>
            </w:pPr>
            <w:r>
              <w:rPr>
                <w:rFonts w:ascii="Calibri" w:hAnsi="Calibri" w:cs="Calibri"/>
                <w:color w:val="000000"/>
                <w:sz w:val="18"/>
                <w:szCs w:val="18"/>
                <w:lang w:eastAsia="en-US"/>
              </w:rPr>
              <w:t>Females</w:t>
            </w:r>
          </w:p>
        </w:tc>
        <w:tc>
          <w:tcPr>
            <w:tcW w:w="1465" w:type="dxa"/>
            <w:tcBorders>
              <w:top w:val="nil"/>
              <w:left w:val="nil"/>
              <w:bottom w:val="nil"/>
              <w:right w:val="nil"/>
            </w:tcBorders>
            <w:shd w:val="clear" w:color="auto" w:fill="E6E6E6"/>
            <w:hideMark/>
          </w:tcPr>
          <w:p w14:paraId="7BD87B51"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34</w:t>
            </w:r>
          </w:p>
        </w:tc>
        <w:tc>
          <w:tcPr>
            <w:tcW w:w="1465" w:type="dxa"/>
            <w:tcBorders>
              <w:top w:val="nil"/>
              <w:left w:val="nil"/>
              <w:bottom w:val="nil"/>
              <w:right w:val="nil"/>
            </w:tcBorders>
            <w:hideMark/>
          </w:tcPr>
          <w:p w14:paraId="3AFFBAE0"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100</w:t>
            </w:r>
          </w:p>
        </w:tc>
        <w:tc>
          <w:tcPr>
            <w:tcW w:w="2268" w:type="dxa"/>
            <w:tcBorders>
              <w:top w:val="nil"/>
              <w:left w:val="nil"/>
              <w:bottom w:val="nil"/>
              <w:right w:val="nil"/>
            </w:tcBorders>
            <w:hideMark/>
          </w:tcPr>
          <w:p w14:paraId="7FB1054D" w14:textId="77777777" w:rsidR="00A74860" w:rsidRDefault="00A74860">
            <w:pPr>
              <w:spacing w:before="60" w:after="60" w:line="240" w:lineRule="auto"/>
              <w:jc w:val="right"/>
              <w:rPr>
                <w:rFonts w:cstheme="minorHAnsi"/>
                <w:color w:val="000000"/>
                <w:sz w:val="18"/>
                <w:szCs w:val="18"/>
                <w:lang w:eastAsia="en-US"/>
              </w:rPr>
            </w:pPr>
            <w:r>
              <w:rPr>
                <w:rFonts w:ascii="Calibri" w:hAnsi="Calibri" w:cs="Calibri"/>
                <w:color w:val="000000"/>
                <w:sz w:val="18"/>
                <w:szCs w:val="18"/>
                <w:lang w:eastAsia="en-US"/>
              </w:rPr>
              <w:t>614,608</w:t>
            </w:r>
          </w:p>
        </w:tc>
      </w:tr>
      <w:tr w:rsidR="00A74860" w14:paraId="1782656E"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477AA466"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single" w:sz="4" w:space="0" w:color="auto"/>
              <w:right w:val="nil"/>
            </w:tcBorders>
            <w:noWrap/>
            <w:hideMark/>
          </w:tcPr>
          <w:p w14:paraId="4701BB50" w14:textId="77777777" w:rsidR="00A74860" w:rsidRDefault="00A74860">
            <w:pPr>
              <w:spacing w:before="60" w:after="60" w:line="240" w:lineRule="auto"/>
              <w:rPr>
                <w:rFonts w:cstheme="minorHAnsi"/>
                <w:i/>
                <w:iCs/>
                <w:color w:val="000000"/>
                <w:sz w:val="18"/>
                <w:szCs w:val="18"/>
                <w:lang w:eastAsia="en-US"/>
              </w:rPr>
            </w:pPr>
            <w:r>
              <w:rPr>
                <w:rFonts w:ascii="Calibri" w:hAnsi="Calibri" w:cs="Calibri"/>
                <w:i/>
                <w:iCs/>
                <w:color w:val="000000"/>
                <w:sz w:val="18"/>
                <w:szCs w:val="18"/>
                <w:lang w:eastAsia="en-US"/>
              </w:rPr>
              <w:t>Persons</w:t>
            </w:r>
          </w:p>
        </w:tc>
        <w:tc>
          <w:tcPr>
            <w:tcW w:w="1465" w:type="dxa"/>
            <w:tcBorders>
              <w:top w:val="nil"/>
              <w:left w:val="nil"/>
              <w:bottom w:val="single" w:sz="4" w:space="0" w:color="auto"/>
              <w:right w:val="nil"/>
            </w:tcBorders>
            <w:shd w:val="clear" w:color="auto" w:fill="E6E6E6"/>
            <w:hideMark/>
          </w:tcPr>
          <w:p w14:paraId="287BD93C"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34</w:t>
            </w:r>
          </w:p>
        </w:tc>
        <w:tc>
          <w:tcPr>
            <w:tcW w:w="1465" w:type="dxa"/>
            <w:tcBorders>
              <w:top w:val="nil"/>
              <w:left w:val="nil"/>
              <w:bottom w:val="single" w:sz="4" w:space="0" w:color="auto"/>
              <w:right w:val="nil"/>
            </w:tcBorders>
            <w:hideMark/>
          </w:tcPr>
          <w:p w14:paraId="32499F3A"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101</w:t>
            </w:r>
          </w:p>
        </w:tc>
        <w:tc>
          <w:tcPr>
            <w:tcW w:w="2268" w:type="dxa"/>
            <w:tcBorders>
              <w:top w:val="nil"/>
              <w:left w:val="nil"/>
              <w:bottom w:val="single" w:sz="4" w:space="0" w:color="auto"/>
              <w:right w:val="nil"/>
            </w:tcBorders>
            <w:hideMark/>
          </w:tcPr>
          <w:p w14:paraId="4D6E3209" w14:textId="77777777" w:rsidR="00A74860" w:rsidRDefault="00A74860">
            <w:pPr>
              <w:spacing w:before="60" w:after="60" w:line="240" w:lineRule="auto"/>
              <w:jc w:val="right"/>
              <w:rPr>
                <w:rFonts w:cstheme="minorHAnsi"/>
                <w:i/>
                <w:iCs/>
                <w:color w:val="000000"/>
                <w:sz w:val="18"/>
                <w:szCs w:val="18"/>
                <w:lang w:eastAsia="en-US"/>
              </w:rPr>
            </w:pPr>
            <w:r>
              <w:rPr>
                <w:rFonts w:ascii="Calibri" w:hAnsi="Calibri" w:cs="Calibri"/>
                <w:i/>
                <w:iCs/>
                <w:color w:val="000000"/>
                <w:sz w:val="18"/>
                <w:szCs w:val="18"/>
                <w:lang w:eastAsia="en-US"/>
              </w:rPr>
              <w:t>1,164,316</w:t>
            </w:r>
          </w:p>
        </w:tc>
      </w:tr>
      <w:tr w:rsidR="00A74860" w14:paraId="58D57A8B" w14:textId="77777777" w:rsidTr="00A74860">
        <w:trPr>
          <w:trHeight w:val="320"/>
        </w:trPr>
        <w:tc>
          <w:tcPr>
            <w:tcW w:w="1980" w:type="dxa"/>
            <w:vMerge w:val="restart"/>
            <w:tcBorders>
              <w:top w:val="single" w:sz="4" w:space="0" w:color="auto"/>
              <w:left w:val="nil"/>
              <w:bottom w:val="single" w:sz="4" w:space="0" w:color="auto"/>
              <w:right w:val="single" w:sz="4" w:space="0" w:color="auto"/>
            </w:tcBorders>
            <w:noWrap/>
            <w:hideMark/>
          </w:tcPr>
          <w:p w14:paraId="0079DE7E" w14:textId="77777777" w:rsidR="00A74860" w:rsidRDefault="00A74860">
            <w:pPr>
              <w:spacing w:before="60" w:after="60" w:line="240" w:lineRule="auto"/>
              <w:rPr>
                <w:rFonts w:cstheme="minorHAnsi"/>
                <w:color w:val="000000"/>
                <w:sz w:val="18"/>
                <w:szCs w:val="18"/>
                <w:lang w:eastAsia="en-US"/>
              </w:rPr>
            </w:pPr>
            <w:r>
              <w:rPr>
                <w:rFonts w:cstheme="minorHAnsi"/>
                <w:color w:val="000000"/>
                <w:sz w:val="18"/>
                <w:szCs w:val="18"/>
                <w:lang w:eastAsia="en-US"/>
              </w:rPr>
              <w:t>Alternative Pathway</w:t>
            </w:r>
          </w:p>
        </w:tc>
        <w:tc>
          <w:tcPr>
            <w:tcW w:w="1464" w:type="dxa"/>
            <w:tcBorders>
              <w:top w:val="single" w:sz="4" w:space="0" w:color="auto"/>
              <w:left w:val="single" w:sz="4" w:space="0" w:color="auto"/>
              <w:bottom w:val="nil"/>
              <w:right w:val="nil"/>
            </w:tcBorders>
            <w:noWrap/>
            <w:vAlign w:val="bottom"/>
            <w:hideMark/>
          </w:tcPr>
          <w:p w14:paraId="5E593DB8" w14:textId="77777777" w:rsidR="00A74860" w:rsidRDefault="00A74860">
            <w:pPr>
              <w:spacing w:before="60" w:after="60" w:line="240" w:lineRule="auto"/>
              <w:rPr>
                <w:rFonts w:cstheme="minorHAnsi"/>
                <w:color w:val="000000"/>
                <w:sz w:val="18"/>
                <w:szCs w:val="20"/>
                <w:lang w:eastAsia="en-US"/>
              </w:rPr>
            </w:pPr>
            <w:r>
              <w:rPr>
                <w:rFonts w:ascii="Calibri" w:hAnsi="Calibri" w:cs="Calibri"/>
                <w:color w:val="000000"/>
                <w:sz w:val="18"/>
                <w:szCs w:val="20"/>
                <w:lang w:eastAsia="en-US"/>
              </w:rPr>
              <w:t>Males</w:t>
            </w:r>
          </w:p>
        </w:tc>
        <w:tc>
          <w:tcPr>
            <w:tcW w:w="1465" w:type="dxa"/>
            <w:tcBorders>
              <w:top w:val="single" w:sz="4" w:space="0" w:color="auto"/>
              <w:left w:val="nil"/>
              <w:bottom w:val="nil"/>
              <w:right w:val="nil"/>
            </w:tcBorders>
            <w:shd w:val="clear" w:color="auto" w:fill="E6E6E6"/>
            <w:vAlign w:val="bottom"/>
            <w:hideMark/>
          </w:tcPr>
          <w:p w14:paraId="20A1B3A8" w14:textId="77777777" w:rsidR="00A74860" w:rsidRDefault="00A74860">
            <w:pPr>
              <w:spacing w:before="60" w:after="60" w:line="240" w:lineRule="auto"/>
              <w:jc w:val="right"/>
              <w:rPr>
                <w:rFonts w:cstheme="minorHAnsi"/>
                <w:color w:val="000000"/>
                <w:sz w:val="18"/>
                <w:szCs w:val="20"/>
                <w:lang w:eastAsia="en-US"/>
              </w:rPr>
            </w:pPr>
            <w:r>
              <w:rPr>
                <w:rFonts w:ascii="Calibri" w:hAnsi="Calibri" w:cs="Calibri"/>
                <w:color w:val="000000"/>
                <w:sz w:val="18"/>
                <w:szCs w:val="20"/>
                <w:lang w:eastAsia="en-US"/>
              </w:rPr>
              <w:t>12</w:t>
            </w:r>
          </w:p>
        </w:tc>
        <w:tc>
          <w:tcPr>
            <w:tcW w:w="1465" w:type="dxa"/>
            <w:tcBorders>
              <w:top w:val="single" w:sz="4" w:space="0" w:color="auto"/>
              <w:left w:val="nil"/>
              <w:bottom w:val="nil"/>
              <w:right w:val="nil"/>
            </w:tcBorders>
            <w:vAlign w:val="bottom"/>
            <w:hideMark/>
          </w:tcPr>
          <w:p w14:paraId="767603FA" w14:textId="77777777" w:rsidR="00A74860" w:rsidRDefault="00A74860">
            <w:pPr>
              <w:spacing w:before="60" w:after="60" w:line="240" w:lineRule="auto"/>
              <w:jc w:val="right"/>
              <w:rPr>
                <w:rFonts w:cstheme="minorHAnsi"/>
                <w:color w:val="000000"/>
                <w:sz w:val="18"/>
                <w:szCs w:val="20"/>
                <w:lang w:eastAsia="en-US"/>
              </w:rPr>
            </w:pPr>
            <w:r>
              <w:rPr>
                <w:rFonts w:ascii="Calibri" w:hAnsi="Calibri" w:cs="Calibri"/>
                <w:color w:val="000000"/>
                <w:sz w:val="18"/>
                <w:szCs w:val="20"/>
                <w:lang w:eastAsia="en-US"/>
              </w:rPr>
              <w:t>54</w:t>
            </w:r>
          </w:p>
        </w:tc>
        <w:tc>
          <w:tcPr>
            <w:tcW w:w="2268" w:type="dxa"/>
            <w:tcBorders>
              <w:top w:val="single" w:sz="4" w:space="0" w:color="auto"/>
              <w:left w:val="nil"/>
              <w:bottom w:val="nil"/>
              <w:right w:val="nil"/>
            </w:tcBorders>
            <w:vAlign w:val="bottom"/>
            <w:hideMark/>
          </w:tcPr>
          <w:p w14:paraId="288386C2" w14:textId="77777777" w:rsidR="00A74860" w:rsidRDefault="00A74860">
            <w:pPr>
              <w:spacing w:before="60" w:after="60" w:line="240" w:lineRule="auto"/>
              <w:jc w:val="right"/>
              <w:rPr>
                <w:rFonts w:cstheme="minorHAnsi"/>
                <w:color w:val="000000"/>
                <w:sz w:val="18"/>
                <w:szCs w:val="20"/>
                <w:lang w:eastAsia="en-US"/>
              </w:rPr>
            </w:pPr>
            <w:r>
              <w:rPr>
                <w:rFonts w:ascii="Calibri" w:hAnsi="Calibri" w:cs="Calibri"/>
                <w:color w:val="000000"/>
                <w:sz w:val="18"/>
                <w:szCs w:val="20"/>
                <w:lang w:eastAsia="en-US"/>
              </w:rPr>
              <w:t>155</w:t>
            </w:r>
          </w:p>
        </w:tc>
      </w:tr>
      <w:tr w:rsidR="00A74860" w14:paraId="43CA8889"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10CB1DEF"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nil"/>
              <w:right w:val="nil"/>
            </w:tcBorders>
            <w:noWrap/>
            <w:vAlign w:val="bottom"/>
            <w:hideMark/>
          </w:tcPr>
          <w:p w14:paraId="5B4821D4" w14:textId="77777777" w:rsidR="00A74860" w:rsidRDefault="00A74860">
            <w:pPr>
              <w:spacing w:before="60" w:after="60" w:line="240" w:lineRule="auto"/>
              <w:rPr>
                <w:rFonts w:cstheme="minorHAnsi"/>
                <w:color w:val="000000"/>
                <w:sz w:val="18"/>
                <w:szCs w:val="20"/>
                <w:lang w:eastAsia="en-US"/>
              </w:rPr>
            </w:pPr>
            <w:r>
              <w:rPr>
                <w:rFonts w:ascii="Calibri" w:hAnsi="Calibri" w:cs="Calibri"/>
                <w:color w:val="000000"/>
                <w:sz w:val="18"/>
                <w:szCs w:val="20"/>
                <w:lang w:eastAsia="en-US"/>
              </w:rPr>
              <w:t>Females</w:t>
            </w:r>
          </w:p>
        </w:tc>
        <w:tc>
          <w:tcPr>
            <w:tcW w:w="1465" w:type="dxa"/>
            <w:tcBorders>
              <w:top w:val="nil"/>
              <w:left w:val="nil"/>
              <w:bottom w:val="nil"/>
              <w:right w:val="nil"/>
            </w:tcBorders>
            <w:shd w:val="clear" w:color="auto" w:fill="E6E6E6"/>
            <w:vAlign w:val="bottom"/>
            <w:hideMark/>
          </w:tcPr>
          <w:p w14:paraId="7946B135" w14:textId="77777777" w:rsidR="00A74860" w:rsidRDefault="00A74860">
            <w:pPr>
              <w:spacing w:before="60" w:after="60" w:line="240" w:lineRule="auto"/>
              <w:jc w:val="right"/>
              <w:rPr>
                <w:rFonts w:cstheme="minorHAnsi"/>
                <w:color w:val="000000"/>
                <w:sz w:val="18"/>
                <w:szCs w:val="20"/>
                <w:lang w:eastAsia="en-US"/>
              </w:rPr>
            </w:pPr>
            <w:r>
              <w:rPr>
                <w:rFonts w:ascii="Calibri" w:hAnsi="Calibri" w:cs="Calibri"/>
                <w:color w:val="000000"/>
                <w:sz w:val="18"/>
                <w:szCs w:val="20"/>
                <w:lang w:eastAsia="en-US"/>
              </w:rPr>
              <w:t>14</w:t>
            </w:r>
          </w:p>
        </w:tc>
        <w:tc>
          <w:tcPr>
            <w:tcW w:w="1465" w:type="dxa"/>
            <w:tcBorders>
              <w:top w:val="nil"/>
              <w:left w:val="nil"/>
              <w:bottom w:val="nil"/>
              <w:right w:val="nil"/>
            </w:tcBorders>
            <w:vAlign w:val="bottom"/>
            <w:hideMark/>
          </w:tcPr>
          <w:p w14:paraId="28092D60" w14:textId="77777777" w:rsidR="00A74860" w:rsidRDefault="00A74860">
            <w:pPr>
              <w:spacing w:before="60" w:after="60" w:line="240" w:lineRule="auto"/>
              <w:jc w:val="right"/>
              <w:rPr>
                <w:rFonts w:cstheme="minorHAnsi"/>
                <w:color w:val="000000"/>
                <w:sz w:val="18"/>
                <w:szCs w:val="20"/>
                <w:lang w:eastAsia="en-US"/>
              </w:rPr>
            </w:pPr>
            <w:r>
              <w:rPr>
                <w:rFonts w:ascii="Calibri" w:hAnsi="Calibri" w:cs="Calibri"/>
                <w:color w:val="000000"/>
                <w:sz w:val="18"/>
                <w:szCs w:val="20"/>
                <w:lang w:eastAsia="en-US"/>
              </w:rPr>
              <w:t>76</w:t>
            </w:r>
          </w:p>
        </w:tc>
        <w:tc>
          <w:tcPr>
            <w:tcW w:w="2268" w:type="dxa"/>
            <w:tcBorders>
              <w:top w:val="nil"/>
              <w:left w:val="nil"/>
              <w:bottom w:val="nil"/>
              <w:right w:val="nil"/>
            </w:tcBorders>
            <w:vAlign w:val="bottom"/>
            <w:hideMark/>
          </w:tcPr>
          <w:p w14:paraId="031E7DBE" w14:textId="77777777" w:rsidR="00A74860" w:rsidRDefault="00A74860">
            <w:pPr>
              <w:spacing w:before="60" w:after="60" w:line="240" w:lineRule="auto"/>
              <w:jc w:val="right"/>
              <w:rPr>
                <w:rFonts w:cstheme="minorHAnsi"/>
                <w:color w:val="000000"/>
                <w:sz w:val="18"/>
                <w:szCs w:val="20"/>
                <w:lang w:eastAsia="en-US"/>
              </w:rPr>
            </w:pPr>
            <w:r>
              <w:rPr>
                <w:rFonts w:ascii="Calibri" w:hAnsi="Calibri" w:cs="Calibri"/>
                <w:color w:val="000000"/>
                <w:sz w:val="18"/>
                <w:szCs w:val="20"/>
                <w:lang w:eastAsia="en-US"/>
              </w:rPr>
              <w:t>235</w:t>
            </w:r>
          </w:p>
        </w:tc>
      </w:tr>
      <w:tr w:rsidR="00A74860" w14:paraId="5572ED2D" w14:textId="77777777" w:rsidTr="00A74860">
        <w:trPr>
          <w:trHeight w:val="320"/>
        </w:trPr>
        <w:tc>
          <w:tcPr>
            <w:tcW w:w="1980" w:type="dxa"/>
            <w:vMerge/>
            <w:tcBorders>
              <w:top w:val="single" w:sz="4" w:space="0" w:color="auto"/>
              <w:left w:val="nil"/>
              <w:bottom w:val="single" w:sz="4" w:space="0" w:color="auto"/>
              <w:right w:val="single" w:sz="4" w:space="0" w:color="auto"/>
            </w:tcBorders>
            <w:vAlign w:val="center"/>
            <w:hideMark/>
          </w:tcPr>
          <w:p w14:paraId="4BE4D78C" w14:textId="77777777" w:rsidR="00A74860" w:rsidRDefault="00A74860">
            <w:pPr>
              <w:spacing w:before="0" w:after="0" w:line="240" w:lineRule="auto"/>
              <w:rPr>
                <w:rFonts w:cstheme="minorHAnsi"/>
                <w:color w:val="000000"/>
                <w:sz w:val="18"/>
                <w:szCs w:val="18"/>
                <w:lang w:eastAsia="en-US"/>
              </w:rPr>
            </w:pPr>
          </w:p>
        </w:tc>
        <w:tc>
          <w:tcPr>
            <w:tcW w:w="1464" w:type="dxa"/>
            <w:tcBorders>
              <w:top w:val="nil"/>
              <w:left w:val="single" w:sz="4" w:space="0" w:color="auto"/>
              <w:bottom w:val="single" w:sz="4" w:space="0" w:color="auto"/>
              <w:right w:val="nil"/>
            </w:tcBorders>
            <w:noWrap/>
            <w:vAlign w:val="bottom"/>
            <w:hideMark/>
          </w:tcPr>
          <w:p w14:paraId="252DF64B" w14:textId="77777777" w:rsidR="00A74860" w:rsidRDefault="00A74860">
            <w:pPr>
              <w:spacing w:before="60" w:after="60" w:line="240" w:lineRule="auto"/>
              <w:rPr>
                <w:rFonts w:cstheme="minorHAnsi"/>
                <w:i/>
                <w:iCs/>
                <w:color w:val="000000"/>
                <w:sz w:val="18"/>
                <w:szCs w:val="20"/>
                <w:lang w:eastAsia="en-US"/>
              </w:rPr>
            </w:pPr>
            <w:r>
              <w:rPr>
                <w:rFonts w:ascii="Calibri" w:hAnsi="Calibri" w:cs="Calibri"/>
                <w:i/>
                <w:iCs/>
                <w:color w:val="000000"/>
                <w:sz w:val="18"/>
                <w:szCs w:val="20"/>
                <w:lang w:eastAsia="en-US"/>
              </w:rPr>
              <w:t>Persons</w:t>
            </w:r>
          </w:p>
        </w:tc>
        <w:tc>
          <w:tcPr>
            <w:tcW w:w="1465" w:type="dxa"/>
            <w:tcBorders>
              <w:top w:val="nil"/>
              <w:left w:val="nil"/>
              <w:bottom w:val="single" w:sz="4" w:space="0" w:color="auto"/>
              <w:right w:val="nil"/>
            </w:tcBorders>
            <w:shd w:val="clear" w:color="auto" w:fill="E6E6E6"/>
            <w:vAlign w:val="bottom"/>
            <w:hideMark/>
          </w:tcPr>
          <w:p w14:paraId="6F4E6C51" w14:textId="77777777" w:rsidR="00A74860" w:rsidRDefault="00A74860">
            <w:pPr>
              <w:spacing w:before="60" w:after="60" w:line="240" w:lineRule="auto"/>
              <w:jc w:val="right"/>
              <w:rPr>
                <w:rFonts w:cstheme="minorHAnsi"/>
                <w:i/>
                <w:iCs/>
                <w:color w:val="000000"/>
                <w:sz w:val="18"/>
                <w:szCs w:val="20"/>
                <w:lang w:eastAsia="en-US"/>
              </w:rPr>
            </w:pPr>
            <w:r>
              <w:rPr>
                <w:rFonts w:ascii="Calibri" w:hAnsi="Calibri" w:cs="Calibri"/>
                <w:i/>
                <w:iCs/>
                <w:color w:val="000000"/>
                <w:sz w:val="18"/>
                <w:szCs w:val="20"/>
                <w:lang w:eastAsia="en-US"/>
              </w:rPr>
              <w:t>13</w:t>
            </w:r>
          </w:p>
        </w:tc>
        <w:tc>
          <w:tcPr>
            <w:tcW w:w="1465" w:type="dxa"/>
            <w:tcBorders>
              <w:top w:val="nil"/>
              <w:left w:val="nil"/>
              <w:bottom w:val="single" w:sz="4" w:space="0" w:color="auto"/>
              <w:right w:val="nil"/>
            </w:tcBorders>
            <w:vAlign w:val="bottom"/>
            <w:hideMark/>
          </w:tcPr>
          <w:p w14:paraId="2E9E4DCC" w14:textId="77777777" w:rsidR="00A74860" w:rsidRDefault="00A74860">
            <w:pPr>
              <w:spacing w:before="60" w:after="60" w:line="240" w:lineRule="auto"/>
              <w:jc w:val="right"/>
              <w:rPr>
                <w:rFonts w:cstheme="minorHAnsi"/>
                <w:i/>
                <w:iCs/>
                <w:color w:val="000000"/>
                <w:sz w:val="18"/>
                <w:szCs w:val="20"/>
                <w:lang w:eastAsia="en-US"/>
              </w:rPr>
            </w:pPr>
            <w:r>
              <w:rPr>
                <w:rFonts w:ascii="Calibri" w:hAnsi="Calibri" w:cs="Calibri"/>
                <w:i/>
                <w:iCs/>
                <w:color w:val="000000"/>
                <w:sz w:val="18"/>
                <w:szCs w:val="20"/>
                <w:lang w:eastAsia="en-US"/>
              </w:rPr>
              <w:t>71</w:t>
            </w:r>
          </w:p>
        </w:tc>
        <w:tc>
          <w:tcPr>
            <w:tcW w:w="2268" w:type="dxa"/>
            <w:tcBorders>
              <w:top w:val="nil"/>
              <w:left w:val="nil"/>
              <w:bottom w:val="single" w:sz="4" w:space="0" w:color="auto"/>
              <w:right w:val="nil"/>
            </w:tcBorders>
            <w:vAlign w:val="bottom"/>
            <w:hideMark/>
          </w:tcPr>
          <w:p w14:paraId="0A1B5405" w14:textId="77777777" w:rsidR="00A74860" w:rsidRDefault="00A74860">
            <w:pPr>
              <w:spacing w:before="60" w:after="60" w:line="240" w:lineRule="auto"/>
              <w:jc w:val="right"/>
              <w:rPr>
                <w:rFonts w:cstheme="minorHAnsi"/>
                <w:i/>
                <w:iCs/>
                <w:color w:val="000000"/>
                <w:sz w:val="18"/>
                <w:szCs w:val="20"/>
                <w:lang w:eastAsia="en-US"/>
              </w:rPr>
            </w:pPr>
            <w:r>
              <w:rPr>
                <w:rFonts w:ascii="Calibri" w:hAnsi="Calibri" w:cs="Calibri"/>
                <w:i/>
                <w:iCs/>
                <w:color w:val="000000"/>
                <w:sz w:val="18"/>
                <w:szCs w:val="20"/>
                <w:lang w:eastAsia="en-US"/>
              </w:rPr>
              <w:t>390</w:t>
            </w:r>
          </w:p>
        </w:tc>
      </w:tr>
    </w:tbl>
    <w:p w14:paraId="3501BB61" w14:textId="77777777" w:rsidR="00A74860" w:rsidRDefault="00A74860" w:rsidP="00A74860">
      <w:pPr>
        <w:spacing w:before="0" w:after="0" w:line="240" w:lineRule="auto"/>
        <w:rPr>
          <w:rFonts w:cstheme="minorHAnsi"/>
          <w:sz w:val="18"/>
          <w:szCs w:val="18"/>
        </w:rPr>
      </w:pPr>
      <w:r>
        <w:rPr>
          <w:rFonts w:cstheme="minorHAnsi"/>
          <w:sz w:val="18"/>
          <w:szCs w:val="18"/>
        </w:rPr>
        <w:t xml:space="preserve">Source: AIHW analysis of NBCSP register data as at 31 October 2019 and </w:t>
      </w:r>
      <w:r>
        <w:rPr>
          <w:rFonts w:eastAsia="Times New Roman" w:cstheme="minorHAnsi"/>
          <w:color w:val="000000"/>
          <w:sz w:val="18"/>
          <w:szCs w:val="18"/>
        </w:rPr>
        <w:t>National Indigenous Bowel Screening Pilot data recorded by DHS.</w:t>
      </w:r>
    </w:p>
    <w:p w14:paraId="1E7E3E86" w14:textId="77777777" w:rsidR="00A74860" w:rsidRDefault="00A74860" w:rsidP="00A74860">
      <w:pPr>
        <w:rPr>
          <w:rFonts w:cstheme="minorHAnsi"/>
          <w:b/>
          <w:bCs/>
        </w:rPr>
      </w:pPr>
    </w:p>
    <w:p w14:paraId="6C315CB0" w14:textId="77777777" w:rsidR="00A74860" w:rsidRDefault="00A74860" w:rsidP="00A74860">
      <w:pPr>
        <w:spacing w:before="0" w:after="0" w:line="240" w:lineRule="auto"/>
        <w:rPr>
          <w:rFonts w:cstheme="minorHAnsi"/>
          <w:b/>
          <w:bCs/>
        </w:rPr>
      </w:pPr>
      <w:r>
        <w:rPr>
          <w:rFonts w:cstheme="minorHAnsi"/>
          <w:b/>
          <w:bCs/>
        </w:rPr>
        <w:br w:type="page"/>
      </w:r>
    </w:p>
    <w:p w14:paraId="3CBDCD1D" w14:textId="77777777" w:rsidR="00A74860" w:rsidRDefault="00A74860" w:rsidP="00A74860">
      <w:pPr>
        <w:rPr>
          <w:rFonts w:cstheme="minorHAnsi"/>
          <w:b/>
          <w:bCs/>
        </w:rPr>
      </w:pPr>
      <w:r>
        <w:rPr>
          <w:rFonts w:cstheme="minorHAnsi"/>
          <w:b/>
          <w:bCs/>
        </w:rPr>
        <w:lastRenderedPageBreak/>
        <w:t>Previous screening status, usual and Alternative Pathway</w:t>
      </w:r>
    </w:p>
    <w:p w14:paraId="5872B111" w14:textId="77777777" w:rsidR="00A74860" w:rsidRDefault="00A74860" w:rsidP="00A74860">
      <w:pPr>
        <w:rPr>
          <w:rFonts w:cstheme="minorHAnsi"/>
        </w:rPr>
      </w:pPr>
      <w:r>
        <w:rPr>
          <w:rFonts w:cstheme="minorHAnsi"/>
        </w:rPr>
        <w:t xml:space="preserve">Previous screening status is routinely reported for the NBCSP, indicating whether a participant who screened within a designated time period was a first-time screener, had screened before, or had been previously invited before and not screened. </w:t>
      </w:r>
    </w:p>
    <w:p w14:paraId="42FFC9B8" w14:textId="4D9051AE" w:rsidR="00A74860" w:rsidRDefault="00A74860" w:rsidP="00A74860">
      <w:pPr>
        <w:rPr>
          <w:rFonts w:cstheme="minorHAnsi"/>
        </w:rPr>
      </w:pPr>
      <w:r>
        <w:rPr>
          <w:rFonts w:cstheme="minorHAnsi"/>
        </w:rPr>
        <w:t>The AIHW reported prior screening for the Pilot period for usual pathway (all Australians) and Alternative Pathway participants, for the period 1 November 2018 to 31 October 2019. As shown in Table 8.4, the Alternative Pathway was highly effective in reaching and getting people to screen who had not s</w:t>
      </w:r>
      <w:r w:rsidR="00463DF2">
        <w:rPr>
          <w:rFonts w:cstheme="minorHAnsi"/>
        </w:rPr>
        <w:t xml:space="preserve">creened previously. Almost 90% </w:t>
      </w:r>
      <w:r>
        <w:rPr>
          <w:rFonts w:cstheme="minorHAnsi"/>
        </w:rPr>
        <w:t xml:space="preserve">(n = 774) of those given kits through the Alternative Pathway had never screened before. Seventy percent (n = 273) of those who screened through the Alternative Pathway had previously been invited to screen through the usual pathway but had not done so. The rate of return of kits for this group (previously invited but never screened) was 42% for Alternative Pathway participants, compared to 18% for the usual pathway. </w:t>
      </w:r>
    </w:p>
    <w:p w14:paraId="69EA6AF0" w14:textId="77777777" w:rsidR="00A74860" w:rsidRDefault="00A74860" w:rsidP="00A74860">
      <w:pPr>
        <w:keepNext/>
        <w:rPr>
          <w:rFonts w:cstheme="minorHAnsi"/>
          <w:b/>
          <w:bCs/>
        </w:rPr>
      </w:pPr>
      <w:r>
        <w:rPr>
          <w:rFonts w:cstheme="minorHAnsi"/>
          <w:b/>
          <w:bCs/>
        </w:rPr>
        <w:t>Table 8.5. Previous screening status, by pathway, 1 November 2018 to 31 October 2019.</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736"/>
        <w:gridCol w:w="288"/>
        <w:gridCol w:w="1134"/>
        <w:gridCol w:w="23"/>
        <w:gridCol w:w="1158"/>
        <w:gridCol w:w="654"/>
        <w:gridCol w:w="575"/>
        <w:gridCol w:w="1086"/>
        <w:gridCol w:w="1040"/>
        <w:gridCol w:w="1134"/>
        <w:gridCol w:w="142"/>
      </w:tblGrid>
      <w:tr w:rsidR="00A74860" w14:paraId="56E23270" w14:textId="77777777" w:rsidTr="00A74860">
        <w:trPr>
          <w:gridAfter w:val="1"/>
          <w:wAfter w:w="142" w:type="dxa"/>
          <w:cantSplit/>
        </w:trPr>
        <w:tc>
          <w:tcPr>
            <w:tcW w:w="824" w:type="dxa"/>
            <w:tcBorders>
              <w:top w:val="nil"/>
              <w:left w:val="nil"/>
              <w:bottom w:val="single" w:sz="4" w:space="0" w:color="auto"/>
              <w:right w:val="nil"/>
            </w:tcBorders>
          </w:tcPr>
          <w:p w14:paraId="611563E2"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p>
        </w:tc>
        <w:tc>
          <w:tcPr>
            <w:tcW w:w="736" w:type="dxa"/>
            <w:tcBorders>
              <w:top w:val="nil"/>
              <w:left w:val="nil"/>
              <w:bottom w:val="single" w:sz="4" w:space="0" w:color="auto"/>
              <w:right w:val="nil"/>
            </w:tcBorders>
          </w:tcPr>
          <w:p w14:paraId="0CA5C81F"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p>
        </w:tc>
        <w:tc>
          <w:tcPr>
            <w:tcW w:w="3257" w:type="dxa"/>
            <w:gridSpan w:val="5"/>
            <w:tcBorders>
              <w:top w:val="nil"/>
              <w:left w:val="nil"/>
              <w:bottom w:val="single" w:sz="4" w:space="0" w:color="auto"/>
              <w:right w:val="nil"/>
            </w:tcBorders>
            <w:hideMark/>
          </w:tcPr>
          <w:p w14:paraId="4EFAF9C5"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Usual pathway</w:t>
            </w:r>
          </w:p>
        </w:tc>
        <w:tc>
          <w:tcPr>
            <w:tcW w:w="3835" w:type="dxa"/>
            <w:gridSpan w:val="4"/>
            <w:tcBorders>
              <w:top w:val="nil"/>
              <w:left w:val="nil"/>
              <w:bottom w:val="single" w:sz="4" w:space="0" w:color="auto"/>
              <w:right w:val="nil"/>
            </w:tcBorders>
            <w:hideMark/>
          </w:tcPr>
          <w:p w14:paraId="0D4CD05D"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Alternative Pathway</w:t>
            </w:r>
          </w:p>
        </w:tc>
      </w:tr>
      <w:tr w:rsidR="00A74860" w14:paraId="29F27253" w14:textId="77777777" w:rsidTr="00A74860">
        <w:trPr>
          <w:cantSplit/>
        </w:trPr>
        <w:tc>
          <w:tcPr>
            <w:tcW w:w="824" w:type="dxa"/>
            <w:tcBorders>
              <w:top w:val="nil"/>
              <w:left w:val="nil"/>
              <w:bottom w:val="single" w:sz="4" w:space="0" w:color="auto"/>
              <w:right w:val="nil"/>
            </w:tcBorders>
            <w:hideMark/>
          </w:tcPr>
          <w:p w14:paraId="3EB5C46F"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Round</w:t>
            </w:r>
          </w:p>
        </w:tc>
        <w:tc>
          <w:tcPr>
            <w:tcW w:w="1024" w:type="dxa"/>
            <w:gridSpan w:val="2"/>
            <w:tcBorders>
              <w:top w:val="nil"/>
              <w:left w:val="nil"/>
              <w:bottom w:val="single" w:sz="4" w:space="0" w:color="auto"/>
              <w:right w:val="nil"/>
            </w:tcBorders>
            <w:hideMark/>
          </w:tcPr>
          <w:p w14:paraId="5E3DB6AE"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proofErr w:type="spellStart"/>
            <w:r>
              <w:rPr>
                <w:rFonts w:eastAsia="Times New Roman" w:cstheme="minorHAnsi"/>
                <w:b/>
                <w:bCs/>
                <w:color w:val="000000"/>
                <w:sz w:val="18"/>
                <w:szCs w:val="18"/>
                <w:lang w:eastAsia="en-US"/>
              </w:rPr>
              <w:t>Prev</w:t>
            </w:r>
            <w:proofErr w:type="spellEnd"/>
            <w:r>
              <w:rPr>
                <w:rFonts w:eastAsia="Times New Roman" w:cstheme="minorHAnsi"/>
                <w:b/>
                <w:bCs/>
                <w:color w:val="000000"/>
                <w:sz w:val="18"/>
                <w:szCs w:val="18"/>
                <w:lang w:eastAsia="en-US"/>
              </w:rPr>
              <w:t xml:space="preserve"> screen</w:t>
            </w:r>
          </w:p>
        </w:tc>
        <w:tc>
          <w:tcPr>
            <w:tcW w:w="1134" w:type="dxa"/>
            <w:tcBorders>
              <w:top w:val="nil"/>
              <w:left w:val="nil"/>
              <w:bottom w:val="single" w:sz="4" w:space="0" w:color="auto"/>
              <w:right w:val="nil"/>
            </w:tcBorders>
            <w:hideMark/>
          </w:tcPr>
          <w:p w14:paraId="009621AF"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 given out</w:t>
            </w:r>
          </w:p>
        </w:tc>
        <w:tc>
          <w:tcPr>
            <w:tcW w:w="1181" w:type="dxa"/>
            <w:gridSpan w:val="2"/>
            <w:tcBorders>
              <w:top w:val="nil"/>
              <w:left w:val="nil"/>
              <w:bottom w:val="single" w:sz="4" w:space="0" w:color="auto"/>
              <w:right w:val="nil"/>
            </w:tcBorders>
            <w:hideMark/>
          </w:tcPr>
          <w:p w14:paraId="1A96DC57"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 returned</w:t>
            </w:r>
          </w:p>
        </w:tc>
        <w:tc>
          <w:tcPr>
            <w:tcW w:w="1229" w:type="dxa"/>
            <w:gridSpan w:val="2"/>
            <w:tcBorders>
              <w:top w:val="nil"/>
              <w:left w:val="nil"/>
              <w:bottom w:val="single" w:sz="4" w:space="0" w:color="auto"/>
              <w:right w:val="nil"/>
            </w:tcBorders>
            <w:shd w:val="clear" w:color="auto" w:fill="D9D9D9" w:themeFill="background1" w:themeFillShade="D9"/>
            <w:hideMark/>
          </w:tcPr>
          <w:p w14:paraId="288FBE10"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Participation (%)</w:t>
            </w:r>
          </w:p>
        </w:tc>
        <w:tc>
          <w:tcPr>
            <w:tcW w:w="1086" w:type="dxa"/>
            <w:tcBorders>
              <w:top w:val="nil"/>
              <w:left w:val="nil"/>
              <w:bottom w:val="single" w:sz="4" w:space="0" w:color="auto"/>
              <w:right w:val="nil"/>
            </w:tcBorders>
            <w:hideMark/>
          </w:tcPr>
          <w:p w14:paraId="2D7B4398"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w:t>
            </w:r>
            <w:r>
              <w:rPr>
                <w:rFonts w:eastAsia="Times New Roman" w:cstheme="minorHAnsi"/>
                <w:b/>
                <w:bCs/>
                <w:color w:val="000000"/>
                <w:sz w:val="18"/>
                <w:szCs w:val="18"/>
                <w:lang w:eastAsia="en-US"/>
              </w:rPr>
              <w:br/>
              <w:t>given out</w:t>
            </w:r>
          </w:p>
        </w:tc>
        <w:tc>
          <w:tcPr>
            <w:tcW w:w="1040" w:type="dxa"/>
            <w:tcBorders>
              <w:top w:val="nil"/>
              <w:left w:val="nil"/>
              <w:bottom w:val="single" w:sz="4" w:space="0" w:color="auto"/>
              <w:right w:val="nil"/>
            </w:tcBorders>
            <w:hideMark/>
          </w:tcPr>
          <w:p w14:paraId="6CDCDCE5"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 returned</w:t>
            </w:r>
          </w:p>
        </w:tc>
        <w:tc>
          <w:tcPr>
            <w:tcW w:w="1276" w:type="dxa"/>
            <w:gridSpan w:val="2"/>
            <w:tcBorders>
              <w:top w:val="nil"/>
              <w:left w:val="nil"/>
              <w:bottom w:val="single" w:sz="4" w:space="0" w:color="auto"/>
              <w:right w:val="nil"/>
            </w:tcBorders>
            <w:shd w:val="clear" w:color="auto" w:fill="D9D9D9" w:themeFill="background1" w:themeFillShade="D9"/>
            <w:hideMark/>
          </w:tcPr>
          <w:p w14:paraId="70132800"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Participation (%)</w:t>
            </w:r>
          </w:p>
        </w:tc>
      </w:tr>
      <w:tr w:rsidR="00A74860" w14:paraId="6A8C67EB" w14:textId="77777777" w:rsidTr="00A74860">
        <w:trPr>
          <w:cantSplit/>
        </w:trPr>
        <w:tc>
          <w:tcPr>
            <w:tcW w:w="824" w:type="dxa"/>
            <w:tcBorders>
              <w:top w:val="single" w:sz="4" w:space="0" w:color="auto"/>
              <w:left w:val="nil"/>
              <w:bottom w:val="nil"/>
              <w:right w:val="single" w:sz="4" w:space="0" w:color="auto"/>
            </w:tcBorders>
            <w:hideMark/>
          </w:tcPr>
          <w:p w14:paraId="5518AA66" w14:textId="77777777" w:rsidR="00A74860" w:rsidRDefault="00A74860">
            <w:pPr>
              <w:widowControl w:val="0"/>
              <w:spacing w:before="80" w:after="80" w:line="240" w:lineRule="auto"/>
              <w:rPr>
                <w:rFonts w:eastAsia="Times New Roman" w:cstheme="minorHAnsi"/>
                <w:color w:val="000000"/>
                <w:sz w:val="18"/>
                <w:szCs w:val="18"/>
                <w:lang w:eastAsia="en-US"/>
              </w:rPr>
            </w:pPr>
            <w:r>
              <w:rPr>
                <w:rFonts w:eastAsia="Times New Roman" w:cstheme="minorHAnsi"/>
                <w:color w:val="000000"/>
                <w:sz w:val="18"/>
                <w:szCs w:val="18"/>
                <w:lang w:eastAsia="en-US"/>
              </w:rPr>
              <w:t>First</w:t>
            </w:r>
          </w:p>
        </w:tc>
        <w:tc>
          <w:tcPr>
            <w:tcW w:w="1024" w:type="dxa"/>
            <w:gridSpan w:val="2"/>
            <w:tcBorders>
              <w:top w:val="single" w:sz="4" w:space="0" w:color="auto"/>
              <w:left w:val="single" w:sz="4" w:space="0" w:color="auto"/>
              <w:bottom w:val="nil"/>
              <w:right w:val="nil"/>
            </w:tcBorders>
            <w:hideMark/>
          </w:tcPr>
          <w:p w14:paraId="2E4DF980"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No</w:t>
            </w:r>
          </w:p>
        </w:tc>
        <w:tc>
          <w:tcPr>
            <w:tcW w:w="1157" w:type="dxa"/>
            <w:gridSpan w:val="2"/>
            <w:tcBorders>
              <w:top w:val="single" w:sz="4" w:space="0" w:color="auto"/>
              <w:left w:val="nil"/>
              <w:bottom w:val="nil"/>
              <w:right w:val="nil"/>
            </w:tcBorders>
            <w:hideMark/>
          </w:tcPr>
          <w:p w14:paraId="0069734E"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337,491</w:t>
            </w:r>
          </w:p>
        </w:tc>
        <w:tc>
          <w:tcPr>
            <w:tcW w:w="1158" w:type="dxa"/>
            <w:tcBorders>
              <w:top w:val="single" w:sz="4" w:space="0" w:color="auto"/>
              <w:left w:val="nil"/>
              <w:bottom w:val="nil"/>
              <w:right w:val="nil"/>
            </w:tcBorders>
            <w:hideMark/>
          </w:tcPr>
          <w:p w14:paraId="6879159B"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95,788</w:t>
            </w:r>
          </w:p>
        </w:tc>
        <w:tc>
          <w:tcPr>
            <w:tcW w:w="1229" w:type="dxa"/>
            <w:gridSpan w:val="2"/>
            <w:tcBorders>
              <w:top w:val="single" w:sz="4" w:space="0" w:color="auto"/>
              <w:left w:val="nil"/>
              <w:bottom w:val="nil"/>
              <w:right w:val="nil"/>
            </w:tcBorders>
            <w:shd w:val="clear" w:color="auto" w:fill="D9D9D9" w:themeFill="background1" w:themeFillShade="D9"/>
            <w:hideMark/>
          </w:tcPr>
          <w:p w14:paraId="083EC3D7"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28.4</w:t>
            </w:r>
          </w:p>
        </w:tc>
        <w:tc>
          <w:tcPr>
            <w:tcW w:w="1086" w:type="dxa"/>
            <w:tcBorders>
              <w:top w:val="single" w:sz="4" w:space="0" w:color="auto"/>
              <w:left w:val="nil"/>
              <w:bottom w:val="nil"/>
              <w:right w:val="nil"/>
            </w:tcBorders>
            <w:hideMark/>
          </w:tcPr>
          <w:p w14:paraId="6AEBB983"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143</w:t>
            </w:r>
          </w:p>
        </w:tc>
        <w:tc>
          <w:tcPr>
            <w:tcW w:w="1040" w:type="dxa"/>
            <w:tcBorders>
              <w:top w:val="single" w:sz="4" w:space="0" w:color="auto"/>
              <w:left w:val="nil"/>
              <w:bottom w:val="nil"/>
              <w:right w:val="nil"/>
            </w:tcBorders>
            <w:hideMark/>
          </w:tcPr>
          <w:p w14:paraId="7038CF72"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45</w:t>
            </w:r>
          </w:p>
        </w:tc>
        <w:tc>
          <w:tcPr>
            <w:tcW w:w="1276" w:type="dxa"/>
            <w:gridSpan w:val="2"/>
            <w:tcBorders>
              <w:top w:val="single" w:sz="4" w:space="0" w:color="auto"/>
              <w:left w:val="nil"/>
              <w:bottom w:val="nil"/>
              <w:right w:val="nil"/>
            </w:tcBorders>
            <w:shd w:val="clear" w:color="auto" w:fill="D9D9D9" w:themeFill="background1" w:themeFillShade="D9"/>
            <w:hideMark/>
          </w:tcPr>
          <w:p w14:paraId="4E7B482B"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31.5</w:t>
            </w:r>
          </w:p>
        </w:tc>
      </w:tr>
      <w:tr w:rsidR="00A74860" w14:paraId="5B99C414" w14:textId="77777777" w:rsidTr="00A74860">
        <w:trPr>
          <w:cantSplit/>
        </w:trPr>
        <w:tc>
          <w:tcPr>
            <w:tcW w:w="824" w:type="dxa"/>
            <w:tcBorders>
              <w:top w:val="nil"/>
              <w:left w:val="nil"/>
              <w:bottom w:val="single" w:sz="4" w:space="0" w:color="auto"/>
              <w:right w:val="single" w:sz="4" w:space="0" w:color="auto"/>
            </w:tcBorders>
            <w:hideMark/>
          </w:tcPr>
          <w:p w14:paraId="277B9B75" w14:textId="77777777" w:rsidR="00A74860" w:rsidRDefault="00A74860">
            <w:pPr>
              <w:rPr>
                <w:rFonts w:eastAsia="Times New Roman" w:cstheme="minorHAnsi"/>
                <w:color w:val="000000"/>
                <w:sz w:val="18"/>
                <w:szCs w:val="18"/>
                <w:lang w:eastAsia="en-US"/>
              </w:rPr>
            </w:pPr>
          </w:p>
        </w:tc>
        <w:tc>
          <w:tcPr>
            <w:tcW w:w="1024" w:type="dxa"/>
            <w:gridSpan w:val="2"/>
            <w:tcBorders>
              <w:top w:val="nil"/>
              <w:left w:val="single" w:sz="4" w:space="0" w:color="auto"/>
              <w:bottom w:val="single" w:sz="4" w:space="0" w:color="auto"/>
              <w:right w:val="nil"/>
            </w:tcBorders>
            <w:hideMark/>
          </w:tcPr>
          <w:p w14:paraId="4C079F5C" w14:textId="77777777" w:rsidR="00A74860" w:rsidRDefault="00A74860">
            <w:pPr>
              <w:widowControl w:val="0"/>
              <w:spacing w:before="80" w:after="80" w:line="240" w:lineRule="auto"/>
              <w:jc w:val="center"/>
              <w:rPr>
                <w:rFonts w:eastAsia="Times New Roman" w:cstheme="minorHAnsi"/>
                <w:i/>
                <w:iCs/>
                <w:color w:val="000000"/>
                <w:sz w:val="18"/>
                <w:szCs w:val="18"/>
                <w:lang w:eastAsia="en-US"/>
              </w:rPr>
            </w:pPr>
            <w:r>
              <w:rPr>
                <w:rFonts w:eastAsia="Times New Roman" w:cstheme="minorHAnsi"/>
                <w:i/>
                <w:iCs/>
                <w:color w:val="000000"/>
                <w:sz w:val="18"/>
                <w:szCs w:val="18"/>
                <w:lang w:eastAsia="en-US"/>
              </w:rPr>
              <w:t>All</w:t>
            </w:r>
          </w:p>
        </w:tc>
        <w:tc>
          <w:tcPr>
            <w:tcW w:w="1157" w:type="dxa"/>
            <w:gridSpan w:val="2"/>
            <w:tcBorders>
              <w:top w:val="nil"/>
              <w:left w:val="nil"/>
              <w:bottom w:val="single" w:sz="4" w:space="0" w:color="auto"/>
              <w:right w:val="nil"/>
            </w:tcBorders>
            <w:hideMark/>
          </w:tcPr>
          <w:p w14:paraId="5B796DAD"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337,491</w:t>
            </w:r>
          </w:p>
        </w:tc>
        <w:tc>
          <w:tcPr>
            <w:tcW w:w="1158" w:type="dxa"/>
            <w:tcBorders>
              <w:top w:val="nil"/>
              <w:left w:val="nil"/>
              <w:bottom w:val="single" w:sz="4" w:space="0" w:color="auto"/>
              <w:right w:val="nil"/>
            </w:tcBorders>
            <w:hideMark/>
          </w:tcPr>
          <w:p w14:paraId="5C717D35"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95,788</w:t>
            </w:r>
          </w:p>
        </w:tc>
        <w:tc>
          <w:tcPr>
            <w:tcW w:w="1229" w:type="dxa"/>
            <w:gridSpan w:val="2"/>
            <w:tcBorders>
              <w:top w:val="nil"/>
              <w:left w:val="nil"/>
              <w:bottom w:val="single" w:sz="4" w:space="0" w:color="auto"/>
              <w:right w:val="nil"/>
            </w:tcBorders>
            <w:shd w:val="clear" w:color="auto" w:fill="D9D9D9" w:themeFill="background1" w:themeFillShade="D9"/>
            <w:hideMark/>
          </w:tcPr>
          <w:p w14:paraId="08DD41A9" w14:textId="77777777" w:rsidR="00A74860" w:rsidRDefault="00A74860">
            <w:pPr>
              <w:widowControl w:val="0"/>
              <w:spacing w:before="80" w:after="80" w:line="240" w:lineRule="auto"/>
              <w:jc w:val="center"/>
              <w:rPr>
                <w:rFonts w:eastAsia="Times New Roman" w:cstheme="minorHAnsi"/>
                <w:i/>
                <w:iCs/>
                <w:color w:val="000000"/>
                <w:sz w:val="18"/>
                <w:szCs w:val="18"/>
                <w:lang w:eastAsia="en-US"/>
              </w:rPr>
            </w:pPr>
            <w:r>
              <w:rPr>
                <w:rFonts w:eastAsia="Times New Roman" w:cstheme="minorHAnsi"/>
                <w:i/>
                <w:iCs/>
                <w:color w:val="000000"/>
                <w:sz w:val="18"/>
                <w:szCs w:val="18"/>
                <w:lang w:eastAsia="en-US"/>
              </w:rPr>
              <w:t>28.4</w:t>
            </w:r>
          </w:p>
        </w:tc>
        <w:tc>
          <w:tcPr>
            <w:tcW w:w="1086" w:type="dxa"/>
            <w:tcBorders>
              <w:top w:val="nil"/>
              <w:left w:val="nil"/>
              <w:bottom w:val="single" w:sz="4" w:space="0" w:color="auto"/>
              <w:right w:val="nil"/>
            </w:tcBorders>
            <w:hideMark/>
          </w:tcPr>
          <w:p w14:paraId="2B2C96FC"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143</w:t>
            </w:r>
          </w:p>
        </w:tc>
        <w:tc>
          <w:tcPr>
            <w:tcW w:w="1040" w:type="dxa"/>
            <w:tcBorders>
              <w:top w:val="nil"/>
              <w:left w:val="nil"/>
              <w:bottom w:val="single" w:sz="4" w:space="0" w:color="auto"/>
              <w:right w:val="nil"/>
            </w:tcBorders>
            <w:hideMark/>
          </w:tcPr>
          <w:p w14:paraId="68A909ED"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45</w:t>
            </w:r>
          </w:p>
        </w:tc>
        <w:tc>
          <w:tcPr>
            <w:tcW w:w="1276" w:type="dxa"/>
            <w:gridSpan w:val="2"/>
            <w:tcBorders>
              <w:top w:val="nil"/>
              <w:left w:val="nil"/>
              <w:bottom w:val="single" w:sz="4" w:space="0" w:color="auto"/>
              <w:right w:val="nil"/>
            </w:tcBorders>
            <w:shd w:val="clear" w:color="auto" w:fill="D9D9D9" w:themeFill="background1" w:themeFillShade="D9"/>
            <w:hideMark/>
          </w:tcPr>
          <w:p w14:paraId="37EEB4C5" w14:textId="77777777" w:rsidR="00A74860" w:rsidRDefault="00A74860">
            <w:pPr>
              <w:widowControl w:val="0"/>
              <w:spacing w:before="80" w:after="80" w:line="240" w:lineRule="auto"/>
              <w:jc w:val="center"/>
              <w:rPr>
                <w:rFonts w:eastAsia="Times New Roman" w:cstheme="minorHAnsi"/>
                <w:i/>
                <w:iCs/>
                <w:color w:val="000000"/>
                <w:sz w:val="18"/>
                <w:szCs w:val="18"/>
                <w:lang w:eastAsia="en-US"/>
              </w:rPr>
            </w:pPr>
            <w:r>
              <w:rPr>
                <w:rFonts w:eastAsia="Times New Roman" w:cstheme="minorHAnsi"/>
                <w:i/>
                <w:iCs/>
                <w:color w:val="000000"/>
                <w:sz w:val="18"/>
                <w:szCs w:val="18"/>
                <w:lang w:eastAsia="en-US"/>
              </w:rPr>
              <w:t>31.5</w:t>
            </w:r>
          </w:p>
        </w:tc>
      </w:tr>
      <w:tr w:rsidR="00A74860" w14:paraId="5AD0F1A4" w14:textId="77777777" w:rsidTr="00A74860">
        <w:trPr>
          <w:cantSplit/>
        </w:trPr>
        <w:tc>
          <w:tcPr>
            <w:tcW w:w="824" w:type="dxa"/>
            <w:vMerge w:val="restart"/>
            <w:tcBorders>
              <w:top w:val="single" w:sz="4" w:space="0" w:color="auto"/>
              <w:left w:val="nil"/>
              <w:bottom w:val="single" w:sz="4" w:space="0" w:color="auto"/>
              <w:right w:val="single" w:sz="4" w:space="0" w:color="auto"/>
            </w:tcBorders>
            <w:hideMark/>
          </w:tcPr>
          <w:p w14:paraId="35041D4A" w14:textId="77777777" w:rsidR="00A74860" w:rsidRDefault="00A74860">
            <w:pPr>
              <w:widowControl w:val="0"/>
              <w:spacing w:before="80" w:after="80" w:line="240" w:lineRule="auto"/>
              <w:rPr>
                <w:rFonts w:eastAsia="Times New Roman" w:cstheme="minorHAnsi"/>
                <w:color w:val="000000"/>
                <w:sz w:val="18"/>
                <w:szCs w:val="18"/>
                <w:lang w:eastAsia="en-US"/>
              </w:rPr>
            </w:pPr>
            <w:r>
              <w:rPr>
                <w:rFonts w:eastAsia="Times New Roman" w:cstheme="minorHAnsi"/>
                <w:color w:val="000000"/>
                <w:sz w:val="18"/>
                <w:szCs w:val="18"/>
                <w:lang w:eastAsia="en-US"/>
              </w:rPr>
              <w:t>Sub-sequent</w:t>
            </w:r>
          </w:p>
        </w:tc>
        <w:tc>
          <w:tcPr>
            <w:tcW w:w="1024" w:type="dxa"/>
            <w:gridSpan w:val="2"/>
            <w:tcBorders>
              <w:top w:val="single" w:sz="4" w:space="0" w:color="auto"/>
              <w:left w:val="single" w:sz="4" w:space="0" w:color="auto"/>
              <w:bottom w:val="nil"/>
              <w:right w:val="nil"/>
            </w:tcBorders>
            <w:hideMark/>
          </w:tcPr>
          <w:p w14:paraId="79E47A8B"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No</w:t>
            </w:r>
          </w:p>
        </w:tc>
        <w:tc>
          <w:tcPr>
            <w:tcW w:w="1157" w:type="dxa"/>
            <w:gridSpan w:val="2"/>
            <w:tcBorders>
              <w:top w:val="single" w:sz="4" w:space="0" w:color="auto"/>
              <w:left w:val="nil"/>
              <w:bottom w:val="nil"/>
              <w:right w:val="nil"/>
            </w:tcBorders>
            <w:hideMark/>
          </w:tcPr>
          <w:p w14:paraId="4D3E1E75"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1,606,946</w:t>
            </w:r>
          </w:p>
        </w:tc>
        <w:tc>
          <w:tcPr>
            <w:tcW w:w="1158" w:type="dxa"/>
            <w:tcBorders>
              <w:top w:val="single" w:sz="4" w:space="0" w:color="auto"/>
              <w:left w:val="nil"/>
              <w:bottom w:val="nil"/>
              <w:right w:val="nil"/>
            </w:tcBorders>
            <w:hideMark/>
          </w:tcPr>
          <w:p w14:paraId="63234100"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297,256</w:t>
            </w:r>
          </w:p>
        </w:tc>
        <w:tc>
          <w:tcPr>
            <w:tcW w:w="1229" w:type="dxa"/>
            <w:gridSpan w:val="2"/>
            <w:tcBorders>
              <w:top w:val="single" w:sz="4" w:space="0" w:color="auto"/>
              <w:left w:val="nil"/>
              <w:bottom w:val="nil"/>
              <w:right w:val="nil"/>
            </w:tcBorders>
            <w:shd w:val="clear" w:color="auto" w:fill="D9D9D9" w:themeFill="background1" w:themeFillShade="D9"/>
            <w:hideMark/>
          </w:tcPr>
          <w:p w14:paraId="5A817650"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18.5</w:t>
            </w:r>
          </w:p>
        </w:tc>
        <w:tc>
          <w:tcPr>
            <w:tcW w:w="1086" w:type="dxa"/>
            <w:tcBorders>
              <w:top w:val="single" w:sz="4" w:space="0" w:color="auto"/>
              <w:left w:val="nil"/>
              <w:bottom w:val="nil"/>
              <w:right w:val="nil"/>
            </w:tcBorders>
            <w:hideMark/>
          </w:tcPr>
          <w:p w14:paraId="33A4C8AF"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631</w:t>
            </w:r>
          </w:p>
        </w:tc>
        <w:tc>
          <w:tcPr>
            <w:tcW w:w="1040" w:type="dxa"/>
            <w:tcBorders>
              <w:top w:val="single" w:sz="4" w:space="0" w:color="auto"/>
              <w:left w:val="nil"/>
              <w:bottom w:val="nil"/>
              <w:right w:val="nil"/>
            </w:tcBorders>
            <w:hideMark/>
          </w:tcPr>
          <w:p w14:paraId="53B3B172"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273</w:t>
            </w:r>
          </w:p>
        </w:tc>
        <w:tc>
          <w:tcPr>
            <w:tcW w:w="1276" w:type="dxa"/>
            <w:gridSpan w:val="2"/>
            <w:tcBorders>
              <w:top w:val="single" w:sz="4" w:space="0" w:color="auto"/>
              <w:left w:val="nil"/>
              <w:bottom w:val="nil"/>
              <w:right w:val="nil"/>
            </w:tcBorders>
            <w:shd w:val="clear" w:color="auto" w:fill="D9D9D9" w:themeFill="background1" w:themeFillShade="D9"/>
            <w:hideMark/>
          </w:tcPr>
          <w:p w14:paraId="2FAB5462"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43.3</w:t>
            </w:r>
          </w:p>
        </w:tc>
      </w:tr>
      <w:tr w:rsidR="00A74860" w14:paraId="003EA87B" w14:textId="77777777" w:rsidTr="00A74860">
        <w:trPr>
          <w:cantSplit/>
        </w:trPr>
        <w:tc>
          <w:tcPr>
            <w:tcW w:w="824" w:type="dxa"/>
            <w:vMerge/>
            <w:tcBorders>
              <w:top w:val="single" w:sz="4" w:space="0" w:color="auto"/>
              <w:left w:val="nil"/>
              <w:bottom w:val="single" w:sz="4" w:space="0" w:color="auto"/>
              <w:right w:val="single" w:sz="4" w:space="0" w:color="auto"/>
            </w:tcBorders>
            <w:vAlign w:val="center"/>
            <w:hideMark/>
          </w:tcPr>
          <w:p w14:paraId="1CD309B4" w14:textId="77777777" w:rsidR="00A74860" w:rsidRDefault="00A74860">
            <w:pPr>
              <w:spacing w:before="0" w:after="0" w:line="240" w:lineRule="auto"/>
              <w:rPr>
                <w:rFonts w:eastAsia="Times New Roman" w:cstheme="minorHAnsi"/>
                <w:color w:val="000000"/>
                <w:sz w:val="18"/>
                <w:szCs w:val="18"/>
                <w:lang w:eastAsia="en-US"/>
              </w:rPr>
            </w:pPr>
          </w:p>
        </w:tc>
        <w:tc>
          <w:tcPr>
            <w:tcW w:w="1024" w:type="dxa"/>
            <w:gridSpan w:val="2"/>
            <w:tcBorders>
              <w:top w:val="nil"/>
              <w:left w:val="single" w:sz="4" w:space="0" w:color="auto"/>
              <w:bottom w:val="nil"/>
              <w:right w:val="nil"/>
            </w:tcBorders>
            <w:hideMark/>
          </w:tcPr>
          <w:p w14:paraId="67281229"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Yes</w:t>
            </w:r>
          </w:p>
        </w:tc>
        <w:tc>
          <w:tcPr>
            <w:tcW w:w="1157" w:type="dxa"/>
            <w:gridSpan w:val="2"/>
            <w:tcBorders>
              <w:top w:val="nil"/>
              <w:left w:val="nil"/>
              <w:bottom w:val="nil"/>
              <w:right w:val="nil"/>
            </w:tcBorders>
            <w:hideMark/>
          </w:tcPr>
          <w:p w14:paraId="074D8B96"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1,049,882</w:t>
            </w:r>
          </w:p>
        </w:tc>
        <w:tc>
          <w:tcPr>
            <w:tcW w:w="1158" w:type="dxa"/>
            <w:tcBorders>
              <w:top w:val="nil"/>
              <w:left w:val="nil"/>
              <w:bottom w:val="nil"/>
              <w:right w:val="nil"/>
            </w:tcBorders>
            <w:hideMark/>
          </w:tcPr>
          <w:p w14:paraId="44F0A10E"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771,272</w:t>
            </w:r>
          </w:p>
        </w:tc>
        <w:tc>
          <w:tcPr>
            <w:tcW w:w="1229" w:type="dxa"/>
            <w:gridSpan w:val="2"/>
            <w:tcBorders>
              <w:top w:val="nil"/>
              <w:left w:val="nil"/>
              <w:bottom w:val="nil"/>
              <w:right w:val="nil"/>
            </w:tcBorders>
            <w:shd w:val="clear" w:color="auto" w:fill="D9D9D9" w:themeFill="background1" w:themeFillShade="D9"/>
            <w:hideMark/>
          </w:tcPr>
          <w:p w14:paraId="5E5F6C54"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73.5</w:t>
            </w:r>
          </w:p>
        </w:tc>
        <w:tc>
          <w:tcPr>
            <w:tcW w:w="1086" w:type="dxa"/>
            <w:tcBorders>
              <w:top w:val="nil"/>
              <w:left w:val="nil"/>
              <w:bottom w:val="nil"/>
              <w:right w:val="nil"/>
            </w:tcBorders>
            <w:hideMark/>
          </w:tcPr>
          <w:p w14:paraId="0DCBAEFB"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91</w:t>
            </w:r>
          </w:p>
        </w:tc>
        <w:tc>
          <w:tcPr>
            <w:tcW w:w="1040" w:type="dxa"/>
            <w:tcBorders>
              <w:top w:val="nil"/>
              <w:left w:val="nil"/>
              <w:bottom w:val="nil"/>
              <w:right w:val="nil"/>
            </w:tcBorders>
            <w:hideMark/>
          </w:tcPr>
          <w:p w14:paraId="5A048C34"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72</w:t>
            </w:r>
          </w:p>
        </w:tc>
        <w:tc>
          <w:tcPr>
            <w:tcW w:w="1276" w:type="dxa"/>
            <w:gridSpan w:val="2"/>
            <w:tcBorders>
              <w:top w:val="nil"/>
              <w:left w:val="nil"/>
              <w:bottom w:val="nil"/>
              <w:right w:val="nil"/>
            </w:tcBorders>
            <w:shd w:val="clear" w:color="auto" w:fill="D9D9D9" w:themeFill="background1" w:themeFillShade="D9"/>
            <w:hideMark/>
          </w:tcPr>
          <w:p w14:paraId="7B83897E"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79.1</w:t>
            </w:r>
          </w:p>
        </w:tc>
      </w:tr>
      <w:tr w:rsidR="00A74860" w14:paraId="23C0FD5D" w14:textId="77777777" w:rsidTr="00A74860">
        <w:trPr>
          <w:cantSplit/>
        </w:trPr>
        <w:tc>
          <w:tcPr>
            <w:tcW w:w="824" w:type="dxa"/>
            <w:vMerge/>
            <w:tcBorders>
              <w:top w:val="single" w:sz="4" w:space="0" w:color="auto"/>
              <w:left w:val="nil"/>
              <w:bottom w:val="single" w:sz="4" w:space="0" w:color="auto"/>
              <w:right w:val="single" w:sz="4" w:space="0" w:color="auto"/>
            </w:tcBorders>
            <w:vAlign w:val="center"/>
            <w:hideMark/>
          </w:tcPr>
          <w:p w14:paraId="7ED213FA" w14:textId="77777777" w:rsidR="00A74860" w:rsidRDefault="00A74860">
            <w:pPr>
              <w:spacing w:before="0" w:after="0" w:line="240" w:lineRule="auto"/>
              <w:rPr>
                <w:rFonts w:eastAsia="Times New Roman" w:cstheme="minorHAnsi"/>
                <w:color w:val="000000"/>
                <w:sz w:val="18"/>
                <w:szCs w:val="18"/>
                <w:lang w:eastAsia="en-US"/>
              </w:rPr>
            </w:pPr>
          </w:p>
        </w:tc>
        <w:tc>
          <w:tcPr>
            <w:tcW w:w="1024" w:type="dxa"/>
            <w:gridSpan w:val="2"/>
            <w:tcBorders>
              <w:top w:val="nil"/>
              <w:left w:val="single" w:sz="4" w:space="0" w:color="auto"/>
              <w:bottom w:val="single" w:sz="4" w:space="0" w:color="auto"/>
              <w:right w:val="nil"/>
            </w:tcBorders>
            <w:hideMark/>
          </w:tcPr>
          <w:p w14:paraId="5C555ED9" w14:textId="77777777" w:rsidR="00A74860" w:rsidRDefault="00A74860">
            <w:pPr>
              <w:widowControl w:val="0"/>
              <w:spacing w:before="80" w:after="80" w:line="240" w:lineRule="auto"/>
              <w:jc w:val="center"/>
              <w:rPr>
                <w:rFonts w:eastAsia="Times New Roman" w:cstheme="minorHAnsi"/>
                <w:i/>
                <w:iCs/>
                <w:color w:val="000000"/>
                <w:sz w:val="18"/>
                <w:szCs w:val="18"/>
                <w:lang w:eastAsia="en-US"/>
              </w:rPr>
            </w:pPr>
            <w:r>
              <w:rPr>
                <w:rFonts w:eastAsia="Times New Roman" w:cstheme="minorHAnsi"/>
                <w:i/>
                <w:iCs/>
                <w:color w:val="000000"/>
                <w:sz w:val="18"/>
                <w:szCs w:val="18"/>
                <w:lang w:eastAsia="en-US"/>
              </w:rPr>
              <w:t>All</w:t>
            </w:r>
          </w:p>
        </w:tc>
        <w:tc>
          <w:tcPr>
            <w:tcW w:w="1157" w:type="dxa"/>
            <w:gridSpan w:val="2"/>
            <w:tcBorders>
              <w:top w:val="nil"/>
              <w:left w:val="nil"/>
              <w:bottom w:val="single" w:sz="4" w:space="0" w:color="auto"/>
              <w:right w:val="nil"/>
            </w:tcBorders>
            <w:hideMark/>
          </w:tcPr>
          <w:p w14:paraId="52248AD0"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2,656,828</w:t>
            </w:r>
          </w:p>
        </w:tc>
        <w:tc>
          <w:tcPr>
            <w:tcW w:w="1158" w:type="dxa"/>
            <w:tcBorders>
              <w:top w:val="nil"/>
              <w:left w:val="nil"/>
              <w:bottom w:val="single" w:sz="4" w:space="0" w:color="auto"/>
              <w:right w:val="nil"/>
            </w:tcBorders>
            <w:hideMark/>
          </w:tcPr>
          <w:p w14:paraId="5EEE418D"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1,068,528</w:t>
            </w:r>
          </w:p>
        </w:tc>
        <w:tc>
          <w:tcPr>
            <w:tcW w:w="1229" w:type="dxa"/>
            <w:gridSpan w:val="2"/>
            <w:tcBorders>
              <w:top w:val="nil"/>
              <w:left w:val="nil"/>
              <w:bottom w:val="single" w:sz="4" w:space="0" w:color="auto"/>
              <w:right w:val="nil"/>
            </w:tcBorders>
            <w:shd w:val="clear" w:color="auto" w:fill="D9D9D9" w:themeFill="background1" w:themeFillShade="D9"/>
            <w:hideMark/>
          </w:tcPr>
          <w:p w14:paraId="75559EF4" w14:textId="77777777" w:rsidR="00A74860" w:rsidRDefault="00A74860">
            <w:pPr>
              <w:widowControl w:val="0"/>
              <w:spacing w:before="80" w:after="80" w:line="240" w:lineRule="auto"/>
              <w:jc w:val="center"/>
              <w:rPr>
                <w:rFonts w:eastAsia="Times New Roman" w:cstheme="minorHAnsi"/>
                <w:i/>
                <w:iCs/>
                <w:color w:val="000000"/>
                <w:sz w:val="18"/>
                <w:szCs w:val="18"/>
                <w:lang w:eastAsia="en-US"/>
              </w:rPr>
            </w:pPr>
            <w:r>
              <w:rPr>
                <w:rFonts w:eastAsia="Times New Roman" w:cstheme="minorHAnsi"/>
                <w:i/>
                <w:iCs/>
                <w:color w:val="000000"/>
                <w:sz w:val="18"/>
                <w:szCs w:val="18"/>
                <w:lang w:eastAsia="en-US"/>
              </w:rPr>
              <w:t>40.2</w:t>
            </w:r>
          </w:p>
        </w:tc>
        <w:tc>
          <w:tcPr>
            <w:tcW w:w="1086" w:type="dxa"/>
            <w:tcBorders>
              <w:top w:val="nil"/>
              <w:left w:val="nil"/>
              <w:bottom w:val="single" w:sz="4" w:space="0" w:color="auto"/>
              <w:right w:val="nil"/>
            </w:tcBorders>
            <w:hideMark/>
          </w:tcPr>
          <w:p w14:paraId="70BFE395"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722</w:t>
            </w:r>
          </w:p>
        </w:tc>
        <w:tc>
          <w:tcPr>
            <w:tcW w:w="1040" w:type="dxa"/>
            <w:tcBorders>
              <w:top w:val="nil"/>
              <w:left w:val="nil"/>
              <w:bottom w:val="single" w:sz="4" w:space="0" w:color="auto"/>
              <w:right w:val="nil"/>
            </w:tcBorders>
            <w:hideMark/>
          </w:tcPr>
          <w:p w14:paraId="0C8ACF88" w14:textId="77777777" w:rsidR="00A74860" w:rsidRDefault="00A74860">
            <w:pPr>
              <w:widowControl w:val="0"/>
              <w:spacing w:before="80" w:after="80" w:line="240" w:lineRule="auto"/>
              <w:jc w:val="right"/>
              <w:rPr>
                <w:rFonts w:eastAsia="Times New Roman" w:cstheme="minorHAnsi"/>
                <w:i/>
                <w:iCs/>
                <w:color w:val="000000"/>
                <w:sz w:val="18"/>
                <w:szCs w:val="18"/>
                <w:lang w:eastAsia="en-US"/>
              </w:rPr>
            </w:pPr>
            <w:r>
              <w:rPr>
                <w:rFonts w:eastAsia="Times New Roman" w:cstheme="minorHAnsi"/>
                <w:i/>
                <w:iCs/>
                <w:color w:val="000000"/>
                <w:sz w:val="18"/>
                <w:szCs w:val="18"/>
                <w:lang w:eastAsia="en-US"/>
              </w:rPr>
              <w:t>345</w:t>
            </w:r>
          </w:p>
        </w:tc>
        <w:tc>
          <w:tcPr>
            <w:tcW w:w="1276" w:type="dxa"/>
            <w:gridSpan w:val="2"/>
            <w:tcBorders>
              <w:top w:val="nil"/>
              <w:left w:val="nil"/>
              <w:bottom w:val="single" w:sz="4" w:space="0" w:color="auto"/>
              <w:right w:val="nil"/>
            </w:tcBorders>
            <w:shd w:val="clear" w:color="auto" w:fill="D9D9D9" w:themeFill="background1" w:themeFillShade="D9"/>
            <w:hideMark/>
          </w:tcPr>
          <w:p w14:paraId="44484662" w14:textId="77777777" w:rsidR="00A74860" w:rsidRDefault="00A74860">
            <w:pPr>
              <w:widowControl w:val="0"/>
              <w:spacing w:before="80" w:after="80" w:line="240" w:lineRule="auto"/>
              <w:jc w:val="center"/>
              <w:rPr>
                <w:rFonts w:eastAsia="Times New Roman" w:cstheme="minorHAnsi"/>
                <w:i/>
                <w:iCs/>
                <w:color w:val="000000"/>
                <w:sz w:val="18"/>
                <w:szCs w:val="18"/>
                <w:lang w:eastAsia="en-US"/>
              </w:rPr>
            </w:pPr>
            <w:r>
              <w:rPr>
                <w:rFonts w:eastAsia="Times New Roman" w:cstheme="minorHAnsi"/>
                <w:i/>
                <w:iCs/>
                <w:color w:val="000000"/>
                <w:sz w:val="18"/>
                <w:szCs w:val="18"/>
                <w:lang w:eastAsia="en-US"/>
              </w:rPr>
              <w:t>47.8</w:t>
            </w:r>
          </w:p>
        </w:tc>
      </w:tr>
      <w:tr w:rsidR="00A74860" w14:paraId="26B15869" w14:textId="77777777" w:rsidTr="00A74860">
        <w:trPr>
          <w:cantSplit/>
        </w:trPr>
        <w:tc>
          <w:tcPr>
            <w:tcW w:w="824" w:type="dxa"/>
            <w:vMerge w:val="restart"/>
            <w:tcBorders>
              <w:top w:val="single" w:sz="4" w:space="0" w:color="auto"/>
              <w:left w:val="nil"/>
              <w:bottom w:val="nil"/>
              <w:right w:val="single" w:sz="4" w:space="0" w:color="auto"/>
            </w:tcBorders>
            <w:hideMark/>
          </w:tcPr>
          <w:p w14:paraId="3DC49182" w14:textId="77777777" w:rsidR="00A74860" w:rsidRDefault="00A74860">
            <w:pPr>
              <w:widowControl w:val="0"/>
              <w:spacing w:before="80" w:after="80" w:line="240" w:lineRule="auto"/>
              <w:rPr>
                <w:rFonts w:eastAsia="Times New Roman" w:cstheme="minorHAnsi"/>
                <w:color w:val="000000"/>
                <w:sz w:val="18"/>
                <w:szCs w:val="18"/>
                <w:lang w:eastAsia="en-US"/>
              </w:rPr>
            </w:pPr>
            <w:r>
              <w:rPr>
                <w:rFonts w:eastAsia="Times New Roman" w:cstheme="minorHAnsi"/>
                <w:color w:val="000000"/>
                <w:sz w:val="18"/>
                <w:szCs w:val="18"/>
                <w:lang w:eastAsia="en-US"/>
              </w:rPr>
              <w:t>All rounds</w:t>
            </w:r>
          </w:p>
        </w:tc>
        <w:tc>
          <w:tcPr>
            <w:tcW w:w="1024" w:type="dxa"/>
            <w:gridSpan w:val="2"/>
            <w:tcBorders>
              <w:top w:val="single" w:sz="4" w:space="0" w:color="auto"/>
              <w:left w:val="single" w:sz="4" w:space="0" w:color="auto"/>
              <w:bottom w:val="nil"/>
              <w:right w:val="nil"/>
            </w:tcBorders>
            <w:hideMark/>
          </w:tcPr>
          <w:p w14:paraId="390EEEF6"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No</w:t>
            </w:r>
          </w:p>
        </w:tc>
        <w:tc>
          <w:tcPr>
            <w:tcW w:w="1157" w:type="dxa"/>
            <w:gridSpan w:val="2"/>
            <w:tcBorders>
              <w:top w:val="single" w:sz="4" w:space="0" w:color="auto"/>
              <w:left w:val="nil"/>
              <w:bottom w:val="nil"/>
              <w:right w:val="nil"/>
            </w:tcBorders>
            <w:hideMark/>
          </w:tcPr>
          <w:p w14:paraId="0CF218D4"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1,944,437</w:t>
            </w:r>
          </w:p>
        </w:tc>
        <w:tc>
          <w:tcPr>
            <w:tcW w:w="1158" w:type="dxa"/>
            <w:tcBorders>
              <w:top w:val="single" w:sz="4" w:space="0" w:color="auto"/>
              <w:left w:val="nil"/>
              <w:bottom w:val="nil"/>
              <w:right w:val="nil"/>
            </w:tcBorders>
            <w:hideMark/>
          </w:tcPr>
          <w:p w14:paraId="3EAF3F1A"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393,044</w:t>
            </w:r>
          </w:p>
        </w:tc>
        <w:tc>
          <w:tcPr>
            <w:tcW w:w="1229" w:type="dxa"/>
            <w:gridSpan w:val="2"/>
            <w:tcBorders>
              <w:top w:val="single" w:sz="4" w:space="0" w:color="auto"/>
              <w:left w:val="nil"/>
              <w:bottom w:val="nil"/>
              <w:right w:val="nil"/>
            </w:tcBorders>
            <w:shd w:val="clear" w:color="auto" w:fill="D9D9D9" w:themeFill="background1" w:themeFillShade="D9"/>
            <w:hideMark/>
          </w:tcPr>
          <w:p w14:paraId="6414AA3A"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20.2</w:t>
            </w:r>
          </w:p>
        </w:tc>
        <w:tc>
          <w:tcPr>
            <w:tcW w:w="1086" w:type="dxa"/>
            <w:tcBorders>
              <w:top w:val="single" w:sz="4" w:space="0" w:color="auto"/>
              <w:left w:val="nil"/>
              <w:bottom w:val="nil"/>
              <w:right w:val="nil"/>
            </w:tcBorders>
            <w:hideMark/>
          </w:tcPr>
          <w:p w14:paraId="07D34E7D"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774</w:t>
            </w:r>
          </w:p>
        </w:tc>
        <w:tc>
          <w:tcPr>
            <w:tcW w:w="1040" w:type="dxa"/>
            <w:tcBorders>
              <w:top w:val="single" w:sz="4" w:space="0" w:color="auto"/>
              <w:left w:val="nil"/>
              <w:bottom w:val="nil"/>
              <w:right w:val="nil"/>
            </w:tcBorders>
            <w:hideMark/>
          </w:tcPr>
          <w:p w14:paraId="5076B59A"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318</w:t>
            </w:r>
          </w:p>
        </w:tc>
        <w:tc>
          <w:tcPr>
            <w:tcW w:w="1276" w:type="dxa"/>
            <w:gridSpan w:val="2"/>
            <w:tcBorders>
              <w:top w:val="single" w:sz="4" w:space="0" w:color="auto"/>
              <w:left w:val="nil"/>
              <w:bottom w:val="nil"/>
              <w:right w:val="nil"/>
            </w:tcBorders>
            <w:shd w:val="clear" w:color="auto" w:fill="D9D9D9" w:themeFill="background1" w:themeFillShade="D9"/>
            <w:hideMark/>
          </w:tcPr>
          <w:p w14:paraId="7521A484"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41.1</w:t>
            </w:r>
          </w:p>
        </w:tc>
      </w:tr>
      <w:tr w:rsidR="00A74860" w14:paraId="74970A3B" w14:textId="77777777" w:rsidTr="00A74860">
        <w:trPr>
          <w:cantSplit/>
        </w:trPr>
        <w:tc>
          <w:tcPr>
            <w:tcW w:w="824" w:type="dxa"/>
            <w:vMerge/>
            <w:tcBorders>
              <w:top w:val="single" w:sz="4" w:space="0" w:color="auto"/>
              <w:left w:val="nil"/>
              <w:bottom w:val="nil"/>
              <w:right w:val="single" w:sz="4" w:space="0" w:color="auto"/>
            </w:tcBorders>
            <w:vAlign w:val="center"/>
            <w:hideMark/>
          </w:tcPr>
          <w:p w14:paraId="7C9982BE" w14:textId="77777777" w:rsidR="00A74860" w:rsidRDefault="00A74860">
            <w:pPr>
              <w:spacing w:before="0" w:after="0" w:line="240" w:lineRule="auto"/>
              <w:rPr>
                <w:rFonts w:eastAsia="Times New Roman" w:cstheme="minorHAnsi"/>
                <w:color w:val="000000"/>
                <w:sz w:val="18"/>
                <w:szCs w:val="18"/>
                <w:lang w:eastAsia="en-US"/>
              </w:rPr>
            </w:pPr>
          </w:p>
        </w:tc>
        <w:tc>
          <w:tcPr>
            <w:tcW w:w="1024" w:type="dxa"/>
            <w:gridSpan w:val="2"/>
            <w:tcBorders>
              <w:top w:val="nil"/>
              <w:left w:val="single" w:sz="4" w:space="0" w:color="auto"/>
              <w:bottom w:val="nil"/>
              <w:right w:val="nil"/>
            </w:tcBorders>
            <w:hideMark/>
          </w:tcPr>
          <w:p w14:paraId="2839A19F"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Yes</w:t>
            </w:r>
          </w:p>
        </w:tc>
        <w:tc>
          <w:tcPr>
            <w:tcW w:w="1157" w:type="dxa"/>
            <w:gridSpan w:val="2"/>
            <w:tcBorders>
              <w:top w:val="nil"/>
              <w:left w:val="nil"/>
              <w:bottom w:val="nil"/>
              <w:right w:val="nil"/>
            </w:tcBorders>
            <w:hideMark/>
          </w:tcPr>
          <w:p w14:paraId="45FA0822"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1,049,882</w:t>
            </w:r>
          </w:p>
        </w:tc>
        <w:tc>
          <w:tcPr>
            <w:tcW w:w="1158" w:type="dxa"/>
            <w:tcBorders>
              <w:top w:val="nil"/>
              <w:left w:val="nil"/>
              <w:bottom w:val="nil"/>
              <w:right w:val="nil"/>
            </w:tcBorders>
            <w:hideMark/>
          </w:tcPr>
          <w:p w14:paraId="2416E31C"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771,272</w:t>
            </w:r>
          </w:p>
        </w:tc>
        <w:tc>
          <w:tcPr>
            <w:tcW w:w="1229" w:type="dxa"/>
            <w:gridSpan w:val="2"/>
            <w:tcBorders>
              <w:top w:val="nil"/>
              <w:left w:val="nil"/>
              <w:bottom w:val="nil"/>
              <w:right w:val="nil"/>
            </w:tcBorders>
            <w:shd w:val="clear" w:color="auto" w:fill="D9D9D9" w:themeFill="background1" w:themeFillShade="D9"/>
            <w:hideMark/>
          </w:tcPr>
          <w:p w14:paraId="1D136C16"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73.5</w:t>
            </w:r>
          </w:p>
        </w:tc>
        <w:tc>
          <w:tcPr>
            <w:tcW w:w="1086" w:type="dxa"/>
            <w:tcBorders>
              <w:top w:val="nil"/>
              <w:left w:val="nil"/>
              <w:bottom w:val="nil"/>
              <w:right w:val="nil"/>
            </w:tcBorders>
            <w:hideMark/>
          </w:tcPr>
          <w:p w14:paraId="0D264357"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91</w:t>
            </w:r>
          </w:p>
        </w:tc>
        <w:tc>
          <w:tcPr>
            <w:tcW w:w="1040" w:type="dxa"/>
            <w:tcBorders>
              <w:top w:val="nil"/>
              <w:left w:val="nil"/>
              <w:bottom w:val="nil"/>
              <w:right w:val="nil"/>
            </w:tcBorders>
            <w:hideMark/>
          </w:tcPr>
          <w:p w14:paraId="0FF20EB1" w14:textId="77777777" w:rsidR="00A74860" w:rsidRDefault="00A74860">
            <w:pPr>
              <w:widowControl w:val="0"/>
              <w:spacing w:before="80" w:after="8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72</w:t>
            </w:r>
          </w:p>
        </w:tc>
        <w:tc>
          <w:tcPr>
            <w:tcW w:w="1276" w:type="dxa"/>
            <w:gridSpan w:val="2"/>
            <w:tcBorders>
              <w:top w:val="nil"/>
              <w:left w:val="nil"/>
              <w:bottom w:val="nil"/>
              <w:right w:val="nil"/>
            </w:tcBorders>
            <w:shd w:val="clear" w:color="auto" w:fill="D9D9D9" w:themeFill="background1" w:themeFillShade="D9"/>
            <w:hideMark/>
          </w:tcPr>
          <w:p w14:paraId="542A449C" w14:textId="77777777" w:rsidR="00A74860" w:rsidRDefault="00A74860">
            <w:pPr>
              <w:widowControl w:val="0"/>
              <w:spacing w:before="80" w:after="80" w:line="240" w:lineRule="auto"/>
              <w:jc w:val="center"/>
              <w:rPr>
                <w:rFonts w:eastAsia="Times New Roman" w:cstheme="minorHAnsi"/>
                <w:color w:val="000000"/>
                <w:sz w:val="18"/>
                <w:szCs w:val="18"/>
                <w:lang w:eastAsia="en-US"/>
              </w:rPr>
            </w:pPr>
            <w:r>
              <w:rPr>
                <w:rFonts w:eastAsia="Times New Roman" w:cstheme="minorHAnsi"/>
                <w:color w:val="000000"/>
                <w:sz w:val="18"/>
                <w:szCs w:val="18"/>
                <w:lang w:eastAsia="en-US"/>
              </w:rPr>
              <w:t>79.1</w:t>
            </w:r>
          </w:p>
        </w:tc>
      </w:tr>
      <w:tr w:rsidR="00A74860" w14:paraId="59FD1A8B" w14:textId="77777777" w:rsidTr="00A74860">
        <w:trPr>
          <w:cantSplit/>
        </w:trPr>
        <w:tc>
          <w:tcPr>
            <w:tcW w:w="824" w:type="dxa"/>
            <w:tcBorders>
              <w:top w:val="nil"/>
              <w:left w:val="nil"/>
              <w:bottom w:val="single" w:sz="4" w:space="0" w:color="auto"/>
              <w:right w:val="single" w:sz="4" w:space="0" w:color="auto"/>
            </w:tcBorders>
            <w:hideMark/>
          </w:tcPr>
          <w:p w14:paraId="61707969" w14:textId="77777777" w:rsidR="00A74860" w:rsidRDefault="00A74860">
            <w:pPr>
              <w:widowControl w:val="0"/>
              <w:spacing w:before="80" w:after="80" w:line="240" w:lineRule="auto"/>
              <w:rPr>
                <w:rFonts w:eastAsia="Times New Roman" w:cstheme="minorHAnsi"/>
                <w:b/>
                <w:bCs/>
                <w:color w:val="000000"/>
                <w:sz w:val="18"/>
                <w:szCs w:val="18"/>
                <w:lang w:eastAsia="en-US"/>
              </w:rPr>
            </w:pPr>
            <w:r>
              <w:rPr>
                <w:rFonts w:eastAsia="Times New Roman" w:cstheme="minorHAnsi"/>
                <w:b/>
                <w:bCs/>
                <w:color w:val="000000"/>
                <w:sz w:val="18"/>
                <w:szCs w:val="18"/>
                <w:lang w:eastAsia="en-US"/>
              </w:rPr>
              <w:t> </w:t>
            </w:r>
          </w:p>
        </w:tc>
        <w:tc>
          <w:tcPr>
            <w:tcW w:w="1024" w:type="dxa"/>
            <w:gridSpan w:val="2"/>
            <w:tcBorders>
              <w:top w:val="nil"/>
              <w:left w:val="single" w:sz="4" w:space="0" w:color="auto"/>
              <w:bottom w:val="single" w:sz="4" w:space="0" w:color="auto"/>
              <w:right w:val="nil"/>
            </w:tcBorders>
            <w:hideMark/>
          </w:tcPr>
          <w:p w14:paraId="32EE9447"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All</w:t>
            </w:r>
          </w:p>
        </w:tc>
        <w:tc>
          <w:tcPr>
            <w:tcW w:w="1157" w:type="dxa"/>
            <w:gridSpan w:val="2"/>
            <w:tcBorders>
              <w:top w:val="nil"/>
              <w:left w:val="nil"/>
              <w:bottom w:val="single" w:sz="4" w:space="0" w:color="auto"/>
              <w:right w:val="nil"/>
            </w:tcBorders>
            <w:hideMark/>
          </w:tcPr>
          <w:p w14:paraId="05BB2730" w14:textId="77777777" w:rsidR="00A74860" w:rsidRDefault="00A74860">
            <w:pPr>
              <w:widowControl w:val="0"/>
              <w:spacing w:before="80" w:after="80" w:line="240" w:lineRule="auto"/>
              <w:jc w:val="right"/>
              <w:rPr>
                <w:rFonts w:eastAsia="Times New Roman" w:cstheme="minorHAnsi"/>
                <w:b/>
                <w:bCs/>
                <w:color w:val="000000"/>
                <w:sz w:val="18"/>
                <w:szCs w:val="18"/>
                <w:lang w:eastAsia="en-US"/>
              </w:rPr>
            </w:pPr>
            <w:r>
              <w:rPr>
                <w:rFonts w:eastAsia="Times New Roman" w:cstheme="minorHAnsi"/>
                <w:b/>
                <w:bCs/>
                <w:color w:val="000000"/>
                <w:sz w:val="18"/>
                <w:szCs w:val="18"/>
                <w:lang w:eastAsia="en-US"/>
              </w:rPr>
              <w:t>2,994,319</w:t>
            </w:r>
          </w:p>
        </w:tc>
        <w:tc>
          <w:tcPr>
            <w:tcW w:w="1158" w:type="dxa"/>
            <w:tcBorders>
              <w:top w:val="nil"/>
              <w:left w:val="nil"/>
              <w:bottom w:val="single" w:sz="4" w:space="0" w:color="auto"/>
              <w:right w:val="nil"/>
            </w:tcBorders>
            <w:hideMark/>
          </w:tcPr>
          <w:p w14:paraId="77DB032C" w14:textId="77777777" w:rsidR="00A74860" w:rsidRDefault="00A74860">
            <w:pPr>
              <w:widowControl w:val="0"/>
              <w:spacing w:before="80" w:after="80" w:line="240" w:lineRule="auto"/>
              <w:jc w:val="right"/>
              <w:rPr>
                <w:rFonts w:eastAsia="Times New Roman" w:cstheme="minorHAnsi"/>
                <w:b/>
                <w:bCs/>
                <w:color w:val="000000"/>
                <w:sz w:val="18"/>
                <w:szCs w:val="18"/>
                <w:lang w:eastAsia="en-US"/>
              </w:rPr>
            </w:pPr>
            <w:r>
              <w:rPr>
                <w:rFonts w:eastAsia="Times New Roman" w:cstheme="minorHAnsi"/>
                <w:b/>
                <w:bCs/>
                <w:color w:val="000000"/>
                <w:sz w:val="18"/>
                <w:szCs w:val="18"/>
                <w:lang w:eastAsia="en-US"/>
              </w:rPr>
              <w:t>1,164,316</w:t>
            </w:r>
          </w:p>
        </w:tc>
        <w:tc>
          <w:tcPr>
            <w:tcW w:w="1229" w:type="dxa"/>
            <w:gridSpan w:val="2"/>
            <w:tcBorders>
              <w:top w:val="nil"/>
              <w:left w:val="nil"/>
              <w:bottom w:val="single" w:sz="4" w:space="0" w:color="auto"/>
              <w:right w:val="nil"/>
            </w:tcBorders>
            <w:shd w:val="clear" w:color="auto" w:fill="D9D9D9" w:themeFill="background1" w:themeFillShade="D9"/>
            <w:hideMark/>
          </w:tcPr>
          <w:p w14:paraId="2815ABAB"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38.9</w:t>
            </w:r>
          </w:p>
        </w:tc>
        <w:tc>
          <w:tcPr>
            <w:tcW w:w="1086" w:type="dxa"/>
            <w:tcBorders>
              <w:top w:val="nil"/>
              <w:left w:val="nil"/>
              <w:bottom w:val="single" w:sz="4" w:space="0" w:color="auto"/>
              <w:right w:val="nil"/>
            </w:tcBorders>
            <w:hideMark/>
          </w:tcPr>
          <w:p w14:paraId="62677C30" w14:textId="77777777" w:rsidR="00A74860" w:rsidRDefault="00A74860">
            <w:pPr>
              <w:widowControl w:val="0"/>
              <w:spacing w:before="80" w:after="80" w:line="240" w:lineRule="auto"/>
              <w:jc w:val="right"/>
              <w:rPr>
                <w:rFonts w:eastAsia="Times New Roman" w:cstheme="minorHAnsi"/>
                <w:b/>
                <w:bCs/>
                <w:color w:val="000000"/>
                <w:sz w:val="18"/>
                <w:szCs w:val="18"/>
                <w:lang w:eastAsia="en-US"/>
              </w:rPr>
            </w:pPr>
            <w:r>
              <w:rPr>
                <w:rFonts w:eastAsia="Times New Roman" w:cstheme="minorHAnsi"/>
                <w:b/>
                <w:bCs/>
                <w:color w:val="000000"/>
                <w:sz w:val="18"/>
                <w:szCs w:val="18"/>
                <w:lang w:eastAsia="en-US"/>
              </w:rPr>
              <w:t>865</w:t>
            </w:r>
          </w:p>
        </w:tc>
        <w:tc>
          <w:tcPr>
            <w:tcW w:w="1040" w:type="dxa"/>
            <w:tcBorders>
              <w:top w:val="nil"/>
              <w:left w:val="nil"/>
              <w:bottom w:val="single" w:sz="4" w:space="0" w:color="auto"/>
              <w:right w:val="nil"/>
            </w:tcBorders>
            <w:hideMark/>
          </w:tcPr>
          <w:p w14:paraId="371418B3" w14:textId="77777777" w:rsidR="00A74860" w:rsidRDefault="00A74860">
            <w:pPr>
              <w:widowControl w:val="0"/>
              <w:spacing w:before="80" w:after="80" w:line="240" w:lineRule="auto"/>
              <w:jc w:val="right"/>
              <w:rPr>
                <w:rFonts w:eastAsia="Times New Roman" w:cstheme="minorHAnsi"/>
                <w:b/>
                <w:bCs/>
                <w:color w:val="000000"/>
                <w:sz w:val="18"/>
                <w:szCs w:val="18"/>
                <w:lang w:eastAsia="en-US"/>
              </w:rPr>
            </w:pPr>
            <w:r>
              <w:rPr>
                <w:rFonts w:eastAsia="Times New Roman" w:cstheme="minorHAnsi"/>
                <w:b/>
                <w:bCs/>
                <w:color w:val="000000"/>
                <w:sz w:val="18"/>
                <w:szCs w:val="18"/>
                <w:lang w:eastAsia="en-US"/>
              </w:rPr>
              <w:t>390</w:t>
            </w:r>
          </w:p>
        </w:tc>
        <w:tc>
          <w:tcPr>
            <w:tcW w:w="1276" w:type="dxa"/>
            <w:gridSpan w:val="2"/>
            <w:tcBorders>
              <w:top w:val="nil"/>
              <w:left w:val="nil"/>
              <w:bottom w:val="single" w:sz="4" w:space="0" w:color="auto"/>
              <w:right w:val="nil"/>
            </w:tcBorders>
            <w:shd w:val="clear" w:color="auto" w:fill="D9D9D9" w:themeFill="background1" w:themeFillShade="D9"/>
            <w:hideMark/>
          </w:tcPr>
          <w:p w14:paraId="19046E03" w14:textId="77777777" w:rsidR="00A74860" w:rsidRDefault="00A74860">
            <w:pPr>
              <w:widowControl w:val="0"/>
              <w:spacing w:before="80" w:after="8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45.1</w:t>
            </w:r>
          </w:p>
        </w:tc>
      </w:tr>
    </w:tbl>
    <w:p w14:paraId="5DF01BD7" w14:textId="77777777" w:rsidR="00A74860" w:rsidRDefault="00A74860" w:rsidP="00A74860">
      <w:pPr>
        <w:spacing w:before="0" w:after="0" w:line="240" w:lineRule="auto"/>
        <w:rPr>
          <w:rFonts w:cstheme="minorHAnsi"/>
          <w:sz w:val="18"/>
          <w:szCs w:val="18"/>
        </w:rPr>
      </w:pPr>
      <w:r>
        <w:rPr>
          <w:rFonts w:cstheme="minorHAnsi"/>
          <w:sz w:val="18"/>
          <w:szCs w:val="18"/>
        </w:rPr>
        <w:t xml:space="preserve">Source: AIHW analysis of NBCSP register data as at 31 October 2019 and </w:t>
      </w:r>
      <w:r>
        <w:rPr>
          <w:rFonts w:eastAsia="Times New Roman" w:cstheme="minorHAnsi"/>
          <w:color w:val="000000"/>
          <w:sz w:val="18"/>
          <w:szCs w:val="18"/>
        </w:rPr>
        <w:t>National Indigenous Bowel Screening Pilot data recorded by DHS.</w:t>
      </w:r>
    </w:p>
    <w:p w14:paraId="5F68DCAC" w14:textId="77777777" w:rsidR="00A74860" w:rsidRDefault="00A74860" w:rsidP="00A74860">
      <w:pPr>
        <w:rPr>
          <w:rFonts w:cstheme="minorHAnsi"/>
          <w:b/>
          <w:bCs/>
        </w:rPr>
      </w:pPr>
    </w:p>
    <w:p w14:paraId="54E69CF5" w14:textId="77777777" w:rsidR="00A74860" w:rsidRDefault="00A74860" w:rsidP="00A74860">
      <w:pPr>
        <w:rPr>
          <w:rFonts w:cstheme="minorHAnsi"/>
          <w:b/>
          <w:bCs/>
        </w:rPr>
      </w:pPr>
      <w:r>
        <w:rPr>
          <w:rFonts w:cstheme="minorHAnsi"/>
          <w:b/>
          <w:bCs/>
        </w:rPr>
        <w:t>Participation by socioeconomic group</w:t>
      </w:r>
    </w:p>
    <w:p w14:paraId="2E20411E" w14:textId="77777777" w:rsidR="00A74860" w:rsidRDefault="00A74860" w:rsidP="00A74860">
      <w:pPr>
        <w:rPr>
          <w:rFonts w:cstheme="minorHAnsi"/>
        </w:rPr>
      </w:pPr>
      <w:r>
        <w:rPr>
          <w:rFonts w:cstheme="minorHAnsi"/>
        </w:rPr>
        <w:t xml:space="preserve">A greater proportion (65%) of those who screened through the Alternative Pathway came from areas classified as low socioeconomic status, compared to 40% of those who screened through the usual pathway. Those from the lowest socioeconomic group (SEG) who received their kits through the Alternative Pathway screened at a significantly higher rate than those who received kits through the usual pathway (46.6% compared to 36.6%), as shown in Table 8.6. </w:t>
      </w:r>
    </w:p>
    <w:p w14:paraId="266ED4C5" w14:textId="77777777" w:rsidR="00A74860" w:rsidRDefault="00A74860" w:rsidP="00A74860">
      <w:pPr>
        <w:spacing w:before="0" w:after="0" w:line="240" w:lineRule="auto"/>
        <w:rPr>
          <w:rFonts w:cstheme="minorHAnsi"/>
          <w:b/>
          <w:bCs/>
        </w:rPr>
      </w:pPr>
      <w:r>
        <w:rPr>
          <w:rFonts w:cstheme="minorHAnsi"/>
          <w:b/>
          <w:bCs/>
        </w:rPr>
        <w:br w:type="page"/>
      </w:r>
    </w:p>
    <w:p w14:paraId="04E55E3D" w14:textId="77777777" w:rsidR="00A74860" w:rsidRDefault="00A74860" w:rsidP="00A74860">
      <w:pPr>
        <w:rPr>
          <w:b/>
          <w:bCs/>
          <w:sz w:val="20"/>
          <w:szCs w:val="21"/>
        </w:rPr>
      </w:pPr>
      <w:r>
        <w:rPr>
          <w:rFonts w:cstheme="minorHAnsi"/>
          <w:b/>
          <w:bCs/>
          <w:sz w:val="20"/>
          <w:szCs w:val="21"/>
        </w:rPr>
        <w:lastRenderedPageBreak/>
        <w:t>Table 8.6. Participation by socioeconomic status group (SEG) quintile, usual and Alternative pathways, 1 November 2018 to 31 October 2019.</w:t>
      </w:r>
    </w:p>
    <w:tbl>
      <w:tblPr>
        <w:tblW w:w="8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993"/>
        <w:gridCol w:w="1135"/>
        <w:gridCol w:w="1135"/>
        <w:gridCol w:w="283"/>
        <w:gridCol w:w="992"/>
        <w:gridCol w:w="993"/>
        <w:gridCol w:w="1276"/>
        <w:gridCol w:w="993"/>
      </w:tblGrid>
      <w:tr w:rsidR="00A74860" w14:paraId="4FD96ABE" w14:textId="77777777" w:rsidTr="00A74860">
        <w:trPr>
          <w:trHeight w:val="300"/>
        </w:trPr>
        <w:tc>
          <w:tcPr>
            <w:tcW w:w="1139" w:type="dxa"/>
            <w:tcBorders>
              <w:top w:val="nil"/>
              <w:left w:val="nil"/>
              <w:bottom w:val="single" w:sz="4" w:space="0" w:color="auto"/>
              <w:right w:val="nil"/>
            </w:tcBorders>
          </w:tcPr>
          <w:p w14:paraId="6E5D0760" w14:textId="77777777" w:rsidR="00A74860" w:rsidRDefault="00A74860">
            <w:pPr>
              <w:spacing w:before="0" w:after="0" w:line="240" w:lineRule="auto"/>
              <w:jc w:val="center"/>
              <w:rPr>
                <w:rFonts w:eastAsia="Times New Roman" w:cstheme="minorHAnsi"/>
                <w:b/>
                <w:bCs/>
                <w:color w:val="000000"/>
                <w:sz w:val="18"/>
                <w:szCs w:val="18"/>
                <w:lang w:eastAsia="en-US"/>
              </w:rPr>
            </w:pPr>
          </w:p>
        </w:tc>
        <w:tc>
          <w:tcPr>
            <w:tcW w:w="3261" w:type="dxa"/>
            <w:gridSpan w:val="3"/>
            <w:tcBorders>
              <w:top w:val="nil"/>
              <w:left w:val="nil"/>
              <w:bottom w:val="single" w:sz="4" w:space="0" w:color="auto"/>
              <w:right w:val="nil"/>
            </w:tcBorders>
            <w:hideMark/>
          </w:tcPr>
          <w:p w14:paraId="01F0D714"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Usual pathway</w:t>
            </w:r>
          </w:p>
        </w:tc>
        <w:tc>
          <w:tcPr>
            <w:tcW w:w="3543" w:type="dxa"/>
            <w:gridSpan w:val="4"/>
            <w:tcBorders>
              <w:top w:val="nil"/>
              <w:left w:val="nil"/>
              <w:bottom w:val="single" w:sz="4" w:space="0" w:color="auto"/>
              <w:right w:val="nil"/>
            </w:tcBorders>
            <w:hideMark/>
          </w:tcPr>
          <w:p w14:paraId="0F77CEA5"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Alternative Pathway</w:t>
            </w:r>
          </w:p>
        </w:tc>
        <w:tc>
          <w:tcPr>
            <w:tcW w:w="993" w:type="dxa"/>
            <w:tcBorders>
              <w:top w:val="nil"/>
              <w:left w:val="nil"/>
              <w:bottom w:val="single" w:sz="4" w:space="0" w:color="auto"/>
              <w:right w:val="nil"/>
            </w:tcBorders>
          </w:tcPr>
          <w:p w14:paraId="023F4226" w14:textId="77777777" w:rsidR="00A74860" w:rsidRDefault="00A74860">
            <w:pPr>
              <w:spacing w:before="0" w:after="0" w:line="240" w:lineRule="auto"/>
              <w:jc w:val="center"/>
              <w:rPr>
                <w:rFonts w:eastAsia="Times New Roman" w:cstheme="minorHAnsi"/>
                <w:b/>
                <w:bCs/>
                <w:color w:val="000000"/>
                <w:sz w:val="18"/>
                <w:szCs w:val="18"/>
                <w:lang w:eastAsia="en-US"/>
              </w:rPr>
            </w:pPr>
          </w:p>
        </w:tc>
      </w:tr>
      <w:tr w:rsidR="00A74860" w14:paraId="44162EF6" w14:textId="77777777" w:rsidTr="00A74860">
        <w:trPr>
          <w:trHeight w:val="300"/>
        </w:trPr>
        <w:tc>
          <w:tcPr>
            <w:tcW w:w="1139" w:type="dxa"/>
            <w:tcBorders>
              <w:top w:val="nil"/>
              <w:left w:val="nil"/>
              <w:bottom w:val="single" w:sz="4" w:space="0" w:color="auto"/>
              <w:right w:val="nil"/>
            </w:tcBorders>
            <w:hideMark/>
          </w:tcPr>
          <w:p w14:paraId="62E0EB0B"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SEG quintile</w:t>
            </w:r>
          </w:p>
        </w:tc>
        <w:tc>
          <w:tcPr>
            <w:tcW w:w="993" w:type="dxa"/>
            <w:tcBorders>
              <w:top w:val="nil"/>
              <w:left w:val="nil"/>
              <w:bottom w:val="single" w:sz="4" w:space="0" w:color="auto"/>
              <w:right w:val="nil"/>
            </w:tcBorders>
            <w:hideMark/>
          </w:tcPr>
          <w:p w14:paraId="69A5E4AD"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 returned</w:t>
            </w:r>
          </w:p>
        </w:tc>
        <w:tc>
          <w:tcPr>
            <w:tcW w:w="1134" w:type="dxa"/>
            <w:tcBorders>
              <w:top w:val="nil"/>
              <w:left w:val="nil"/>
              <w:bottom w:val="single" w:sz="4" w:space="0" w:color="auto"/>
              <w:right w:val="nil"/>
            </w:tcBorders>
            <w:hideMark/>
          </w:tcPr>
          <w:p w14:paraId="1C42BF54"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 given out</w:t>
            </w:r>
          </w:p>
        </w:tc>
        <w:tc>
          <w:tcPr>
            <w:tcW w:w="1417" w:type="dxa"/>
            <w:gridSpan w:val="2"/>
            <w:tcBorders>
              <w:top w:val="nil"/>
              <w:left w:val="nil"/>
              <w:bottom w:val="single" w:sz="4" w:space="0" w:color="auto"/>
              <w:right w:val="nil"/>
            </w:tcBorders>
            <w:shd w:val="clear" w:color="auto" w:fill="D9D9D9" w:themeFill="background1" w:themeFillShade="D9"/>
            <w:hideMark/>
          </w:tcPr>
          <w:p w14:paraId="47B2C45E"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Participation (%)</w:t>
            </w:r>
          </w:p>
        </w:tc>
        <w:tc>
          <w:tcPr>
            <w:tcW w:w="992" w:type="dxa"/>
            <w:tcBorders>
              <w:top w:val="nil"/>
              <w:left w:val="nil"/>
              <w:bottom w:val="single" w:sz="4" w:space="0" w:color="auto"/>
              <w:right w:val="nil"/>
            </w:tcBorders>
            <w:hideMark/>
          </w:tcPr>
          <w:p w14:paraId="30243599"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 returned</w:t>
            </w:r>
          </w:p>
        </w:tc>
        <w:tc>
          <w:tcPr>
            <w:tcW w:w="993" w:type="dxa"/>
            <w:tcBorders>
              <w:top w:val="nil"/>
              <w:left w:val="nil"/>
              <w:bottom w:val="single" w:sz="4" w:space="0" w:color="auto"/>
              <w:right w:val="nil"/>
            </w:tcBorders>
            <w:hideMark/>
          </w:tcPr>
          <w:p w14:paraId="7828F430"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Kits given out</w:t>
            </w:r>
          </w:p>
        </w:tc>
        <w:tc>
          <w:tcPr>
            <w:tcW w:w="1275" w:type="dxa"/>
            <w:tcBorders>
              <w:top w:val="nil"/>
              <w:left w:val="nil"/>
              <w:bottom w:val="single" w:sz="4" w:space="0" w:color="auto"/>
              <w:right w:val="nil"/>
            </w:tcBorders>
            <w:shd w:val="clear" w:color="auto" w:fill="D9D9D9" w:themeFill="background1" w:themeFillShade="D9"/>
            <w:hideMark/>
          </w:tcPr>
          <w:p w14:paraId="562CCBD3"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Participation (%)</w:t>
            </w:r>
          </w:p>
        </w:tc>
        <w:tc>
          <w:tcPr>
            <w:tcW w:w="993" w:type="dxa"/>
            <w:tcBorders>
              <w:top w:val="nil"/>
              <w:left w:val="nil"/>
              <w:bottom w:val="single" w:sz="4" w:space="0" w:color="auto"/>
              <w:right w:val="nil"/>
            </w:tcBorders>
            <w:hideMark/>
          </w:tcPr>
          <w:p w14:paraId="0F943732" w14:textId="77777777" w:rsidR="00A74860" w:rsidRDefault="00A74860">
            <w:pPr>
              <w:spacing w:before="0" w:after="0" w:line="240" w:lineRule="auto"/>
              <w:jc w:val="center"/>
              <w:rPr>
                <w:rFonts w:eastAsia="Times New Roman" w:cstheme="minorHAnsi"/>
                <w:b/>
                <w:bCs/>
                <w:color w:val="000000"/>
                <w:sz w:val="18"/>
                <w:szCs w:val="18"/>
                <w:lang w:eastAsia="en-US"/>
              </w:rPr>
            </w:pPr>
            <w:r>
              <w:rPr>
                <w:rFonts w:eastAsia="Times New Roman" w:cstheme="minorHAnsi"/>
                <w:b/>
                <w:bCs/>
                <w:color w:val="000000"/>
                <w:sz w:val="18"/>
                <w:szCs w:val="18"/>
                <w:lang w:eastAsia="en-US"/>
              </w:rPr>
              <w:t>p value</w:t>
            </w:r>
          </w:p>
        </w:tc>
      </w:tr>
      <w:tr w:rsidR="00A74860" w14:paraId="591D43A4" w14:textId="77777777" w:rsidTr="00A74860">
        <w:trPr>
          <w:trHeight w:val="300"/>
        </w:trPr>
        <w:tc>
          <w:tcPr>
            <w:tcW w:w="1139" w:type="dxa"/>
            <w:tcBorders>
              <w:top w:val="single" w:sz="4" w:space="0" w:color="auto"/>
              <w:left w:val="nil"/>
              <w:bottom w:val="nil"/>
              <w:right w:val="single" w:sz="4" w:space="0" w:color="auto"/>
            </w:tcBorders>
            <w:hideMark/>
          </w:tcPr>
          <w:p w14:paraId="22147D3E" w14:textId="77777777" w:rsidR="00A74860" w:rsidRDefault="00A74860">
            <w:pPr>
              <w:spacing w:before="80" w:after="80" w:line="240" w:lineRule="auto"/>
              <w:rPr>
                <w:rFonts w:eastAsia="Times New Roman" w:cstheme="minorHAnsi"/>
                <w:color w:val="000000"/>
                <w:sz w:val="18"/>
                <w:szCs w:val="18"/>
                <w:lang w:eastAsia="en-US"/>
              </w:rPr>
            </w:pPr>
            <w:r>
              <w:rPr>
                <w:rFonts w:cstheme="minorHAnsi"/>
                <w:color w:val="000000"/>
                <w:sz w:val="18"/>
                <w:szCs w:val="18"/>
                <w:lang w:eastAsia="en-US"/>
              </w:rPr>
              <w:t>1 (lowest)</w:t>
            </w:r>
          </w:p>
        </w:tc>
        <w:tc>
          <w:tcPr>
            <w:tcW w:w="993" w:type="dxa"/>
            <w:tcBorders>
              <w:top w:val="single" w:sz="4" w:space="0" w:color="auto"/>
              <w:left w:val="nil"/>
              <w:bottom w:val="nil"/>
              <w:right w:val="nil"/>
            </w:tcBorders>
            <w:vAlign w:val="center"/>
            <w:hideMark/>
          </w:tcPr>
          <w:p w14:paraId="07158041"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220,792</w:t>
            </w:r>
          </w:p>
        </w:tc>
        <w:tc>
          <w:tcPr>
            <w:tcW w:w="1134" w:type="dxa"/>
            <w:tcBorders>
              <w:top w:val="single" w:sz="4" w:space="0" w:color="auto"/>
              <w:left w:val="nil"/>
              <w:bottom w:val="nil"/>
              <w:right w:val="nil"/>
            </w:tcBorders>
            <w:vAlign w:val="center"/>
            <w:hideMark/>
          </w:tcPr>
          <w:p w14:paraId="5EE5F116"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602,536</w:t>
            </w:r>
          </w:p>
        </w:tc>
        <w:tc>
          <w:tcPr>
            <w:tcW w:w="1417" w:type="dxa"/>
            <w:gridSpan w:val="2"/>
            <w:tcBorders>
              <w:top w:val="single" w:sz="4" w:space="0" w:color="auto"/>
              <w:left w:val="nil"/>
              <w:bottom w:val="nil"/>
              <w:right w:val="nil"/>
            </w:tcBorders>
            <w:shd w:val="clear" w:color="auto" w:fill="D9D9D9" w:themeFill="background1" w:themeFillShade="D9"/>
            <w:hideMark/>
          </w:tcPr>
          <w:p w14:paraId="365ED107"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36.6</w:t>
            </w:r>
          </w:p>
        </w:tc>
        <w:tc>
          <w:tcPr>
            <w:tcW w:w="992" w:type="dxa"/>
            <w:tcBorders>
              <w:top w:val="single" w:sz="4" w:space="0" w:color="auto"/>
              <w:left w:val="nil"/>
              <w:bottom w:val="nil"/>
              <w:right w:val="nil"/>
            </w:tcBorders>
            <w:hideMark/>
          </w:tcPr>
          <w:p w14:paraId="6E85D2EE"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162</w:t>
            </w:r>
          </w:p>
        </w:tc>
        <w:tc>
          <w:tcPr>
            <w:tcW w:w="993" w:type="dxa"/>
            <w:tcBorders>
              <w:top w:val="single" w:sz="4" w:space="0" w:color="auto"/>
              <w:left w:val="nil"/>
              <w:bottom w:val="nil"/>
              <w:right w:val="nil"/>
            </w:tcBorders>
            <w:hideMark/>
          </w:tcPr>
          <w:p w14:paraId="1EF9E90D"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348</w:t>
            </w:r>
          </w:p>
        </w:tc>
        <w:tc>
          <w:tcPr>
            <w:tcW w:w="1275" w:type="dxa"/>
            <w:tcBorders>
              <w:top w:val="single" w:sz="4" w:space="0" w:color="auto"/>
              <w:left w:val="nil"/>
              <w:bottom w:val="nil"/>
              <w:right w:val="nil"/>
            </w:tcBorders>
            <w:shd w:val="clear" w:color="auto" w:fill="D9D9D9" w:themeFill="background1" w:themeFillShade="D9"/>
            <w:hideMark/>
          </w:tcPr>
          <w:p w14:paraId="746E6379"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46.6</w:t>
            </w:r>
          </w:p>
        </w:tc>
        <w:tc>
          <w:tcPr>
            <w:tcW w:w="993" w:type="dxa"/>
            <w:tcBorders>
              <w:top w:val="single" w:sz="4" w:space="0" w:color="auto"/>
              <w:left w:val="nil"/>
              <w:bottom w:val="nil"/>
              <w:right w:val="nil"/>
            </w:tcBorders>
            <w:noWrap/>
            <w:hideMark/>
          </w:tcPr>
          <w:p w14:paraId="49EB0B4C" w14:textId="77777777" w:rsidR="00A74860" w:rsidRDefault="00A74860">
            <w:pPr>
              <w:spacing w:before="80" w:after="80" w:line="240" w:lineRule="auto"/>
              <w:jc w:val="right"/>
              <w:rPr>
                <w:rFonts w:eastAsia="Times New Roman" w:cstheme="minorHAnsi"/>
                <w:b/>
                <w:bCs/>
                <w:color w:val="000000"/>
                <w:sz w:val="18"/>
                <w:szCs w:val="18"/>
                <w:lang w:eastAsia="en-US"/>
              </w:rPr>
            </w:pPr>
            <w:r>
              <w:rPr>
                <w:rFonts w:cstheme="minorHAnsi"/>
                <w:b/>
                <w:bCs/>
                <w:color w:val="000000"/>
                <w:sz w:val="18"/>
                <w:szCs w:val="18"/>
                <w:lang w:eastAsia="en-US"/>
              </w:rPr>
              <w:t>&lt;0.001</w:t>
            </w:r>
          </w:p>
        </w:tc>
      </w:tr>
      <w:tr w:rsidR="00A74860" w14:paraId="09E6CE8C" w14:textId="77777777" w:rsidTr="00A74860">
        <w:trPr>
          <w:trHeight w:val="300"/>
        </w:trPr>
        <w:tc>
          <w:tcPr>
            <w:tcW w:w="1139" w:type="dxa"/>
            <w:tcBorders>
              <w:top w:val="nil"/>
              <w:left w:val="nil"/>
              <w:bottom w:val="nil"/>
              <w:right w:val="single" w:sz="4" w:space="0" w:color="auto"/>
            </w:tcBorders>
            <w:hideMark/>
          </w:tcPr>
          <w:p w14:paraId="52B8CD08" w14:textId="77777777" w:rsidR="00A74860" w:rsidRDefault="00A74860">
            <w:pPr>
              <w:spacing w:before="80" w:after="80" w:line="240" w:lineRule="auto"/>
              <w:rPr>
                <w:rFonts w:eastAsia="Times New Roman" w:cstheme="minorHAnsi"/>
                <w:color w:val="000000"/>
                <w:sz w:val="18"/>
                <w:szCs w:val="18"/>
                <w:lang w:eastAsia="en-US"/>
              </w:rPr>
            </w:pPr>
            <w:r>
              <w:rPr>
                <w:rFonts w:cstheme="minorHAnsi"/>
                <w:color w:val="000000"/>
                <w:sz w:val="18"/>
                <w:szCs w:val="18"/>
                <w:lang w:eastAsia="en-US"/>
              </w:rPr>
              <w:t>2</w:t>
            </w:r>
          </w:p>
        </w:tc>
        <w:tc>
          <w:tcPr>
            <w:tcW w:w="993" w:type="dxa"/>
            <w:tcBorders>
              <w:top w:val="nil"/>
              <w:left w:val="nil"/>
              <w:bottom w:val="nil"/>
              <w:right w:val="nil"/>
            </w:tcBorders>
            <w:vAlign w:val="center"/>
            <w:hideMark/>
          </w:tcPr>
          <w:p w14:paraId="169E9FAC"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238,721</w:t>
            </w:r>
          </w:p>
        </w:tc>
        <w:tc>
          <w:tcPr>
            <w:tcW w:w="1134" w:type="dxa"/>
            <w:tcBorders>
              <w:top w:val="nil"/>
              <w:left w:val="nil"/>
              <w:bottom w:val="nil"/>
              <w:right w:val="nil"/>
            </w:tcBorders>
            <w:vAlign w:val="center"/>
            <w:hideMark/>
          </w:tcPr>
          <w:p w14:paraId="5E60554F"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614,040</w:t>
            </w:r>
          </w:p>
        </w:tc>
        <w:tc>
          <w:tcPr>
            <w:tcW w:w="1417" w:type="dxa"/>
            <w:gridSpan w:val="2"/>
            <w:tcBorders>
              <w:top w:val="nil"/>
              <w:left w:val="nil"/>
              <w:bottom w:val="nil"/>
              <w:right w:val="nil"/>
            </w:tcBorders>
            <w:shd w:val="clear" w:color="auto" w:fill="D9D9D9" w:themeFill="background1" w:themeFillShade="D9"/>
            <w:hideMark/>
          </w:tcPr>
          <w:p w14:paraId="30B5B102"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38.9</w:t>
            </w:r>
          </w:p>
        </w:tc>
        <w:tc>
          <w:tcPr>
            <w:tcW w:w="992" w:type="dxa"/>
            <w:tcBorders>
              <w:top w:val="nil"/>
              <w:left w:val="nil"/>
              <w:bottom w:val="nil"/>
              <w:right w:val="nil"/>
            </w:tcBorders>
            <w:hideMark/>
          </w:tcPr>
          <w:p w14:paraId="4554767D"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90</w:t>
            </w:r>
          </w:p>
        </w:tc>
        <w:tc>
          <w:tcPr>
            <w:tcW w:w="993" w:type="dxa"/>
            <w:tcBorders>
              <w:top w:val="nil"/>
              <w:left w:val="nil"/>
              <w:bottom w:val="nil"/>
              <w:right w:val="nil"/>
            </w:tcBorders>
            <w:hideMark/>
          </w:tcPr>
          <w:p w14:paraId="54526E4E"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203</w:t>
            </w:r>
          </w:p>
        </w:tc>
        <w:tc>
          <w:tcPr>
            <w:tcW w:w="1275" w:type="dxa"/>
            <w:tcBorders>
              <w:top w:val="nil"/>
              <w:left w:val="nil"/>
              <w:bottom w:val="nil"/>
              <w:right w:val="nil"/>
            </w:tcBorders>
            <w:shd w:val="clear" w:color="auto" w:fill="D9D9D9" w:themeFill="background1" w:themeFillShade="D9"/>
            <w:hideMark/>
          </w:tcPr>
          <w:p w14:paraId="795E7874"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44.3</w:t>
            </w:r>
          </w:p>
        </w:tc>
        <w:tc>
          <w:tcPr>
            <w:tcW w:w="993" w:type="dxa"/>
            <w:tcBorders>
              <w:top w:val="nil"/>
              <w:left w:val="nil"/>
              <w:bottom w:val="nil"/>
              <w:right w:val="nil"/>
            </w:tcBorders>
            <w:noWrap/>
            <w:hideMark/>
          </w:tcPr>
          <w:p w14:paraId="383FFD57"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0.11</w:t>
            </w:r>
          </w:p>
        </w:tc>
      </w:tr>
      <w:tr w:rsidR="00A74860" w14:paraId="74B8F5CE" w14:textId="77777777" w:rsidTr="00A74860">
        <w:trPr>
          <w:trHeight w:val="300"/>
        </w:trPr>
        <w:tc>
          <w:tcPr>
            <w:tcW w:w="1139" w:type="dxa"/>
            <w:tcBorders>
              <w:top w:val="nil"/>
              <w:left w:val="nil"/>
              <w:bottom w:val="nil"/>
              <w:right w:val="single" w:sz="4" w:space="0" w:color="auto"/>
            </w:tcBorders>
            <w:vAlign w:val="bottom"/>
            <w:hideMark/>
          </w:tcPr>
          <w:p w14:paraId="768E7F76" w14:textId="77777777" w:rsidR="00A74860" w:rsidRDefault="00A74860">
            <w:pPr>
              <w:spacing w:before="80" w:after="80" w:line="240" w:lineRule="auto"/>
              <w:rPr>
                <w:rFonts w:eastAsia="Times New Roman" w:cstheme="minorHAnsi"/>
                <w:color w:val="000000"/>
                <w:sz w:val="18"/>
                <w:szCs w:val="18"/>
                <w:lang w:eastAsia="en-US"/>
              </w:rPr>
            </w:pPr>
            <w:r>
              <w:rPr>
                <w:rFonts w:cstheme="minorHAnsi"/>
                <w:color w:val="000000"/>
                <w:sz w:val="18"/>
                <w:szCs w:val="18"/>
                <w:lang w:eastAsia="en-US"/>
              </w:rPr>
              <w:t>3</w:t>
            </w:r>
          </w:p>
        </w:tc>
        <w:tc>
          <w:tcPr>
            <w:tcW w:w="993" w:type="dxa"/>
            <w:tcBorders>
              <w:top w:val="nil"/>
              <w:left w:val="nil"/>
              <w:bottom w:val="nil"/>
              <w:right w:val="nil"/>
            </w:tcBorders>
            <w:vAlign w:val="center"/>
            <w:hideMark/>
          </w:tcPr>
          <w:p w14:paraId="53BCD152" w14:textId="77777777" w:rsidR="00A74860" w:rsidRDefault="00A74860">
            <w:pPr>
              <w:spacing w:before="80" w:after="80" w:line="240" w:lineRule="auto"/>
              <w:jc w:val="right"/>
              <w:rPr>
                <w:rFonts w:eastAsia="Times New Roman" w:cstheme="minorHAnsi"/>
                <w:i/>
                <w:iCs/>
                <w:color w:val="000000"/>
                <w:sz w:val="18"/>
                <w:szCs w:val="18"/>
                <w:lang w:eastAsia="en-US"/>
              </w:rPr>
            </w:pPr>
            <w:r>
              <w:rPr>
                <w:rFonts w:cstheme="minorHAnsi"/>
                <w:color w:val="000000"/>
                <w:sz w:val="18"/>
                <w:szCs w:val="18"/>
                <w:lang w:eastAsia="en-US"/>
              </w:rPr>
              <w:t>219,960</w:t>
            </w:r>
          </w:p>
        </w:tc>
        <w:tc>
          <w:tcPr>
            <w:tcW w:w="1134" w:type="dxa"/>
            <w:tcBorders>
              <w:top w:val="nil"/>
              <w:left w:val="nil"/>
              <w:bottom w:val="nil"/>
              <w:right w:val="nil"/>
            </w:tcBorders>
            <w:vAlign w:val="center"/>
            <w:hideMark/>
          </w:tcPr>
          <w:p w14:paraId="0DB70F95" w14:textId="77777777" w:rsidR="00A74860" w:rsidRDefault="00A74860">
            <w:pPr>
              <w:spacing w:before="80" w:after="80" w:line="240" w:lineRule="auto"/>
              <w:jc w:val="right"/>
              <w:rPr>
                <w:rFonts w:eastAsia="Times New Roman" w:cstheme="minorHAnsi"/>
                <w:i/>
                <w:iCs/>
                <w:color w:val="000000"/>
                <w:sz w:val="18"/>
                <w:szCs w:val="18"/>
                <w:lang w:eastAsia="en-US"/>
              </w:rPr>
            </w:pPr>
            <w:r>
              <w:rPr>
                <w:rFonts w:cstheme="minorHAnsi"/>
                <w:color w:val="000000"/>
                <w:sz w:val="18"/>
                <w:szCs w:val="18"/>
                <w:lang w:eastAsia="en-US"/>
              </w:rPr>
              <w:t>569,889</w:t>
            </w:r>
          </w:p>
        </w:tc>
        <w:tc>
          <w:tcPr>
            <w:tcW w:w="1417" w:type="dxa"/>
            <w:gridSpan w:val="2"/>
            <w:tcBorders>
              <w:top w:val="nil"/>
              <w:left w:val="nil"/>
              <w:bottom w:val="nil"/>
              <w:right w:val="nil"/>
            </w:tcBorders>
            <w:shd w:val="clear" w:color="auto" w:fill="D9D9D9" w:themeFill="background1" w:themeFillShade="D9"/>
            <w:hideMark/>
          </w:tcPr>
          <w:p w14:paraId="42DD83F9" w14:textId="77777777" w:rsidR="00A74860" w:rsidRDefault="00A74860">
            <w:pPr>
              <w:spacing w:before="80" w:after="80" w:line="240" w:lineRule="auto"/>
              <w:jc w:val="center"/>
              <w:rPr>
                <w:rFonts w:eastAsia="Times New Roman" w:cstheme="minorHAnsi"/>
                <w:i/>
                <w:iCs/>
                <w:color w:val="000000"/>
                <w:sz w:val="18"/>
                <w:szCs w:val="18"/>
                <w:lang w:eastAsia="en-US"/>
              </w:rPr>
            </w:pPr>
            <w:r>
              <w:rPr>
                <w:rFonts w:cstheme="minorHAnsi"/>
                <w:color w:val="000000"/>
                <w:sz w:val="18"/>
                <w:szCs w:val="18"/>
                <w:lang w:eastAsia="en-US"/>
              </w:rPr>
              <w:t>38.6</w:t>
            </w:r>
          </w:p>
        </w:tc>
        <w:tc>
          <w:tcPr>
            <w:tcW w:w="992" w:type="dxa"/>
            <w:tcBorders>
              <w:top w:val="nil"/>
              <w:left w:val="nil"/>
              <w:bottom w:val="nil"/>
              <w:right w:val="nil"/>
            </w:tcBorders>
            <w:hideMark/>
          </w:tcPr>
          <w:p w14:paraId="471CADD1" w14:textId="77777777" w:rsidR="00A74860" w:rsidRDefault="00A74860">
            <w:pPr>
              <w:spacing w:before="80" w:after="80" w:line="240" w:lineRule="auto"/>
              <w:jc w:val="right"/>
              <w:rPr>
                <w:rFonts w:eastAsia="Times New Roman" w:cstheme="minorHAnsi"/>
                <w:i/>
                <w:iCs/>
                <w:color w:val="000000"/>
                <w:sz w:val="18"/>
                <w:szCs w:val="18"/>
                <w:lang w:eastAsia="en-US"/>
              </w:rPr>
            </w:pPr>
            <w:r>
              <w:rPr>
                <w:rFonts w:cstheme="minorHAnsi"/>
                <w:color w:val="000000"/>
                <w:sz w:val="18"/>
                <w:szCs w:val="18"/>
                <w:lang w:eastAsia="en-US"/>
              </w:rPr>
              <w:t>75</w:t>
            </w:r>
          </w:p>
        </w:tc>
        <w:tc>
          <w:tcPr>
            <w:tcW w:w="993" w:type="dxa"/>
            <w:tcBorders>
              <w:top w:val="nil"/>
              <w:left w:val="nil"/>
              <w:bottom w:val="nil"/>
              <w:right w:val="nil"/>
            </w:tcBorders>
            <w:hideMark/>
          </w:tcPr>
          <w:p w14:paraId="3244F3E8" w14:textId="77777777" w:rsidR="00A74860" w:rsidRDefault="00A74860">
            <w:pPr>
              <w:spacing w:before="80" w:after="80" w:line="240" w:lineRule="auto"/>
              <w:jc w:val="right"/>
              <w:rPr>
                <w:rFonts w:eastAsia="Times New Roman" w:cstheme="minorHAnsi"/>
                <w:i/>
                <w:iCs/>
                <w:color w:val="000000"/>
                <w:sz w:val="18"/>
                <w:szCs w:val="18"/>
                <w:lang w:eastAsia="en-US"/>
              </w:rPr>
            </w:pPr>
            <w:r>
              <w:rPr>
                <w:rFonts w:cstheme="minorHAnsi"/>
                <w:color w:val="000000"/>
                <w:sz w:val="18"/>
                <w:szCs w:val="18"/>
                <w:lang w:eastAsia="en-US"/>
              </w:rPr>
              <w:t>164</w:t>
            </w:r>
          </w:p>
        </w:tc>
        <w:tc>
          <w:tcPr>
            <w:tcW w:w="1275" w:type="dxa"/>
            <w:tcBorders>
              <w:top w:val="nil"/>
              <w:left w:val="nil"/>
              <w:bottom w:val="nil"/>
              <w:right w:val="nil"/>
            </w:tcBorders>
            <w:shd w:val="clear" w:color="auto" w:fill="D9D9D9" w:themeFill="background1" w:themeFillShade="D9"/>
            <w:hideMark/>
          </w:tcPr>
          <w:p w14:paraId="1A4DE1FA" w14:textId="77777777" w:rsidR="00A74860" w:rsidRDefault="00A74860">
            <w:pPr>
              <w:spacing w:before="80" w:after="80" w:line="240" w:lineRule="auto"/>
              <w:jc w:val="center"/>
              <w:rPr>
                <w:rFonts w:eastAsia="Times New Roman" w:cstheme="minorHAnsi"/>
                <w:i/>
                <w:iCs/>
                <w:color w:val="000000"/>
                <w:sz w:val="18"/>
                <w:szCs w:val="18"/>
                <w:lang w:eastAsia="en-US"/>
              </w:rPr>
            </w:pPr>
            <w:r>
              <w:rPr>
                <w:rFonts w:cstheme="minorHAnsi"/>
                <w:color w:val="000000"/>
                <w:sz w:val="18"/>
                <w:szCs w:val="18"/>
                <w:lang w:eastAsia="en-US"/>
              </w:rPr>
              <w:t>45.7</w:t>
            </w:r>
          </w:p>
        </w:tc>
        <w:tc>
          <w:tcPr>
            <w:tcW w:w="993" w:type="dxa"/>
            <w:tcBorders>
              <w:top w:val="nil"/>
              <w:left w:val="nil"/>
              <w:bottom w:val="nil"/>
              <w:right w:val="nil"/>
            </w:tcBorders>
            <w:noWrap/>
            <w:hideMark/>
          </w:tcPr>
          <w:p w14:paraId="38E2ED5E"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0.062</w:t>
            </w:r>
          </w:p>
        </w:tc>
      </w:tr>
      <w:tr w:rsidR="00A74860" w14:paraId="03D373D3" w14:textId="77777777" w:rsidTr="00A74860">
        <w:trPr>
          <w:trHeight w:val="300"/>
        </w:trPr>
        <w:tc>
          <w:tcPr>
            <w:tcW w:w="1139" w:type="dxa"/>
            <w:tcBorders>
              <w:top w:val="nil"/>
              <w:left w:val="nil"/>
              <w:bottom w:val="nil"/>
              <w:right w:val="single" w:sz="4" w:space="0" w:color="auto"/>
            </w:tcBorders>
            <w:vAlign w:val="bottom"/>
            <w:hideMark/>
          </w:tcPr>
          <w:p w14:paraId="76BAC4B0" w14:textId="77777777" w:rsidR="00A74860" w:rsidRDefault="00A74860">
            <w:pPr>
              <w:spacing w:before="80" w:after="80" w:line="240" w:lineRule="auto"/>
              <w:rPr>
                <w:rFonts w:eastAsia="Times New Roman" w:cstheme="minorHAnsi"/>
                <w:color w:val="000000"/>
                <w:sz w:val="18"/>
                <w:szCs w:val="18"/>
                <w:lang w:eastAsia="en-US"/>
              </w:rPr>
            </w:pPr>
            <w:r>
              <w:rPr>
                <w:rFonts w:cstheme="minorHAnsi"/>
                <w:color w:val="000000"/>
                <w:sz w:val="18"/>
                <w:szCs w:val="18"/>
                <w:lang w:eastAsia="en-US"/>
              </w:rPr>
              <w:t>4</w:t>
            </w:r>
          </w:p>
        </w:tc>
        <w:tc>
          <w:tcPr>
            <w:tcW w:w="993" w:type="dxa"/>
            <w:tcBorders>
              <w:top w:val="nil"/>
              <w:left w:val="nil"/>
              <w:bottom w:val="nil"/>
              <w:right w:val="nil"/>
            </w:tcBorders>
            <w:vAlign w:val="bottom"/>
            <w:hideMark/>
          </w:tcPr>
          <w:p w14:paraId="761880A8"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230,649</w:t>
            </w:r>
          </w:p>
        </w:tc>
        <w:tc>
          <w:tcPr>
            <w:tcW w:w="1134" w:type="dxa"/>
            <w:tcBorders>
              <w:top w:val="nil"/>
              <w:left w:val="nil"/>
              <w:bottom w:val="nil"/>
              <w:right w:val="nil"/>
            </w:tcBorders>
            <w:vAlign w:val="bottom"/>
            <w:hideMark/>
          </w:tcPr>
          <w:p w14:paraId="250C9C74"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575,157</w:t>
            </w:r>
          </w:p>
        </w:tc>
        <w:tc>
          <w:tcPr>
            <w:tcW w:w="1417" w:type="dxa"/>
            <w:gridSpan w:val="2"/>
            <w:tcBorders>
              <w:top w:val="nil"/>
              <w:left w:val="nil"/>
              <w:bottom w:val="nil"/>
              <w:right w:val="nil"/>
            </w:tcBorders>
            <w:shd w:val="clear" w:color="auto" w:fill="D9D9D9" w:themeFill="background1" w:themeFillShade="D9"/>
            <w:hideMark/>
          </w:tcPr>
          <w:p w14:paraId="6FDAC583"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40.1</w:t>
            </w:r>
          </w:p>
        </w:tc>
        <w:tc>
          <w:tcPr>
            <w:tcW w:w="992" w:type="dxa"/>
            <w:tcBorders>
              <w:top w:val="nil"/>
              <w:left w:val="nil"/>
              <w:bottom w:val="nil"/>
              <w:right w:val="nil"/>
            </w:tcBorders>
            <w:hideMark/>
          </w:tcPr>
          <w:p w14:paraId="36D81559"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45</w:t>
            </w:r>
          </w:p>
        </w:tc>
        <w:tc>
          <w:tcPr>
            <w:tcW w:w="993" w:type="dxa"/>
            <w:tcBorders>
              <w:top w:val="nil"/>
              <w:left w:val="nil"/>
              <w:bottom w:val="nil"/>
              <w:right w:val="nil"/>
            </w:tcBorders>
            <w:hideMark/>
          </w:tcPr>
          <w:p w14:paraId="1AB7BA65"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105</w:t>
            </w:r>
          </w:p>
        </w:tc>
        <w:tc>
          <w:tcPr>
            <w:tcW w:w="1275" w:type="dxa"/>
            <w:tcBorders>
              <w:top w:val="nil"/>
              <w:left w:val="nil"/>
              <w:bottom w:val="nil"/>
              <w:right w:val="nil"/>
            </w:tcBorders>
            <w:shd w:val="clear" w:color="auto" w:fill="D9D9D9" w:themeFill="background1" w:themeFillShade="D9"/>
            <w:hideMark/>
          </w:tcPr>
          <w:p w14:paraId="15767DF9"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42.9</w:t>
            </w:r>
          </w:p>
        </w:tc>
        <w:tc>
          <w:tcPr>
            <w:tcW w:w="993" w:type="dxa"/>
            <w:tcBorders>
              <w:top w:val="nil"/>
              <w:left w:val="nil"/>
              <w:bottom w:val="nil"/>
              <w:right w:val="nil"/>
            </w:tcBorders>
            <w:noWrap/>
            <w:hideMark/>
          </w:tcPr>
          <w:p w14:paraId="7DCB85A8"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0.54</w:t>
            </w:r>
          </w:p>
        </w:tc>
      </w:tr>
      <w:tr w:rsidR="00A74860" w14:paraId="533F3EB0" w14:textId="77777777" w:rsidTr="00A74860">
        <w:trPr>
          <w:trHeight w:val="300"/>
        </w:trPr>
        <w:tc>
          <w:tcPr>
            <w:tcW w:w="1139" w:type="dxa"/>
            <w:tcBorders>
              <w:top w:val="nil"/>
              <w:left w:val="nil"/>
              <w:bottom w:val="nil"/>
              <w:right w:val="single" w:sz="4" w:space="0" w:color="auto"/>
            </w:tcBorders>
            <w:vAlign w:val="bottom"/>
            <w:hideMark/>
          </w:tcPr>
          <w:p w14:paraId="620F0771" w14:textId="77777777" w:rsidR="00A74860" w:rsidRDefault="00A74860">
            <w:pPr>
              <w:spacing w:before="80" w:after="80" w:line="240" w:lineRule="auto"/>
              <w:rPr>
                <w:rFonts w:eastAsia="Times New Roman" w:cstheme="minorHAnsi"/>
                <w:color w:val="000000"/>
                <w:sz w:val="18"/>
                <w:szCs w:val="18"/>
                <w:lang w:eastAsia="en-US"/>
              </w:rPr>
            </w:pPr>
            <w:r>
              <w:rPr>
                <w:rFonts w:cstheme="minorHAnsi"/>
                <w:color w:val="000000"/>
                <w:sz w:val="18"/>
                <w:szCs w:val="18"/>
                <w:lang w:eastAsia="en-US"/>
              </w:rPr>
              <w:t>5 (highest)</w:t>
            </w:r>
          </w:p>
        </w:tc>
        <w:tc>
          <w:tcPr>
            <w:tcW w:w="993" w:type="dxa"/>
            <w:tcBorders>
              <w:top w:val="nil"/>
              <w:left w:val="nil"/>
              <w:bottom w:val="nil"/>
              <w:right w:val="nil"/>
            </w:tcBorders>
            <w:vAlign w:val="bottom"/>
            <w:hideMark/>
          </w:tcPr>
          <w:p w14:paraId="759D772E"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240,036</w:t>
            </w:r>
          </w:p>
        </w:tc>
        <w:tc>
          <w:tcPr>
            <w:tcW w:w="1134" w:type="dxa"/>
            <w:tcBorders>
              <w:top w:val="nil"/>
              <w:left w:val="nil"/>
              <w:bottom w:val="nil"/>
              <w:right w:val="nil"/>
            </w:tcBorders>
            <w:vAlign w:val="bottom"/>
            <w:hideMark/>
          </w:tcPr>
          <w:p w14:paraId="34F20697"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593,288</w:t>
            </w:r>
          </w:p>
        </w:tc>
        <w:tc>
          <w:tcPr>
            <w:tcW w:w="1417" w:type="dxa"/>
            <w:gridSpan w:val="2"/>
            <w:tcBorders>
              <w:top w:val="nil"/>
              <w:left w:val="nil"/>
              <w:bottom w:val="nil"/>
              <w:right w:val="nil"/>
            </w:tcBorders>
            <w:shd w:val="clear" w:color="auto" w:fill="D9D9D9" w:themeFill="background1" w:themeFillShade="D9"/>
            <w:hideMark/>
          </w:tcPr>
          <w:p w14:paraId="43F39178"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40.5</w:t>
            </w:r>
          </w:p>
        </w:tc>
        <w:tc>
          <w:tcPr>
            <w:tcW w:w="992" w:type="dxa"/>
            <w:tcBorders>
              <w:top w:val="nil"/>
              <w:left w:val="nil"/>
              <w:bottom w:val="nil"/>
              <w:right w:val="nil"/>
            </w:tcBorders>
            <w:hideMark/>
          </w:tcPr>
          <w:p w14:paraId="72206E6D"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14</w:t>
            </w:r>
          </w:p>
        </w:tc>
        <w:tc>
          <w:tcPr>
            <w:tcW w:w="993" w:type="dxa"/>
            <w:tcBorders>
              <w:top w:val="nil"/>
              <w:left w:val="nil"/>
              <w:bottom w:val="nil"/>
              <w:right w:val="nil"/>
            </w:tcBorders>
            <w:hideMark/>
          </w:tcPr>
          <w:p w14:paraId="61393086"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31</w:t>
            </w:r>
          </w:p>
        </w:tc>
        <w:tc>
          <w:tcPr>
            <w:tcW w:w="1275" w:type="dxa"/>
            <w:tcBorders>
              <w:top w:val="nil"/>
              <w:left w:val="nil"/>
              <w:bottom w:val="nil"/>
              <w:right w:val="nil"/>
            </w:tcBorders>
            <w:shd w:val="clear" w:color="auto" w:fill="D9D9D9" w:themeFill="background1" w:themeFillShade="D9"/>
            <w:hideMark/>
          </w:tcPr>
          <w:p w14:paraId="6A07784B" w14:textId="77777777" w:rsidR="00A74860" w:rsidRDefault="00A74860">
            <w:pPr>
              <w:spacing w:before="80" w:after="80" w:line="240" w:lineRule="auto"/>
              <w:jc w:val="center"/>
              <w:rPr>
                <w:rFonts w:eastAsia="Times New Roman" w:cstheme="minorHAnsi"/>
                <w:color w:val="000000"/>
                <w:sz w:val="18"/>
                <w:szCs w:val="18"/>
                <w:lang w:eastAsia="en-US"/>
              </w:rPr>
            </w:pPr>
            <w:r>
              <w:rPr>
                <w:rFonts w:cstheme="minorHAnsi"/>
                <w:color w:val="000000"/>
                <w:sz w:val="18"/>
                <w:szCs w:val="18"/>
                <w:lang w:eastAsia="en-US"/>
              </w:rPr>
              <w:t>45.2</w:t>
            </w:r>
          </w:p>
        </w:tc>
        <w:tc>
          <w:tcPr>
            <w:tcW w:w="993" w:type="dxa"/>
            <w:tcBorders>
              <w:top w:val="nil"/>
              <w:left w:val="nil"/>
              <w:bottom w:val="nil"/>
              <w:right w:val="nil"/>
            </w:tcBorders>
            <w:noWrap/>
            <w:hideMark/>
          </w:tcPr>
          <w:p w14:paraId="3B9EB980"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0.59</w:t>
            </w:r>
          </w:p>
        </w:tc>
      </w:tr>
      <w:tr w:rsidR="00A74860" w14:paraId="68DC50B6" w14:textId="77777777" w:rsidTr="00A74860">
        <w:trPr>
          <w:trHeight w:val="300"/>
        </w:trPr>
        <w:tc>
          <w:tcPr>
            <w:tcW w:w="1139" w:type="dxa"/>
            <w:tcBorders>
              <w:top w:val="nil"/>
              <w:left w:val="nil"/>
              <w:bottom w:val="single" w:sz="4" w:space="0" w:color="auto"/>
              <w:right w:val="single" w:sz="4" w:space="0" w:color="auto"/>
            </w:tcBorders>
            <w:vAlign w:val="bottom"/>
            <w:hideMark/>
          </w:tcPr>
          <w:p w14:paraId="3C54C1F3" w14:textId="77777777" w:rsidR="00A74860" w:rsidRDefault="00A74860">
            <w:pPr>
              <w:spacing w:before="80" w:after="80" w:line="240" w:lineRule="auto"/>
              <w:rPr>
                <w:rFonts w:eastAsia="Times New Roman" w:cstheme="minorHAnsi"/>
                <w:b/>
                <w:bCs/>
                <w:color w:val="000000"/>
                <w:sz w:val="18"/>
                <w:szCs w:val="18"/>
                <w:lang w:eastAsia="en-US"/>
              </w:rPr>
            </w:pPr>
            <w:r>
              <w:rPr>
                <w:rFonts w:cstheme="minorHAnsi"/>
                <w:color w:val="000000"/>
                <w:sz w:val="18"/>
                <w:szCs w:val="18"/>
                <w:lang w:eastAsia="en-US"/>
              </w:rPr>
              <w:t>Unknown</w:t>
            </w:r>
          </w:p>
        </w:tc>
        <w:tc>
          <w:tcPr>
            <w:tcW w:w="993" w:type="dxa"/>
            <w:tcBorders>
              <w:top w:val="nil"/>
              <w:left w:val="nil"/>
              <w:bottom w:val="single" w:sz="4" w:space="0" w:color="auto"/>
              <w:right w:val="nil"/>
            </w:tcBorders>
            <w:vAlign w:val="bottom"/>
            <w:hideMark/>
          </w:tcPr>
          <w:p w14:paraId="1AA16338" w14:textId="77777777" w:rsidR="00A74860" w:rsidRDefault="00A74860">
            <w:pPr>
              <w:spacing w:before="80" w:after="80" w:line="240" w:lineRule="auto"/>
              <w:jc w:val="right"/>
              <w:rPr>
                <w:rFonts w:eastAsia="Times New Roman" w:cstheme="minorHAnsi"/>
                <w:b/>
                <w:bCs/>
                <w:color w:val="000000"/>
                <w:sz w:val="18"/>
                <w:szCs w:val="18"/>
                <w:lang w:eastAsia="en-US"/>
              </w:rPr>
            </w:pPr>
            <w:r>
              <w:rPr>
                <w:rFonts w:cstheme="minorHAnsi"/>
                <w:color w:val="000000"/>
                <w:sz w:val="18"/>
                <w:szCs w:val="18"/>
                <w:lang w:eastAsia="en-US"/>
              </w:rPr>
              <w:t>14,158</w:t>
            </w:r>
          </w:p>
        </w:tc>
        <w:tc>
          <w:tcPr>
            <w:tcW w:w="1134" w:type="dxa"/>
            <w:tcBorders>
              <w:top w:val="nil"/>
              <w:left w:val="nil"/>
              <w:bottom w:val="single" w:sz="4" w:space="0" w:color="auto"/>
              <w:right w:val="nil"/>
            </w:tcBorders>
            <w:vAlign w:val="bottom"/>
            <w:hideMark/>
          </w:tcPr>
          <w:p w14:paraId="3C6809F3" w14:textId="77777777" w:rsidR="00A74860" w:rsidRDefault="00A74860">
            <w:pPr>
              <w:spacing w:before="80" w:after="80" w:line="240" w:lineRule="auto"/>
              <w:jc w:val="right"/>
              <w:rPr>
                <w:rFonts w:eastAsia="Times New Roman" w:cstheme="minorHAnsi"/>
                <w:b/>
                <w:bCs/>
                <w:color w:val="000000"/>
                <w:sz w:val="18"/>
                <w:szCs w:val="18"/>
                <w:lang w:eastAsia="en-US"/>
              </w:rPr>
            </w:pPr>
            <w:r>
              <w:rPr>
                <w:rFonts w:cstheme="minorHAnsi"/>
                <w:color w:val="000000"/>
                <w:sz w:val="18"/>
                <w:szCs w:val="18"/>
                <w:lang w:eastAsia="en-US"/>
              </w:rPr>
              <w:t>39,409</w:t>
            </w:r>
          </w:p>
        </w:tc>
        <w:tc>
          <w:tcPr>
            <w:tcW w:w="1417" w:type="dxa"/>
            <w:gridSpan w:val="2"/>
            <w:tcBorders>
              <w:top w:val="nil"/>
              <w:left w:val="nil"/>
              <w:bottom w:val="single" w:sz="4" w:space="0" w:color="auto"/>
              <w:right w:val="nil"/>
            </w:tcBorders>
            <w:shd w:val="clear" w:color="auto" w:fill="D9D9D9" w:themeFill="background1" w:themeFillShade="D9"/>
            <w:hideMark/>
          </w:tcPr>
          <w:p w14:paraId="7E52885D" w14:textId="77777777" w:rsidR="00A74860" w:rsidRDefault="00A74860">
            <w:pPr>
              <w:spacing w:before="80" w:after="80" w:line="240" w:lineRule="auto"/>
              <w:jc w:val="center"/>
              <w:rPr>
                <w:rFonts w:eastAsia="Times New Roman" w:cstheme="minorHAnsi"/>
                <w:b/>
                <w:bCs/>
                <w:color w:val="000000"/>
                <w:sz w:val="18"/>
                <w:szCs w:val="18"/>
                <w:lang w:eastAsia="en-US"/>
              </w:rPr>
            </w:pPr>
            <w:r>
              <w:rPr>
                <w:rFonts w:cstheme="minorHAnsi"/>
                <w:color w:val="000000"/>
                <w:sz w:val="18"/>
                <w:szCs w:val="18"/>
                <w:lang w:eastAsia="en-US"/>
              </w:rPr>
              <w:t>35.9</w:t>
            </w:r>
          </w:p>
        </w:tc>
        <w:tc>
          <w:tcPr>
            <w:tcW w:w="992" w:type="dxa"/>
            <w:tcBorders>
              <w:top w:val="nil"/>
              <w:left w:val="nil"/>
              <w:bottom w:val="single" w:sz="4" w:space="0" w:color="auto"/>
              <w:right w:val="nil"/>
            </w:tcBorders>
            <w:hideMark/>
          </w:tcPr>
          <w:p w14:paraId="3F4656DD" w14:textId="77777777" w:rsidR="00A74860" w:rsidRDefault="00A74860">
            <w:pPr>
              <w:spacing w:before="80" w:after="80" w:line="240" w:lineRule="auto"/>
              <w:jc w:val="right"/>
              <w:rPr>
                <w:rFonts w:eastAsia="Times New Roman" w:cstheme="minorHAnsi"/>
                <w:b/>
                <w:bCs/>
                <w:color w:val="000000"/>
                <w:sz w:val="18"/>
                <w:szCs w:val="18"/>
                <w:lang w:eastAsia="en-US"/>
              </w:rPr>
            </w:pPr>
            <w:r>
              <w:rPr>
                <w:rFonts w:cstheme="minorHAnsi"/>
                <w:color w:val="000000"/>
                <w:sz w:val="18"/>
                <w:szCs w:val="18"/>
                <w:lang w:eastAsia="en-US"/>
              </w:rPr>
              <w:t>4</w:t>
            </w:r>
          </w:p>
        </w:tc>
        <w:tc>
          <w:tcPr>
            <w:tcW w:w="993" w:type="dxa"/>
            <w:tcBorders>
              <w:top w:val="nil"/>
              <w:left w:val="nil"/>
              <w:bottom w:val="single" w:sz="4" w:space="0" w:color="auto"/>
              <w:right w:val="nil"/>
            </w:tcBorders>
            <w:hideMark/>
          </w:tcPr>
          <w:p w14:paraId="087F3887" w14:textId="77777777" w:rsidR="00A74860" w:rsidRDefault="00A74860">
            <w:pPr>
              <w:spacing w:before="80" w:after="80" w:line="240" w:lineRule="auto"/>
              <w:jc w:val="right"/>
              <w:rPr>
                <w:rFonts w:eastAsia="Times New Roman" w:cstheme="minorHAnsi"/>
                <w:b/>
                <w:bCs/>
                <w:color w:val="000000"/>
                <w:sz w:val="18"/>
                <w:szCs w:val="18"/>
                <w:lang w:eastAsia="en-US"/>
              </w:rPr>
            </w:pPr>
            <w:r>
              <w:rPr>
                <w:rFonts w:cstheme="minorHAnsi"/>
                <w:color w:val="000000"/>
                <w:sz w:val="18"/>
                <w:szCs w:val="18"/>
                <w:lang w:eastAsia="en-US"/>
              </w:rPr>
              <w:t>14</w:t>
            </w:r>
          </w:p>
        </w:tc>
        <w:tc>
          <w:tcPr>
            <w:tcW w:w="1275" w:type="dxa"/>
            <w:tcBorders>
              <w:top w:val="nil"/>
              <w:left w:val="nil"/>
              <w:bottom w:val="single" w:sz="4" w:space="0" w:color="auto"/>
              <w:right w:val="nil"/>
            </w:tcBorders>
            <w:shd w:val="clear" w:color="auto" w:fill="D9D9D9" w:themeFill="background1" w:themeFillShade="D9"/>
            <w:hideMark/>
          </w:tcPr>
          <w:p w14:paraId="13A83729" w14:textId="77777777" w:rsidR="00A74860" w:rsidRDefault="00A74860">
            <w:pPr>
              <w:spacing w:before="80" w:after="80" w:line="240" w:lineRule="auto"/>
              <w:jc w:val="center"/>
              <w:rPr>
                <w:rFonts w:eastAsia="Times New Roman" w:cstheme="minorHAnsi"/>
                <w:b/>
                <w:bCs/>
                <w:color w:val="000000"/>
                <w:sz w:val="18"/>
                <w:szCs w:val="18"/>
                <w:lang w:eastAsia="en-US"/>
              </w:rPr>
            </w:pPr>
            <w:r>
              <w:rPr>
                <w:rFonts w:cstheme="minorHAnsi"/>
                <w:color w:val="000000"/>
                <w:sz w:val="18"/>
                <w:szCs w:val="18"/>
                <w:lang w:eastAsia="en-US"/>
              </w:rPr>
              <w:t>28.6</w:t>
            </w:r>
          </w:p>
        </w:tc>
        <w:tc>
          <w:tcPr>
            <w:tcW w:w="993" w:type="dxa"/>
            <w:tcBorders>
              <w:top w:val="nil"/>
              <w:left w:val="nil"/>
              <w:bottom w:val="single" w:sz="4" w:space="0" w:color="auto"/>
              <w:right w:val="nil"/>
            </w:tcBorders>
            <w:noWrap/>
            <w:hideMark/>
          </w:tcPr>
          <w:p w14:paraId="3758E880" w14:textId="77777777" w:rsidR="00A74860" w:rsidRDefault="00A74860">
            <w:pPr>
              <w:spacing w:before="80" w:after="80" w:line="240" w:lineRule="auto"/>
              <w:jc w:val="right"/>
              <w:rPr>
                <w:rFonts w:eastAsia="Times New Roman" w:cstheme="minorHAnsi"/>
                <w:color w:val="000000"/>
                <w:sz w:val="18"/>
                <w:szCs w:val="18"/>
                <w:lang w:eastAsia="en-US"/>
              </w:rPr>
            </w:pPr>
            <w:r>
              <w:rPr>
                <w:rFonts w:cstheme="minorHAnsi"/>
                <w:color w:val="000000"/>
                <w:sz w:val="18"/>
                <w:szCs w:val="18"/>
                <w:lang w:eastAsia="en-US"/>
              </w:rPr>
              <w:t>0.57</w:t>
            </w:r>
          </w:p>
        </w:tc>
      </w:tr>
      <w:tr w:rsidR="00A74860" w14:paraId="78AD3588" w14:textId="77777777" w:rsidTr="00A74860">
        <w:trPr>
          <w:trHeight w:val="394"/>
        </w:trPr>
        <w:tc>
          <w:tcPr>
            <w:tcW w:w="1139" w:type="dxa"/>
            <w:tcBorders>
              <w:top w:val="single" w:sz="4" w:space="0" w:color="auto"/>
              <w:left w:val="nil"/>
              <w:bottom w:val="single" w:sz="4" w:space="0" w:color="auto"/>
              <w:right w:val="single" w:sz="4" w:space="0" w:color="auto"/>
            </w:tcBorders>
            <w:hideMark/>
          </w:tcPr>
          <w:p w14:paraId="67114AA1" w14:textId="77777777" w:rsidR="00A74860" w:rsidRDefault="00A74860">
            <w:pPr>
              <w:spacing w:before="80" w:after="80" w:line="240" w:lineRule="auto"/>
              <w:rPr>
                <w:rFonts w:cstheme="minorHAnsi"/>
                <w:color w:val="000000"/>
                <w:sz w:val="18"/>
                <w:szCs w:val="18"/>
                <w:lang w:eastAsia="en-US"/>
              </w:rPr>
            </w:pPr>
            <w:r>
              <w:rPr>
                <w:rFonts w:cstheme="minorHAnsi"/>
                <w:color w:val="000000"/>
                <w:sz w:val="18"/>
                <w:szCs w:val="18"/>
                <w:lang w:eastAsia="en-US"/>
              </w:rPr>
              <w:t>Total</w:t>
            </w:r>
          </w:p>
        </w:tc>
        <w:tc>
          <w:tcPr>
            <w:tcW w:w="993" w:type="dxa"/>
            <w:tcBorders>
              <w:top w:val="single" w:sz="4" w:space="0" w:color="auto"/>
              <w:left w:val="nil"/>
              <w:bottom w:val="single" w:sz="4" w:space="0" w:color="auto"/>
              <w:right w:val="nil"/>
            </w:tcBorders>
            <w:hideMark/>
          </w:tcPr>
          <w:p w14:paraId="1D68EDA3" w14:textId="77777777" w:rsidR="00A74860" w:rsidRDefault="00A74860">
            <w:pPr>
              <w:spacing w:before="80" w:after="80" w:line="240" w:lineRule="auto"/>
              <w:jc w:val="right"/>
              <w:rPr>
                <w:rFonts w:cstheme="minorHAnsi"/>
                <w:color w:val="000000"/>
                <w:sz w:val="18"/>
                <w:szCs w:val="18"/>
                <w:lang w:eastAsia="en-US"/>
              </w:rPr>
            </w:pPr>
            <w:r>
              <w:rPr>
                <w:rFonts w:cstheme="minorHAnsi"/>
                <w:color w:val="000000"/>
                <w:sz w:val="18"/>
                <w:szCs w:val="18"/>
                <w:lang w:eastAsia="en-US"/>
              </w:rPr>
              <w:t>1,164,316</w:t>
            </w:r>
          </w:p>
        </w:tc>
        <w:tc>
          <w:tcPr>
            <w:tcW w:w="1134" w:type="dxa"/>
            <w:tcBorders>
              <w:top w:val="single" w:sz="4" w:space="0" w:color="auto"/>
              <w:left w:val="nil"/>
              <w:bottom w:val="single" w:sz="4" w:space="0" w:color="auto"/>
              <w:right w:val="nil"/>
            </w:tcBorders>
            <w:hideMark/>
          </w:tcPr>
          <w:p w14:paraId="5D715650" w14:textId="77777777" w:rsidR="00A74860" w:rsidRDefault="00A74860">
            <w:pPr>
              <w:spacing w:before="80" w:after="80" w:line="240" w:lineRule="auto"/>
              <w:jc w:val="right"/>
              <w:rPr>
                <w:rFonts w:cstheme="minorHAnsi"/>
                <w:color w:val="000000"/>
                <w:sz w:val="18"/>
                <w:szCs w:val="18"/>
                <w:lang w:eastAsia="en-US"/>
              </w:rPr>
            </w:pPr>
            <w:r>
              <w:rPr>
                <w:rFonts w:cstheme="minorHAnsi"/>
                <w:color w:val="000000"/>
                <w:sz w:val="18"/>
                <w:szCs w:val="18"/>
                <w:lang w:eastAsia="en-US"/>
              </w:rPr>
              <w:t>2,994,319</w:t>
            </w:r>
          </w:p>
        </w:tc>
        <w:tc>
          <w:tcPr>
            <w:tcW w:w="1417" w:type="dxa"/>
            <w:gridSpan w:val="2"/>
            <w:tcBorders>
              <w:top w:val="single" w:sz="4" w:space="0" w:color="auto"/>
              <w:left w:val="nil"/>
              <w:bottom w:val="single" w:sz="4" w:space="0" w:color="auto"/>
              <w:right w:val="nil"/>
            </w:tcBorders>
            <w:shd w:val="clear" w:color="auto" w:fill="D9D9D9" w:themeFill="background1" w:themeFillShade="D9"/>
            <w:hideMark/>
          </w:tcPr>
          <w:p w14:paraId="60091B92" w14:textId="77777777" w:rsidR="00A74860" w:rsidRDefault="00A74860">
            <w:pPr>
              <w:spacing w:before="80" w:after="80" w:line="240" w:lineRule="auto"/>
              <w:jc w:val="center"/>
              <w:rPr>
                <w:rFonts w:cstheme="minorHAnsi"/>
                <w:color w:val="000000"/>
                <w:sz w:val="18"/>
                <w:szCs w:val="18"/>
                <w:lang w:eastAsia="en-US"/>
              </w:rPr>
            </w:pPr>
            <w:r>
              <w:rPr>
                <w:rFonts w:cstheme="minorHAnsi"/>
                <w:color w:val="000000"/>
                <w:sz w:val="18"/>
                <w:szCs w:val="18"/>
                <w:lang w:eastAsia="en-US"/>
              </w:rPr>
              <w:t>38.9</w:t>
            </w:r>
          </w:p>
        </w:tc>
        <w:tc>
          <w:tcPr>
            <w:tcW w:w="992" w:type="dxa"/>
            <w:tcBorders>
              <w:top w:val="single" w:sz="4" w:space="0" w:color="auto"/>
              <w:left w:val="nil"/>
              <w:bottom w:val="single" w:sz="4" w:space="0" w:color="auto"/>
              <w:right w:val="nil"/>
            </w:tcBorders>
            <w:hideMark/>
          </w:tcPr>
          <w:p w14:paraId="58738814" w14:textId="77777777" w:rsidR="00A74860" w:rsidRDefault="00A74860">
            <w:pPr>
              <w:spacing w:before="80" w:after="80" w:line="240" w:lineRule="auto"/>
              <w:jc w:val="right"/>
              <w:rPr>
                <w:rFonts w:cstheme="minorHAnsi"/>
                <w:color w:val="000000"/>
                <w:sz w:val="18"/>
                <w:szCs w:val="18"/>
                <w:lang w:eastAsia="en-US"/>
              </w:rPr>
            </w:pPr>
            <w:r>
              <w:rPr>
                <w:rFonts w:cstheme="minorHAnsi"/>
                <w:color w:val="000000"/>
                <w:sz w:val="18"/>
                <w:szCs w:val="18"/>
                <w:lang w:eastAsia="en-US"/>
              </w:rPr>
              <w:fldChar w:fldCharType="begin"/>
            </w:r>
            <w:r>
              <w:rPr>
                <w:rFonts w:cstheme="minorHAnsi"/>
                <w:color w:val="000000"/>
                <w:sz w:val="18"/>
                <w:szCs w:val="18"/>
                <w:lang w:eastAsia="en-US"/>
              </w:rPr>
              <w:instrText xml:space="preserve"> =SUM(ABOVE) </w:instrText>
            </w:r>
            <w:r>
              <w:rPr>
                <w:rFonts w:cstheme="minorHAnsi"/>
                <w:color w:val="000000"/>
                <w:sz w:val="18"/>
                <w:szCs w:val="18"/>
                <w:lang w:eastAsia="en-US"/>
              </w:rPr>
              <w:fldChar w:fldCharType="separate"/>
            </w:r>
            <w:r>
              <w:rPr>
                <w:rFonts w:cstheme="minorHAnsi"/>
                <w:noProof/>
                <w:color w:val="000000"/>
                <w:sz w:val="18"/>
                <w:szCs w:val="18"/>
                <w:lang w:eastAsia="en-US"/>
              </w:rPr>
              <w:t>390</w:t>
            </w:r>
            <w:r>
              <w:rPr>
                <w:rFonts w:cstheme="minorHAnsi"/>
                <w:color w:val="000000"/>
                <w:sz w:val="18"/>
                <w:szCs w:val="18"/>
                <w:lang w:eastAsia="en-US"/>
              </w:rPr>
              <w:fldChar w:fldCharType="end"/>
            </w:r>
          </w:p>
        </w:tc>
        <w:tc>
          <w:tcPr>
            <w:tcW w:w="993" w:type="dxa"/>
            <w:tcBorders>
              <w:top w:val="single" w:sz="4" w:space="0" w:color="auto"/>
              <w:left w:val="nil"/>
              <w:bottom w:val="single" w:sz="4" w:space="0" w:color="auto"/>
              <w:right w:val="nil"/>
            </w:tcBorders>
            <w:hideMark/>
          </w:tcPr>
          <w:p w14:paraId="63385183" w14:textId="77777777" w:rsidR="00A74860" w:rsidRDefault="00A74860">
            <w:pPr>
              <w:spacing w:before="80" w:after="80" w:line="240" w:lineRule="auto"/>
              <w:jc w:val="right"/>
              <w:rPr>
                <w:rFonts w:cstheme="minorHAnsi"/>
                <w:color w:val="000000"/>
                <w:sz w:val="18"/>
                <w:szCs w:val="18"/>
                <w:lang w:eastAsia="en-US"/>
              </w:rPr>
            </w:pPr>
            <w:r>
              <w:rPr>
                <w:rFonts w:cstheme="minorHAnsi"/>
                <w:color w:val="000000"/>
                <w:sz w:val="18"/>
                <w:szCs w:val="18"/>
                <w:lang w:eastAsia="en-US"/>
              </w:rPr>
              <w:t>865</w:t>
            </w:r>
          </w:p>
        </w:tc>
        <w:tc>
          <w:tcPr>
            <w:tcW w:w="1275" w:type="dxa"/>
            <w:tcBorders>
              <w:top w:val="single" w:sz="4" w:space="0" w:color="auto"/>
              <w:left w:val="nil"/>
              <w:bottom w:val="single" w:sz="4" w:space="0" w:color="auto"/>
              <w:right w:val="nil"/>
            </w:tcBorders>
            <w:shd w:val="clear" w:color="auto" w:fill="D9D9D9" w:themeFill="background1" w:themeFillShade="D9"/>
            <w:hideMark/>
          </w:tcPr>
          <w:p w14:paraId="029BFE2A" w14:textId="77777777" w:rsidR="00A74860" w:rsidRDefault="00A74860">
            <w:pPr>
              <w:spacing w:before="80" w:after="80" w:line="240" w:lineRule="auto"/>
              <w:jc w:val="center"/>
              <w:rPr>
                <w:rFonts w:cstheme="minorHAnsi"/>
                <w:color w:val="000000"/>
                <w:sz w:val="18"/>
                <w:szCs w:val="18"/>
                <w:lang w:eastAsia="en-US"/>
              </w:rPr>
            </w:pPr>
            <w:r>
              <w:rPr>
                <w:rFonts w:cstheme="minorHAnsi"/>
                <w:color w:val="000000"/>
                <w:sz w:val="18"/>
                <w:szCs w:val="18"/>
                <w:lang w:eastAsia="en-US"/>
              </w:rPr>
              <w:t>45.1</w:t>
            </w:r>
          </w:p>
        </w:tc>
        <w:tc>
          <w:tcPr>
            <w:tcW w:w="993" w:type="dxa"/>
            <w:tcBorders>
              <w:top w:val="single" w:sz="4" w:space="0" w:color="auto"/>
              <w:left w:val="nil"/>
              <w:bottom w:val="single" w:sz="4" w:space="0" w:color="auto"/>
              <w:right w:val="nil"/>
            </w:tcBorders>
            <w:noWrap/>
            <w:hideMark/>
          </w:tcPr>
          <w:p w14:paraId="35723021" w14:textId="77777777" w:rsidR="00A74860" w:rsidRDefault="00A74860">
            <w:pPr>
              <w:spacing w:before="80" w:after="80" w:line="240" w:lineRule="auto"/>
              <w:jc w:val="right"/>
              <w:rPr>
                <w:rFonts w:cstheme="minorHAnsi"/>
                <w:b/>
                <w:bCs/>
                <w:color w:val="000000"/>
                <w:sz w:val="18"/>
                <w:szCs w:val="18"/>
                <w:lang w:eastAsia="en-US"/>
              </w:rPr>
            </w:pPr>
            <w:r>
              <w:rPr>
                <w:rFonts w:cstheme="minorHAnsi"/>
                <w:b/>
                <w:bCs/>
                <w:color w:val="000000"/>
                <w:sz w:val="18"/>
                <w:szCs w:val="18"/>
                <w:lang w:eastAsia="en-US"/>
              </w:rPr>
              <w:t>&lt;0.001</w:t>
            </w:r>
          </w:p>
        </w:tc>
      </w:tr>
    </w:tbl>
    <w:p w14:paraId="27EBA78E" w14:textId="77777777" w:rsidR="00A74860" w:rsidRDefault="00A74860" w:rsidP="00A74860">
      <w:pPr>
        <w:spacing w:before="0" w:after="0" w:line="360" w:lineRule="auto"/>
        <w:rPr>
          <w:rFonts w:cstheme="minorHAnsi"/>
          <w:sz w:val="18"/>
          <w:szCs w:val="18"/>
        </w:rPr>
      </w:pPr>
      <w:bookmarkStart w:id="236" w:name="_Toc44279116"/>
      <w:bookmarkStart w:id="237" w:name="_Toc44339233"/>
      <w:bookmarkStart w:id="238" w:name="_Toc44361598"/>
      <w:r>
        <w:rPr>
          <w:rFonts w:cstheme="minorHAnsi"/>
          <w:sz w:val="18"/>
          <w:szCs w:val="18"/>
        </w:rPr>
        <w:t>Notes</w:t>
      </w:r>
    </w:p>
    <w:p w14:paraId="1687C3E3" w14:textId="77777777" w:rsidR="00A74860" w:rsidRDefault="00A74860" w:rsidP="00A74860">
      <w:pPr>
        <w:spacing w:before="0" w:after="0" w:line="360" w:lineRule="auto"/>
        <w:rPr>
          <w:rFonts w:cstheme="minorHAnsi"/>
          <w:sz w:val="18"/>
          <w:szCs w:val="18"/>
        </w:rPr>
      </w:pPr>
      <w:r>
        <w:rPr>
          <w:rFonts w:cstheme="minorHAnsi"/>
          <w:sz w:val="18"/>
          <w:szCs w:val="18"/>
        </w:rPr>
        <w:t>1. Socioeconomic status group (SEG) quintiles determined by allocating invitee postcodes to national Index of relative socioeconomic disadvantage scores for 2016.</w:t>
      </w:r>
    </w:p>
    <w:p w14:paraId="71729203" w14:textId="77777777" w:rsidR="00A74860" w:rsidRDefault="00A74860" w:rsidP="00A74860">
      <w:pPr>
        <w:spacing w:before="0" w:after="0" w:line="360" w:lineRule="auto"/>
        <w:rPr>
          <w:rFonts w:cstheme="minorHAnsi"/>
          <w:sz w:val="18"/>
          <w:szCs w:val="18"/>
        </w:rPr>
      </w:pPr>
      <w:r>
        <w:rPr>
          <w:rFonts w:cstheme="minorHAnsi"/>
          <w:sz w:val="18"/>
          <w:szCs w:val="18"/>
        </w:rPr>
        <w:t>2. Kits given out and returned are reported for the period of the National Indigenous Bowel Screening Pilot, 1 November 2018 to 31 October 2019.</w:t>
      </w:r>
    </w:p>
    <w:p w14:paraId="53585FEB" w14:textId="77777777" w:rsidR="00A74860" w:rsidRDefault="00A74860" w:rsidP="00A74860">
      <w:pPr>
        <w:spacing w:before="0" w:after="0" w:line="360" w:lineRule="auto"/>
        <w:rPr>
          <w:rFonts w:eastAsia="Times New Roman" w:cstheme="minorHAnsi"/>
          <w:color w:val="000000"/>
          <w:sz w:val="18"/>
          <w:szCs w:val="18"/>
        </w:rPr>
      </w:pPr>
      <w:r>
        <w:rPr>
          <w:rFonts w:cstheme="minorHAnsi"/>
          <w:sz w:val="18"/>
          <w:szCs w:val="18"/>
        </w:rPr>
        <w:t xml:space="preserve">Source: AIHW analysis of NBCSP register data as at 31 October 2019 and </w:t>
      </w:r>
      <w:r>
        <w:rPr>
          <w:rFonts w:eastAsia="Times New Roman" w:cstheme="minorHAnsi"/>
          <w:color w:val="000000"/>
          <w:sz w:val="18"/>
          <w:szCs w:val="18"/>
        </w:rPr>
        <w:t>National Indigenous Bowel Screening Pilot data recorded by DHS.</w:t>
      </w:r>
    </w:p>
    <w:p w14:paraId="0064AAB1" w14:textId="77777777" w:rsidR="00A74860" w:rsidRDefault="00A74860" w:rsidP="00A74860">
      <w:pPr>
        <w:spacing w:before="0" w:after="0" w:line="240" w:lineRule="auto"/>
        <w:rPr>
          <w:rFonts w:cstheme="minorHAnsi"/>
          <w:sz w:val="18"/>
          <w:szCs w:val="18"/>
        </w:rPr>
      </w:pPr>
    </w:p>
    <w:p w14:paraId="30F5067E" w14:textId="77777777" w:rsidR="00A74860" w:rsidRDefault="00A74860" w:rsidP="00A74860">
      <w:pPr>
        <w:pStyle w:val="Heading3"/>
      </w:pPr>
      <w:r>
        <w:t>Participation rates by remoteness</w:t>
      </w:r>
      <w:bookmarkEnd w:id="236"/>
      <w:bookmarkEnd w:id="237"/>
      <w:bookmarkEnd w:id="238"/>
    </w:p>
    <w:p w14:paraId="4306E079" w14:textId="77777777" w:rsidR="00A74860" w:rsidRDefault="00A74860" w:rsidP="00A74860">
      <w:pPr>
        <w:rPr>
          <w:rFonts w:cstheme="minorHAnsi"/>
        </w:rPr>
      </w:pPr>
      <w:r>
        <w:rPr>
          <w:rFonts w:cstheme="minorHAnsi"/>
        </w:rPr>
        <w:t xml:space="preserve">The Australian Standard Geographical Classification System (ASGCS) was used to classify Pilot health centres by Remoteness Area (RA). The original five ASGCS classifications (Major City, Inner and Outer Regional, Remote and Very Remote) were simplified into three categories for the Pilot: Urban (Major cities), Regional (Inner and Outer Remote), Remote (Remote and Very Remote).  Table 8.7 shows that even in remote areas, the rate of kits returned as a proportion of those given out was much higher than the participation estimate for Indigenous Australians through the usual pathway for the same period (23.3%). Rates for all participants through the usual pathway for the same period are Urban </w:t>
      </w:r>
      <w:proofErr w:type="gramStart"/>
      <w:r>
        <w:rPr>
          <w:rFonts w:cstheme="minorHAnsi"/>
        </w:rPr>
        <w:t>=  38.3</w:t>
      </w:r>
      <w:proofErr w:type="gramEnd"/>
      <w:r>
        <w:rPr>
          <w:rFonts w:cstheme="minorHAnsi"/>
        </w:rPr>
        <w:t>%; Regional = 40.7%; Remote = 32.5%; with nearly 40,000 invitees for whom a remoteness categorisation could not be assigned.</w:t>
      </w:r>
    </w:p>
    <w:p w14:paraId="79DE5BDE" w14:textId="77777777" w:rsidR="00A74860" w:rsidRDefault="00A74860" w:rsidP="00A74860">
      <w:pPr>
        <w:spacing w:before="0" w:after="0" w:line="240" w:lineRule="auto"/>
        <w:rPr>
          <w:rFonts w:cstheme="minorHAnsi"/>
        </w:rPr>
      </w:pPr>
      <w:r>
        <w:rPr>
          <w:rFonts w:cstheme="minorHAnsi"/>
        </w:rPr>
        <w:br w:type="page"/>
      </w:r>
    </w:p>
    <w:p w14:paraId="627752A6" w14:textId="77777777" w:rsidR="00A74860" w:rsidRDefault="00A74860" w:rsidP="00A74860">
      <w:pPr>
        <w:spacing w:before="0" w:after="0" w:line="240" w:lineRule="auto"/>
        <w:rPr>
          <w:b/>
          <w:bCs/>
          <w:sz w:val="20"/>
          <w:szCs w:val="21"/>
        </w:rPr>
      </w:pPr>
      <w:r>
        <w:rPr>
          <w:b/>
          <w:bCs/>
          <w:sz w:val="20"/>
          <w:szCs w:val="21"/>
        </w:rPr>
        <w:lastRenderedPageBreak/>
        <w:t>Table 8.7. Rate of return of kits given out, Alternative Pathway, by remoteness</w:t>
      </w:r>
      <w:r>
        <w:rPr>
          <w:b/>
          <w:bCs/>
          <w:sz w:val="20"/>
          <w:szCs w:val="21"/>
        </w:rPr>
        <w:br/>
        <w:t xml:space="preserve"> (simplified ASGCS categorisation)</w:t>
      </w:r>
    </w:p>
    <w:p w14:paraId="16AAA604" w14:textId="77777777" w:rsidR="00A74860" w:rsidRDefault="00A74860" w:rsidP="00A74860">
      <w:pPr>
        <w:spacing w:before="0" w:after="0" w:line="240" w:lineRule="auto"/>
        <w:rPr>
          <w:rFonts w:cstheme="minorHAnsi"/>
          <w:b/>
          <w:bCs/>
          <w:sz w:val="20"/>
          <w:szCs w:val="21"/>
        </w:rPr>
      </w:pPr>
    </w:p>
    <w:tbl>
      <w:tblPr>
        <w:tblStyle w:val="GridTable1Light-Accent11"/>
        <w:tblW w:w="9075" w:type="dxa"/>
        <w:tblInd w:w="-5" w:type="dxa"/>
        <w:tblLayout w:type="fixed"/>
        <w:tblLook w:val="04E0" w:firstRow="1" w:lastRow="1" w:firstColumn="1" w:lastColumn="0" w:noHBand="0" w:noVBand="1"/>
      </w:tblPr>
      <w:tblGrid>
        <w:gridCol w:w="1353"/>
        <w:gridCol w:w="1929"/>
        <w:gridCol w:w="1931"/>
        <w:gridCol w:w="1931"/>
        <w:gridCol w:w="1931"/>
      </w:tblGrid>
      <w:tr w:rsidR="00A74860" w14:paraId="61B7259E" w14:textId="77777777" w:rsidTr="00CA0599">
        <w:trPr>
          <w:cnfStyle w:val="100000000000" w:firstRow="1" w:lastRow="0" w:firstColumn="0" w:lastColumn="0" w:oddVBand="0" w:evenVBand="0" w:oddHBand="0" w:evenHBand="0" w:firstRowFirstColumn="0" w:firstRowLastColumn="0" w:lastRowFirstColumn="0" w:lastRowLastColumn="0"/>
          <w:trHeight w:val="788"/>
          <w:tblHeader/>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left w:val="nil"/>
              <w:bottom w:val="single" w:sz="4" w:space="0" w:color="auto"/>
              <w:right w:val="single" w:sz="4" w:space="0" w:color="auto"/>
            </w:tcBorders>
            <w:hideMark/>
          </w:tcPr>
          <w:p w14:paraId="2BAF96A9" w14:textId="77777777" w:rsidR="00A74860" w:rsidRDefault="00A74860">
            <w:pPr>
              <w:spacing w:before="0" w:after="0" w:line="360" w:lineRule="auto"/>
              <w:rPr>
                <w:rFonts w:cstheme="minorHAnsi"/>
                <w:sz w:val="18"/>
                <w:szCs w:val="20"/>
                <w:lang w:eastAsia="en-US"/>
              </w:rPr>
            </w:pPr>
            <w:r>
              <w:rPr>
                <w:rFonts w:cstheme="minorHAnsi"/>
                <w:sz w:val="18"/>
                <w:szCs w:val="20"/>
                <w:lang w:eastAsia="en-US"/>
              </w:rPr>
              <w:t>Remoteness category</w:t>
            </w:r>
          </w:p>
        </w:tc>
        <w:tc>
          <w:tcPr>
            <w:tcW w:w="1930" w:type="dxa"/>
            <w:tcBorders>
              <w:top w:val="single" w:sz="4" w:space="0" w:color="auto"/>
              <w:left w:val="single" w:sz="4" w:space="0" w:color="auto"/>
              <w:bottom w:val="single" w:sz="4" w:space="0" w:color="auto"/>
              <w:right w:val="nil"/>
            </w:tcBorders>
            <w:hideMark/>
          </w:tcPr>
          <w:p w14:paraId="0A339582" w14:textId="77777777" w:rsidR="00A74860" w:rsidRDefault="00A74860">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No. of health centres</w:t>
            </w:r>
          </w:p>
        </w:tc>
        <w:tc>
          <w:tcPr>
            <w:tcW w:w="1931" w:type="dxa"/>
            <w:tcBorders>
              <w:top w:val="single" w:sz="4" w:space="0" w:color="auto"/>
              <w:left w:val="nil"/>
              <w:bottom w:val="single" w:sz="4" w:space="0" w:color="auto"/>
              <w:right w:val="nil"/>
            </w:tcBorders>
            <w:hideMark/>
          </w:tcPr>
          <w:p w14:paraId="77FB53F8" w14:textId="77777777" w:rsidR="00A74860" w:rsidRDefault="00A74860">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Kits given out</w:t>
            </w:r>
          </w:p>
        </w:tc>
        <w:tc>
          <w:tcPr>
            <w:tcW w:w="1931" w:type="dxa"/>
            <w:tcBorders>
              <w:top w:val="single" w:sz="4" w:space="0" w:color="auto"/>
              <w:left w:val="nil"/>
              <w:bottom w:val="single" w:sz="4" w:space="0" w:color="auto"/>
              <w:right w:val="nil"/>
            </w:tcBorders>
            <w:hideMark/>
          </w:tcPr>
          <w:p w14:paraId="7FD156B0" w14:textId="77777777" w:rsidR="00A74860" w:rsidRDefault="00A74860">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Kits returned</w:t>
            </w:r>
          </w:p>
        </w:tc>
        <w:tc>
          <w:tcPr>
            <w:tcW w:w="1931" w:type="dxa"/>
            <w:tcBorders>
              <w:top w:val="single" w:sz="4" w:space="0" w:color="auto"/>
              <w:left w:val="nil"/>
              <w:bottom w:val="single" w:sz="4" w:space="0" w:color="auto"/>
              <w:right w:val="nil"/>
            </w:tcBorders>
            <w:hideMark/>
          </w:tcPr>
          <w:p w14:paraId="1CF7990C" w14:textId="77777777" w:rsidR="00A74860" w:rsidRDefault="00A74860">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Participation rate (%)</w:t>
            </w:r>
          </w:p>
        </w:tc>
      </w:tr>
      <w:tr w:rsidR="00A74860" w14:paraId="04F813E5" w14:textId="77777777" w:rsidTr="00A74860">
        <w:trPr>
          <w:trHeight w:val="340"/>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left w:val="nil"/>
              <w:bottom w:val="nil"/>
              <w:right w:val="single" w:sz="4" w:space="0" w:color="auto"/>
            </w:tcBorders>
            <w:hideMark/>
          </w:tcPr>
          <w:p w14:paraId="4A2B0A72" w14:textId="77777777" w:rsidR="00A74860" w:rsidRDefault="00A74860">
            <w:pPr>
              <w:spacing w:before="0" w:after="0" w:line="360" w:lineRule="auto"/>
              <w:rPr>
                <w:rFonts w:cstheme="minorHAnsi"/>
                <w:b w:val="0"/>
                <w:sz w:val="18"/>
                <w:szCs w:val="20"/>
                <w:lang w:eastAsia="en-US"/>
              </w:rPr>
            </w:pPr>
            <w:r>
              <w:rPr>
                <w:rFonts w:cstheme="minorHAnsi"/>
                <w:b w:val="0"/>
                <w:sz w:val="18"/>
                <w:szCs w:val="20"/>
                <w:lang w:eastAsia="en-US"/>
              </w:rPr>
              <w:t>Urban</w:t>
            </w:r>
          </w:p>
        </w:tc>
        <w:tc>
          <w:tcPr>
            <w:tcW w:w="1930" w:type="dxa"/>
            <w:tcBorders>
              <w:top w:val="single" w:sz="4" w:space="0" w:color="auto"/>
              <w:left w:val="single" w:sz="4" w:space="0" w:color="auto"/>
              <w:bottom w:val="nil"/>
              <w:right w:val="nil"/>
            </w:tcBorders>
            <w:hideMark/>
          </w:tcPr>
          <w:p w14:paraId="703C8E67"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12</w:t>
            </w:r>
          </w:p>
        </w:tc>
        <w:tc>
          <w:tcPr>
            <w:tcW w:w="1931" w:type="dxa"/>
            <w:tcBorders>
              <w:top w:val="single" w:sz="4" w:space="0" w:color="auto"/>
              <w:left w:val="nil"/>
              <w:bottom w:val="nil"/>
              <w:right w:val="nil"/>
            </w:tcBorders>
            <w:hideMark/>
          </w:tcPr>
          <w:p w14:paraId="5E300133"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438</w:t>
            </w:r>
          </w:p>
        </w:tc>
        <w:tc>
          <w:tcPr>
            <w:tcW w:w="1931" w:type="dxa"/>
            <w:tcBorders>
              <w:top w:val="single" w:sz="4" w:space="0" w:color="auto"/>
              <w:left w:val="nil"/>
              <w:bottom w:val="nil"/>
              <w:right w:val="nil"/>
            </w:tcBorders>
            <w:hideMark/>
          </w:tcPr>
          <w:p w14:paraId="72AADE10"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206</w:t>
            </w:r>
          </w:p>
        </w:tc>
        <w:tc>
          <w:tcPr>
            <w:tcW w:w="1931" w:type="dxa"/>
            <w:tcBorders>
              <w:top w:val="single" w:sz="4" w:space="0" w:color="auto"/>
              <w:left w:val="nil"/>
              <w:bottom w:val="nil"/>
              <w:right w:val="nil"/>
            </w:tcBorders>
            <w:hideMark/>
          </w:tcPr>
          <w:p w14:paraId="2015F22B"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47</w:t>
            </w:r>
          </w:p>
        </w:tc>
      </w:tr>
      <w:tr w:rsidR="00A74860" w14:paraId="3D7DDBB9" w14:textId="77777777" w:rsidTr="00A74860">
        <w:trPr>
          <w:trHeight w:val="340"/>
        </w:trPr>
        <w:tc>
          <w:tcPr>
            <w:cnfStyle w:val="001000000000" w:firstRow="0" w:lastRow="0" w:firstColumn="1" w:lastColumn="0" w:oddVBand="0" w:evenVBand="0" w:oddHBand="0" w:evenHBand="0" w:firstRowFirstColumn="0" w:firstRowLastColumn="0" w:lastRowFirstColumn="0" w:lastRowLastColumn="0"/>
            <w:tcW w:w="1354" w:type="dxa"/>
            <w:tcBorders>
              <w:top w:val="nil"/>
              <w:left w:val="nil"/>
              <w:bottom w:val="nil"/>
              <w:right w:val="single" w:sz="4" w:space="0" w:color="auto"/>
            </w:tcBorders>
            <w:hideMark/>
          </w:tcPr>
          <w:p w14:paraId="3C1FFB7A" w14:textId="77777777" w:rsidR="00A74860" w:rsidRDefault="00A74860">
            <w:pPr>
              <w:spacing w:before="0" w:after="0" w:line="360" w:lineRule="auto"/>
              <w:rPr>
                <w:rFonts w:cstheme="minorHAnsi"/>
                <w:b w:val="0"/>
                <w:sz w:val="18"/>
                <w:szCs w:val="20"/>
                <w:lang w:eastAsia="en-US"/>
              </w:rPr>
            </w:pPr>
            <w:r>
              <w:rPr>
                <w:rFonts w:cstheme="minorHAnsi"/>
                <w:b w:val="0"/>
                <w:sz w:val="18"/>
                <w:szCs w:val="20"/>
                <w:lang w:eastAsia="en-US"/>
              </w:rPr>
              <w:t>Regional</w:t>
            </w:r>
          </w:p>
        </w:tc>
        <w:tc>
          <w:tcPr>
            <w:tcW w:w="1930" w:type="dxa"/>
            <w:tcBorders>
              <w:top w:val="nil"/>
              <w:left w:val="single" w:sz="4" w:space="0" w:color="auto"/>
              <w:bottom w:val="nil"/>
              <w:right w:val="nil"/>
            </w:tcBorders>
            <w:hideMark/>
          </w:tcPr>
          <w:p w14:paraId="31FF5582"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27</w:t>
            </w:r>
          </w:p>
        </w:tc>
        <w:tc>
          <w:tcPr>
            <w:tcW w:w="1931" w:type="dxa"/>
            <w:tcBorders>
              <w:top w:val="nil"/>
              <w:left w:val="nil"/>
              <w:bottom w:val="nil"/>
              <w:right w:val="nil"/>
            </w:tcBorders>
            <w:hideMark/>
          </w:tcPr>
          <w:p w14:paraId="2B801C11"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286</w:t>
            </w:r>
          </w:p>
        </w:tc>
        <w:tc>
          <w:tcPr>
            <w:tcW w:w="1931" w:type="dxa"/>
            <w:tcBorders>
              <w:top w:val="nil"/>
              <w:left w:val="nil"/>
              <w:bottom w:val="nil"/>
              <w:right w:val="nil"/>
            </w:tcBorders>
            <w:hideMark/>
          </w:tcPr>
          <w:p w14:paraId="6CC188B9"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131</w:t>
            </w:r>
          </w:p>
        </w:tc>
        <w:tc>
          <w:tcPr>
            <w:tcW w:w="1931" w:type="dxa"/>
            <w:tcBorders>
              <w:top w:val="nil"/>
              <w:left w:val="nil"/>
              <w:bottom w:val="nil"/>
              <w:right w:val="nil"/>
            </w:tcBorders>
            <w:hideMark/>
          </w:tcPr>
          <w:p w14:paraId="57A70529"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45</w:t>
            </w:r>
          </w:p>
        </w:tc>
      </w:tr>
      <w:tr w:rsidR="00A74860" w14:paraId="0F8C0A31" w14:textId="77777777" w:rsidTr="00A74860">
        <w:trPr>
          <w:trHeight w:val="340"/>
        </w:trPr>
        <w:tc>
          <w:tcPr>
            <w:cnfStyle w:val="001000000000" w:firstRow="0" w:lastRow="0" w:firstColumn="1" w:lastColumn="0" w:oddVBand="0" w:evenVBand="0" w:oddHBand="0" w:evenHBand="0" w:firstRowFirstColumn="0" w:firstRowLastColumn="0" w:lastRowFirstColumn="0" w:lastRowLastColumn="0"/>
            <w:tcW w:w="1354" w:type="dxa"/>
            <w:tcBorders>
              <w:top w:val="nil"/>
              <w:left w:val="nil"/>
              <w:bottom w:val="single" w:sz="4" w:space="0" w:color="auto"/>
              <w:right w:val="single" w:sz="4" w:space="0" w:color="auto"/>
            </w:tcBorders>
            <w:hideMark/>
          </w:tcPr>
          <w:p w14:paraId="20631C47" w14:textId="77777777" w:rsidR="00A74860" w:rsidRDefault="00A74860">
            <w:pPr>
              <w:spacing w:before="0" w:after="0" w:line="360" w:lineRule="auto"/>
              <w:rPr>
                <w:rFonts w:cstheme="minorHAnsi"/>
                <w:b w:val="0"/>
                <w:sz w:val="18"/>
                <w:szCs w:val="20"/>
                <w:lang w:eastAsia="en-US"/>
              </w:rPr>
            </w:pPr>
            <w:r>
              <w:rPr>
                <w:rFonts w:cstheme="minorHAnsi"/>
                <w:b w:val="0"/>
                <w:sz w:val="18"/>
                <w:szCs w:val="20"/>
                <w:lang w:eastAsia="en-US"/>
              </w:rPr>
              <w:t>Remote</w:t>
            </w:r>
          </w:p>
        </w:tc>
        <w:tc>
          <w:tcPr>
            <w:tcW w:w="1930" w:type="dxa"/>
            <w:tcBorders>
              <w:top w:val="nil"/>
              <w:left w:val="single" w:sz="4" w:space="0" w:color="auto"/>
              <w:bottom w:val="single" w:sz="4" w:space="0" w:color="auto"/>
              <w:right w:val="nil"/>
            </w:tcBorders>
            <w:hideMark/>
          </w:tcPr>
          <w:p w14:paraId="1540A1FE"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8</w:t>
            </w:r>
          </w:p>
        </w:tc>
        <w:tc>
          <w:tcPr>
            <w:tcW w:w="1931" w:type="dxa"/>
            <w:tcBorders>
              <w:top w:val="nil"/>
              <w:left w:val="nil"/>
              <w:bottom w:val="single" w:sz="4" w:space="0" w:color="auto"/>
              <w:right w:val="nil"/>
            </w:tcBorders>
            <w:hideMark/>
          </w:tcPr>
          <w:p w14:paraId="6B934AB6"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141</w:t>
            </w:r>
          </w:p>
        </w:tc>
        <w:tc>
          <w:tcPr>
            <w:tcW w:w="1931" w:type="dxa"/>
            <w:tcBorders>
              <w:top w:val="nil"/>
              <w:left w:val="nil"/>
              <w:bottom w:val="single" w:sz="4" w:space="0" w:color="auto"/>
              <w:right w:val="nil"/>
            </w:tcBorders>
            <w:hideMark/>
          </w:tcPr>
          <w:p w14:paraId="0CA6263A"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53</w:t>
            </w:r>
          </w:p>
        </w:tc>
        <w:tc>
          <w:tcPr>
            <w:tcW w:w="1931" w:type="dxa"/>
            <w:tcBorders>
              <w:top w:val="nil"/>
              <w:left w:val="nil"/>
              <w:bottom w:val="single" w:sz="4" w:space="0" w:color="auto"/>
              <w:right w:val="nil"/>
            </w:tcBorders>
            <w:hideMark/>
          </w:tcPr>
          <w:p w14:paraId="5D152728" w14:textId="77777777" w:rsidR="00A74860" w:rsidRDefault="00A7486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n-US"/>
              </w:rPr>
            </w:pPr>
            <w:r>
              <w:rPr>
                <w:rFonts w:cstheme="minorHAnsi"/>
                <w:sz w:val="18"/>
                <w:szCs w:val="20"/>
                <w:lang w:eastAsia="en-US"/>
              </w:rPr>
              <w:t>38</w:t>
            </w:r>
          </w:p>
        </w:tc>
      </w:tr>
      <w:tr w:rsidR="00A74860" w14:paraId="16412458" w14:textId="77777777" w:rsidTr="00A7486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left w:val="nil"/>
              <w:bottom w:val="nil"/>
              <w:right w:val="single" w:sz="4" w:space="0" w:color="auto"/>
            </w:tcBorders>
            <w:hideMark/>
          </w:tcPr>
          <w:p w14:paraId="0A6FB96B" w14:textId="77777777" w:rsidR="00A74860" w:rsidRDefault="00A74860">
            <w:pPr>
              <w:spacing w:before="0" w:after="0" w:line="360" w:lineRule="auto"/>
              <w:rPr>
                <w:rFonts w:cstheme="minorHAnsi"/>
                <w:bCs w:val="0"/>
                <w:sz w:val="18"/>
                <w:szCs w:val="20"/>
                <w:lang w:eastAsia="en-US"/>
              </w:rPr>
            </w:pPr>
            <w:r>
              <w:rPr>
                <w:rFonts w:cstheme="minorHAnsi"/>
                <w:bCs w:val="0"/>
                <w:sz w:val="18"/>
                <w:szCs w:val="20"/>
                <w:lang w:eastAsia="en-US"/>
              </w:rPr>
              <w:t>Overall</w:t>
            </w:r>
          </w:p>
        </w:tc>
        <w:tc>
          <w:tcPr>
            <w:tcW w:w="1930" w:type="dxa"/>
            <w:tcBorders>
              <w:top w:val="single" w:sz="4" w:space="0" w:color="auto"/>
              <w:left w:val="single" w:sz="4" w:space="0" w:color="auto"/>
              <w:bottom w:val="nil"/>
              <w:right w:val="nil"/>
            </w:tcBorders>
            <w:hideMark/>
          </w:tcPr>
          <w:p w14:paraId="7B28F983" w14:textId="77777777" w:rsidR="00A74860" w:rsidRDefault="00A74860">
            <w:pPr>
              <w:spacing w:before="0" w:after="0" w:line="360" w:lineRule="auto"/>
              <w:jc w:val="center"/>
              <w:cnfStyle w:val="010000000000" w:firstRow="0" w:lastRow="1" w:firstColumn="0" w:lastColumn="0" w:oddVBand="0" w:evenVBand="0" w:oddHBand="0" w:evenHBand="0" w:firstRowFirstColumn="0" w:firstRowLastColumn="0" w:lastRowFirstColumn="0" w:lastRowLastColumn="0"/>
              <w:rPr>
                <w:rFonts w:cstheme="minorHAnsi"/>
                <w:bCs w:val="0"/>
                <w:sz w:val="18"/>
                <w:szCs w:val="20"/>
                <w:lang w:eastAsia="en-US"/>
              </w:rPr>
            </w:pPr>
            <w:r>
              <w:rPr>
                <w:rFonts w:cstheme="minorHAnsi"/>
                <w:bCs w:val="0"/>
                <w:sz w:val="18"/>
                <w:szCs w:val="20"/>
                <w:lang w:eastAsia="en-US"/>
              </w:rPr>
              <w:t>47</w:t>
            </w:r>
          </w:p>
        </w:tc>
        <w:tc>
          <w:tcPr>
            <w:tcW w:w="1931" w:type="dxa"/>
            <w:tcBorders>
              <w:top w:val="single" w:sz="4" w:space="0" w:color="auto"/>
              <w:left w:val="nil"/>
              <w:bottom w:val="nil"/>
              <w:right w:val="nil"/>
            </w:tcBorders>
            <w:hideMark/>
          </w:tcPr>
          <w:p w14:paraId="6DF906E8" w14:textId="77777777" w:rsidR="00A74860" w:rsidRDefault="00A74860">
            <w:pPr>
              <w:spacing w:before="0" w:after="0" w:line="360" w:lineRule="auto"/>
              <w:jc w:val="center"/>
              <w:cnfStyle w:val="010000000000" w:firstRow="0" w:lastRow="1" w:firstColumn="0" w:lastColumn="0" w:oddVBand="0" w:evenVBand="0" w:oddHBand="0" w:evenHBand="0" w:firstRowFirstColumn="0" w:firstRowLastColumn="0" w:lastRowFirstColumn="0" w:lastRowLastColumn="0"/>
              <w:rPr>
                <w:rFonts w:cstheme="minorHAnsi"/>
                <w:bCs w:val="0"/>
                <w:sz w:val="18"/>
                <w:szCs w:val="20"/>
                <w:lang w:eastAsia="en-US"/>
              </w:rPr>
            </w:pPr>
            <w:r>
              <w:rPr>
                <w:rFonts w:cstheme="minorHAnsi"/>
                <w:bCs w:val="0"/>
                <w:sz w:val="18"/>
                <w:szCs w:val="20"/>
                <w:lang w:eastAsia="en-US"/>
              </w:rPr>
              <w:t>865</w:t>
            </w:r>
          </w:p>
        </w:tc>
        <w:tc>
          <w:tcPr>
            <w:tcW w:w="1931" w:type="dxa"/>
            <w:tcBorders>
              <w:top w:val="single" w:sz="4" w:space="0" w:color="auto"/>
              <w:left w:val="nil"/>
              <w:bottom w:val="nil"/>
              <w:right w:val="nil"/>
            </w:tcBorders>
            <w:hideMark/>
          </w:tcPr>
          <w:p w14:paraId="058AD6EA" w14:textId="77777777" w:rsidR="00A74860" w:rsidRDefault="00A74860">
            <w:pPr>
              <w:spacing w:before="0" w:after="0" w:line="360" w:lineRule="auto"/>
              <w:jc w:val="center"/>
              <w:cnfStyle w:val="010000000000" w:firstRow="0" w:lastRow="1" w:firstColumn="0" w:lastColumn="0" w:oddVBand="0" w:evenVBand="0" w:oddHBand="0" w:evenHBand="0" w:firstRowFirstColumn="0" w:firstRowLastColumn="0" w:lastRowFirstColumn="0" w:lastRowLastColumn="0"/>
              <w:rPr>
                <w:rFonts w:cstheme="minorHAnsi"/>
                <w:bCs w:val="0"/>
                <w:sz w:val="18"/>
                <w:szCs w:val="20"/>
                <w:lang w:eastAsia="en-US"/>
              </w:rPr>
            </w:pPr>
            <w:r>
              <w:rPr>
                <w:rFonts w:cstheme="minorHAnsi"/>
                <w:bCs w:val="0"/>
                <w:sz w:val="18"/>
                <w:szCs w:val="20"/>
                <w:lang w:eastAsia="en-US"/>
              </w:rPr>
              <w:t>390</w:t>
            </w:r>
          </w:p>
        </w:tc>
        <w:tc>
          <w:tcPr>
            <w:tcW w:w="1931" w:type="dxa"/>
            <w:tcBorders>
              <w:top w:val="single" w:sz="4" w:space="0" w:color="auto"/>
              <w:left w:val="nil"/>
              <w:bottom w:val="nil"/>
              <w:right w:val="nil"/>
            </w:tcBorders>
            <w:hideMark/>
          </w:tcPr>
          <w:p w14:paraId="3A638063" w14:textId="77777777" w:rsidR="00A74860" w:rsidRDefault="00A74860">
            <w:pPr>
              <w:spacing w:before="0" w:after="0" w:line="360" w:lineRule="auto"/>
              <w:jc w:val="center"/>
              <w:cnfStyle w:val="010000000000" w:firstRow="0" w:lastRow="1" w:firstColumn="0" w:lastColumn="0" w:oddVBand="0" w:evenVBand="0" w:oddHBand="0" w:evenHBand="0" w:firstRowFirstColumn="0" w:firstRowLastColumn="0" w:lastRowFirstColumn="0" w:lastRowLastColumn="0"/>
              <w:rPr>
                <w:rFonts w:cstheme="minorHAnsi"/>
                <w:bCs w:val="0"/>
                <w:sz w:val="18"/>
                <w:szCs w:val="20"/>
                <w:lang w:eastAsia="en-US"/>
              </w:rPr>
            </w:pPr>
            <w:r>
              <w:rPr>
                <w:rFonts w:cstheme="minorHAnsi"/>
                <w:bCs w:val="0"/>
                <w:sz w:val="18"/>
                <w:szCs w:val="20"/>
                <w:lang w:eastAsia="en-US"/>
              </w:rPr>
              <w:t>45</w:t>
            </w:r>
          </w:p>
        </w:tc>
      </w:tr>
    </w:tbl>
    <w:p w14:paraId="5C1BF74B" w14:textId="77777777" w:rsidR="00A74860" w:rsidRDefault="00A74860" w:rsidP="00A74860">
      <w:pPr>
        <w:spacing w:after="0" w:line="240" w:lineRule="auto"/>
        <w:rPr>
          <w:rFonts w:cstheme="minorHAnsi"/>
          <w:sz w:val="18"/>
          <w:szCs w:val="18"/>
        </w:rPr>
      </w:pPr>
      <w:r>
        <w:rPr>
          <w:rFonts w:cstheme="minorHAnsi"/>
          <w:sz w:val="18"/>
          <w:szCs w:val="18"/>
        </w:rPr>
        <w:t>Notes</w:t>
      </w:r>
    </w:p>
    <w:p w14:paraId="37EAE258" w14:textId="77777777" w:rsidR="00A74860" w:rsidRDefault="00A74860" w:rsidP="00A74860">
      <w:pPr>
        <w:spacing w:after="0" w:line="240" w:lineRule="auto"/>
        <w:rPr>
          <w:rFonts w:cstheme="minorHAnsi"/>
          <w:sz w:val="18"/>
          <w:szCs w:val="18"/>
        </w:rPr>
      </w:pPr>
      <w:r>
        <w:rPr>
          <w:rFonts w:cstheme="minorHAnsi"/>
          <w:sz w:val="18"/>
          <w:szCs w:val="18"/>
        </w:rPr>
        <w:t xml:space="preserve">Percentages have been rounded to the nearest whole number. </w:t>
      </w:r>
      <w:r>
        <w:rPr>
          <w:sz w:val="18"/>
          <w:szCs w:val="18"/>
        </w:rPr>
        <w:t>ASGCS-RA have been simplified</w:t>
      </w:r>
      <w:r>
        <w:rPr>
          <w:i/>
          <w:iCs/>
          <w:sz w:val="18"/>
          <w:szCs w:val="18"/>
        </w:rPr>
        <w:t>.</w:t>
      </w:r>
    </w:p>
    <w:p w14:paraId="48FA2B9A" w14:textId="77777777" w:rsidR="00A74860" w:rsidRDefault="00A74860" w:rsidP="00A74860">
      <w:pPr>
        <w:spacing w:after="0" w:line="240" w:lineRule="auto"/>
        <w:rPr>
          <w:rFonts w:cstheme="minorHAnsi"/>
          <w:sz w:val="20"/>
          <w:szCs w:val="20"/>
        </w:rPr>
      </w:pPr>
      <w:r>
        <w:rPr>
          <w:rFonts w:cstheme="minorHAnsi"/>
          <w:sz w:val="18"/>
          <w:szCs w:val="18"/>
        </w:rPr>
        <w:t>Source: Number of kits given out and kits returned were provided by the AIHW, after cleaning and cross-checking data reported by Pilot health centres to the DHS with NBCSP register data</w:t>
      </w:r>
      <w:r>
        <w:rPr>
          <w:rFonts w:cstheme="minorHAnsi"/>
          <w:sz w:val="20"/>
          <w:szCs w:val="20"/>
        </w:rPr>
        <w:t xml:space="preserve">. </w:t>
      </w:r>
    </w:p>
    <w:p w14:paraId="4067806C" w14:textId="77777777" w:rsidR="00A74860" w:rsidRDefault="00A74860" w:rsidP="00A74860">
      <w:pPr>
        <w:pStyle w:val="Heading3"/>
      </w:pPr>
      <w:bookmarkStart w:id="239" w:name="_Toc44279117"/>
      <w:bookmarkStart w:id="240" w:name="_Toc44339234"/>
      <w:bookmarkStart w:id="241" w:name="_Toc44361599"/>
      <w:r>
        <w:t>Participation rates, by state and territory</w:t>
      </w:r>
      <w:bookmarkEnd w:id="239"/>
      <w:bookmarkEnd w:id="240"/>
      <w:bookmarkEnd w:id="241"/>
      <w:r>
        <w:t xml:space="preserve"> </w:t>
      </w:r>
    </w:p>
    <w:p w14:paraId="5DB68207" w14:textId="77777777" w:rsidR="00A74860" w:rsidRDefault="00A74860" w:rsidP="00A74860">
      <w:pPr>
        <w:rPr>
          <w:lang w:eastAsia="en-AU"/>
        </w:rPr>
      </w:pPr>
      <w:r>
        <w:rPr>
          <w:lang w:eastAsia="en-AU"/>
        </w:rPr>
        <w:t xml:space="preserve">Figure 8.2 shows the variation across states and territories in the rate of return of kits given out through the Alternative Pathway and usual pathway (Indigenous participants and all participants). </w:t>
      </w:r>
    </w:p>
    <w:p w14:paraId="3DA73BBB" w14:textId="5A09A49F" w:rsidR="00A74860" w:rsidRDefault="00A74860" w:rsidP="00A74860">
      <w:pPr>
        <w:pStyle w:val="Caption"/>
        <w:rPr>
          <w:color w:val="8EAADB" w:themeColor="accent1" w:themeTint="99"/>
        </w:rPr>
      </w:pPr>
      <w:r>
        <w:rPr>
          <w:noProof/>
          <w:lang w:eastAsia="en-AU"/>
        </w:rPr>
        <w:drawing>
          <wp:inline distT="0" distB="0" distL="0" distR="0" wp14:anchorId="2F2B9B86" wp14:editId="51B7FFC9">
            <wp:extent cx="6010910" cy="3188758"/>
            <wp:effectExtent l="0" t="0" r="8890" b="12065"/>
            <wp:docPr id="25" name="Chart 25" descr="Chart showing rate of return of kits given out across states/territories, by alternative pathway, usual pathway to Indigenous participants, or usual pathway (all participants).">
              <a:extLst xmlns:a="http://schemas.openxmlformats.org/drawingml/2006/main">
                <a:ext uri="{FF2B5EF4-FFF2-40B4-BE49-F238E27FC236}">
                  <a16:creationId xmlns:a16="http://schemas.microsoft.com/office/drawing/2014/main" id="{8E6907E6-D607-5542-93AD-B0BBD06A9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AB5212" w14:textId="77777777" w:rsidR="00A74860" w:rsidRDefault="00A74860" w:rsidP="00A74860">
      <w:pPr>
        <w:rPr>
          <w:b/>
          <w:bCs/>
          <w:sz w:val="20"/>
          <w:szCs w:val="20"/>
        </w:rPr>
      </w:pPr>
      <w:r>
        <w:rPr>
          <w:b/>
          <w:bCs/>
          <w:sz w:val="20"/>
          <w:szCs w:val="20"/>
          <w:lang w:eastAsia="en-AU"/>
        </w:rPr>
        <w:t>Figure 8.2</w:t>
      </w:r>
      <w:r>
        <w:rPr>
          <w:b/>
          <w:bCs/>
          <w:sz w:val="20"/>
          <w:szCs w:val="20"/>
        </w:rPr>
        <w:t xml:space="preserve"> </w:t>
      </w:r>
      <w:r>
        <w:rPr>
          <w:b/>
          <w:bCs/>
          <w:sz w:val="20"/>
          <w:szCs w:val="20"/>
          <w:lang w:val="en-GB"/>
        </w:rPr>
        <w:t xml:space="preserve">Rate of return of kits given out, by </w:t>
      </w:r>
      <w:proofErr w:type="gramStart"/>
      <w:r>
        <w:rPr>
          <w:b/>
          <w:bCs/>
          <w:sz w:val="20"/>
          <w:szCs w:val="20"/>
          <w:lang w:val="en-GB"/>
        </w:rPr>
        <w:t>jurisdiction,  pathway</w:t>
      </w:r>
      <w:proofErr w:type="gramEnd"/>
      <w:r>
        <w:rPr>
          <w:b/>
          <w:bCs/>
          <w:sz w:val="20"/>
          <w:szCs w:val="20"/>
          <w:lang w:val="en-GB"/>
        </w:rPr>
        <w:t xml:space="preserve">, and Indigenous status, </w:t>
      </w:r>
      <w:r>
        <w:rPr>
          <w:b/>
          <w:bCs/>
          <w:sz w:val="20"/>
          <w:szCs w:val="20"/>
        </w:rPr>
        <w:t>1 November 2018 to 31 October 2019.</w:t>
      </w:r>
    </w:p>
    <w:p w14:paraId="6E784DE9" w14:textId="77777777" w:rsidR="00A74860" w:rsidRDefault="00A74860" w:rsidP="00A74860">
      <w:pPr>
        <w:spacing w:before="0" w:after="0" w:line="240" w:lineRule="auto"/>
        <w:rPr>
          <w:rFonts w:cstheme="minorHAnsi"/>
          <w:sz w:val="18"/>
          <w:szCs w:val="18"/>
        </w:rPr>
      </w:pPr>
      <w:r>
        <w:rPr>
          <w:rFonts w:cstheme="minorHAnsi"/>
          <w:sz w:val="18"/>
          <w:szCs w:val="18"/>
        </w:rPr>
        <w:t>Notes</w:t>
      </w:r>
    </w:p>
    <w:p w14:paraId="1851C787" w14:textId="77777777" w:rsidR="00A74860" w:rsidRDefault="00A74860" w:rsidP="00A74860">
      <w:pPr>
        <w:spacing w:before="0" w:after="0" w:line="240" w:lineRule="auto"/>
        <w:rPr>
          <w:rFonts w:cstheme="minorHAnsi"/>
          <w:sz w:val="18"/>
          <w:szCs w:val="18"/>
        </w:rPr>
      </w:pPr>
    </w:p>
    <w:p w14:paraId="14603E78" w14:textId="77777777" w:rsidR="00A74860" w:rsidRDefault="00A74860" w:rsidP="00A74860">
      <w:pPr>
        <w:spacing w:before="0" w:after="0" w:line="240" w:lineRule="auto"/>
        <w:rPr>
          <w:rFonts w:cstheme="minorHAnsi"/>
          <w:sz w:val="18"/>
          <w:szCs w:val="18"/>
        </w:rPr>
      </w:pPr>
      <w:r>
        <w:rPr>
          <w:rFonts w:cstheme="minorHAnsi"/>
          <w:sz w:val="18"/>
          <w:szCs w:val="18"/>
        </w:rPr>
        <w:t xml:space="preserve">Kits given out and returned are reported for the period of the National Indigenous Bowel Screening Pilot, 1 November 2018 to 31 October 2019. </w:t>
      </w:r>
    </w:p>
    <w:p w14:paraId="4B492C74" w14:textId="77777777" w:rsidR="00A74860" w:rsidRDefault="00A74860" w:rsidP="00A74860">
      <w:pPr>
        <w:rPr>
          <w:rFonts w:cstheme="minorHAnsi"/>
          <w:bCs/>
          <w:iCs/>
        </w:rPr>
      </w:pPr>
      <w:r>
        <w:rPr>
          <w:rFonts w:cstheme="minorHAnsi"/>
          <w:sz w:val="18"/>
          <w:szCs w:val="18"/>
        </w:rPr>
        <w:t xml:space="preserve">Source: AIHW analysis of NBCSP register data as at 31 October 2019 and </w:t>
      </w:r>
      <w:r>
        <w:rPr>
          <w:rFonts w:eastAsia="Times New Roman" w:cstheme="minorHAnsi"/>
          <w:color w:val="000000"/>
          <w:sz w:val="18"/>
          <w:szCs w:val="18"/>
        </w:rPr>
        <w:t>National Indigenous Bowel Screening Pilot data recorded by DHS.</w:t>
      </w:r>
    </w:p>
    <w:p w14:paraId="513B3415" w14:textId="77777777" w:rsidR="00A74860" w:rsidRDefault="00A74860" w:rsidP="00A74860">
      <w:pPr>
        <w:rPr>
          <w:rFonts w:cstheme="minorHAnsi"/>
          <w:b/>
        </w:rPr>
      </w:pPr>
      <w:r>
        <w:rPr>
          <w:rFonts w:cstheme="minorHAnsi"/>
          <w:b/>
        </w:rPr>
        <w:lastRenderedPageBreak/>
        <w:t xml:space="preserve">Comparison of participation rates, low intensity support (Group A) vs </w:t>
      </w:r>
      <w:r>
        <w:rPr>
          <w:rFonts w:cstheme="minorHAnsi"/>
          <w:b/>
        </w:rPr>
        <w:br/>
        <w:t xml:space="preserve">high intensity support (Group B) </w:t>
      </w:r>
    </w:p>
    <w:p w14:paraId="6749F094" w14:textId="77777777" w:rsidR="00A74860" w:rsidRDefault="00A74860" w:rsidP="00A74860">
      <w:pPr>
        <w:rPr>
          <w:rFonts w:cstheme="minorHAnsi"/>
        </w:rPr>
      </w:pPr>
      <w:r>
        <w:rPr>
          <w:rFonts w:cstheme="minorHAnsi"/>
        </w:rPr>
        <w:t xml:space="preserve">To measure whether low intensity support (Group A), versus high intensity support (Group B), results in higher participation in the NBCSP. </w:t>
      </w:r>
    </w:p>
    <w:p w14:paraId="1A9F4DA3" w14:textId="77777777" w:rsidR="00A74860" w:rsidRDefault="00A74860" w:rsidP="00A74860">
      <w:pPr>
        <w:rPr>
          <w:rFonts w:cstheme="minorHAnsi"/>
          <w:color w:val="000000" w:themeColor="text1"/>
        </w:rPr>
      </w:pPr>
      <w:r>
        <w:rPr>
          <w:rFonts w:cstheme="minorHAnsi"/>
          <w:color w:val="000000" w:themeColor="text1"/>
        </w:rPr>
        <w:t xml:space="preserve">Data on kits given out and kits returned by each participating Pilot health centre was cleaned and checked by the AIHW. Menzies used the statistical software STATA to carry out a comparison of kits returned as a proportion of those given out by health centres in each of the two randomised groups (Group A and Group B).  Health centres were weighted for sample size (kits given out). </w:t>
      </w:r>
    </w:p>
    <w:p w14:paraId="6C7220F5" w14:textId="77777777" w:rsidR="00A74860" w:rsidRDefault="00A74860" w:rsidP="00A74860">
      <w:pPr>
        <w:rPr>
          <w:rFonts w:cstheme="minorHAnsi"/>
          <w:color w:val="000000" w:themeColor="text1"/>
        </w:rPr>
      </w:pPr>
      <w:r>
        <w:rPr>
          <w:rFonts w:cstheme="minorHAnsi"/>
          <w:color w:val="000000" w:themeColor="text1"/>
        </w:rPr>
        <w:t xml:space="preserve">No statistical difference was found between the screening participation rates of Group A (41.3%, [95% CI 37.1, 45.6] and Group B (44.2% [95% CI 39.7, 48.8], </w:t>
      </w:r>
      <w:r>
        <w:rPr>
          <w:rFonts w:cstheme="minorHAnsi"/>
          <w:i/>
          <w:iCs/>
          <w:color w:val="000000" w:themeColor="text1"/>
        </w:rPr>
        <w:t>p</w:t>
      </w:r>
      <w:r>
        <w:rPr>
          <w:rFonts w:cstheme="minorHAnsi"/>
          <w:color w:val="000000" w:themeColor="text1"/>
        </w:rPr>
        <w:t xml:space="preserve"> = 0.78)</w:t>
      </w:r>
    </w:p>
    <w:p w14:paraId="7167406D" w14:textId="77777777" w:rsidR="00A74860" w:rsidRDefault="00A74860" w:rsidP="00A74860">
      <w:pPr>
        <w:keepNext/>
        <w:rPr>
          <w:rFonts w:cstheme="minorHAnsi"/>
          <w:b/>
        </w:rPr>
      </w:pPr>
      <w:r>
        <w:rPr>
          <w:rFonts w:cstheme="minorHAnsi"/>
          <w:b/>
        </w:rPr>
        <w:t>What does this mean?</w:t>
      </w:r>
    </w:p>
    <w:p w14:paraId="211F8551" w14:textId="77777777" w:rsidR="00A74860" w:rsidRDefault="00A74860" w:rsidP="00A74860">
      <w:pPr>
        <w:rPr>
          <w:rFonts w:cstheme="minorHAnsi"/>
        </w:rPr>
      </w:pPr>
      <w:r>
        <w:rPr>
          <w:rFonts w:cstheme="minorHAnsi"/>
        </w:rPr>
        <w:t xml:space="preserve">When comparing screening participation rates, no significant difference was recorded between those health centres that received low intensity support (Group A) or high intensity support (Group B). </w:t>
      </w:r>
    </w:p>
    <w:p w14:paraId="514A47AC" w14:textId="19B6EF45" w:rsidR="00A74860" w:rsidRDefault="00A74860" w:rsidP="00A74860">
      <w:pPr>
        <w:rPr>
          <w:rFonts w:cstheme="minorHAnsi"/>
        </w:rPr>
      </w:pPr>
      <w:r>
        <w:rPr>
          <w:rFonts w:cstheme="minorHAnsi"/>
        </w:rPr>
        <w:t>For a more detailed examination of the impact of the two modes of support, see Section 7, where it is apparent that the high and low intensity modes of support each provided different benefits, and each worked better for some individual staff members than others.</w:t>
      </w:r>
    </w:p>
    <w:p w14:paraId="29AC63C2" w14:textId="77777777" w:rsidR="00A74860" w:rsidRDefault="00A74860" w:rsidP="00A74860">
      <w:pPr>
        <w:pStyle w:val="Heading2"/>
      </w:pPr>
      <w:bookmarkStart w:id="242" w:name="_Toc44339237"/>
      <w:bookmarkStart w:id="243" w:name="_Toc44925018"/>
      <w:bookmarkStart w:id="244" w:name="_Toc54954857"/>
      <w:r>
        <w:t>8.3 Invitation rate</w:t>
      </w:r>
      <w:bookmarkStart w:id="245" w:name="_Toc43218345"/>
      <w:bookmarkEnd w:id="242"/>
      <w:bookmarkEnd w:id="243"/>
      <w:r>
        <w:t>, Alternative Pathway</w:t>
      </w:r>
      <w:bookmarkEnd w:id="244"/>
    </w:p>
    <w:p w14:paraId="557BCDE3" w14:textId="77777777" w:rsidR="00A74860" w:rsidRDefault="00A74860" w:rsidP="00A74860">
      <w:pPr>
        <w:rPr>
          <w:lang w:eastAsia="en-AU"/>
        </w:rPr>
      </w:pPr>
      <w:r>
        <w:rPr>
          <w:lang w:eastAsia="en-AU"/>
        </w:rPr>
        <w:t xml:space="preserve">Invitation rate is the number of people invited to screen as a percentage of the number of people that were eligible to screen. For the Pilot, this is the number of patients invited to screen, as a percentage of the health centre’s eligible Indigenous patients aged 50 to 74. </w:t>
      </w:r>
    </w:p>
    <w:p w14:paraId="09965117" w14:textId="77777777" w:rsidR="00A74860" w:rsidRDefault="00A74860" w:rsidP="00A74860">
      <w:pPr>
        <w:rPr>
          <w:lang w:eastAsia="en-AU"/>
        </w:rPr>
      </w:pPr>
      <w:r>
        <w:rPr>
          <w:lang w:eastAsia="en-AU"/>
        </w:rPr>
        <w:t>There were, however, limitations in measuring the invitation rate for the Pilot: Health centres were asked to submit Part A of the Participant Details form for</w:t>
      </w:r>
      <w:r>
        <w:rPr>
          <w:u w:val="single"/>
          <w:lang w:eastAsia="en-AU"/>
        </w:rPr>
        <w:t xml:space="preserve"> all</w:t>
      </w:r>
      <w:r>
        <w:rPr>
          <w:lang w:eastAsia="en-AU"/>
        </w:rPr>
        <w:t xml:space="preserve"> patients assessed for screening regardless of whether they accepted a screening kit or not. </w:t>
      </w:r>
    </w:p>
    <w:p w14:paraId="66B187BD" w14:textId="7AF72797" w:rsidR="00A74860" w:rsidRDefault="00A74860" w:rsidP="00A74860">
      <w:pPr>
        <w:rPr>
          <w:lang w:eastAsia="en-AU"/>
        </w:rPr>
      </w:pPr>
      <w:r>
        <w:rPr>
          <w:lang w:eastAsia="en-AU"/>
        </w:rPr>
        <w:t>Of the 44 health centres approved to give out kits, only 15 followed this guideline and completed Part A for patients that both accepted a kit and those that declined. The invitation rate was, therefore, calculated using only the 15 health centres that followed the guidelines. The invitation rate was 13</w:t>
      </w:r>
      <w:r w:rsidR="00463DF2">
        <w:rPr>
          <w:lang w:eastAsia="en-AU"/>
        </w:rPr>
        <w:t xml:space="preserve">% (total number invited = 670; </w:t>
      </w:r>
      <w:r>
        <w:rPr>
          <w:lang w:eastAsia="en-AU"/>
        </w:rPr>
        <w:t xml:space="preserve">total eligible Indigenous patients = 5097). </w:t>
      </w:r>
    </w:p>
    <w:p w14:paraId="43B15A31" w14:textId="77777777" w:rsidR="00A74860" w:rsidRDefault="00A74860" w:rsidP="00A74860">
      <w:pPr>
        <w:rPr>
          <w:lang w:eastAsia="en-AU"/>
        </w:rPr>
      </w:pPr>
      <w:r>
        <w:rPr>
          <w:lang w:eastAsia="en-AU"/>
        </w:rPr>
        <w:t xml:space="preserve">Individually these health centres reported invitation rates ranging from 2% to 43%, with a mean screening invitation rate of 15%.  This does not, however, take into consideration the length of time health centres had in which to distribute kits. </w:t>
      </w:r>
    </w:p>
    <w:p w14:paraId="05DDDF4C" w14:textId="77777777" w:rsidR="00A74860" w:rsidRDefault="00A74860" w:rsidP="00A74860">
      <w:pPr>
        <w:rPr>
          <w:lang w:eastAsia="en-AU"/>
        </w:rPr>
      </w:pPr>
      <w:r>
        <w:rPr>
          <w:lang w:eastAsia="en-AU"/>
        </w:rPr>
        <w:t xml:space="preserve">While invitation rate is not routinely reported for the NBCSP, participation rates are, and this is done for periods of two years.  For these 15 health centres, the time available to give out kits ranged from 40 days to 336 days, with an average of 235 days. The total number of people invited to screen by this group was 670, an average of 2.85 people per day. If the same rate of invitation was applied over a two-year period (730 days), the number invited would be 2080, or 41% of the eligible (aged 50 to 74 years) Indigenous patients of this group of health centres. </w:t>
      </w:r>
    </w:p>
    <w:p w14:paraId="2BCC23C1" w14:textId="77777777" w:rsidR="00A74860" w:rsidRDefault="00A74860" w:rsidP="00A74860">
      <w:pPr>
        <w:pStyle w:val="Heading2"/>
      </w:pPr>
      <w:bookmarkStart w:id="246" w:name="_Toc44339238"/>
      <w:bookmarkStart w:id="247" w:name="_Toc44925019"/>
      <w:bookmarkStart w:id="248" w:name="_Toc54954858"/>
      <w:r>
        <w:lastRenderedPageBreak/>
        <w:t>8.4 Screening outcomes</w:t>
      </w:r>
      <w:bookmarkEnd w:id="245"/>
      <w:bookmarkEnd w:id="246"/>
      <w:bookmarkEnd w:id="247"/>
      <w:bookmarkEnd w:id="248"/>
    </w:p>
    <w:p w14:paraId="51845EFB" w14:textId="77777777" w:rsidR="00A74860" w:rsidRDefault="00A74860" w:rsidP="00A74860">
      <w:pPr>
        <w:rPr>
          <w:b/>
          <w:bCs/>
          <w:lang w:eastAsia="en-AU"/>
        </w:rPr>
      </w:pPr>
      <w:r>
        <w:rPr>
          <w:b/>
          <w:bCs/>
          <w:lang w:eastAsia="en-AU"/>
        </w:rPr>
        <w:t>Positivity</w:t>
      </w:r>
    </w:p>
    <w:p w14:paraId="5E3CA20B" w14:textId="38930BB7" w:rsidR="00A74860" w:rsidRDefault="005C7866" w:rsidP="00A74860">
      <w:pPr>
        <w:rPr>
          <w:lang w:eastAsia="en-AU"/>
        </w:rPr>
      </w:pPr>
      <w:r>
        <w:rPr>
          <w:lang w:eastAsia="en-AU"/>
        </w:rPr>
        <w:t>Indigenous men</w:t>
      </w:r>
      <w:r w:rsidR="00A74860">
        <w:rPr>
          <w:lang w:eastAsia="en-AU"/>
        </w:rPr>
        <w:t xml:space="preserve"> who screened through the Alternative Pathway recorded a much higher rate of positive tests than </w:t>
      </w:r>
      <w:r>
        <w:rPr>
          <w:lang w:eastAsia="en-AU"/>
        </w:rPr>
        <w:t xml:space="preserve">Indigenous or non-Indigenous men </w:t>
      </w:r>
      <w:r w:rsidR="00A74860">
        <w:rPr>
          <w:lang w:eastAsia="en-AU"/>
        </w:rPr>
        <w:t>who screened through the usual pathway. Table 8.8 show</w:t>
      </w:r>
      <w:r>
        <w:rPr>
          <w:lang w:eastAsia="en-AU"/>
        </w:rPr>
        <w:t>s</w:t>
      </w:r>
      <w:r w:rsidR="00A74860">
        <w:rPr>
          <w:lang w:eastAsia="en-AU"/>
        </w:rPr>
        <w:t xml:space="preserve"> that the positivity rate for </w:t>
      </w:r>
      <w:r>
        <w:rPr>
          <w:lang w:eastAsia="en-AU"/>
        </w:rPr>
        <w:t>men</w:t>
      </w:r>
      <w:r w:rsidR="00A74860">
        <w:rPr>
          <w:lang w:eastAsia="en-AU"/>
        </w:rPr>
        <w:t xml:space="preserve"> who screened through the Alternative Pathway was roughly double that of the positivity rate for the Australian population overall. Of the Indigenous men who screened th</w:t>
      </w:r>
      <w:r w:rsidR="00463DF2">
        <w:rPr>
          <w:lang w:eastAsia="en-AU"/>
        </w:rPr>
        <w:t xml:space="preserve">rough the Alternative Pathway, </w:t>
      </w:r>
      <w:r w:rsidR="00A74860">
        <w:rPr>
          <w:lang w:eastAsia="en-AU"/>
        </w:rPr>
        <w:t>19.6</w:t>
      </w:r>
      <w:proofErr w:type="gramStart"/>
      <w:r w:rsidR="00A74860">
        <w:rPr>
          <w:lang w:eastAsia="en-AU"/>
        </w:rPr>
        <w:t>%  received</w:t>
      </w:r>
      <w:proofErr w:type="gramEnd"/>
      <w:r w:rsidR="00A74860">
        <w:rPr>
          <w:lang w:eastAsia="en-AU"/>
        </w:rPr>
        <w:t xml:space="preserve"> a positive </w:t>
      </w:r>
      <w:proofErr w:type="spellStart"/>
      <w:r w:rsidR="00A74860">
        <w:rPr>
          <w:lang w:eastAsia="en-AU"/>
        </w:rPr>
        <w:t>iFOBT</w:t>
      </w:r>
      <w:proofErr w:type="spellEnd"/>
      <w:r w:rsidR="00A74860">
        <w:rPr>
          <w:lang w:eastAsia="en-AU"/>
        </w:rPr>
        <w:t xml:space="preserve"> result, compared to 10.6% for Indigenous men who screened through the usual pathway, and eight per cent of all men who screened. Indigenous women had similar positivity rates across both pathways (10.1% for the Alternative Pathway and 9.1% in the usual pathway), whereas for Australian women overall, the positivity rate was 5.6%.  </w:t>
      </w:r>
    </w:p>
    <w:p w14:paraId="57215830" w14:textId="77777777" w:rsidR="00A74860" w:rsidRDefault="00A74860" w:rsidP="00A74860">
      <w:pPr>
        <w:rPr>
          <w:b/>
          <w:bCs/>
          <w:lang w:eastAsia="en-AU"/>
        </w:rPr>
      </w:pPr>
      <w:r>
        <w:rPr>
          <w:b/>
          <w:bCs/>
          <w:sz w:val="20"/>
          <w:szCs w:val="21"/>
          <w:lang w:eastAsia="en-AU"/>
        </w:rPr>
        <w:t>Table 8.8. Positivity rates, usual and Alternative Pathways, by Indigenous status and sex.</w:t>
      </w:r>
    </w:p>
    <w:tbl>
      <w:tblPr>
        <w:tblW w:w="10205" w:type="dxa"/>
        <w:tblLayout w:type="fixed"/>
        <w:tblLook w:val="04A0" w:firstRow="1" w:lastRow="0" w:firstColumn="1" w:lastColumn="0" w:noHBand="0" w:noVBand="1"/>
      </w:tblPr>
      <w:tblGrid>
        <w:gridCol w:w="988"/>
        <w:gridCol w:w="1347"/>
        <w:gridCol w:w="1347"/>
        <w:gridCol w:w="1348"/>
        <w:gridCol w:w="1347"/>
        <w:gridCol w:w="1347"/>
        <w:gridCol w:w="1348"/>
        <w:gridCol w:w="1133"/>
      </w:tblGrid>
      <w:tr w:rsidR="005C7866" w14:paraId="31DF882E" w14:textId="77777777" w:rsidTr="005C7866">
        <w:trPr>
          <w:gridAfter w:val="1"/>
          <w:wAfter w:w="1133" w:type="dxa"/>
          <w:trHeight w:val="320"/>
        </w:trPr>
        <w:tc>
          <w:tcPr>
            <w:tcW w:w="988" w:type="dxa"/>
            <w:tcBorders>
              <w:top w:val="single" w:sz="4" w:space="0" w:color="auto"/>
              <w:left w:val="nil"/>
              <w:bottom w:val="single" w:sz="4" w:space="0" w:color="auto"/>
              <w:right w:val="nil"/>
            </w:tcBorders>
            <w:noWrap/>
          </w:tcPr>
          <w:p w14:paraId="3540FB43" w14:textId="77777777" w:rsidR="005C7866" w:rsidRDefault="005C7866">
            <w:pPr>
              <w:spacing w:before="60" w:after="60" w:line="240" w:lineRule="auto"/>
              <w:jc w:val="center"/>
              <w:rPr>
                <w:rFonts w:cstheme="minorHAnsi"/>
                <w:color w:val="000000"/>
                <w:sz w:val="18"/>
                <w:szCs w:val="18"/>
                <w:lang w:eastAsia="en-US"/>
              </w:rPr>
            </w:pPr>
          </w:p>
        </w:tc>
        <w:tc>
          <w:tcPr>
            <w:tcW w:w="4042" w:type="dxa"/>
            <w:gridSpan w:val="3"/>
            <w:tcBorders>
              <w:top w:val="single" w:sz="4" w:space="0" w:color="auto"/>
              <w:left w:val="nil"/>
              <w:bottom w:val="single" w:sz="4" w:space="0" w:color="auto"/>
              <w:right w:val="nil"/>
            </w:tcBorders>
            <w:noWrap/>
            <w:hideMark/>
          </w:tcPr>
          <w:p w14:paraId="18F3FA4E" w14:textId="77777777" w:rsidR="005C7866" w:rsidRDefault="005C7866">
            <w:pPr>
              <w:spacing w:before="60" w:after="60" w:line="240" w:lineRule="auto"/>
              <w:jc w:val="center"/>
              <w:rPr>
                <w:rFonts w:cstheme="minorHAnsi"/>
                <w:b/>
                <w:bCs/>
                <w:color w:val="000000"/>
                <w:sz w:val="18"/>
                <w:szCs w:val="18"/>
                <w:lang w:eastAsia="en-US"/>
              </w:rPr>
            </w:pPr>
            <w:r>
              <w:rPr>
                <w:rFonts w:cstheme="minorHAnsi"/>
                <w:b/>
                <w:bCs/>
                <w:color w:val="000000"/>
                <w:sz w:val="18"/>
                <w:szCs w:val="18"/>
                <w:lang w:eastAsia="en-US"/>
              </w:rPr>
              <w:t>Usual pathway – Indigenous only</w:t>
            </w:r>
          </w:p>
        </w:tc>
        <w:tc>
          <w:tcPr>
            <w:tcW w:w="4042" w:type="dxa"/>
            <w:gridSpan w:val="3"/>
            <w:tcBorders>
              <w:top w:val="single" w:sz="4" w:space="0" w:color="auto"/>
              <w:left w:val="nil"/>
              <w:bottom w:val="single" w:sz="4" w:space="0" w:color="auto"/>
              <w:right w:val="nil"/>
            </w:tcBorders>
            <w:noWrap/>
            <w:hideMark/>
          </w:tcPr>
          <w:p w14:paraId="62D64851" w14:textId="77777777" w:rsidR="005C7866" w:rsidRDefault="005C7866">
            <w:pPr>
              <w:spacing w:before="60" w:after="60" w:line="240" w:lineRule="auto"/>
              <w:jc w:val="center"/>
              <w:rPr>
                <w:rFonts w:cstheme="minorHAnsi"/>
                <w:b/>
                <w:bCs/>
                <w:color w:val="000000"/>
                <w:sz w:val="18"/>
                <w:szCs w:val="18"/>
                <w:lang w:eastAsia="en-US"/>
              </w:rPr>
            </w:pPr>
            <w:r>
              <w:rPr>
                <w:rFonts w:cstheme="minorHAnsi"/>
                <w:b/>
                <w:bCs/>
                <w:color w:val="000000"/>
                <w:sz w:val="18"/>
                <w:szCs w:val="18"/>
                <w:lang w:eastAsia="en-US"/>
              </w:rPr>
              <w:t>Alternative Pathway</w:t>
            </w:r>
          </w:p>
        </w:tc>
      </w:tr>
      <w:tr w:rsidR="005C7866" w14:paraId="59909A25" w14:textId="77777777" w:rsidTr="005C7866">
        <w:trPr>
          <w:trHeight w:val="320"/>
        </w:trPr>
        <w:tc>
          <w:tcPr>
            <w:tcW w:w="988" w:type="dxa"/>
            <w:tcBorders>
              <w:top w:val="single" w:sz="4" w:space="0" w:color="auto"/>
              <w:left w:val="nil"/>
              <w:bottom w:val="single" w:sz="4" w:space="0" w:color="auto"/>
              <w:right w:val="nil"/>
            </w:tcBorders>
            <w:noWrap/>
            <w:hideMark/>
          </w:tcPr>
          <w:p w14:paraId="67782ABE" w14:textId="77777777" w:rsidR="005C7866" w:rsidRDefault="005C7866">
            <w:pPr>
              <w:spacing w:before="60" w:after="60" w:line="240" w:lineRule="auto"/>
              <w:rPr>
                <w:rFonts w:cstheme="minorHAnsi"/>
                <w:color w:val="000000"/>
                <w:sz w:val="18"/>
                <w:szCs w:val="18"/>
                <w:lang w:eastAsia="en-US"/>
              </w:rPr>
            </w:pPr>
            <w:r>
              <w:rPr>
                <w:rFonts w:eastAsia="Times New Roman" w:cstheme="minorHAnsi"/>
                <w:color w:val="000000"/>
                <w:sz w:val="18"/>
                <w:szCs w:val="18"/>
                <w:lang w:eastAsia="en-US"/>
              </w:rPr>
              <w:t>Sex</w:t>
            </w:r>
          </w:p>
        </w:tc>
        <w:tc>
          <w:tcPr>
            <w:tcW w:w="1347" w:type="dxa"/>
            <w:tcBorders>
              <w:top w:val="single" w:sz="4" w:space="0" w:color="auto"/>
              <w:left w:val="nil"/>
              <w:bottom w:val="single" w:sz="4" w:space="0" w:color="auto"/>
              <w:right w:val="nil"/>
            </w:tcBorders>
            <w:noWrap/>
            <w:hideMark/>
          </w:tcPr>
          <w:p w14:paraId="080CB9A8"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Positive result (N)</w:t>
            </w:r>
          </w:p>
        </w:tc>
        <w:tc>
          <w:tcPr>
            <w:tcW w:w="1347" w:type="dxa"/>
            <w:tcBorders>
              <w:top w:val="single" w:sz="4" w:space="0" w:color="auto"/>
              <w:left w:val="nil"/>
              <w:bottom w:val="single" w:sz="4" w:space="0" w:color="auto"/>
              <w:right w:val="nil"/>
            </w:tcBorders>
            <w:noWrap/>
            <w:hideMark/>
          </w:tcPr>
          <w:p w14:paraId="6B3B1475"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Valid screening test (N)</w:t>
            </w:r>
          </w:p>
        </w:tc>
        <w:tc>
          <w:tcPr>
            <w:tcW w:w="1348" w:type="dxa"/>
            <w:tcBorders>
              <w:top w:val="single" w:sz="4" w:space="0" w:color="auto"/>
              <w:left w:val="nil"/>
              <w:bottom w:val="single" w:sz="4" w:space="0" w:color="auto"/>
              <w:right w:val="nil"/>
            </w:tcBorders>
            <w:noWrap/>
            <w:hideMark/>
          </w:tcPr>
          <w:p w14:paraId="548CAFB5"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Screening positivity (%)</w:t>
            </w:r>
          </w:p>
        </w:tc>
        <w:tc>
          <w:tcPr>
            <w:tcW w:w="1347" w:type="dxa"/>
            <w:tcBorders>
              <w:top w:val="single" w:sz="4" w:space="0" w:color="auto"/>
              <w:left w:val="nil"/>
              <w:bottom w:val="single" w:sz="4" w:space="0" w:color="auto"/>
              <w:right w:val="nil"/>
            </w:tcBorders>
            <w:noWrap/>
            <w:hideMark/>
          </w:tcPr>
          <w:p w14:paraId="343D9F7A"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Positive result (N)</w:t>
            </w:r>
          </w:p>
        </w:tc>
        <w:tc>
          <w:tcPr>
            <w:tcW w:w="1347" w:type="dxa"/>
            <w:tcBorders>
              <w:top w:val="single" w:sz="4" w:space="0" w:color="auto"/>
              <w:left w:val="nil"/>
              <w:bottom w:val="single" w:sz="4" w:space="0" w:color="auto"/>
              <w:right w:val="nil"/>
            </w:tcBorders>
            <w:noWrap/>
            <w:hideMark/>
          </w:tcPr>
          <w:p w14:paraId="3B1BD44D"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Valid screening test (N)</w:t>
            </w:r>
          </w:p>
        </w:tc>
        <w:tc>
          <w:tcPr>
            <w:tcW w:w="1348" w:type="dxa"/>
            <w:tcBorders>
              <w:top w:val="single" w:sz="4" w:space="0" w:color="auto"/>
              <w:left w:val="nil"/>
              <w:bottom w:val="single" w:sz="4" w:space="0" w:color="auto"/>
              <w:right w:val="nil"/>
            </w:tcBorders>
            <w:noWrap/>
            <w:hideMark/>
          </w:tcPr>
          <w:p w14:paraId="35AC64AA"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Screening positivity (%)</w:t>
            </w:r>
          </w:p>
        </w:tc>
        <w:tc>
          <w:tcPr>
            <w:tcW w:w="1133" w:type="dxa"/>
            <w:vAlign w:val="bottom"/>
          </w:tcPr>
          <w:p w14:paraId="2F793FC8" w14:textId="77777777" w:rsidR="005C7866" w:rsidRDefault="005C7866">
            <w:pPr>
              <w:spacing w:before="0" w:after="0" w:line="240" w:lineRule="auto"/>
              <w:rPr>
                <w:rFonts w:cstheme="minorHAnsi"/>
                <w:color w:val="000000"/>
                <w:sz w:val="18"/>
                <w:szCs w:val="18"/>
                <w:lang w:eastAsia="en-US"/>
              </w:rPr>
            </w:pPr>
          </w:p>
        </w:tc>
      </w:tr>
      <w:tr w:rsidR="005C7866" w14:paraId="3694541E" w14:textId="77777777" w:rsidTr="005C7866">
        <w:trPr>
          <w:trHeight w:val="320"/>
        </w:trPr>
        <w:tc>
          <w:tcPr>
            <w:tcW w:w="988" w:type="dxa"/>
            <w:tcBorders>
              <w:top w:val="single" w:sz="4" w:space="0" w:color="auto"/>
              <w:left w:val="nil"/>
              <w:bottom w:val="nil"/>
              <w:right w:val="nil"/>
            </w:tcBorders>
            <w:noWrap/>
            <w:hideMark/>
          </w:tcPr>
          <w:p w14:paraId="1B766A04" w14:textId="77777777" w:rsidR="005C7866" w:rsidRDefault="005C7866">
            <w:pPr>
              <w:spacing w:before="60" w:after="60" w:line="240" w:lineRule="auto"/>
              <w:rPr>
                <w:rFonts w:cstheme="minorHAnsi"/>
                <w:color w:val="000000"/>
                <w:sz w:val="18"/>
                <w:szCs w:val="18"/>
                <w:lang w:eastAsia="en-US"/>
              </w:rPr>
            </w:pPr>
            <w:r>
              <w:rPr>
                <w:rFonts w:eastAsia="Times New Roman" w:cstheme="minorHAnsi"/>
                <w:color w:val="000000"/>
                <w:sz w:val="18"/>
                <w:szCs w:val="18"/>
                <w:lang w:eastAsia="en-US"/>
              </w:rPr>
              <w:t>Males</w:t>
            </w:r>
          </w:p>
        </w:tc>
        <w:tc>
          <w:tcPr>
            <w:tcW w:w="1347" w:type="dxa"/>
            <w:tcBorders>
              <w:top w:val="single" w:sz="4" w:space="0" w:color="auto"/>
              <w:left w:val="nil"/>
              <w:bottom w:val="nil"/>
              <w:right w:val="nil"/>
            </w:tcBorders>
            <w:noWrap/>
            <w:hideMark/>
          </w:tcPr>
          <w:p w14:paraId="28CDD680"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546</w:t>
            </w:r>
          </w:p>
        </w:tc>
        <w:tc>
          <w:tcPr>
            <w:tcW w:w="1347" w:type="dxa"/>
            <w:tcBorders>
              <w:top w:val="single" w:sz="4" w:space="0" w:color="auto"/>
              <w:left w:val="nil"/>
              <w:bottom w:val="nil"/>
              <w:right w:val="nil"/>
            </w:tcBorders>
            <w:noWrap/>
            <w:hideMark/>
          </w:tcPr>
          <w:p w14:paraId="7BAAA511"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5,159</w:t>
            </w:r>
          </w:p>
        </w:tc>
        <w:tc>
          <w:tcPr>
            <w:tcW w:w="1348" w:type="dxa"/>
            <w:tcBorders>
              <w:top w:val="single" w:sz="4" w:space="0" w:color="auto"/>
              <w:left w:val="nil"/>
              <w:bottom w:val="nil"/>
              <w:right w:val="nil"/>
            </w:tcBorders>
            <w:noWrap/>
            <w:hideMark/>
          </w:tcPr>
          <w:p w14:paraId="5C8B82B2"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10.6</w:t>
            </w:r>
          </w:p>
        </w:tc>
        <w:tc>
          <w:tcPr>
            <w:tcW w:w="1347" w:type="dxa"/>
            <w:tcBorders>
              <w:top w:val="single" w:sz="4" w:space="0" w:color="auto"/>
              <w:left w:val="nil"/>
              <w:bottom w:val="nil"/>
              <w:right w:val="nil"/>
            </w:tcBorders>
            <w:noWrap/>
            <w:hideMark/>
          </w:tcPr>
          <w:p w14:paraId="6F21DAE0"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29</w:t>
            </w:r>
          </w:p>
        </w:tc>
        <w:tc>
          <w:tcPr>
            <w:tcW w:w="1347" w:type="dxa"/>
            <w:tcBorders>
              <w:top w:val="single" w:sz="4" w:space="0" w:color="auto"/>
              <w:left w:val="nil"/>
              <w:bottom w:val="nil"/>
              <w:right w:val="nil"/>
            </w:tcBorders>
            <w:noWrap/>
            <w:hideMark/>
          </w:tcPr>
          <w:p w14:paraId="00D6B904"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148</w:t>
            </w:r>
          </w:p>
        </w:tc>
        <w:tc>
          <w:tcPr>
            <w:tcW w:w="1348" w:type="dxa"/>
            <w:tcBorders>
              <w:top w:val="single" w:sz="4" w:space="0" w:color="auto"/>
              <w:left w:val="nil"/>
              <w:bottom w:val="nil"/>
              <w:right w:val="nil"/>
            </w:tcBorders>
            <w:noWrap/>
            <w:hideMark/>
          </w:tcPr>
          <w:p w14:paraId="488488D2"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19.6</w:t>
            </w:r>
          </w:p>
        </w:tc>
        <w:tc>
          <w:tcPr>
            <w:tcW w:w="1133" w:type="dxa"/>
            <w:vAlign w:val="bottom"/>
          </w:tcPr>
          <w:p w14:paraId="51AB6025" w14:textId="77777777" w:rsidR="005C7866" w:rsidRDefault="005C7866">
            <w:pPr>
              <w:spacing w:before="0" w:after="0" w:line="240" w:lineRule="auto"/>
              <w:rPr>
                <w:rFonts w:cstheme="minorHAnsi"/>
                <w:color w:val="000000"/>
                <w:sz w:val="18"/>
                <w:szCs w:val="18"/>
                <w:lang w:eastAsia="en-US"/>
              </w:rPr>
            </w:pPr>
          </w:p>
        </w:tc>
      </w:tr>
      <w:tr w:rsidR="005C7866" w14:paraId="34BD9182" w14:textId="77777777" w:rsidTr="005C7866">
        <w:trPr>
          <w:trHeight w:val="320"/>
        </w:trPr>
        <w:tc>
          <w:tcPr>
            <w:tcW w:w="988" w:type="dxa"/>
            <w:noWrap/>
            <w:hideMark/>
          </w:tcPr>
          <w:p w14:paraId="736BD338" w14:textId="77777777" w:rsidR="005C7866" w:rsidRDefault="005C7866">
            <w:pPr>
              <w:spacing w:before="60" w:after="60" w:line="240" w:lineRule="auto"/>
              <w:rPr>
                <w:rFonts w:cstheme="minorHAnsi"/>
                <w:color w:val="000000"/>
                <w:sz w:val="18"/>
                <w:szCs w:val="18"/>
                <w:lang w:eastAsia="en-US"/>
              </w:rPr>
            </w:pPr>
            <w:r>
              <w:rPr>
                <w:rFonts w:eastAsia="Times New Roman" w:cstheme="minorHAnsi"/>
                <w:color w:val="000000"/>
                <w:sz w:val="18"/>
                <w:szCs w:val="18"/>
                <w:lang w:eastAsia="en-US"/>
              </w:rPr>
              <w:t>Females</w:t>
            </w:r>
          </w:p>
        </w:tc>
        <w:tc>
          <w:tcPr>
            <w:tcW w:w="1347" w:type="dxa"/>
            <w:noWrap/>
            <w:hideMark/>
          </w:tcPr>
          <w:p w14:paraId="0A9300C3"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505</w:t>
            </w:r>
          </w:p>
        </w:tc>
        <w:tc>
          <w:tcPr>
            <w:tcW w:w="1347" w:type="dxa"/>
            <w:noWrap/>
            <w:hideMark/>
          </w:tcPr>
          <w:p w14:paraId="4490DE3B"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5,535</w:t>
            </w:r>
          </w:p>
        </w:tc>
        <w:tc>
          <w:tcPr>
            <w:tcW w:w="1348" w:type="dxa"/>
            <w:noWrap/>
            <w:hideMark/>
          </w:tcPr>
          <w:p w14:paraId="04AA496A"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9.1</w:t>
            </w:r>
          </w:p>
        </w:tc>
        <w:tc>
          <w:tcPr>
            <w:tcW w:w="1347" w:type="dxa"/>
            <w:noWrap/>
            <w:hideMark/>
          </w:tcPr>
          <w:p w14:paraId="13CF2208"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24</w:t>
            </w:r>
          </w:p>
        </w:tc>
        <w:tc>
          <w:tcPr>
            <w:tcW w:w="1347" w:type="dxa"/>
            <w:noWrap/>
            <w:hideMark/>
          </w:tcPr>
          <w:p w14:paraId="0C593B11"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227</w:t>
            </w:r>
          </w:p>
        </w:tc>
        <w:tc>
          <w:tcPr>
            <w:tcW w:w="1348" w:type="dxa"/>
            <w:noWrap/>
            <w:hideMark/>
          </w:tcPr>
          <w:p w14:paraId="563BAA74"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10.6</w:t>
            </w:r>
          </w:p>
        </w:tc>
        <w:tc>
          <w:tcPr>
            <w:tcW w:w="1133" w:type="dxa"/>
            <w:vAlign w:val="bottom"/>
          </w:tcPr>
          <w:p w14:paraId="0CD3CF1F" w14:textId="77777777" w:rsidR="005C7866" w:rsidRDefault="005C7866">
            <w:pPr>
              <w:spacing w:before="0" w:after="0" w:line="240" w:lineRule="auto"/>
              <w:rPr>
                <w:rFonts w:cstheme="minorHAnsi"/>
                <w:color w:val="000000"/>
                <w:sz w:val="18"/>
                <w:szCs w:val="18"/>
                <w:lang w:eastAsia="en-US"/>
              </w:rPr>
            </w:pPr>
          </w:p>
        </w:tc>
      </w:tr>
      <w:tr w:rsidR="005C7866" w14:paraId="4E509F33" w14:textId="77777777" w:rsidTr="005C7866">
        <w:trPr>
          <w:trHeight w:val="320"/>
        </w:trPr>
        <w:tc>
          <w:tcPr>
            <w:tcW w:w="988" w:type="dxa"/>
            <w:tcBorders>
              <w:top w:val="nil"/>
              <w:left w:val="nil"/>
              <w:bottom w:val="single" w:sz="4" w:space="0" w:color="auto"/>
              <w:right w:val="nil"/>
            </w:tcBorders>
            <w:noWrap/>
            <w:hideMark/>
          </w:tcPr>
          <w:p w14:paraId="6783F95F" w14:textId="77777777" w:rsidR="005C7866" w:rsidRDefault="005C7866">
            <w:pPr>
              <w:spacing w:before="60" w:after="60" w:line="240" w:lineRule="auto"/>
              <w:rPr>
                <w:rFonts w:cstheme="minorHAnsi"/>
                <w:b/>
                <w:bCs/>
                <w:color w:val="000000"/>
                <w:sz w:val="18"/>
                <w:szCs w:val="18"/>
                <w:lang w:eastAsia="en-US"/>
              </w:rPr>
            </w:pPr>
            <w:r>
              <w:rPr>
                <w:rFonts w:eastAsia="Times New Roman" w:cstheme="minorHAnsi"/>
                <w:color w:val="000000"/>
                <w:sz w:val="18"/>
                <w:szCs w:val="18"/>
                <w:lang w:eastAsia="en-US"/>
              </w:rPr>
              <w:t>Persons</w:t>
            </w:r>
          </w:p>
        </w:tc>
        <w:tc>
          <w:tcPr>
            <w:tcW w:w="1347" w:type="dxa"/>
            <w:tcBorders>
              <w:top w:val="nil"/>
              <w:left w:val="nil"/>
              <w:bottom w:val="single" w:sz="4" w:space="0" w:color="auto"/>
              <w:right w:val="nil"/>
            </w:tcBorders>
            <w:noWrap/>
            <w:hideMark/>
          </w:tcPr>
          <w:p w14:paraId="4D02A6D9"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1,051</w:t>
            </w:r>
          </w:p>
        </w:tc>
        <w:tc>
          <w:tcPr>
            <w:tcW w:w="1347" w:type="dxa"/>
            <w:tcBorders>
              <w:top w:val="nil"/>
              <w:left w:val="nil"/>
              <w:bottom w:val="single" w:sz="4" w:space="0" w:color="auto"/>
              <w:right w:val="nil"/>
            </w:tcBorders>
            <w:noWrap/>
            <w:hideMark/>
          </w:tcPr>
          <w:p w14:paraId="79C7BDE7"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10,694</w:t>
            </w:r>
          </w:p>
        </w:tc>
        <w:tc>
          <w:tcPr>
            <w:tcW w:w="1348" w:type="dxa"/>
            <w:tcBorders>
              <w:top w:val="nil"/>
              <w:left w:val="nil"/>
              <w:bottom w:val="single" w:sz="4" w:space="0" w:color="auto"/>
              <w:right w:val="nil"/>
            </w:tcBorders>
            <w:noWrap/>
            <w:hideMark/>
          </w:tcPr>
          <w:p w14:paraId="7ECD3668"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9.8</w:t>
            </w:r>
          </w:p>
        </w:tc>
        <w:tc>
          <w:tcPr>
            <w:tcW w:w="1347" w:type="dxa"/>
            <w:tcBorders>
              <w:top w:val="nil"/>
              <w:left w:val="nil"/>
              <w:bottom w:val="single" w:sz="4" w:space="0" w:color="auto"/>
              <w:right w:val="nil"/>
            </w:tcBorders>
            <w:noWrap/>
            <w:hideMark/>
          </w:tcPr>
          <w:p w14:paraId="21AD3EC7"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53</w:t>
            </w:r>
          </w:p>
        </w:tc>
        <w:tc>
          <w:tcPr>
            <w:tcW w:w="1347" w:type="dxa"/>
            <w:tcBorders>
              <w:top w:val="nil"/>
              <w:left w:val="nil"/>
              <w:bottom w:val="single" w:sz="4" w:space="0" w:color="auto"/>
              <w:right w:val="nil"/>
            </w:tcBorders>
            <w:shd w:val="clear" w:color="auto" w:fill="FFFFFF"/>
            <w:hideMark/>
          </w:tcPr>
          <w:p w14:paraId="0E4E09AD"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375</w:t>
            </w:r>
          </w:p>
        </w:tc>
        <w:tc>
          <w:tcPr>
            <w:tcW w:w="1348" w:type="dxa"/>
            <w:tcBorders>
              <w:top w:val="nil"/>
              <w:left w:val="nil"/>
              <w:bottom w:val="single" w:sz="4" w:space="0" w:color="auto"/>
              <w:right w:val="nil"/>
            </w:tcBorders>
            <w:noWrap/>
            <w:hideMark/>
          </w:tcPr>
          <w:p w14:paraId="62D5D9DC"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14.1</w:t>
            </w:r>
          </w:p>
        </w:tc>
        <w:tc>
          <w:tcPr>
            <w:tcW w:w="1133" w:type="dxa"/>
            <w:vAlign w:val="bottom"/>
          </w:tcPr>
          <w:p w14:paraId="29EB98C6" w14:textId="77777777" w:rsidR="005C7866" w:rsidRDefault="005C7866">
            <w:pPr>
              <w:spacing w:before="0" w:after="0" w:line="240" w:lineRule="auto"/>
              <w:rPr>
                <w:rFonts w:cstheme="minorHAnsi"/>
                <w:color w:val="000000"/>
                <w:sz w:val="18"/>
                <w:szCs w:val="18"/>
                <w:lang w:eastAsia="en-US"/>
              </w:rPr>
            </w:pPr>
          </w:p>
        </w:tc>
      </w:tr>
      <w:tr w:rsidR="005C7866" w14:paraId="7FA3F0F0" w14:textId="77777777" w:rsidTr="005C7866">
        <w:trPr>
          <w:gridAfter w:val="1"/>
          <w:wAfter w:w="1133" w:type="dxa"/>
          <w:trHeight w:val="320"/>
        </w:trPr>
        <w:tc>
          <w:tcPr>
            <w:tcW w:w="988" w:type="dxa"/>
            <w:tcBorders>
              <w:top w:val="single" w:sz="4" w:space="0" w:color="auto"/>
              <w:left w:val="nil"/>
              <w:bottom w:val="single" w:sz="4" w:space="0" w:color="auto"/>
              <w:right w:val="nil"/>
            </w:tcBorders>
            <w:noWrap/>
          </w:tcPr>
          <w:p w14:paraId="55C205B8" w14:textId="77777777" w:rsidR="005C7866" w:rsidRDefault="005C7866">
            <w:pPr>
              <w:spacing w:before="60" w:after="60" w:line="240" w:lineRule="auto"/>
              <w:rPr>
                <w:rFonts w:cstheme="minorHAnsi"/>
                <w:color w:val="000000"/>
                <w:sz w:val="18"/>
                <w:szCs w:val="18"/>
                <w:lang w:eastAsia="en-US"/>
              </w:rPr>
            </w:pPr>
          </w:p>
        </w:tc>
        <w:tc>
          <w:tcPr>
            <w:tcW w:w="4042" w:type="dxa"/>
            <w:gridSpan w:val="3"/>
            <w:tcBorders>
              <w:top w:val="single" w:sz="4" w:space="0" w:color="auto"/>
              <w:left w:val="nil"/>
              <w:bottom w:val="single" w:sz="4" w:space="0" w:color="auto"/>
              <w:right w:val="nil"/>
            </w:tcBorders>
            <w:noWrap/>
            <w:hideMark/>
          </w:tcPr>
          <w:p w14:paraId="0F6240FC" w14:textId="77777777" w:rsidR="005C7866" w:rsidRDefault="005C7866">
            <w:pPr>
              <w:spacing w:before="60" w:after="60" w:line="240" w:lineRule="auto"/>
              <w:jc w:val="center"/>
              <w:rPr>
                <w:rFonts w:cstheme="minorHAnsi"/>
                <w:b/>
                <w:bCs/>
                <w:color w:val="000000"/>
                <w:sz w:val="18"/>
                <w:szCs w:val="18"/>
                <w:lang w:eastAsia="en-US"/>
              </w:rPr>
            </w:pPr>
            <w:r>
              <w:rPr>
                <w:rFonts w:cstheme="minorHAnsi"/>
                <w:b/>
                <w:bCs/>
                <w:color w:val="000000"/>
                <w:sz w:val="18"/>
                <w:szCs w:val="18"/>
                <w:lang w:eastAsia="en-US"/>
              </w:rPr>
              <w:t>Usual pathway – all participants</w:t>
            </w:r>
          </w:p>
        </w:tc>
        <w:tc>
          <w:tcPr>
            <w:tcW w:w="4042" w:type="dxa"/>
            <w:gridSpan w:val="3"/>
            <w:tcBorders>
              <w:top w:val="single" w:sz="4" w:space="0" w:color="auto"/>
              <w:left w:val="nil"/>
              <w:bottom w:val="single" w:sz="4" w:space="0" w:color="auto"/>
              <w:right w:val="nil"/>
            </w:tcBorders>
            <w:noWrap/>
            <w:hideMark/>
          </w:tcPr>
          <w:p w14:paraId="4763AE8E" w14:textId="77777777" w:rsidR="005C7866" w:rsidRDefault="005C7866">
            <w:pPr>
              <w:spacing w:before="60" w:after="60" w:line="240" w:lineRule="auto"/>
              <w:jc w:val="center"/>
              <w:rPr>
                <w:rFonts w:cstheme="minorHAnsi"/>
                <w:b/>
                <w:bCs/>
                <w:color w:val="000000"/>
                <w:sz w:val="18"/>
                <w:szCs w:val="18"/>
                <w:lang w:eastAsia="en-US"/>
              </w:rPr>
            </w:pPr>
            <w:r>
              <w:rPr>
                <w:rFonts w:cstheme="minorHAnsi"/>
                <w:b/>
                <w:bCs/>
                <w:color w:val="000000"/>
                <w:sz w:val="18"/>
                <w:szCs w:val="18"/>
                <w:lang w:eastAsia="en-US"/>
              </w:rPr>
              <w:t>Alternative Pathway</w:t>
            </w:r>
          </w:p>
        </w:tc>
      </w:tr>
      <w:tr w:rsidR="005C7866" w14:paraId="6F77E149" w14:textId="77777777" w:rsidTr="005C7866">
        <w:trPr>
          <w:gridAfter w:val="1"/>
          <w:wAfter w:w="1133" w:type="dxa"/>
          <w:trHeight w:val="320"/>
        </w:trPr>
        <w:tc>
          <w:tcPr>
            <w:tcW w:w="988" w:type="dxa"/>
            <w:tcBorders>
              <w:top w:val="single" w:sz="4" w:space="0" w:color="auto"/>
              <w:left w:val="nil"/>
              <w:bottom w:val="single" w:sz="4" w:space="0" w:color="auto"/>
              <w:right w:val="nil"/>
            </w:tcBorders>
            <w:noWrap/>
            <w:hideMark/>
          </w:tcPr>
          <w:p w14:paraId="4F5F17CE" w14:textId="77777777" w:rsidR="005C7866" w:rsidRDefault="005C7866">
            <w:pPr>
              <w:spacing w:before="60" w:after="60" w:line="240" w:lineRule="auto"/>
              <w:rPr>
                <w:rFonts w:cstheme="minorHAnsi"/>
                <w:color w:val="000000"/>
                <w:sz w:val="18"/>
                <w:szCs w:val="18"/>
                <w:lang w:eastAsia="en-US"/>
              </w:rPr>
            </w:pPr>
            <w:r>
              <w:rPr>
                <w:rFonts w:eastAsia="Times New Roman" w:cstheme="minorHAnsi"/>
                <w:color w:val="000000"/>
                <w:sz w:val="18"/>
                <w:szCs w:val="18"/>
                <w:lang w:eastAsia="en-US"/>
              </w:rPr>
              <w:t>Sex</w:t>
            </w:r>
          </w:p>
        </w:tc>
        <w:tc>
          <w:tcPr>
            <w:tcW w:w="1347" w:type="dxa"/>
            <w:tcBorders>
              <w:top w:val="single" w:sz="4" w:space="0" w:color="auto"/>
              <w:left w:val="nil"/>
              <w:bottom w:val="single" w:sz="4" w:space="0" w:color="auto"/>
              <w:right w:val="nil"/>
            </w:tcBorders>
            <w:noWrap/>
            <w:hideMark/>
          </w:tcPr>
          <w:p w14:paraId="0E2113FA"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Positive result (N)</w:t>
            </w:r>
          </w:p>
        </w:tc>
        <w:tc>
          <w:tcPr>
            <w:tcW w:w="1347" w:type="dxa"/>
            <w:tcBorders>
              <w:top w:val="single" w:sz="4" w:space="0" w:color="auto"/>
              <w:left w:val="nil"/>
              <w:bottom w:val="single" w:sz="4" w:space="0" w:color="auto"/>
              <w:right w:val="nil"/>
            </w:tcBorders>
            <w:noWrap/>
            <w:hideMark/>
          </w:tcPr>
          <w:p w14:paraId="26082501"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Valid screening test (N)</w:t>
            </w:r>
          </w:p>
        </w:tc>
        <w:tc>
          <w:tcPr>
            <w:tcW w:w="1348" w:type="dxa"/>
            <w:tcBorders>
              <w:top w:val="single" w:sz="4" w:space="0" w:color="auto"/>
              <w:left w:val="nil"/>
              <w:bottom w:val="single" w:sz="4" w:space="0" w:color="auto"/>
              <w:right w:val="nil"/>
            </w:tcBorders>
            <w:noWrap/>
            <w:hideMark/>
          </w:tcPr>
          <w:p w14:paraId="21806045"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Screening positivity (%)</w:t>
            </w:r>
          </w:p>
        </w:tc>
        <w:tc>
          <w:tcPr>
            <w:tcW w:w="1347" w:type="dxa"/>
            <w:tcBorders>
              <w:top w:val="single" w:sz="4" w:space="0" w:color="auto"/>
              <w:left w:val="nil"/>
              <w:bottom w:val="single" w:sz="4" w:space="0" w:color="auto"/>
              <w:right w:val="nil"/>
            </w:tcBorders>
            <w:noWrap/>
            <w:hideMark/>
          </w:tcPr>
          <w:p w14:paraId="54FA06CA"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Positive result (N)</w:t>
            </w:r>
          </w:p>
        </w:tc>
        <w:tc>
          <w:tcPr>
            <w:tcW w:w="1347" w:type="dxa"/>
            <w:tcBorders>
              <w:top w:val="single" w:sz="4" w:space="0" w:color="auto"/>
              <w:left w:val="nil"/>
              <w:bottom w:val="single" w:sz="4" w:space="0" w:color="auto"/>
              <w:right w:val="nil"/>
            </w:tcBorders>
            <w:noWrap/>
            <w:hideMark/>
          </w:tcPr>
          <w:p w14:paraId="16E3576A"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Valid screening test (N)</w:t>
            </w:r>
          </w:p>
        </w:tc>
        <w:tc>
          <w:tcPr>
            <w:tcW w:w="1348" w:type="dxa"/>
            <w:tcBorders>
              <w:top w:val="single" w:sz="4" w:space="0" w:color="auto"/>
              <w:left w:val="nil"/>
              <w:bottom w:val="single" w:sz="4" w:space="0" w:color="auto"/>
              <w:right w:val="nil"/>
            </w:tcBorders>
            <w:noWrap/>
            <w:hideMark/>
          </w:tcPr>
          <w:p w14:paraId="2A9D43CB" w14:textId="77777777" w:rsidR="005C7866" w:rsidRDefault="005C7866">
            <w:pPr>
              <w:spacing w:before="60" w:after="60" w:line="240" w:lineRule="auto"/>
              <w:jc w:val="center"/>
              <w:rPr>
                <w:rFonts w:cstheme="minorHAnsi"/>
                <w:color w:val="000000"/>
                <w:sz w:val="18"/>
                <w:szCs w:val="18"/>
                <w:lang w:eastAsia="en-US"/>
              </w:rPr>
            </w:pPr>
            <w:r>
              <w:rPr>
                <w:rFonts w:eastAsia="Times New Roman" w:cstheme="minorHAnsi"/>
                <w:color w:val="000000"/>
                <w:sz w:val="18"/>
                <w:szCs w:val="18"/>
                <w:lang w:eastAsia="en-US"/>
              </w:rPr>
              <w:t>Screening positivity (%)</w:t>
            </w:r>
          </w:p>
        </w:tc>
      </w:tr>
      <w:tr w:rsidR="005C7866" w14:paraId="4F4B0354" w14:textId="77777777" w:rsidTr="005C7866">
        <w:trPr>
          <w:gridAfter w:val="1"/>
          <w:wAfter w:w="1133" w:type="dxa"/>
          <w:trHeight w:val="320"/>
        </w:trPr>
        <w:tc>
          <w:tcPr>
            <w:tcW w:w="988" w:type="dxa"/>
            <w:tcBorders>
              <w:top w:val="single" w:sz="4" w:space="0" w:color="auto"/>
              <w:left w:val="nil"/>
              <w:bottom w:val="nil"/>
              <w:right w:val="nil"/>
            </w:tcBorders>
            <w:noWrap/>
            <w:hideMark/>
          </w:tcPr>
          <w:p w14:paraId="650AB36A" w14:textId="77777777" w:rsidR="005C7866" w:rsidRDefault="005C7866">
            <w:pPr>
              <w:spacing w:before="60" w:after="60" w:line="240" w:lineRule="auto"/>
              <w:rPr>
                <w:rFonts w:cstheme="minorHAnsi"/>
                <w:color w:val="000000"/>
                <w:sz w:val="18"/>
                <w:szCs w:val="18"/>
                <w:lang w:eastAsia="en-US"/>
              </w:rPr>
            </w:pPr>
            <w:r>
              <w:rPr>
                <w:rFonts w:eastAsia="Times New Roman" w:cstheme="minorHAnsi"/>
                <w:color w:val="000000"/>
                <w:sz w:val="18"/>
                <w:szCs w:val="18"/>
                <w:lang w:eastAsia="en-US"/>
              </w:rPr>
              <w:t>Males</w:t>
            </w:r>
          </w:p>
        </w:tc>
        <w:tc>
          <w:tcPr>
            <w:tcW w:w="1347" w:type="dxa"/>
            <w:tcBorders>
              <w:top w:val="single" w:sz="4" w:space="0" w:color="auto"/>
              <w:left w:val="nil"/>
              <w:bottom w:val="nil"/>
              <w:right w:val="nil"/>
            </w:tcBorders>
            <w:noWrap/>
            <w:hideMark/>
          </w:tcPr>
          <w:p w14:paraId="6691DA1F"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43,454</w:t>
            </w:r>
          </w:p>
        </w:tc>
        <w:tc>
          <w:tcPr>
            <w:tcW w:w="1347" w:type="dxa"/>
            <w:tcBorders>
              <w:top w:val="single" w:sz="4" w:space="0" w:color="auto"/>
              <w:left w:val="nil"/>
              <w:bottom w:val="nil"/>
              <w:right w:val="nil"/>
            </w:tcBorders>
            <w:noWrap/>
            <w:hideMark/>
          </w:tcPr>
          <w:p w14:paraId="0469D7B1"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544,396</w:t>
            </w:r>
          </w:p>
        </w:tc>
        <w:tc>
          <w:tcPr>
            <w:tcW w:w="1348" w:type="dxa"/>
            <w:tcBorders>
              <w:top w:val="single" w:sz="4" w:space="0" w:color="auto"/>
              <w:left w:val="nil"/>
              <w:bottom w:val="nil"/>
              <w:right w:val="nil"/>
            </w:tcBorders>
            <w:noWrap/>
            <w:hideMark/>
          </w:tcPr>
          <w:p w14:paraId="6B846183"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8.0</w:t>
            </w:r>
          </w:p>
        </w:tc>
        <w:tc>
          <w:tcPr>
            <w:tcW w:w="1347" w:type="dxa"/>
            <w:tcBorders>
              <w:top w:val="single" w:sz="4" w:space="0" w:color="auto"/>
              <w:left w:val="nil"/>
              <w:bottom w:val="nil"/>
              <w:right w:val="nil"/>
            </w:tcBorders>
            <w:noWrap/>
            <w:hideMark/>
          </w:tcPr>
          <w:p w14:paraId="509DD1FB"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29</w:t>
            </w:r>
          </w:p>
        </w:tc>
        <w:tc>
          <w:tcPr>
            <w:tcW w:w="1347" w:type="dxa"/>
            <w:tcBorders>
              <w:top w:val="single" w:sz="4" w:space="0" w:color="auto"/>
              <w:left w:val="nil"/>
              <w:bottom w:val="nil"/>
              <w:right w:val="nil"/>
            </w:tcBorders>
            <w:noWrap/>
            <w:hideMark/>
          </w:tcPr>
          <w:p w14:paraId="518D5988"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148</w:t>
            </w:r>
          </w:p>
        </w:tc>
        <w:tc>
          <w:tcPr>
            <w:tcW w:w="1348" w:type="dxa"/>
            <w:tcBorders>
              <w:top w:val="single" w:sz="4" w:space="0" w:color="auto"/>
              <w:left w:val="nil"/>
              <w:bottom w:val="nil"/>
              <w:right w:val="nil"/>
            </w:tcBorders>
            <w:noWrap/>
            <w:hideMark/>
          </w:tcPr>
          <w:p w14:paraId="36B09DF5"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19.6</w:t>
            </w:r>
          </w:p>
        </w:tc>
      </w:tr>
      <w:tr w:rsidR="005C7866" w14:paraId="40E42A63" w14:textId="77777777" w:rsidTr="005C7866">
        <w:trPr>
          <w:gridAfter w:val="1"/>
          <w:wAfter w:w="1133" w:type="dxa"/>
          <w:trHeight w:val="320"/>
        </w:trPr>
        <w:tc>
          <w:tcPr>
            <w:tcW w:w="988" w:type="dxa"/>
            <w:noWrap/>
            <w:hideMark/>
          </w:tcPr>
          <w:p w14:paraId="0BCB99F1" w14:textId="77777777" w:rsidR="005C7866" w:rsidRDefault="005C7866">
            <w:pPr>
              <w:spacing w:before="60" w:after="60" w:line="240" w:lineRule="auto"/>
              <w:rPr>
                <w:rFonts w:cstheme="minorHAnsi"/>
                <w:b/>
                <w:bCs/>
                <w:color w:val="000000"/>
                <w:sz w:val="18"/>
                <w:szCs w:val="18"/>
                <w:lang w:eastAsia="en-US"/>
              </w:rPr>
            </w:pPr>
            <w:r>
              <w:rPr>
                <w:rFonts w:eastAsia="Times New Roman" w:cstheme="minorHAnsi"/>
                <w:color w:val="000000"/>
                <w:sz w:val="18"/>
                <w:szCs w:val="18"/>
                <w:lang w:eastAsia="en-US"/>
              </w:rPr>
              <w:t>Females</w:t>
            </w:r>
          </w:p>
        </w:tc>
        <w:tc>
          <w:tcPr>
            <w:tcW w:w="1347" w:type="dxa"/>
            <w:noWrap/>
            <w:hideMark/>
          </w:tcPr>
          <w:p w14:paraId="1CDD5FA9"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34,267</w:t>
            </w:r>
          </w:p>
        </w:tc>
        <w:tc>
          <w:tcPr>
            <w:tcW w:w="1347" w:type="dxa"/>
            <w:noWrap/>
            <w:hideMark/>
          </w:tcPr>
          <w:p w14:paraId="73AB9734"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609,840</w:t>
            </w:r>
          </w:p>
        </w:tc>
        <w:tc>
          <w:tcPr>
            <w:tcW w:w="1348" w:type="dxa"/>
            <w:noWrap/>
            <w:hideMark/>
          </w:tcPr>
          <w:p w14:paraId="18D4AAAB"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5.6</w:t>
            </w:r>
          </w:p>
        </w:tc>
        <w:tc>
          <w:tcPr>
            <w:tcW w:w="1347" w:type="dxa"/>
            <w:noWrap/>
            <w:hideMark/>
          </w:tcPr>
          <w:p w14:paraId="31A41081"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24</w:t>
            </w:r>
          </w:p>
        </w:tc>
        <w:tc>
          <w:tcPr>
            <w:tcW w:w="1347" w:type="dxa"/>
            <w:noWrap/>
            <w:hideMark/>
          </w:tcPr>
          <w:p w14:paraId="7E19E90B"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227</w:t>
            </w:r>
          </w:p>
        </w:tc>
        <w:tc>
          <w:tcPr>
            <w:tcW w:w="1348" w:type="dxa"/>
            <w:noWrap/>
            <w:hideMark/>
          </w:tcPr>
          <w:p w14:paraId="430E5670"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10.6</w:t>
            </w:r>
          </w:p>
        </w:tc>
      </w:tr>
      <w:tr w:rsidR="005C7866" w14:paraId="797C8369" w14:textId="77777777" w:rsidTr="005C7866">
        <w:trPr>
          <w:gridAfter w:val="1"/>
          <w:wAfter w:w="1133" w:type="dxa"/>
          <w:trHeight w:val="320"/>
        </w:trPr>
        <w:tc>
          <w:tcPr>
            <w:tcW w:w="988" w:type="dxa"/>
            <w:tcBorders>
              <w:top w:val="nil"/>
              <w:left w:val="nil"/>
              <w:bottom w:val="single" w:sz="4" w:space="0" w:color="auto"/>
              <w:right w:val="nil"/>
            </w:tcBorders>
            <w:noWrap/>
            <w:hideMark/>
          </w:tcPr>
          <w:p w14:paraId="0C3AF3E8" w14:textId="77777777" w:rsidR="005C7866" w:rsidRDefault="005C7866">
            <w:pPr>
              <w:spacing w:before="60" w:after="60" w:line="240" w:lineRule="auto"/>
              <w:rPr>
                <w:rFonts w:eastAsia="Times New Roman" w:cstheme="minorHAnsi"/>
                <w:color w:val="000000"/>
                <w:sz w:val="18"/>
                <w:szCs w:val="18"/>
                <w:lang w:eastAsia="en-US"/>
              </w:rPr>
            </w:pPr>
            <w:r>
              <w:rPr>
                <w:rFonts w:eastAsia="Times New Roman" w:cstheme="minorHAnsi"/>
                <w:color w:val="000000"/>
                <w:sz w:val="18"/>
                <w:szCs w:val="18"/>
                <w:lang w:eastAsia="en-US"/>
              </w:rPr>
              <w:t>Persons</w:t>
            </w:r>
          </w:p>
        </w:tc>
        <w:tc>
          <w:tcPr>
            <w:tcW w:w="1347" w:type="dxa"/>
            <w:tcBorders>
              <w:top w:val="nil"/>
              <w:left w:val="nil"/>
              <w:bottom w:val="single" w:sz="4" w:space="0" w:color="auto"/>
              <w:right w:val="nil"/>
            </w:tcBorders>
            <w:noWrap/>
            <w:hideMark/>
          </w:tcPr>
          <w:p w14:paraId="4CABB9E3" w14:textId="77777777" w:rsidR="005C7866" w:rsidRDefault="005C7866">
            <w:pPr>
              <w:spacing w:before="60" w:after="6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77,721</w:t>
            </w:r>
          </w:p>
        </w:tc>
        <w:tc>
          <w:tcPr>
            <w:tcW w:w="1347" w:type="dxa"/>
            <w:tcBorders>
              <w:top w:val="nil"/>
              <w:left w:val="nil"/>
              <w:bottom w:val="single" w:sz="4" w:space="0" w:color="auto"/>
              <w:right w:val="nil"/>
            </w:tcBorders>
            <w:noWrap/>
            <w:hideMark/>
          </w:tcPr>
          <w:p w14:paraId="7307128D" w14:textId="77777777" w:rsidR="005C7866" w:rsidRDefault="005C7866">
            <w:pPr>
              <w:spacing w:before="60" w:after="6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1,154,236</w:t>
            </w:r>
          </w:p>
        </w:tc>
        <w:tc>
          <w:tcPr>
            <w:tcW w:w="1348" w:type="dxa"/>
            <w:tcBorders>
              <w:top w:val="nil"/>
              <w:left w:val="nil"/>
              <w:bottom w:val="single" w:sz="4" w:space="0" w:color="auto"/>
              <w:right w:val="nil"/>
            </w:tcBorders>
            <w:noWrap/>
            <w:hideMark/>
          </w:tcPr>
          <w:p w14:paraId="715FAA4C" w14:textId="77777777" w:rsidR="005C7866" w:rsidRDefault="005C7866">
            <w:pPr>
              <w:spacing w:before="60" w:after="60" w:line="240" w:lineRule="auto"/>
              <w:jc w:val="right"/>
              <w:rPr>
                <w:rFonts w:eastAsia="Times New Roman" w:cstheme="minorHAnsi"/>
                <w:color w:val="000000"/>
                <w:sz w:val="18"/>
                <w:szCs w:val="18"/>
                <w:lang w:eastAsia="en-US"/>
              </w:rPr>
            </w:pPr>
            <w:r>
              <w:rPr>
                <w:rFonts w:eastAsia="Times New Roman" w:cstheme="minorHAnsi"/>
                <w:color w:val="000000"/>
                <w:sz w:val="18"/>
                <w:szCs w:val="18"/>
                <w:lang w:eastAsia="en-US"/>
              </w:rPr>
              <w:t>6.7</w:t>
            </w:r>
          </w:p>
        </w:tc>
        <w:tc>
          <w:tcPr>
            <w:tcW w:w="1347" w:type="dxa"/>
            <w:tcBorders>
              <w:top w:val="nil"/>
              <w:left w:val="nil"/>
              <w:bottom w:val="single" w:sz="4" w:space="0" w:color="auto"/>
              <w:right w:val="nil"/>
            </w:tcBorders>
            <w:noWrap/>
            <w:hideMark/>
          </w:tcPr>
          <w:p w14:paraId="7E152835"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53</w:t>
            </w:r>
          </w:p>
        </w:tc>
        <w:tc>
          <w:tcPr>
            <w:tcW w:w="1347" w:type="dxa"/>
            <w:tcBorders>
              <w:top w:val="nil"/>
              <w:left w:val="nil"/>
              <w:bottom w:val="single" w:sz="4" w:space="0" w:color="auto"/>
              <w:right w:val="nil"/>
            </w:tcBorders>
            <w:noWrap/>
            <w:hideMark/>
          </w:tcPr>
          <w:p w14:paraId="0CB46A2D"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375</w:t>
            </w:r>
          </w:p>
        </w:tc>
        <w:tc>
          <w:tcPr>
            <w:tcW w:w="1348" w:type="dxa"/>
            <w:tcBorders>
              <w:top w:val="nil"/>
              <w:left w:val="nil"/>
              <w:bottom w:val="single" w:sz="4" w:space="0" w:color="auto"/>
              <w:right w:val="nil"/>
            </w:tcBorders>
            <w:noWrap/>
            <w:hideMark/>
          </w:tcPr>
          <w:p w14:paraId="0059E9A3" w14:textId="77777777" w:rsidR="005C7866" w:rsidRDefault="005C7866">
            <w:pPr>
              <w:spacing w:before="60" w:after="60" w:line="240" w:lineRule="auto"/>
              <w:jc w:val="right"/>
              <w:rPr>
                <w:rFonts w:cstheme="minorHAnsi"/>
                <w:color w:val="000000"/>
                <w:sz w:val="18"/>
                <w:szCs w:val="18"/>
                <w:lang w:eastAsia="en-US"/>
              </w:rPr>
            </w:pPr>
            <w:r>
              <w:rPr>
                <w:rFonts w:eastAsia="Times New Roman" w:cstheme="minorHAnsi"/>
                <w:color w:val="000000"/>
                <w:sz w:val="18"/>
                <w:szCs w:val="18"/>
                <w:lang w:eastAsia="en-US"/>
              </w:rPr>
              <w:t>14.1</w:t>
            </w:r>
          </w:p>
        </w:tc>
      </w:tr>
    </w:tbl>
    <w:p w14:paraId="2F098071" w14:textId="77777777" w:rsidR="00A74860" w:rsidRDefault="00A74860" w:rsidP="00A74860">
      <w:pPr>
        <w:rPr>
          <w:lang w:eastAsia="en-AU"/>
        </w:rPr>
      </w:pPr>
    </w:p>
    <w:p w14:paraId="044D342D" w14:textId="33476E2F" w:rsidR="009D7489" w:rsidRDefault="007A04F7" w:rsidP="009D7489">
      <w:pPr>
        <w:rPr>
          <w:lang w:eastAsia="en-AU"/>
        </w:rPr>
      </w:pPr>
      <w:r w:rsidRPr="007A04F7">
        <w:rPr>
          <w:lang w:eastAsia="en-AU"/>
        </w:rPr>
        <w:t xml:space="preserve">The high positivity rate for Indigenous men may be a result of the small numbers involved, where a few positive cases </w:t>
      </w:r>
      <w:r>
        <w:rPr>
          <w:lang w:eastAsia="en-AU"/>
        </w:rPr>
        <w:t>can</w:t>
      </w:r>
      <w:r w:rsidRPr="007A04F7">
        <w:rPr>
          <w:lang w:eastAsia="en-AU"/>
        </w:rPr>
        <w:t xml:space="preserve"> make a big difference in the rate, and/or the pattern of slightly higher rates of positivity among first-time screeners, low socioeconomic groups and Indigenous Australians. </w:t>
      </w:r>
      <w:r>
        <w:rPr>
          <w:lang w:eastAsia="en-AU"/>
        </w:rPr>
        <w:t xml:space="preserve"> </w:t>
      </w:r>
      <w:r w:rsidR="009D7489">
        <w:rPr>
          <w:lang w:eastAsia="en-AU"/>
        </w:rPr>
        <w:t>The AIHW reports that people from low socioeconomic groups and Indigenous Australians tend to record higher proportions of positive results.</w:t>
      </w:r>
      <w:r w:rsidR="009D7489">
        <w:rPr>
          <w:rStyle w:val="FootnoteReference"/>
          <w:lang w:eastAsia="en-AU"/>
        </w:rPr>
        <w:footnoteReference w:id="41"/>
      </w:r>
      <w:r w:rsidR="009D7489">
        <w:rPr>
          <w:lang w:eastAsia="en-AU"/>
        </w:rPr>
        <w:t xml:space="preserve"> </w:t>
      </w:r>
      <w:r>
        <w:rPr>
          <w:lang w:eastAsia="en-AU"/>
        </w:rPr>
        <w:t xml:space="preserve"> </w:t>
      </w:r>
      <w:r w:rsidR="009D7489">
        <w:rPr>
          <w:lang w:eastAsia="en-AU"/>
        </w:rPr>
        <w:t xml:space="preserve">Cohorts of first-time screeners also tend to register slightly higher positivity levels than those who have previously screened. However, </w:t>
      </w:r>
      <w:r>
        <w:rPr>
          <w:lang w:eastAsia="en-AU"/>
        </w:rPr>
        <w:t>t</w:t>
      </w:r>
      <w:r w:rsidR="009D7489">
        <w:rPr>
          <w:lang w:eastAsia="en-AU"/>
        </w:rPr>
        <w:t>hese results warrant further investigation and reinforce the importance of increasing the participation of Indigenous people in the NBCSP.</w:t>
      </w:r>
    </w:p>
    <w:p w14:paraId="05ADCFA1" w14:textId="77777777" w:rsidR="00272707" w:rsidRDefault="00272707" w:rsidP="00272707">
      <w:pPr>
        <w:rPr>
          <w:lang w:eastAsia="en-AU"/>
        </w:rPr>
      </w:pPr>
      <w:r>
        <w:rPr>
          <w:lang w:eastAsia="en-AU"/>
        </w:rPr>
        <w:lastRenderedPageBreak/>
        <w:t xml:space="preserve">Alternative Pathway screening participants from WA recorded the highest reported positivity rate, with 20% (all persons), followed by the NT with 15.4%. At jurisdiction level, the number of positive results for the Alternative Pathway are very small, which may affect the reliability of these rates. Figure 8.4 shows that positivity rates for the usual and Alternative pathways were higher in Remote and Very Remote areas. WA and the NT had a higher proportion of Pilot sites located in Remote or Very Remote areas than other states. </w:t>
      </w:r>
    </w:p>
    <w:p w14:paraId="78030563" w14:textId="77777777" w:rsidR="00272707" w:rsidRDefault="00272707" w:rsidP="00272707">
      <w:pPr>
        <w:rPr>
          <w:lang w:eastAsia="en-AU"/>
        </w:rPr>
      </w:pPr>
      <w:r>
        <w:rPr>
          <w:noProof/>
          <w:lang w:eastAsia="en-AU"/>
        </w:rPr>
        <w:drawing>
          <wp:inline distT="0" distB="0" distL="0" distR="0" wp14:anchorId="0A4C33D1" wp14:editId="116EC94F">
            <wp:extent cx="5756910" cy="3091180"/>
            <wp:effectExtent l="0" t="0" r="8890" b="7620"/>
            <wp:docPr id="14" name="Chart 14" descr="Chart comparing positivity rates across alternative pathway, usual pathway (Indigenous participants) and usual pathway (all participants) by remoteness. Alternative pathway participants had higher positivity rates.">
              <a:extLst xmlns:a="http://schemas.openxmlformats.org/drawingml/2006/main">
                <a:ext uri="{FF2B5EF4-FFF2-40B4-BE49-F238E27FC236}">
                  <a16:creationId xmlns:a16="http://schemas.microsoft.com/office/drawing/2014/main" id="{493E3678-4599-BD43-8AEB-C63CF7B2A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F2A61F" w14:textId="77777777" w:rsidR="00272707" w:rsidRDefault="00272707" w:rsidP="00272707">
      <w:pPr>
        <w:rPr>
          <w:rFonts w:cstheme="minorHAnsi"/>
          <w:sz w:val="20"/>
          <w:szCs w:val="20"/>
          <w:lang w:eastAsia="en-AU"/>
        </w:rPr>
      </w:pPr>
      <w:r>
        <w:rPr>
          <w:rFonts w:cstheme="minorHAnsi"/>
          <w:sz w:val="20"/>
          <w:szCs w:val="20"/>
          <w:lang w:eastAsia="en-AU"/>
        </w:rPr>
        <w:t>Figure 8.3. Positivity rates by remoteness, pathway and Indigenous status.</w:t>
      </w:r>
    </w:p>
    <w:p w14:paraId="45DBB02E" w14:textId="77777777" w:rsidR="00272707" w:rsidRDefault="00272707" w:rsidP="00272707">
      <w:pPr>
        <w:rPr>
          <w:rFonts w:cstheme="minorHAnsi"/>
          <w:sz w:val="18"/>
          <w:szCs w:val="18"/>
          <w:lang w:eastAsia="en-AU"/>
        </w:rPr>
      </w:pPr>
      <w:r>
        <w:rPr>
          <w:rFonts w:cstheme="minorHAnsi"/>
          <w:sz w:val="18"/>
          <w:szCs w:val="18"/>
          <w:lang w:eastAsia="en-AU"/>
        </w:rPr>
        <w:t>Notes</w:t>
      </w:r>
    </w:p>
    <w:p w14:paraId="1802A20A" w14:textId="77777777" w:rsidR="00272707" w:rsidRDefault="00272707" w:rsidP="00272707">
      <w:pPr>
        <w:rPr>
          <w:rFonts w:eastAsia="Times New Roman" w:cstheme="minorHAnsi"/>
          <w:color w:val="000000"/>
          <w:sz w:val="18"/>
          <w:szCs w:val="18"/>
        </w:rPr>
      </w:pPr>
      <w:r>
        <w:rPr>
          <w:rFonts w:eastAsia="Times New Roman" w:cstheme="minorHAnsi"/>
          <w:color w:val="000000"/>
          <w:sz w:val="18"/>
          <w:szCs w:val="18"/>
        </w:rPr>
        <w:t>Only valid screening tests (those which returned a positive or negative result) are used in the calculation of positivity rates. Postcodes of invitees were mapped to 2016 Australian Statistical Geography Standard Remoteness Areas. Residential postcodes were used where available but non-residential identifiers (such as post office boxes, or, for the Alternative Pathway, health centre postcode) were used otherwise.</w:t>
      </w:r>
    </w:p>
    <w:p w14:paraId="380F1E7E" w14:textId="77777777" w:rsidR="00272707" w:rsidRDefault="00272707" w:rsidP="00272707">
      <w:pPr>
        <w:spacing w:before="0" w:after="0" w:line="240" w:lineRule="auto"/>
        <w:rPr>
          <w:rFonts w:eastAsia="Times New Roman" w:cstheme="minorHAnsi"/>
          <w:color w:val="000000"/>
          <w:sz w:val="18"/>
          <w:szCs w:val="18"/>
        </w:rPr>
      </w:pPr>
      <w:r>
        <w:rPr>
          <w:rFonts w:eastAsia="Times New Roman" w:cstheme="minorHAnsi"/>
          <w:color w:val="000000"/>
          <w:sz w:val="18"/>
          <w:szCs w:val="18"/>
        </w:rPr>
        <w:t xml:space="preserve">Usual pathway participation was calculated for invitees during the period 1 November 2018 to 13 May 2019, with kits returned until 31 October 2019. The six-month timeframe for return of kits is as used for routine reporting of the usual pathway, but at the time of reporting kit returns were only available up to 13 November 2019 (six months from 13 May.). </w:t>
      </w:r>
    </w:p>
    <w:p w14:paraId="37119ED7" w14:textId="77777777" w:rsidR="00272707" w:rsidRDefault="00272707" w:rsidP="00272707">
      <w:pPr>
        <w:spacing w:before="0" w:after="0" w:line="240" w:lineRule="auto"/>
        <w:rPr>
          <w:rFonts w:eastAsia="Times New Roman" w:cstheme="minorHAnsi"/>
          <w:color w:val="000000"/>
          <w:sz w:val="18"/>
          <w:szCs w:val="18"/>
        </w:rPr>
      </w:pPr>
      <w:r>
        <w:rPr>
          <w:rFonts w:eastAsia="Times New Roman" w:cstheme="minorHAnsi"/>
          <w:color w:val="000000"/>
          <w:sz w:val="18"/>
          <w:szCs w:val="18"/>
        </w:rPr>
        <w:t xml:space="preserve">Alternative Pathway figures are for those who were given and returned kits between 1 November 2018 to 31 October 2019. Data on the six-month allowance for kit returns beyond the end of the Pilot was not available at the time of reporting. </w:t>
      </w:r>
    </w:p>
    <w:p w14:paraId="3A077A7E" w14:textId="77777777" w:rsidR="00272707" w:rsidRDefault="00272707" w:rsidP="00272707">
      <w:pPr>
        <w:spacing w:before="0" w:after="0" w:line="240" w:lineRule="auto"/>
        <w:rPr>
          <w:rFonts w:eastAsia="Times New Roman" w:cstheme="minorHAnsi"/>
          <w:color w:val="000000"/>
          <w:sz w:val="18"/>
          <w:szCs w:val="18"/>
        </w:rPr>
      </w:pPr>
      <w:r>
        <w:rPr>
          <w:rFonts w:eastAsia="Times New Roman" w:cstheme="minorHAnsi"/>
          <w:color w:val="000000"/>
          <w:sz w:val="18"/>
          <w:szCs w:val="18"/>
        </w:rPr>
        <w:t xml:space="preserve">Pilot participants were removed from the usual pathway data. </w:t>
      </w:r>
    </w:p>
    <w:p w14:paraId="4BF30C30" w14:textId="77777777" w:rsidR="00272707" w:rsidRDefault="00272707" w:rsidP="00272707">
      <w:pPr>
        <w:spacing w:before="0" w:after="0" w:line="240" w:lineRule="auto"/>
        <w:rPr>
          <w:rFonts w:eastAsia="Times New Roman" w:cstheme="minorHAnsi"/>
          <w:color w:val="000000"/>
          <w:sz w:val="18"/>
          <w:szCs w:val="18"/>
        </w:rPr>
      </w:pPr>
      <w:r>
        <w:rPr>
          <w:rFonts w:eastAsia="Times New Roman" w:cstheme="minorHAnsi"/>
          <w:color w:val="000000"/>
          <w:sz w:val="18"/>
          <w:szCs w:val="18"/>
        </w:rPr>
        <w:t>Indigenous status was derived from the Participant Details form.</w:t>
      </w:r>
    </w:p>
    <w:p w14:paraId="4627742A" w14:textId="77777777" w:rsidR="00272707" w:rsidRDefault="00272707" w:rsidP="00272707">
      <w:pPr>
        <w:spacing w:before="0" w:after="0" w:line="240" w:lineRule="auto"/>
        <w:rPr>
          <w:rFonts w:eastAsia="Times New Roman" w:cstheme="minorHAnsi"/>
          <w:color w:val="000000"/>
          <w:sz w:val="18"/>
          <w:szCs w:val="18"/>
        </w:rPr>
      </w:pPr>
      <w:r>
        <w:rPr>
          <w:rFonts w:eastAsia="Times New Roman" w:cstheme="minorHAnsi"/>
          <w:color w:val="000000"/>
          <w:sz w:val="18"/>
          <w:szCs w:val="18"/>
        </w:rPr>
        <w:t xml:space="preserve">Remoteness status was unable to be reported for a small number of participants in both pathways and these participants have been removed from this analysis </w:t>
      </w:r>
    </w:p>
    <w:p w14:paraId="75E65C2D" w14:textId="77777777" w:rsidR="00272707" w:rsidRDefault="00272707" w:rsidP="00272707">
      <w:pPr>
        <w:rPr>
          <w:rFonts w:cstheme="minorHAnsi"/>
          <w:sz w:val="18"/>
          <w:szCs w:val="18"/>
          <w:lang w:eastAsia="en-AU"/>
        </w:rPr>
      </w:pPr>
      <w:r>
        <w:rPr>
          <w:rFonts w:cstheme="minorHAnsi"/>
          <w:sz w:val="18"/>
          <w:szCs w:val="18"/>
          <w:lang w:eastAsia="en-AU"/>
        </w:rPr>
        <w:t xml:space="preserve">Source: Alternative Pathway data from AIHW analysis of National Indigenous Bowel Screening pilot and NBCSP register data from DHS; usual pathway data from AIHW analysis of the NBCSP Register as at 31 October 2019 (kit returns were available up to 13 November 2019). </w:t>
      </w:r>
    </w:p>
    <w:p w14:paraId="79DAF8C2" w14:textId="565AD691" w:rsidR="00A74860" w:rsidRDefault="00A74860" w:rsidP="00272707">
      <w:pPr>
        <w:rPr>
          <w:rFonts w:cstheme="minorHAnsi"/>
          <w:b/>
          <w:bCs/>
        </w:rPr>
      </w:pPr>
      <w:r>
        <w:rPr>
          <w:rFonts w:cstheme="minorHAnsi"/>
          <w:b/>
          <w:bCs/>
        </w:rPr>
        <w:t>Other screening outcome data</w:t>
      </w:r>
    </w:p>
    <w:p w14:paraId="60863385" w14:textId="77777777" w:rsidR="00A74860" w:rsidRDefault="00A74860" w:rsidP="00A74860">
      <w:pPr>
        <w:rPr>
          <w:rFonts w:cstheme="minorHAnsi"/>
        </w:rPr>
      </w:pPr>
      <w:r>
        <w:rPr>
          <w:rFonts w:cstheme="minorHAnsi"/>
        </w:rPr>
        <w:t xml:space="preserve">No data is available on diagnostic testing rates (GP assessment of positive results; colonoscopy) or outcomes; numbers may be too small to report. </w:t>
      </w:r>
    </w:p>
    <w:p w14:paraId="0F43D54F" w14:textId="750B352A" w:rsidR="00403B1F" w:rsidRPr="00403B1F" w:rsidRDefault="00403B1F" w:rsidP="00403B1F">
      <w:pPr>
        <w:rPr>
          <w:rFonts w:cstheme="minorHAnsi"/>
        </w:rPr>
      </w:pPr>
    </w:p>
    <w:p w14:paraId="16C94EC7" w14:textId="189750CA" w:rsidR="00443D63" w:rsidRPr="00E151C3" w:rsidRDefault="005C6DE1" w:rsidP="00510A67">
      <w:pPr>
        <w:pStyle w:val="Heading1"/>
      </w:pPr>
      <w:bookmarkStart w:id="249" w:name="_Toc38539114"/>
      <w:bookmarkStart w:id="250" w:name="_Toc38540049"/>
      <w:bookmarkStart w:id="251" w:name="_Toc38540104"/>
      <w:bookmarkStart w:id="252" w:name="_Toc44339241"/>
      <w:bookmarkStart w:id="253" w:name="_Toc45539273"/>
      <w:bookmarkStart w:id="254" w:name="_Toc54954859"/>
      <w:r>
        <w:lastRenderedPageBreak/>
        <w:t>9.</w:t>
      </w:r>
      <w:r w:rsidR="0063206B">
        <w:t xml:space="preserve"> </w:t>
      </w:r>
      <w:bookmarkEnd w:id="249"/>
      <w:bookmarkEnd w:id="250"/>
      <w:bookmarkEnd w:id="251"/>
      <w:r w:rsidR="00E151C3">
        <w:t>RESULTS: PERSPECTIVES OF INDIGENOUS PATIENTS</w:t>
      </w:r>
      <w:bookmarkEnd w:id="252"/>
      <w:bookmarkEnd w:id="253"/>
      <w:bookmarkEnd w:id="254"/>
      <w:r w:rsidR="00E151C3">
        <w:t xml:space="preserve">  </w:t>
      </w:r>
    </w:p>
    <w:p w14:paraId="4E982B4C" w14:textId="164C8E4D" w:rsidR="00443D63" w:rsidRPr="00135F72" w:rsidRDefault="00D00430" w:rsidP="00070C12">
      <w:pPr>
        <w:pStyle w:val="Heading2"/>
      </w:pPr>
      <w:r w:rsidRPr="00135F72">
        <w:t xml:space="preserve"> </w:t>
      </w:r>
      <w:bookmarkStart w:id="255" w:name="_Toc44339242"/>
      <w:bookmarkStart w:id="256" w:name="_Toc44361607"/>
      <w:bookmarkStart w:id="257" w:name="_Toc45539274"/>
      <w:bookmarkStart w:id="258" w:name="_Toc54954860"/>
      <w:r w:rsidRPr="00135F72">
        <w:t>Perspectives</w:t>
      </w:r>
      <w:r w:rsidR="00443D63" w:rsidRPr="00135F72">
        <w:t xml:space="preserve"> of Indigenous patients who screened through the Alternative Pathway</w:t>
      </w:r>
      <w:bookmarkEnd w:id="255"/>
      <w:bookmarkEnd w:id="256"/>
      <w:bookmarkEnd w:id="257"/>
      <w:bookmarkEnd w:id="258"/>
      <w:r w:rsidR="00443D63" w:rsidRPr="00135F72">
        <w:t xml:space="preserve"> </w:t>
      </w:r>
    </w:p>
    <w:p w14:paraId="7562794A" w14:textId="03D9D8B6" w:rsidR="00BB751F" w:rsidRPr="00CF3200" w:rsidRDefault="00443D63" w:rsidP="00B4317A">
      <w:r w:rsidRPr="00D01975">
        <w:t xml:space="preserve">This component of the report </w:t>
      </w:r>
      <w:r w:rsidR="00BB751F" w:rsidRPr="00CF3200">
        <w:t>summarises the</w:t>
      </w:r>
      <w:r w:rsidRPr="00D01975">
        <w:t xml:space="preserve"> perspectives</w:t>
      </w:r>
      <w:r w:rsidR="00BB751F" w:rsidRPr="00CF3200">
        <w:t xml:space="preserve"> of a small </w:t>
      </w:r>
      <w:r w:rsidR="00215245">
        <w:t>number</w:t>
      </w:r>
      <w:r w:rsidR="00BB751F" w:rsidRPr="00CF3200">
        <w:t xml:space="preserve"> of Indigenous adults who completed bowel screening through the Alternative Pathway at a participating health centre.</w:t>
      </w:r>
    </w:p>
    <w:p w14:paraId="5FBB06F4" w14:textId="313546FA" w:rsidR="00BB751F" w:rsidRPr="00CF3200" w:rsidRDefault="00443D63" w:rsidP="00B4317A">
      <w:r w:rsidRPr="00D01975">
        <w:t xml:space="preserve">It was originally planned to gather </w:t>
      </w:r>
      <w:r w:rsidR="00842FF9">
        <w:t>i</w:t>
      </w:r>
      <w:r w:rsidR="00842FF9" w:rsidRPr="00D01975">
        <w:t>n</w:t>
      </w:r>
      <w:r w:rsidR="00842FF9">
        <w:t>form</w:t>
      </w:r>
      <w:r w:rsidR="00842FF9" w:rsidRPr="00D01975">
        <w:t>ation</w:t>
      </w:r>
      <w:r w:rsidRPr="00D01975">
        <w:t xml:space="preserve"> by conducting </w:t>
      </w:r>
      <w:r w:rsidRPr="00D01975">
        <w:rPr>
          <w:rFonts w:eastAsia="Arial"/>
        </w:rPr>
        <w:t>Yarning Circles or individual interviews with patients who were offered screening through the Alternative Pathway. The ‘</w:t>
      </w:r>
      <w:r w:rsidRPr="00D01975">
        <w:rPr>
          <w:rFonts w:eastAsia="Arial"/>
          <w:i/>
          <w:iCs/>
        </w:rPr>
        <w:t xml:space="preserve">Yarning’ </w:t>
      </w:r>
      <w:r w:rsidRPr="00D01975">
        <w:rPr>
          <w:rFonts w:eastAsia="Arial"/>
        </w:rPr>
        <w:t xml:space="preserve">methodology is a recognised </w:t>
      </w:r>
      <w:r w:rsidR="00BB751F" w:rsidRPr="00CF3200">
        <w:rPr>
          <w:rFonts w:eastAsia="Arial"/>
        </w:rPr>
        <w:t>culturally appropriate</w:t>
      </w:r>
      <w:r w:rsidRPr="00D01975">
        <w:rPr>
          <w:rFonts w:eastAsia="Arial"/>
        </w:rPr>
        <w:t xml:space="preserve"> style of communication and is used to </w:t>
      </w:r>
      <w:r w:rsidR="00BB751F" w:rsidRPr="00D01975">
        <w:rPr>
          <w:rFonts w:eastAsia="Arial"/>
        </w:rPr>
        <w:t>ga</w:t>
      </w:r>
      <w:r w:rsidR="00BB751F" w:rsidRPr="00CF3200">
        <w:rPr>
          <w:rFonts w:eastAsia="Arial"/>
        </w:rPr>
        <w:t xml:space="preserve">in </w:t>
      </w:r>
      <w:r w:rsidRPr="00D01975">
        <w:rPr>
          <w:rFonts w:eastAsia="Arial"/>
        </w:rPr>
        <w:t>in</w:t>
      </w:r>
      <w:r w:rsidR="00842FF9">
        <w:rPr>
          <w:rFonts w:eastAsia="Arial"/>
        </w:rPr>
        <w:t>form</w:t>
      </w:r>
      <w:r w:rsidRPr="00D01975">
        <w:rPr>
          <w:rFonts w:eastAsia="Arial"/>
        </w:rPr>
        <w:t xml:space="preserve">ation from participants through story telling. </w:t>
      </w:r>
      <w:r w:rsidRPr="00D01975">
        <w:t>This method of gathering in</w:t>
      </w:r>
      <w:r w:rsidR="00842FF9">
        <w:t>form</w:t>
      </w:r>
      <w:r w:rsidRPr="00D01975">
        <w:t xml:space="preserve">ation respects </w:t>
      </w:r>
      <w:r w:rsidR="00BB751F" w:rsidRPr="00CF3200">
        <w:t xml:space="preserve">the oral traditions of </w:t>
      </w:r>
      <w:r w:rsidRPr="00D01975">
        <w:t>Indigenous Australians and privileges Indigenous Australian knowledge.</w:t>
      </w:r>
      <w:r w:rsidRPr="00D01975">
        <w:rPr>
          <w:rStyle w:val="FootnoteReference"/>
          <w:rFonts w:cstheme="minorHAnsi"/>
        </w:rPr>
        <w:footnoteReference w:id="42"/>
      </w:r>
      <w:r w:rsidRPr="00D01975">
        <w:t xml:space="preserve"> </w:t>
      </w:r>
    </w:p>
    <w:p w14:paraId="70D333DA" w14:textId="77777777" w:rsidR="00BB751F" w:rsidRPr="00CF3200" w:rsidRDefault="00443D63" w:rsidP="00B4317A">
      <w:r w:rsidRPr="00D01975">
        <w:rPr>
          <w:rFonts w:eastAsia="Times New Roman"/>
          <w:lang w:eastAsia="en-AU"/>
        </w:rPr>
        <w:t xml:space="preserve">A discussion guide was developed for use in the Yarning Circles and individual interviews. </w:t>
      </w:r>
      <w:r w:rsidRPr="00D01975">
        <w:t xml:space="preserve">The specific content of these discussions focussed on the following topics: their invitation to screen; their awareness of and interest in screening; the acceptability of screening through the Alternative Pathway; and any barriers or enablers to participating in bowel screening. </w:t>
      </w:r>
    </w:p>
    <w:p w14:paraId="5519EE64" w14:textId="472CB4AD" w:rsidR="00443D63" w:rsidRPr="00D01975" w:rsidRDefault="00443D63" w:rsidP="00B4317A">
      <w:r w:rsidRPr="00D01975">
        <w:rPr>
          <w:rFonts w:eastAsia="Times New Roman"/>
          <w:lang w:eastAsia="en-AU"/>
        </w:rPr>
        <w:t xml:space="preserve">Separate </w:t>
      </w:r>
      <w:r w:rsidR="009E0ADD" w:rsidRPr="00CF3200">
        <w:rPr>
          <w:rFonts w:eastAsia="Times New Roman"/>
          <w:lang w:eastAsia="en-AU"/>
        </w:rPr>
        <w:t>Y</w:t>
      </w:r>
      <w:r w:rsidRPr="00D01975">
        <w:rPr>
          <w:rFonts w:eastAsia="Times New Roman"/>
          <w:lang w:eastAsia="en-AU"/>
        </w:rPr>
        <w:t xml:space="preserve">arning Circles were planned </w:t>
      </w:r>
      <w:r w:rsidR="00BB751F" w:rsidRPr="00CF3200">
        <w:rPr>
          <w:rFonts w:eastAsia="Times New Roman"/>
          <w:lang w:eastAsia="en-AU"/>
        </w:rPr>
        <w:t>for</w:t>
      </w:r>
      <w:r w:rsidRPr="00D01975">
        <w:rPr>
          <w:rFonts w:eastAsia="Times New Roman"/>
          <w:lang w:eastAsia="en-AU"/>
        </w:rPr>
        <w:t xml:space="preserve"> participants who had completed bowel screening and those who had not, to avoid any sense of sham</w:t>
      </w:r>
      <w:r w:rsidR="00BB751F" w:rsidRPr="00CF3200">
        <w:rPr>
          <w:rFonts w:eastAsia="Times New Roman"/>
          <w:lang w:eastAsia="en-AU"/>
        </w:rPr>
        <w:t>e</w:t>
      </w:r>
      <w:r w:rsidRPr="00D01975">
        <w:rPr>
          <w:rFonts w:eastAsia="Times New Roman"/>
          <w:lang w:eastAsia="en-AU"/>
        </w:rPr>
        <w:t xml:space="preserve"> </w:t>
      </w:r>
      <w:r w:rsidR="00BB751F" w:rsidRPr="00CF3200">
        <w:rPr>
          <w:rFonts w:eastAsia="Times New Roman"/>
          <w:lang w:eastAsia="en-AU"/>
        </w:rPr>
        <w:t xml:space="preserve">among </w:t>
      </w:r>
      <w:r w:rsidRPr="00D01975">
        <w:rPr>
          <w:rFonts w:eastAsia="Times New Roman"/>
          <w:lang w:eastAsia="en-AU"/>
        </w:rPr>
        <w:t xml:space="preserve">those who had not screened.  Individual interviews could be conducted if participants did not want to discuss bowel screening in a group session. </w:t>
      </w:r>
    </w:p>
    <w:p w14:paraId="2DC50FB6" w14:textId="357255DC" w:rsidR="00BB751F" w:rsidRPr="00CF3200" w:rsidRDefault="00443D63" w:rsidP="00B4317A">
      <w:r w:rsidRPr="00D01975">
        <w:t xml:space="preserve">Participants (health centre patients) were to be identified and recruited through the health centre at which they </w:t>
      </w:r>
      <w:r w:rsidR="00BB751F" w:rsidRPr="00CF3200">
        <w:t>were</w:t>
      </w:r>
      <w:r w:rsidRPr="00D01975">
        <w:t xml:space="preserve"> invited to screen. If they agreed to participate in the Yarning Circle their details were to be passed onto the Menzies project team. </w:t>
      </w:r>
      <w:r w:rsidR="00953205">
        <w:t>Expected recruitment was for</w:t>
      </w:r>
      <w:r w:rsidRPr="00D01975">
        <w:t xml:space="preserve"> a total of 28 patients from </w:t>
      </w:r>
      <w:r w:rsidR="00BB751F" w:rsidRPr="00CF3200">
        <w:t>three</w:t>
      </w:r>
      <w:r w:rsidR="00E54FAC">
        <w:t xml:space="preserve"> – </w:t>
      </w:r>
      <w:r w:rsidR="00BB751F" w:rsidRPr="00CF3200">
        <w:t>four</w:t>
      </w:r>
      <w:r w:rsidRPr="00D01975">
        <w:t xml:space="preserve"> health centres from across the three geographical classifications (remote, regional and urban). </w:t>
      </w:r>
    </w:p>
    <w:p w14:paraId="1ECF163E" w14:textId="0421A088" w:rsidR="00443D63" w:rsidRPr="00D01975" w:rsidRDefault="00443D63" w:rsidP="00B4317A">
      <w:r w:rsidRPr="00D01975">
        <w:rPr>
          <w:rFonts w:eastAsia="Times New Roman"/>
          <w:lang w:eastAsia="en-AU"/>
        </w:rPr>
        <w:t>The Menzies project team planned to conduct Yarning Circles from early November 2019, in conjunction with visits to each site to conduct post-pilot</w:t>
      </w:r>
      <w:r w:rsidRPr="00D01975" w:rsidDel="003C070B">
        <w:rPr>
          <w:rFonts w:eastAsia="Times New Roman"/>
          <w:lang w:eastAsia="en-AU"/>
        </w:rPr>
        <w:t xml:space="preserve"> </w:t>
      </w:r>
      <w:r w:rsidRPr="00D01975">
        <w:rPr>
          <w:rFonts w:eastAsia="Times New Roman"/>
          <w:lang w:eastAsia="en-AU"/>
        </w:rPr>
        <w:t xml:space="preserve">data collection, feedback and, if requested, training, with health centre staff. Initial discussions with health centre staff indicated that it would be possible to engage the assistance of at least one health centre from each of the geographical regions (remote, regional, urban) to identify and contact potential Yarning Circle participants. </w:t>
      </w:r>
    </w:p>
    <w:p w14:paraId="36463EA2" w14:textId="40BA28E7" w:rsidR="00443D63" w:rsidRPr="00D01975" w:rsidRDefault="00443D63" w:rsidP="00B4317A">
      <w:r w:rsidRPr="00D01975">
        <w:t xml:space="preserve">Ethics approval was obtained from the Northern Territory Health Department and Menzies School of Health Research Human Research Ethics Committee and by the respective jurisdictional and organisation ethics committees where research would </w:t>
      </w:r>
      <w:r w:rsidR="00953205">
        <w:t>occur</w:t>
      </w:r>
      <w:r w:rsidRPr="00D01975">
        <w:t>.</w:t>
      </w:r>
    </w:p>
    <w:p w14:paraId="06705FB1" w14:textId="77777777" w:rsidR="00376D90" w:rsidRPr="00CF3200" w:rsidRDefault="00443D63" w:rsidP="00B4317A">
      <w:r w:rsidRPr="00D01975">
        <w:lastRenderedPageBreak/>
        <w:t xml:space="preserve">Unfortunately, several barriers disrupted the planned approach to data collection. These barriers included: health centres being unable to recruit potential participants due to the challenges in identifying eligible clients, senior staff required to sign off on recruitment being on leave and the logistics of coordinating patients to attend Yarning Circles.  </w:t>
      </w:r>
    </w:p>
    <w:p w14:paraId="36815844" w14:textId="61984ADD" w:rsidR="00443D63" w:rsidRPr="00D01975" w:rsidRDefault="00443D63" w:rsidP="00B4317A">
      <w:r w:rsidRPr="00D01975">
        <w:t>Some health centres were unable to assist with recruitment because of the bushfires of 2019-2020 that particularly affected NSW, Victoria and SA. In March 2020 the C</w:t>
      </w:r>
      <w:r w:rsidR="00376D90" w:rsidRPr="00CF3200">
        <w:t>OVID</w:t>
      </w:r>
      <w:r w:rsidRPr="00D01975">
        <w:t xml:space="preserve">-19 pandemic halted all research activity </w:t>
      </w:r>
      <w:r w:rsidR="0049750E">
        <w:t>involving</w:t>
      </w:r>
      <w:r w:rsidRPr="00D01975">
        <w:t xml:space="preserve"> site visits to Indigenous communities, and health centres were unable to continue to recruit participants because of increased workload </w:t>
      </w:r>
      <w:r w:rsidR="00376D90" w:rsidRPr="00CF3200">
        <w:t>due to</w:t>
      </w:r>
      <w:r w:rsidRPr="00D01975">
        <w:t xml:space="preserve"> the pandemic</w:t>
      </w:r>
    </w:p>
    <w:p w14:paraId="3EC4EFE2" w14:textId="7A833DA7" w:rsidR="00376D90" w:rsidRPr="00CF3200" w:rsidRDefault="00443D63" w:rsidP="00B4317A">
      <w:r w:rsidRPr="00D01975">
        <w:t xml:space="preserve">As a </w:t>
      </w:r>
      <w:r w:rsidR="00376D90" w:rsidRPr="00CF3200">
        <w:t xml:space="preserve">result, </w:t>
      </w:r>
      <w:r w:rsidRPr="00D01975">
        <w:t xml:space="preserve">only individual interviews were </w:t>
      </w:r>
      <w:r w:rsidR="003D3671" w:rsidRPr="00D01975">
        <w:t>conducted,</w:t>
      </w:r>
      <w:r w:rsidRPr="00D01975">
        <w:t xml:space="preserve"> and participant numbers were significantly reduced.</w:t>
      </w:r>
      <w:r w:rsidR="00376D90" w:rsidRPr="00CF3200">
        <w:t xml:space="preserve"> </w:t>
      </w:r>
      <w:r w:rsidRPr="00D01975">
        <w:t xml:space="preserve">Interviews were conducted with five </w:t>
      </w:r>
      <w:r w:rsidR="00376D90" w:rsidRPr="00CF3200">
        <w:t>participants:</w:t>
      </w:r>
      <w:r w:rsidRPr="00D01975">
        <w:t xml:space="preserve"> four in person and one over the phone. </w:t>
      </w:r>
    </w:p>
    <w:p w14:paraId="4388A296" w14:textId="77777777" w:rsidR="003D3671" w:rsidRDefault="00443D63" w:rsidP="00B4317A">
      <w:r w:rsidRPr="00D01975">
        <w:t xml:space="preserve">These participants were recruited from two health centres: one regional Aboriginal Community Controlled Health Organisation, and one urban private practice. The participants were between 52 to 68 years of age; two were females and three were males. All had completed the bowel screening test through their local primary health care centre. </w:t>
      </w:r>
    </w:p>
    <w:p w14:paraId="4D37FA8D" w14:textId="2456951D" w:rsidR="00443D63" w:rsidRPr="00D01975" w:rsidRDefault="00443D63" w:rsidP="00B4317A">
      <w:r w:rsidRPr="00D01975">
        <w:t xml:space="preserve">No patients were able to be recruited from remote areas, or </w:t>
      </w:r>
      <w:r w:rsidR="007A5BE4">
        <w:t xml:space="preserve">from those </w:t>
      </w:r>
      <w:r w:rsidRPr="00D01975">
        <w:t xml:space="preserve">who had been offered screening but not completed the test. </w:t>
      </w:r>
    </w:p>
    <w:p w14:paraId="6C8027A1" w14:textId="5CD0FD71" w:rsidR="00DC0C36" w:rsidRDefault="00443D63" w:rsidP="00B4317A">
      <w:r w:rsidRPr="00D01975">
        <w:t xml:space="preserve">The qualitative interview data were thematically analysed, and a summary of findings is outlined below. </w:t>
      </w:r>
      <w:r w:rsidR="00376D90" w:rsidRPr="00CF3200">
        <w:t xml:space="preserve">Five </w:t>
      </w:r>
      <w:r w:rsidRPr="00D01975">
        <w:t>themes were identified these were:</w:t>
      </w:r>
      <w:r w:rsidR="00376D90" w:rsidRPr="00CF3200">
        <w:t xml:space="preserve"> </w:t>
      </w:r>
    </w:p>
    <w:p w14:paraId="7F7AE528" w14:textId="77777777" w:rsidR="00DC0C36" w:rsidRDefault="00443D63" w:rsidP="00402F9A">
      <w:pPr>
        <w:pStyle w:val="ListParagraph"/>
        <w:numPr>
          <w:ilvl w:val="0"/>
          <w:numId w:val="25"/>
        </w:numPr>
        <w:spacing w:after="0" w:line="240" w:lineRule="auto"/>
        <w:rPr>
          <w:rFonts w:cstheme="minorHAnsi"/>
          <w:color w:val="111111"/>
          <w:shd w:val="clear" w:color="auto" w:fill="FFFFFF"/>
        </w:rPr>
      </w:pPr>
      <w:r w:rsidRPr="00D01975">
        <w:rPr>
          <w:rFonts w:cstheme="minorHAnsi"/>
          <w:color w:val="111111"/>
          <w:shd w:val="clear" w:color="auto" w:fill="FFFFFF"/>
        </w:rPr>
        <w:t>awareness and understanding</w:t>
      </w:r>
    </w:p>
    <w:p w14:paraId="6FB3F814" w14:textId="0BD81620" w:rsidR="00DC0C36" w:rsidRDefault="00443D63" w:rsidP="00402F9A">
      <w:pPr>
        <w:pStyle w:val="ListParagraph"/>
        <w:numPr>
          <w:ilvl w:val="0"/>
          <w:numId w:val="25"/>
        </w:numPr>
        <w:spacing w:after="0" w:line="240" w:lineRule="auto"/>
        <w:rPr>
          <w:rFonts w:cstheme="minorHAnsi"/>
          <w:color w:val="111111"/>
          <w:shd w:val="clear" w:color="auto" w:fill="FFFFFF"/>
        </w:rPr>
      </w:pPr>
      <w:r w:rsidRPr="00D01975">
        <w:rPr>
          <w:rFonts w:cstheme="minorHAnsi"/>
          <w:color w:val="111111"/>
          <w:shd w:val="clear" w:color="auto" w:fill="FFFFFF"/>
        </w:rPr>
        <w:t>a safe and culturally appropriate health care environment</w:t>
      </w:r>
    </w:p>
    <w:p w14:paraId="6995CF44" w14:textId="7BD57588" w:rsidR="00DC0C36" w:rsidRPr="00D01975" w:rsidRDefault="00443D63" w:rsidP="00402F9A">
      <w:pPr>
        <w:pStyle w:val="ListParagraph"/>
        <w:numPr>
          <w:ilvl w:val="0"/>
          <w:numId w:val="25"/>
        </w:numPr>
        <w:spacing w:after="0" w:line="240" w:lineRule="auto"/>
        <w:rPr>
          <w:rFonts w:cstheme="minorHAnsi"/>
          <w:color w:val="111111"/>
          <w:shd w:val="clear" w:color="auto" w:fill="FFFFFF"/>
        </w:rPr>
      </w:pPr>
      <w:r w:rsidRPr="00D01975">
        <w:rPr>
          <w:rFonts w:cstheme="minorHAnsi"/>
        </w:rPr>
        <w:t>personal health concerns</w:t>
      </w:r>
    </w:p>
    <w:p w14:paraId="5570A9FA" w14:textId="046E3169" w:rsidR="00DC0C36" w:rsidRPr="00D01975" w:rsidRDefault="00443D63" w:rsidP="00402F9A">
      <w:pPr>
        <w:pStyle w:val="ListParagraph"/>
        <w:numPr>
          <w:ilvl w:val="0"/>
          <w:numId w:val="25"/>
        </w:numPr>
        <w:spacing w:after="0" w:line="240" w:lineRule="auto"/>
        <w:rPr>
          <w:rFonts w:cstheme="minorHAnsi"/>
          <w:color w:val="111111"/>
          <w:shd w:val="clear" w:color="auto" w:fill="FFFFFF"/>
        </w:rPr>
      </w:pPr>
      <w:r w:rsidRPr="00D01975">
        <w:rPr>
          <w:rFonts w:cstheme="minorHAnsi"/>
        </w:rPr>
        <w:t xml:space="preserve">health </w:t>
      </w:r>
      <w:r w:rsidR="00DC0C36">
        <w:rPr>
          <w:rFonts w:cstheme="minorHAnsi"/>
        </w:rPr>
        <w:t>promotion</w:t>
      </w:r>
    </w:p>
    <w:p w14:paraId="7793C950" w14:textId="1006588D" w:rsidR="00443D63" w:rsidRPr="00D01975" w:rsidRDefault="00443D63" w:rsidP="00402F9A">
      <w:pPr>
        <w:pStyle w:val="ListParagraph"/>
        <w:numPr>
          <w:ilvl w:val="0"/>
          <w:numId w:val="25"/>
        </w:numPr>
        <w:spacing w:after="0" w:line="240" w:lineRule="auto"/>
        <w:rPr>
          <w:rFonts w:cstheme="minorHAnsi"/>
          <w:color w:val="111111"/>
          <w:shd w:val="clear" w:color="auto" w:fill="FFFFFF"/>
        </w:rPr>
      </w:pPr>
      <w:r w:rsidRPr="00D01975">
        <w:rPr>
          <w:rFonts w:cstheme="minorHAnsi"/>
        </w:rPr>
        <w:t>advocacy</w:t>
      </w:r>
    </w:p>
    <w:p w14:paraId="7B9EF6F3" w14:textId="77777777" w:rsidR="00443D63" w:rsidRPr="00D01975" w:rsidRDefault="00443D63" w:rsidP="00443D63">
      <w:pPr>
        <w:spacing w:after="0" w:line="240" w:lineRule="auto"/>
        <w:rPr>
          <w:rFonts w:cstheme="minorHAnsi"/>
          <w:color w:val="111111"/>
          <w:shd w:val="clear" w:color="auto" w:fill="FFFFFF"/>
        </w:rPr>
      </w:pPr>
    </w:p>
    <w:p w14:paraId="1C74AFE8" w14:textId="697930BE" w:rsidR="00443D63" w:rsidRPr="00D01975" w:rsidRDefault="00443D63" w:rsidP="00402F9A">
      <w:pPr>
        <w:pStyle w:val="ListParagraph"/>
        <w:numPr>
          <w:ilvl w:val="0"/>
          <w:numId w:val="26"/>
        </w:numPr>
        <w:spacing w:line="240" w:lineRule="auto"/>
        <w:rPr>
          <w:rFonts w:cstheme="minorHAnsi"/>
          <w:b/>
          <w:bCs/>
          <w:iCs/>
          <w:color w:val="111111"/>
          <w:shd w:val="clear" w:color="auto" w:fill="FFFFFF"/>
        </w:rPr>
      </w:pPr>
      <w:bookmarkStart w:id="259" w:name="_Hlk41816450"/>
      <w:r w:rsidRPr="00D01975">
        <w:rPr>
          <w:rFonts w:cstheme="minorHAnsi"/>
          <w:b/>
          <w:bCs/>
          <w:iCs/>
          <w:color w:val="111111"/>
          <w:shd w:val="clear" w:color="auto" w:fill="FFFFFF"/>
        </w:rPr>
        <w:t xml:space="preserve">Awareness and understanding </w:t>
      </w:r>
    </w:p>
    <w:p w14:paraId="0E921649" w14:textId="4E475E25" w:rsidR="00254BA7" w:rsidRPr="00D01975" w:rsidRDefault="00443D63" w:rsidP="00B4317A">
      <w:pPr>
        <w:rPr>
          <w:shd w:val="clear" w:color="auto" w:fill="FFFFFF"/>
        </w:rPr>
      </w:pPr>
      <w:r w:rsidRPr="00D01975">
        <w:rPr>
          <w:shd w:val="clear" w:color="auto" w:fill="FFFFFF"/>
        </w:rPr>
        <w:t>Most participants had some awareness of bowel screening prior to participating in the Alternative Pathway</w:t>
      </w:r>
      <w:r w:rsidR="00254BA7">
        <w:rPr>
          <w:shd w:val="clear" w:color="auto" w:fill="FFFFFF"/>
        </w:rPr>
        <w:t xml:space="preserve"> and </w:t>
      </w:r>
      <w:r w:rsidR="00376D90" w:rsidRPr="00D01975">
        <w:rPr>
          <w:shd w:val="clear" w:color="auto" w:fill="FFFFFF"/>
        </w:rPr>
        <w:t>i</w:t>
      </w:r>
      <w:r w:rsidR="00376D90" w:rsidRPr="00CF3200">
        <w:rPr>
          <w:shd w:val="clear" w:color="auto" w:fill="FFFFFF"/>
        </w:rPr>
        <w:t>dentified</w:t>
      </w:r>
      <w:r w:rsidR="00376D90" w:rsidRPr="00D01975">
        <w:rPr>
          <w:shd w:val="clear" w:color="auto" w:fill="FFFFFF"/>
        </w:rPr>
        <w:t xml:space="preserve"> </w:t>
      </w:r>
      <w:r w:rsidRPr="00D01975">
        <w:rPr>
          <w:shd w:val="clear" w:color="auto" w:fill="FFFFFF"/>
        </w:rPr>
        <w:t xml:space="preserve">several sources </w:t>
      </w:r>
      <w:r w:rsidR="00254BA7">
        <w:rPr>
          <w:shd w:val="clear" w:color="auto" w:fill="FFFFFF"/>
        </w:rPr>
        <w:t>by</w:t>
      </w:r>
      <w:r w:rsidR="00376D90" w:rsidRPr="00CF3200">
        <w:rPr>
          <w:shd w:val="clear" w:color="auto" w:fill="FFFFFF"/>
        </w:rPr>
        <w:t xml:space="preserve"> which</w:t>
      </w:r>
      <w:r w:rsidR="00376D90" w:rsidRPr="00D01975">
        <w:rPr>
          <w:shd w:val="clear" w:color="auto" w:fill="FFFFFF"/>
        </w:rPr>
        <w:t xml:space="preserve"> </w:t>
      </w:r>
      <w:r w:rsidRPr="00D01975">
        <w:rPr>
          <w:shd w:val="clear" w:color="auto" w:fill="FFFFFF"/>
        </w:rPr>
        <w:t xml:space="preserve">they </w:t>
      </w:r>
      <w:r w:rsidR="00254BA7">
        <w:rPr>
          <w:shd w:val="clear" w:color="auto" w:fill="FFFFFF"/>
        </w:rPr>
        <w:t>accessed</w:t>
      </w:r>
      <w:r w:rsidRPr="00D01975">
        <w:rPr>
          <w:shd w:val="clear" w:color="auto" w:fill="FFFFFF"/>
        </w:rPr>
        <w:t xml:space="preserve"> this in</w:t>
      </w:r>
      <w:r w:rsidR="00842FF9">
        <w:rPr>
          <w:shd w:val="clear" w:color="auto" w:fill="FFFFFF"/>
        </w:rPr>
        <w:t>form</w:t>
      </w:r>
      <w:r w:rsidRPr="00D01975">
        <w:rPr>
          <w:shd w:val="clear" w:color="auto" w:fill="FFFFFF"/>
        </w:rPr>
        <w:t xml:space="preserve">ation (e.g. receiving the kit in the mail, from family or friends affected by bowel cancer, advertisements on TV). </w:t>
      </w:r>
    </w:p>
    <w:p w14:paraId="56F5E562" w14:textId="77777777" w:rsidR="00443D63" w:rsidRPr="00D01975" w:rsidRDefault="00443D63" w:rsidP="00B4317A">
      <w:r w:rsidRPr="00D01975">
        <w:t>One participant commented:</w:t>
      </w:r>
    </w:p>
    <w:p w14:paraId="3AE900EF" w14:textId="73547859" w:rsidR="00443D63" w:rsidRPr="00D01975" w:rsidRDefault="00443D63" w:rsidP="000920C7">
      <w:pPr>
        <w:pStyle w:val="Quote"/>
      </w:pPr>
      <w:r w:rsidRPr="00AD3203">
        <w:t>‘I haven’t heard a</w:t>
      </w:r>
      <w:r w:rsidRPr="00E17DAA">
        <w:t>bout it, but at one stage, we got [it] through the mail.  But that one I just pushed it aside, I wasn’t keen to do it. I just put it aside and [I had] forgotten about it.’</w:t>
      </w:r>
    </w:p>
    <w:p w14:paraId="622E8941" w14:textId="763884C0" w:rsidR="00254BA7" w:rsidRPr="00733AB3" w:rsidRDefault="00443D63" w:rsidP="00B4317A">
      <w:pPr>
        <w:rPr>
          <w:shd w:val="clear" w:color="auto" w:fill="FFFFFF"/>
        </w:rPr>
      </w:pPr>
      <w:r w:rsidRPr="00D01975">
        <w:rPr>
          <w:shd w:val="clear" w:color="auto" w:fill="FFFFFF"/>
        </w:rPr>
        <w:t>Participants indicated their knowledge and understanding about bowel screening improved as a result of primary health centre staff explaining the test and demonstrating what to do with the kit. Health centre staff also explained the importance of the bowel screening test and as a result participants</w:t>
      </w:r>
      <w:r w:rsidR="00376D90" w:rsidRPr="00CF3200">
        <w:rPr>
          <w:shd w:val="clear" w:color="auto" w:fill="FFFFFF"/>
        </w:rPr>
        <w:t xml:space="preserve"> said they</w:t>
      </w:r>
      <w:r w:rsidRPr="00D01975">
        <w:rPr>
          <w:shd w:val="clear" w:color="auto" w:fill="FFFFFF"/>
        </w:rPr>
        <w:t xml:space="preserve"> understood the relevance of bowel screening more personally. </w:t>
      </w:r>
    </w:p>
    <w:p w14:paraId="0870E105" w14:textId="5E22DAF5" w:rsidR="00443D63" w:rsidRPr="00D01975" w:rsidRDefault="00443D63" w:rsidP="00B4317A">
      <w:r w:rsidRPr="00D01975">
        <w:t xml:space="preserve">Participants indicated one of the main differences between receiving the kit in the mail and being offered it at the health centre was increased understanding </w:t>
      </w:r>
      <w:r w:rsidR="00254BA7">
        <w:t>about</w:t>
      </w:r>
      <w:r w:rsidRPr="00D01975">
        <w:t xml:space="preserve"> what the kit was for and why it was important.</w:t>
      </w:r>
    </w:p>
    <w:p w14:paraId="42F008BF" w14:textId="5714DBB0" w:rsidR="00443D63" w:rsidRPr="00874345" w:rsidRDefault="00443D63" w:rsidP="000920C7">
      <w:pPr>
        <w:pStyle w:val="Quote"/>
      </w:pPr>
      <w:r w:rsidRPr="00874345">
        <w:lastRenderedPageBreak/>
        <w:t>‘I been receiving them and [the health centre staff asked me] if I did understand why I was getting them and I said, ‘No not really’.  I think sometimes when they come out of the blue and it’s the government envelope, kind of another imposition too [and more Government data collection or] survey study … when it just comes out of the blue.’</w:t>
      </w:r>
      <w:r w:rsidRPr="00874345">
        <w:rPr>
          <w:strike/>
        </w:rPr>
        <w:t xml:space="preserve"> </w:t>
      </w:r>
    </w:p>
    <w:p w14:paraId="5E60B565" w14:textId="563CC33B" w:rsidR="00443D63" w:rsidRPr="00D01975" w:rsidRDefault="00443D63" w:rsidP="000920C7">
      <w:pPr>
        <w:pStyle w:val="Quote"/>
      </w:pPr>
      <w:r w:rsidRPr="00874345">
        <w:t xml:space="preserve">‘He [Aboriginal Health Worker] explained it all to me … rather than just having the package arrive ...’ </w:t>
      </w:r>
    </w:p>
    <w:p w14:paraId="288781F5" w14:textId="58675D16" w:rsidR="00443D63" w:rsidRPr="00B4317A" w:rsidRDefault="00443D63" w:rsidP="00B4317A">
      <w:r w:rsidRPr="00D01975">
        <w:t xml:space="preserve">Having the kit </w:t>
      </w:r>
      <w:r w:rsidR="00376D90" w:rsidRPr="00CF3200">
        <w:t>distributed,</w:t>
      </w:r>
      <w:r w:rsidRPr="00D01975">
        <w:t xml:space="preserve"> demonstrated and explained at the local health centre removed many of the barriers to screening. However, for some participants there were other challenges in </w:t>
      </w:r>
      <w:r w:rsidR="009E0ADD" w:rsidRPr="00CF3200">
        <w:t>completing</w:t>
      </w:r>
      <w:r w:rsidR="009E0ADD" w:rsidRPr="00D01975">
        <w:t xml:space="preserve"> </w:t>
      </w:r>
      <w:r w:rsidRPr="00D01975">
        <w:t>the test</w:t>
      </w:r>
      <w:r w:rsidR="00DC0C36">
        <w:t>.</w:t>
      </w:r>
    </w:p>
    <w:p w14:paraId="6F197836" w14:textId="36A0E8BB" w:rsidR="00443D63" w:rsidRPr="00733AB3" w:rsidRDefault="00DC0C36" w:rsidP="000920C7">
      <w:pPr>
        <w:pStyle w:val="Quote"/>
      </w:pPr>
      <w:r>
        <w:t>‘</w:t>
      </w:r>
      <w:r w:rsidR="00443D63" w:rsidRPr="00874345">
        <w:t xml:space="preserve">I remember thinking that, ‘‘Gee, thank goodness I’ve got this new fridge,” …I had an old second-hand one which had been on its last legs... I didn’t worry about the previous three years of bowel screening because I didn’t have a [good] fridge. I just thought [of the dislike] of storing </w:t>
      </w:r>
      <w:proofErr w:type="spellStart"/>
      <w:r w:rsidR="00443D63" w:rsidRPr="00874345">
        <w:t>goona</w:t>
      </w:r>
      <w:proofErr w:type="spellEnd"/>
      <w:r w:rsidR="00443D63" w:rsidRPr="00874345">
        <w:t xml:space="preserve"> [faecal sample] in your fridge too.’</w:t>
      </w:r>
      <w:r w:rsidR="00443D63" w:rsidRPr="00874345" w:rsidDel="00072ABC">
        <w:t xml:space="preserve"> </w:t>
      </w:r>
    </w:p>
    <w:p w14:paraId="3F25B36B" w14:textId="6B498230" w:rsidR="00443D63" w:rsidRPr="00D01975" w:rsidRDefault="00443D63" w:rsidP="00402F9A">
      <w:pPr>
        <w:pStyle w:val="ListParagraph"/>
        <w:numPr>
          <w:ilvl w:val="0"/>
          <w:numId w:val="26"/>
        </w:numPr>
        <w:spacing w:line="240" w:lineRule="auto"/>
        <w:rPr>
          <w:rFonts w:cstheme="minorHAnsi"/>
          <w:b/>
          <w:bCs/>
          <w:iCs/>
          <w:color w:val="111111"/>
          <w:shd w:val="clear" w:color="auto" w:fill="FFFFFF"/>
        </w:rPr>
      </w:pPr>
      <w:r w:rsidRPr="00D01975">
        <w:rPr>
          <w:rFonts w:cstheme="minorHAnsi"/>
          <w:b/>
          <w:bCs/>
          <w:iCs/>
          <w:color w:val="111111"/>
          <w:shd w:val="clear" w:color="auto" w:fill="FFFFFF"/>
        </w:rPr>
        <w:t>A safe and culturally appropriate health care environment</w:t>
      </w:r>
    </w:p>
    <w:p w14:paraId="2460D6D5" w14:textId="0F2666D6" w:rsidR="00443D63" w:rsidRPr="00D01975" w:rsidRDefault="00443D63" w:rsidP="00254BA7">
      <w:pPr>
        <w:spacing w:after="0" w:line="240" w:lineRule="auto"/>
        <w:rPr>
          <w:rFonts w:cstheme="minorHAnsi"/>
          <w:color w:val="111111"/>
          <w:shd w:val="clear" w:color="auto" w:fill="FFFFFF"/>
        </w:rPr>
      </w:pPr>
      <w:r w:rsidRPr="00D01975">
        <w:rPr>
          <w:rFonts w:cstheme="minorHAnsi"/>
          <w:color w:val="111111"/>
          <w:shd w:val="clear" w:color="auto" w:fill="FFFFFF"/>
        </w:rPr>
        <w:t xml:space="preserve">Most participants saw their health centres as trusted, credible and culturally safe places, and this </w:t>
      </w:r>
      <w:r w:rsidR="009E0ADD" w:rsidRPr="00CF3200">
        <w:rPr>
          <w:rFonts w:cstheme="minorHAnsi"/>
          <w:color w:val="111111"/>
          <w:shd w:val="clear" w:color="auto" w:fill="FFFFFF"/>
        </w:rPr>
        <w:t xml:space="preserve">improved </w:t>
      </w:r>
      <w:r w:rsidRPr="00D01975">
        <w:rPr>
          <w:rFonts w:cstheme="minorHAnsi"/>
          <w:color w:val="111111"/>
          <w:shd w:val="clear" w:color="auto" w:fill="FFFFFF"/>
        </w:rPr>
        <w:t>their receptiveness to and completion of screening. The persistence of staff in asking participants whether they had done the test</w:t>
      </w:r>
      <w:r w:rsidR="009E0ADD" w:rsidRPr="00CF3200">
        <w:rPr>
          <w:rFonts w:cstheme="minorHAnsi"/>
          <w:color w:val="111111"/>
          <w:shd w:val="clear" w:color="auto" w:fill="FFFFFF"/>
        </w:rPr>
        <w:t xml:space="preserve"> yet</w:t>
      </w:r>
      <w:r w:rsidRPr="00D01975">
        <w:rPr>
          <w:rFonts w:cstheme="minorHAnsi"/>
          <w:color w:val="111111"/>
          <w:shd w:val="clear" w:color="auto" w:fill="FFFFFF"/>
        </w:rPr>
        <w:t xml:space="preserve"> also encouraged completion</w:t>
      </w:r>
      <w:r w:rsidR="009E0ADD" w:rsidRPr="00CF3200">
        <w:rPr>
          <w:rFonts w:cstheme="minorHAnsi"/>
          <w:color w:val="111111"/>
          <w:shd w:val="clear" w:color="auto" w:fill="FFFFFF"/>
        </w:rPr>
        <w:t>.</w:t>
      </w:r>
    </w:p>
    <w:p w14:paraId="51F12E53" w14:textId="560D0C0C" w:rsidR="00443D63" w:rsidRPr="00D01975" w:rsidRDefault="00443D63" w:rsidP="00254BA7">
      <w:pPr>
        <w:spacing w:after="0" w:line="240" w:lineRule="auto"/>
        <w:rPr>
          <w:rFonts w:cstheme="minorHAnsi"/>
        </w:rPr>
      </w:pPr>
      <w:r w:rsidRPr="00D01975">
        <w:rPr>
          <w:rFonts w:cstheme="minorHAnsi"/>
        </w:rPr>
        <w:t xml:space="preserve">The local health centre’s supportive approach to primary health care, and the </w:t>
      </w:r>
      <w:r w:rsidR="009E0ADD" w:rsidRPr="00CF3200">
        <w:rPr>
          <w:rFonts w:cstheme="minorHAnsi"/>
        </w:rPr>
        <w:t xml:space="preserve">trust </w:t>
      </w:r>
      <w:r w:rsidRPr="00D01975">
        <w:rPr>
          <w:rFonts w:cstheme="minorHAnsi"/>
        </w:rPr>
        <w:t xml:space="preserve">relationship between staff and their Indigenous patients, provided important encouragement and support that was missing when the kit was received in the mail.  </w:t>
      </w:r>
    </w:p>
    <w:p w14:paraId="6CE7554B" w14:textId="4D941874" w:rsidR="00443D63" w:rsidRPr="00874345" w:rsidRDefault="00443D63" w:rsidP="000920C7">
      <w:pPr>
        <w:pStyle w:val="Quote"/>
      </w:pPr>
      <w:r w:rsidRPr="00874345">
        <w:t xml:space="preserve">‘Yeah well I like it better through our health workers to be honest because they do talk you through the process, they just check up on you, it’s more personal, it’s more culturally, it’s our culture, it’s more culturally our way.’ </w:t>
      </w:r>
    </w:p>
    <w:p w14:paraId="424E943F" w14:textId="457AE9CA" w:rsidR="00443D63" w:rsidRPr="00874345" w:rsidRDefault="00443D63" w:rsidP="000920C7">
      <w:pPr>
        <w:pStyle w:val="Quote"/>
      </w:pPr>
      <w:r w:rsidRPr="00874345">
        <w:t>‘… I think it would be easier for them to initiate it from here.  Because I do all my health things here, it’s like a great big family here, so [I] come in and feel comfortable with them to do things like that.</w:t>
      </w:r>
      <w:r w:rsidR="00DC0C36">
        <w:t>’</w:t>
      </w:r>
      <w:r w:rsidRPr="00874345">
        <w:t xml:space="preserve"> </w:t>
      </w:r>
    </w:p>
    <w:p w14:paraId="3F90059E" w14:textId="1767C772" w:rsidR="00443D63" w:rsidRPr="00D01975" w:rsidRDefault="00443D63" w:rsidP="00443D63">
      <w:pPr>
        <w:spacing w:after="0" w:line="240" w:lineRule="auto"/>
        <w:rPr>
          <w:rFonts w:cstheme="minorHAnsi"/>
        </w:rPr>
      </w:pPr>
      <w:r w:rsidRPr="00D01975">
        <w:rPr>
          <w:rFonts w:cstheme="minorHAnsi"/>
        </w:rPr>
        <w:t xml:space="preserve">The importance of cultural safety and cultural appropriateness was highlighted by one female participant who described how an Indigenous male health professional respectfully talked with her about doing the bowel screening test. </w:t>
      </w:r>
    </w:p>
    <w:p w14:paraId="5971F61C" w14:textId="035B2AD2" w:rsidR="00443D63" w:rsidRPr="00D01975" w:rsidRDefault="00DC0C36" w:rsidP="000920C7">
      <w:pPr>
        <w:pStyle w:val="Quote"/>
      </w:pPr>
      <w:r>
        <w:t>‘</w:t>
      </w:r>
      <w:r w:rsidR="00443D63" w:rsidRPr="00874345">
        <w:t>[The Aboriginal Health Worker] contacted me and we had that little yarn and then in the way … he’s very respectful and diligent and thorough and a good bit of sense of humour you know.  He wasn’t – he didn’t cross the line sort of thing, he was respectful.’</w:t>
      </w:r>
    </w:p>
    <w:p w14:paraId="03FB64C5" w14:textId="1E578756" w:rsidR="00443D63" w:rsidRPr="00D01975" w:rsidRDefault="00443D63" w:rsidP="00443D63">
      <w:pPr>
        <w:rPr>
          <w:rFonts w:cstheme="minorHAnsi"/>
        </w:rPr>
      </w:pPr>
      <w:r w:rsidRPr="00D01975">
        <w:rPr>
          <w:rFonts w:cstheme="minorHAnsi"/>
        </w:rPr>
        <w:t xml:space="preserve">Being </w:t>
      </w:r>
      <w:r w:rsidR="009E0ADD" w:rsidRPr="00CF3200">
        <w:rPr>
          <w:rFonts w:cstheme="minorHAnsi"/>
        </w:rPr>
        <w:t>encouraged</w:t>
      </w:r>
      <w:r w:rsidRPr="00D01975">
        <w:rPr>
          <w:rFonts w:cstheme="minorHAnsi"/>
        </w:rPr>
        <w:t xml:space="preserve"> to do the test, and the matter-of-fact way in which some health centre staff presented the kit </w:t>
      </w:r>
      <w:r w:rsidR="009E0ADD" w:rsidRPr="00CF3200">
        <w:rPr>
          <w:rFonts w:cstheme="minorHAnsi"/>
        </w:rPr>
        <w:t xml:space="preserve">also </w:t>
      </w:r>
      <w:r w:rsidRPr="00D01975">
        <w:rPr>
          <w:rFonts w:cstheme="minorHAnsi"/>
        </w:rPr>
        <w:t>prompt</w:t>
      </w:r>
      <w:r w:rsidR="009E0ADD" w:rsidRPr="00CF3200">
        <w:rPr>
          <w:rFonts w:cstheme="minorHAnsi"/>
        </w:rPr>
        <w:t>ed</w:t>
      </w:r>
      <w:r w:rsidRPr="00D01975">
        <w:rPr>
          <w:rFonts w:cstheme="minorHAnsi"/>
        </w:rPr>
        <w:t xml:space="preserve"> participants into action. </w:t>
      </w:r>
    </w:p>
    <w:p w14:paraId="5E558FD0" w14:textId="4E7CC874" w:rsidR="00443D63" w:rsidRPr="00874345" w:rsidRDefault="00443D63" w:rsidP="000920C7">
      <w:pPr>
        <w:pStyle w:val="Quote"/>
      </w:pPr>
      <w:r w:rsidRPr="00874345">
        <w:t xml:space="preserve">‘Yeah, when I went to my regular </w:t>
      </w:r>
      <w:r w:rsidR="0047598E" w:rsidRPr="00874345">
        <w:t>check-up,</w:t>
      </w:r>
      <w:r w:rsidRPr="00874345">
        <w:t xml:space="preserve"> they asked me at the time, “Uncle, have you had your bowel test done recently?” and I said, “No, I haven’t.”  Then they said, “Well, we’ll – we might give you a kit, hey, and have a go” and I did that, yeah…that’s why I decided to do it …’ </w:t>
      </w:r>
    </w:p>
    <w:p w14:paraId="7283B776" w14:textId="2422E8C7" w:rsidR="00443D63" w:rsidRPr="00874345" w:rsidRDefault="00443D63" w:rsidP="000920C7">
      <w:pPr>
        <w:pStyle w:val="Quote"/>
      </w:pPr>
      <w:r w:rsidRPr="00874345">
        <w:t xml:space="preserve"> ‘[The health worker] initiated it. He actually handed it to me. I was [at the] clinic for some reason and he called me in and said “Aunty, you could do this.  Do this and then give it back to us”.’ </w:t>
      </w:r>
    </w:p>
    <w:p w14:paraId="340B0268" w14:textId="126DE5D4" w:rsidR="00443D63" w:rsidRPr="00254BA7" w:rsidRDefault="00443D63" w:rsidP="000920C7">
      <w:pPr>
        <w:pStyle w:val="Quote"/>
      </w:pPr>
      <w:r w:rsidRPr="00874345">
        <w:lastRenderedPageBreak/>
        <w:t>‘During an annual check-up</w:t>
      </w:r>
      <w:r w:rsidR="00463DF2">
        <w:t xml:space="preserve"> [the nurse] seen my age and … </w:t>
      </w:r>
      <w:r w:rsidRPr="00874345">
        <w:t xml:space="preserve">so she gave me the kit and she explained things to me and off we went from there.’ </w:t>
      </w:r>
    </w:p>
    <w:p w14:paraId="27C3EDED" w14:textId="6A48DD94" w:rsidR="00443D63" w:rsidRPr="00D01975" w:rsidRDefault="00443D63" w:rsidP="00443D63">
      <w:pPr>
        <w:spacing w:after="0" w:line="240" w:lineRule="auto"/>
        <w:rPr>
          <w:rFonts w:cstheme="minorHAnsi"/>
        </w:rPr>
      </w:pPr>
      <w:r w:rsidRPr="00D01975">
        <w:rPr>
          <w:rFonts w:cstheme="minorHAnsi"/>
        </w:rPr>
        <w:t>The ongoing relationship between clients and health centre staff also prompted some participants to complete the test, with some describing it as a sense of obligation to the local health centre.</w:t>
      </w:r>
    </w:p>
    <w:p w14:paraId="5ABACE3B" w14:textId="086954F4" w:rsidR="00443D63" w:rsidRPr="00874345" w:rsidRDefault="00443D63" w:rsidP="000920C7">
      <w:pPr>
        <w:pStyle w:val="Quote"/>
      </w:pPr>
      <w:r w:rsidRPr="00874345">
        <w:t xml:space="preserve">‘Initially though I think people don’t want to know about it and will probably park it somewhere and forget about it but if you come in here and you’ve got [health professionals] on your case, well you get it done.’ </w:t>
      </w:r>
    </w:p>
    <w:p w14:paraId="03A432BC" w14:textId="4BECD47B" w:rsidR="00443D63" w:rsidRPr="00874345" w:rsidRDefault="00443D63" w:rsidP="000920C7">
      <w:pPr>
        <w:pStyle w:val="Quote"/>
      </w:pPr>
      <w:r w:rsidRPr="00874345">
        <w:rPr>
          <w:rStyle w:val="normaltextrun"/>
        </w:rPr>
        <w:t xml:space="preserve">‘[An Aboriginal Health Worker] and the other health worker they both come and dropped it off [at home] yeah and they explained it – he just went through a bit of an explanation and so I found it quite simple … but I think, to me, I probably wouldn’t have bothered for a few more years unless they came and chased me...’ </w:t>
      </w:r>
    </w:p>
    <w:p w14:paraId="16B69147" w14:textId="57A0433B" w:rsidR="00DC0C36" w:rsidRPr="00D01975" w:rsidRDefault="00443D63" w:rsidP="000920C7">
      <w:pPr>
        <w:pStyle w:val="Quote"/>
      </w:pPr>
      <w:r w:rsidRPr="00874345">
        <w:t xml:space="preserve">‘I think I like coming here to [the primary health care centre]. I’ve got to return it, that’s one of the commitments I have to do it.’ </w:t>
      </w:r>
    </w:p>
    <w:p w14:paraId="7F25DCE0" w14:textId="0CEF9C14" w:rsidR="00443D63" w:rsidRPr="00D01975" w:rsidRDefault="00443D63" w:rsidP="00402F9A">
      <w:pPr>
        <w:pStyle w:val="ListParagraph"/>
        <w:numPr>
          <w:ilvl w:val="0"/>
          <w:numId w:val="26"/>
        </w:numPr>
        <w:spacing w:line="240" w:lineRule="auto"/>
        <w:rPr>
          <w:rFonts w:cstheme="minorHAnsi"/>
          <w:b/>
          <w:bCs/>
          <w:iCs/>
          <w:color w:val="111111"/>
          <w:shd w:val="clear" w:color="auto" w:fill="FFFFFF"/>
        </w:rPr>
      </w:pPr>
      <w:r w:rsidRPr="00D01975">
        <w:rPr>
          <w:rFonts w:cstheme="minorHAnsi"/>
          <w:b/>
          <w:bCs/>
          <w:iCs/>
          <w:color w:val="111111"/>
          <w:shd w:val="clear" w:color="auto" w:fill="FFFFFF"/>
        </w:rPr>
        <w:t xml:space="preserve">Personal </w:t>
      </w:r>
      <w:r w:rsidR="003341BA">
        <w:rPr>
          <w:rFonts w:cstheme="minorHAnsi"/>
          <w:b/>
          <w:bCs/>
          <w:iCs/>
          <w:color w:val="111111"/>
          <w:shd w:val="clear" w:color="auto" w:fill="FFFFFF"/>
        </w:rPr>
        <w:t>h</w:t>
      </w:r>
      <w:r w:rsidRPr="00D01975">
        <w:rPr>
          <w:rFonts w:cstheme="minorHAnsi"/>
          <w:b/>
          <w:bCs/>
          <w:iCs/>
          <w:color w:val="111111"/>
          <w:shd w:val="clear" w:color="auto" w:fill="FFFFFF"/>
        </w:rPr>
        <w:t xml:space="preserve">ealth </w:t>
      </w:r>
      <w:r w:rsidR="003341BA">
        <w:rPr>
          <w:rFonts w:cstheme="minorHAnsi"/>
          <w:b/>
          <w:bCs/>
          <w:iCs/>
          <w:color w:val="111111"/>
          <w:shd w:val="clear" w:color="auto" w:fill="FFFFFF"/>
        </w:rPr>
        <w:t>c</w:t>
      </w:r>
      <w:r w:rsidRPr="00D01975">
        <w:rPr>
          <w:rFonts w:cstheme="minorHAnsi"/>
          <w:b/>
          <w:bCs/>
          <w:iCs/>
          <w:color w:val="111111"/>
          <w:shd w:val="clear" w:color="auto" w:fill="FFFFFF"/>
        </w:rPr>
        <w:t>oncerns</w:t>
      </w:r>
    </w:p>
    <w:p w14:paraId="50DBE6F6" w14:textId="3A401263" w:rsidR="00443D63" w:rsidRPr="00733AB3" w:rsidRDefault="00443D63" w:rsidP="00443D63">
      <w:pPr>
        <w:spacing w:after="0" w:line="240" w:lineRule="auto"/>
        <w:rPr>
          <w:rFonts w:cstheme="minorHAnsi"/>
          <w:color w:val="111111"/>
          <w:shd w:val="clear" w:color="auto" w:fill="FFFFFF"/>
        </w:rPr>
      </w:pPr>
      <w:r w:rsidRPr="00D01975">
        <w:rPr>
          <w:rFonts w:cstheme="minorHAnsi"/>
          <w:color w:val="111111"/>
          <w:shd w:val="clear" w:color="auto" w:fill="FFFFFF"/>
        </w:rPr>
        <w:t xml:space="preserve">Other factors influencing </w:t>
      </w:r>
      <w:r w:rsidR="00694FAE" w:rsidRPr="00CF3200">
        <w:rPr>
          <w:rFonts w:cstheme="minorHAnsi"/>
          <w:color w:val="111111"/>
          <w:shd w:val="clear" w:color="auto" w:fill="FFFFFF"/>
        </w:rPr>
        <w:t>a participant’s</w:t>
      </w:r>
      <w:r w:rsidRPr="00D01975">
        <w:rPr>
          <w:rFonts w:cstheme="minorHAnsi"/>
          <w:color w:val="111111"/>
          <w:shd w:val="clear" w:color="auto" w:fill="FFFFFF"/>
        </w:rPr>
        <w:t xml:space="preserve"> decision to screen included a desire to stay healthy (particularly when reaching older age), family history, support and encouragement from PHCC and having a working fridge to store samples. </w:t>
      </w:r>
    </w:p>
    <w:p w14:paraId="4C147BD0" w14:textId="470E45A4" w:rsidR="00443D63" w:rsidRPr="00874345" w:rsidRDefault="00443D63" w:rsidP="000920C7">
      <w:pPr>
        <w:pStyle w:val="Quote"/>
      </w:pPr>
      <w:r w:rsidRPr="00CF3200">
        <w:t>‘Because of my other co-morbiditie</w:t>
      </w:r>
      <w:r w:rsidRPr="00874345">
        <w:t xml:space="preserve">s, my diabetes, and I thought well, you know, this is the age now for me to go through everything to make sure that I’m well.’ </w:t>
      </w:r>
    </w:p>
    <w:p w14:paraId="25D7E145" w14:textId="09929114" w:rsidR="00443D63" w:rsidRPr="00733AB3" w:rsidRDefault="00443D63" w:rsidP="000920C7">
      <w:pPr>
        <w:pStyle w:val="Quote"/>
      </w:pPr>
      <w:r w:rsidRPr="00874345">
        <w:t>‘Well, I didn’t … I didn’t want to end up being one of them people dying of bowel cancer.</w:t>
      </w:r>
      <w:r w:rsidR="00DC0C36">
        <w:t>’</w:t>
      </w:r>
      <w:r w:rsidRPr="00874345">
        <w:t xml:space="preserve"> </w:t>
      </w:r>
    </w:p>
    <w:p w14:paraId="55EF01C7" w14:textId="56D46057" w:rsidR="00443D63" w:rsidRPr="00D01975" w:rsidRDefault="00443D63" w:rsidP="00443D63">
      <w:pPr>
        <w:spacing w:after="0" w:line="240" w:lineRule="auto"/>
        <w:rPr>
          <w:rFonts w:cstheme="minorHAnsi"/>
        </w:rPr>
      </w:pPr>
      <w:r w:rsidRPr="00D01975">
        <w:rPr>
          <w:rFonts w:cstheme="minorHAnsi"/>
        </w:rPr>
        <w:t xml:space="preserve">One participant commented that having an immediate family member who had to have polyps removed during a colonoscopy was an important influence, as it meant he was already aware of the importance of the test. </w:t>
      </w:r>
    </w:p>
    <w:p w14:paraId="7BAD0171" w14:textId="2C80CCAA" w:rsidR="00443D63" w:rsidRPr="00D01975" w:rsidRDefault="00443D63" w:rsidP="000920C7">
      <w:pPr>
        <w:pStyle w:val="Quote"/>
      </w:pPr>
      <w:r w:rsidRPr="00874345">
        <w:t xml:space="preserve">‘My dad has had to go a couple of times and had the procedure [colonoscopy], and they were cutting polyps off and stuff like that [with him], so that sort of made me aware a little bit of it and then of course [the nurse] here just says, ‘Here, do it’ and I do it, so that was that.’ </w:t>
      </w:r>
    </w:p>
    <w:p w14:paraId="7856DEB4" w14:textId="64384E2D" w:rsidR="00443D63" w:rsidRPr="00874345" w:rsidRDefault="00443D63" w:rsidP="000920C7">
      <w:pPr>
        <w:pStyle w:val="Quote"/>
      </w:pPr>
      <w:r w:rsidRPr="00874345">
        <w:t>‘…  If it comes to your health do it.’ </w:t>
      </w:r>
    </w:p>
    <w:p w14:paraId="14F12519" w14:textId="501BCCFC" w:rsidR="00565D1E" w:rsidRPr="000E673F" w:rsidRDefault="00443D63" w:rsidP="000920C7">
      <w:pPr>
        <w:pStyle w:val="Quote"/>
      </w:pPr>
      <w:r w:rsidRPr="00874345">
        <w:t xml:space="preserve">‘Well it’s for my own benefit to do it, yeah, because now I’ve tested positive there’s obviously something not going right so I’ll get it checked out and fixed.  Like it’s only a couple of minutes out of your day.’  I can’t see why I wouldn’t. Get in and do it.  Simple as that, get in and do it. You get old like things don’t work like they used to, your body can’t do what it’s supposed to be doing all the time.’ </w:t>
      </w:r>
    </w:p>
    <w:p w14:paraId="548EBCEE" w14:textId="79CCAD6E" w:rsidR="00443D63" w:rsidRPr="00D01975" w:rsidRDefault="00443D63" w:rsidP="00402F9A">
      <w:pPr>
        <w:pStyle w:val="ListParagraph"/>
        <w:numPr>
          <w:ilvl w:val="0"/>
          <w:numId w:val="26"/>
        </w:numPr>
        <w:spacing w:line="240" w:lineRule="auto"/>
        <w:rPr>
          <w:rFonts w:cstheme="minorHAnsi"/>
          <w:b/>
          <w:bCs/>
          <w:iCs/>
          <w:color w:val="111111"/>
          <w:shd w:val="clear" w:color="auto" w:fill="FFFFFF"/>
        </w:rPr>
      </w:pPr>
      <w:r w:rsidRPr="00D01975">
        <w:rPr>
          <w:rFonts w:cstheme="minorHAnsi"/>
          <w:b/>
          <w:bCs/>
          <w:iCs/>
          <w:color w:val="111111"/>
          <w:shd w:val="clear" w:color="auto" w:fill="FFFFFF"/>
        </w:rPr>
        <w:t xml:space="preserve">Health </w:t>
      </w:r>
      <w:r w:rsidR="003341BA">
        <w:rPr>
          <w:rFonts w:cstheme="minorHAnsi"/>
          <w:b/>
          <w:bCs/>
          <w:iCs/>
          <w:color w:val="111111"/>
          <w:shd w:val="clear" w:color="auto" w:fill="FFFFFF"/>
        </w:rPr>
        <w:t>p</w:t>
      </w:r>
      <w:r w:rsidRPr="00D01975">
        <w:rPr>
          <w:rFonts w:cstheme="minorHAnsi"/>
          <w:b/>
          <w:bCs/>
          <w:iCs/>
          <w:color w:val="111111"/>
          <w:shd w:val="clear" w:color="auto" w:fill="FFFFFF"/>
        </w:rPr>
        <w:t>romotion</w:t>
      </w:r>
    </w:p>
    <w:p w14:paraId="39BA99CC" w14:textId="492155E6" w:rsidR="00443D63" w:rsidRPr="00D01975" w:rsidRDefault="00443D63" w:rsidP="00443D63">
      <w:pPr>
        <w:spacing w:after="0" w:line="240" w:lineRule="auto"/>
        <w:rPr>
          <w:rFonts w:cstheme="minorHAnsi"/>
        </w:rPr>
      </w:pPr>
      <w:r w:rsidRPr="00D01975">
        <w:rPr>
          <w:rFonts w:cstheme="minorHAnsi"/>
        </w:rPr>
        <w:t xml:space="preserve">Most of the participants had seen television advertising about bowel screening prior to being invited to screen through the Alternative </w:t>
      </w:r>
      <w:r w:rsidR="003D3671" w:rsidRPr="00D01975">
        <w:rPr>
          <w:rFonts w:cstheme="minorHAnsi"/>
        </w:rPr>
        <w:t>Pathway but</w:t>
      </w:r>
      <w:r w:rsidRPr="00D01975">
        <w:rPr>
          <w:rFonts w:cstheme="minorHAnsi"/>
        </w:rPr>
        <w:t xml:space="preserve"> had not necessarily seen </w:t>
      </w:r>
      <w:r w:rsidR="0047598E" w:rsidRPr="00CF3200">
        <w:rPr>
          <w:rFonts w:cstheme="minorHAnsi"/>
        </w:rPr>
        <w:t xml:space="preserve">the advertising </w:t>
      </w:r>
      <w:r w:rsidRPr="00D01975">
        <w:rPr>
          <w:rFonts w:cstheme="minorHAnsi"/>
        </w:rPr>
        <w:t>as directed at them</w:t>
      </w:r>
      <w:r w:rsidR="00694FAE" w:rsidRPr="00CF3200">
        <w:rPr>
          <w:rFonts w:cstheme="minorHAnsi"/>
        </w:rPr>
        <w:t>.</w:t>
      </w:r>
      <w:r w:rsidRPr="00D01975">
        <w:rPr>
          <w:rFonts w:cstheme="minorHAnsi"/>
        </w:rPr>
        <w:t xml:space="preserve"> </w:t>
      </w:r>
    </w:p>
    <w:p w14:paraId="2A41C817" w14:textId="5F1C0BEE" w:rsidR="00443D63" w:rsidRPr="00874345" w:rsidRDefault="00443D63" w:rsidP="000920C7">
      <w:pPr>
        <w:pStyle w:val="Quote"/>
      </w:pPr>
      <w:r w:rsidRPr="00CF3200">
        <w:rPr>
          <w:rStyle w:val="normaltextrun"/>
          <w:iCs/>
        </w:rPr>
        <w:t>‘</w:t>
      </w:r>
      <w:r w:rsidRPr="00874345">
        <w:rPr>
          <w:rStyle w:val="normaltextrun"/>
        </w:rPr>
        <w:t xml:space="preserve">I probably saw it on TV, but it didn’t click to </w:t>
      </w:r>
      <w:r w:rsidRPr="00874345">
        <w:rPr>
          <w:rStyle w:val="normaltextrun"/>
          <w:iCs/>
        </w:rPr>
        <w:t>m</w:t>
      </w:r>
      <w:r w:rsidRPr="00874345">
        <w:rPr>
          <w:rStyle w:val="normaltextrun"/>
        </w:rPr>
        <w:t xml:space="preserve">e that I was part of that group…’ </w:t>
      </w:r>
    </w:p>
    <w:p w14:paraId="38A5E9C8" w14:textId="2441275C" w:rsidR="00443D63" w:rsidRPr="00D01975" w:rsidRDefault="00443D63" w:rsidP="00443D63">
      <w:pPr>
        <w:rPr>
          <w:rFonts w:cstheme="minorHAnsi"/>
          <w:szCs w:val="28"/>
        </w:rPr>
      </w:pPr>
      <w:r w:rsidRPr="00D01975">
        <w:rPr>
          <w:rFonts w:cstheme="minorHAnsi"/>
          <w:szCs w:val="28"/>
        </w:rPr>
        <w:lastRenderedPageBreak/>
        <w:t>Some participants commented that the medical in</w:t>
      </w:r>
      <w:r w:rsidR="00842FF9">
        <w:rPr>
          <w:rFonts w:cstheme="minorHAnsi"/>
          <w:szCs w:val="28"/>
        </w:rPr>
        <w:t>form</w:t>
      </w:r>
      <w:r w:rsidRPr="00D01975">
        <w:rPr>
          <w:rFonts w:cstheme="minorHAnsi"/>
          <w:szCs w:val="28"/>
        </w:rPr>
        <w:t>ation TV channel or other media in their health</w:t>
      </w:r>
      <w:r w:rsidR="0047598E" w:rsidRPr="00CF3200">
        <w:rPr>
          <w:rFonts w:cstheme="minorHAnsi"/>
          <w:szCs w:val="28"/>
        </w:rPr>
        <w:t xml:space="preserve"> centre</w:t>
      </w:r>
      <w:r w:rsidRPr="00D01975">
        <w:rPr>
          <w:rFonts w:cstheme="minorHAnsi"/>
          <w:szCs w:val="28"/>
        </w:rPr>
        <w:t xml:space="preserve"> helped them relate to the messaging. </w:t>
      </w:r>
    </w:p>
    <w:p w14:paraId="2F9CB50D" w14:textId="5202A5C4" w:rsidR="000A7EAD" w:rsidRDefault="00443D63" w:rsidP="000920C7">
      <w:pPr>
        <w:pStyle w:val="Quote"/>
      </w:pPr>
      <w:r w:rsidRPr="00AD3203">
        <w:t>‘[They] … showed me a film … that they had and showed me how to do it and also they had so</w:t>
      </w:r>
      <w:r w:rsidRPr="00E17DAA">
        <w:t xml:space="preserve">me </w:t>
      </w:r>
      <w:r w:rsidRPr="009E1D0C">
        <w:t>stuff on – pictures on the wall explaining what is was and what it does and stuff like that, yeah.’</w:t>
      </w:r>
    </w:p>
    <w:p w14:paraId="5AFBD93A" w14:textId="0D53E6C8" w:rsidR="00443D63" w:rsidRPr="00733AB3" w:rsidRDefault="000A7EAD" w:rsidP="000920C7">
      <w:pPr>
        <w:pStyle w:val="Quote"/>
      </w:pPr>
      <w:r w:rsidRPr="00D01975">
        <w:t>‘Yeah, they have a TV [medical in</w:t>
      </w:r>
      <w:r w:rsidR="00842FF9">
        <w:t>form</w:t>
      </w:r>
      <w:r w:rsidRPr="00D01975">
        <w:t>ation channel] thing going out the front so I saw one lady talking about her dad and she wished that he had done it, that he’d sought out help a lot earlier and he wouldn’t have died on her</w:t>
      </w:r>
      <w:r w:rsidR="00D01975">
        <w:t xml:space="preserve"> </w:t>
      </w:r>
      <w:r w:rsidRPr="00D01975">
        <w:t>…</w:t>
      </w:r>
      <w:r w:rsidR="00D01975">
        <w:t xml:space="preserve"> </w:t>
      </w:r>
      <w:r w:rsidRPr="00D01975">
        <w:t>because of the similarities in his life and my life, because she talked about what he’d get up to in his life and it was sort of down my wat too so I was thinking, “oh well, that might happen to me (so I) better have a check-up first.’</w:t>
      </w:r>
    </w:p>
    <w:p w14:paraId="6C262BA8" w14:textId="6CCDCBF3" w:rsidR="00443D63" w:rsidRPr="00215245" w:rsidRDefault="00443D63" w:rsidP="00443D63">
      <w:pPr>
        <w:spacing w:after="0" w:line="240" w:lineRule="auto"/>
        <w:rPr>
          <w:rFonts w:cstheme="minorHAnsi"/>
        </w:rPr>
      </w:pPr>
      <w:r w:rsidRPr="00215245">
        <w:rPr>
          <w:rFonts w:cstheme="minorHAnsi"/>
        </w:rPr>
        <w:t xml:space="preserve">The participants suggested a variety of ways that could improve the way bowel screening is promoted in their communities. </w:t>
      </w:r>
    </w:p>
    <w:p w14:paraId="4858794D" w14:textId="05324842" w:rsidR="00733AB3" w:rsidRPr="00874345" w:rsidRDefault="00443D63" w:rsidP="00733AB3">
      <w:pPr>
        <w:spacing w:after="0" w:line="240" w:lineRule="auto"/>
        <w:rPr>
          <w:rFonts w:cstheme="minorHAnsi"/>
        </w:rPr>
      </w:pPr>
      <w:r w:rsidRPr="00215245">
        <w:rPr>
          <w:rFonts w:cstheme="minorHAnsi"/>
        </w:rPr>
        <w:t xml:space="preserve">Humour was suggested as a good way of getting the message about bowel screening </w:t>
      </w:r>
      <w:r w:rsidRPr="00215245">
        <w:rPr>
          <w:rFonts w:cstheme="minorHAnsi"/>
          <w:iCs/>
          <w:szCs w:val="21"/>
        </w:rPr>
        <w:t>as ‘it</w:t>
      </w:r>
      <w:r w:rsidR="00215245">
        <w:rPr>
          <w:rFonts w:cstheme="minorHAnsi"/>
          <w:iCs/>
          <w:szCs w:val="21"/>
        </w:rPr>
        <w:t>’s</w:t>
      </w:r>
      <w:r w:rsidRPr="00215245">
        <w:rPr>
          <w:rFonts w:cstheme="minorHAnsi"/>
          <w:iCs/>
          <w:szCs w:val="21"/>
        </w:rPr>
        <w:t xml:space="preserve"> a lighter approach…because there is that stigma about doing it’.</w:t>
      </w:r>
    </w:p>
    <w:p w14:paraId="0094FF63" w14:textId="750AB1D0" w:rsidR="00443D63" w:rsidRPr="00EA4B6E" w:rsidRDefault="00443D63" w:rsidP="000920C7">
      <w:pPr>
        <w:pStyle w:val="Quote"/>
      </w:pPr>
      <w:r w:rsidRPr="00EA4B6E">
        <w:t>‘I just hope that a lot of our people could see the importance of it. I think that’s through advertising, education is the most important. Maybe letterbox dropping, and in the mail and a lot of people like looking at the phones these days and even – even when we go to the medical centre and [Aboriginal and] Torres Strait Islander medical centre we should be asked if it would be all right if they sent us little notifications about it, ‘Have you had your bowel test?’ and all that, you know.</w:t>
      </w:r>
      <w:r w:rsidR="00DC0C36" w:rsidRPr="00EA4B6E">
        <w:t>’</w:t>
      </w:r>
    </w:p>
    <w:p w14:paraId="3E7D7634" w14:textId="36546E5A" w:rsidR="00443D63" w:rsidRPr="00874345" w:rsidRDefault="00443D63" w:rsidP="000920C7">
      <w:pPr>
        <w:pStyle w:val="Quote"/>
      </w:pPr>
      <w:r w:rsidRPr="00874345">
        <w:t>‘</w:t>
      </w:r>
      <w:r w:rsidRPr="00AD3203">
        <w:t>I know in</w:t>
      </w:r>
      <w:r w:rsidRPr="00E17DAA">
        <w:t xml:space="preserve"> the [</w:t>
      </w:r>
      <w:r w:rsidRPr="009E1D0C">
        <w:t>health centre] they have a women’s group, so they are gathering under the umbrella of the health centre, it’ll be a really appropriate pla</w:t>
      </w:r>
      <w:r w:rsidRPr="000A7EAD">
        <w:t>ce to do it, you know</w:t>
      </w:r>
      <w:r w:rsidRPr="00874345">
        <w:t>?’</w:t>
      </w:r>
    </w:p>
    <w:p w14:paraId="397B35D1" w14:textId="601A3ADA" w:rsidR="00443D63" w:rsidRPr="000A7EAD" w:rsidRDefault="00443D63" w:rsidP="000920C7">
      <w:pPr>
        <w:pStyle w:val="Quote"/>
      </w:pPr>
      <w:r w:rsidRPr="00AD3203">
        <w:t>‘</w:t>
      </w:r>
      <w:r w:rsidRPr="00E17DAA">
        <w:t>Look, you’ve got to have some posters that catches our eye, so if it’s got some of ou</w:t>
      </w:r>
      <w:r w:rsidRPr="009E1D0C">
        <w:t>r art on it or a really good message… using a really strong head [headline] message, you know, something [like] testing heals. That grabs them to</w:t>
      </w:r>
      <w:r w:rsidRPr="000A7EAD">
        <w:t xml:space="preserve"> say, ‘Oh’ rather than ‘Not testing kills’, you know what I mean?’</w:t>
      </w:r>
    </w:p>
    <w:p w14:paraId="46CC6F76" w14:textId="3F5B09EC" w:rsidR="00443D63" w:rsidRPr="00874345" w:rsidRDefault="00DC0C36" w:rsidP="000920C7">
      <w:pPr>
        <w:pStyle w:val="Quote"/>
      </w:pPr>
      <w:r w:rsidRPr="000A7EAD">
        <w:t>‘</w:t>
      </w:r>
      <w:r w:rsidR="00443D63" w:rsidRPr="000A7EAD">
        <w:t>Yeah, that was the major – and a lot of people – like they showed us about a lot of people in our culture that a lot of us don’t really care about what – until you’re [sick] – unless you really sit down and watch those [cancer screening awareness] films and someone explains it to you properly about what can happen to you in your life, yeah, it’s a bit scary.  So that made me – made me want to go and do it</w:t>
      </w:r>
      <w:r w:rsidR="00443D63" w:rsidRPr="00874345">
        <w:t>.’</w:t>
      </w:r>
    </w:p>
    <w:p w14:paraId="2BDCE839" w14:textId="77777777" w:rsidR="00443D63" w:rsidRPr="00874345" w:rsidRDefault="00443D63" w:rsidP="00443D63">
      <w:pPr>
        <w:ind w:left="720"/>
        <w:rPr>
          <w:rFonts w:cstheme="minorHAnsi"/>
        </w:rPr>
      </w:pPr>
    </w:p>
    <w:p w14:paraId="54C58AD4" w14:textId="05927B24" w:rsidR="00443D63" w:rsidRPr="00215245" w:rsidRDefault="00443D63" w:rsidP="00402F9A">
      <w:pPr>
        <w:pStyle w:val="ListParagraph"/>
        <w:numPr>
          <w:ilvl w:val="0"/>
          <w:numId w:val="26"/>
        </w:numPr>
        <w:spacing w:line="240" w:lineRule="auto"/>
        <w:rPr>
          <w:rFonts w:cstheme="minorHAnsi"/>
          <w:b/>
          <w:bCs/>
          <w:iCs/>
          <w:color w:val="111111"/>
          <w:shd w:val="clear" w:color="auto" w:fill="FFFFFF"/>
        </w:rPr>
      </w:pPr>
      <w:r w:rsidRPr="00215245">
        <w:rPr>
          <w:rFonts w:cstheme="minorHAnsi"/>
          <w:b/>
          <w:bCs/>
          <w:iCs/>
          <w:color w:val="111111"/>
          <w:shd w:val="clear" w:color="auto" w:fill="FFFFFF"/>
        </w:rPr>
        <w:t xml:space="preserve">Advocacy </w:t>
      </w:r>
    </w:p>
    <w:p w14:paraId="761A3FFF" w14:textId="695093F6" w:rsidR="00443D63" w:rsidRPr="00215245" w:rsidRDefault="00443D63" w:rsidP="00443D63">
      <w:pPr>
        <w:spacing w:after="0" w:line="240" w:lineRule="auto"/>
        <w:rPr>
          <w:rFonts w:cstheme="minorHAnsi"/>
        </w:rPr>
      </w:pPr>
      <w:r w:rsidRPr="00215245">
        <w:rPr>
          <w:rFonts w:cstheme="minorHAnsi"/>
        </w:rPr>
        <w:t xml:space="preserve">Having completed the bowel test themselves through the Alternative Pathway, three of the five participants felt strongly about promoting bowel screening to other community members. </w:t>
      </w:r>
    </w:p>
    <w:p w14:paraId="2EE7ED19" w14:textId="53492B3E" w:rsidR="00443D63" w:rsidRPr="00874345" w:rsidRDefault="00443D63" w:rsidP="000920C7">
      <w:pPr>
        <w:pStyle w:val="Quote"/>
      </w:pPr>
      <w:r w:rsidRPr="00874345">
        <w:t xml:space="preserve">‘I would tell them that I’ve done it and talk to them about my experience.  It’s no problem at all. You’re going to the toilet anyway.’ </w:t>
      </w:r>
    </w:p>
    <w:p w14:paraId="4621B031" w14:textId="390CD26C" w:rsidR="00443D63" w:rsidRPr="00874345" w:rsidRDefault="00443D63" w:rsidP="000920C7">
      <w:pPr>
        <w:pStyle w:val="Quote"/>
      </w:pPr>
      <w:r w:rsidRPr="00874345">
        <w:t xml:space="preserve">‘After – after that first time… I was actually telling my mates down the pub and everywhere, you know, about doing the test and, you know, because you never know it can grab you any time bowel cancer...’ </w:t>
      </w:r>
    </w:p>
    <w:bookmarkEnd w:id="259"/>
    <w:p w14:paraId="157131E7" w14:textId="77777777" w:rsidR="00443D63" w:rsidRPr="00215245" w:rsidRDefault="00443D63" w:rsidP="00443D63">
      <w:pPr>
        <w:rPr>
          <w:rFonts w:cstheme="minorHAnsi"/>
          <w:b/>
          <w:bCs/>
          <w:color w:val="111111"/>
          <w:shd w:val="clear" w:color="auto" w:fill="FFFFFF"/>
        </w:rPr>
      </w:pPr>
      <w:r w:rsidRPr="00215245">
        <w:rPr>
          <w:rFonts w:cstheme="minorHAnsi"/>
          <w:b/>
          <w:bCs/>
          <w:color w:val="111111"/>
          <w:shd w:val="clear" w:color="auto" w:fill="FFFFFF"/>
        </w:rPr>
        <w:lastRenderedPageBreak/>
        <w:t>Limitations</w:t>
      </w:r>
    </w:p>
    <w:p w14:paraId="32942630" w14:textId="7F13B7B1" w:rsidR="00443D63" w:rsidRPr="00215245" w:rsidRDefault="00443D63" w:rsidP="00443D63">
      <w:pPr>
        <w:rPr>
          <w:rFonts w:cstheme="minorHAnsi"/>
          <w:color w:val="111111"/>
          <w:shd w:val="clear" w:color="auto" w:fill="FFFFFF"/>
        </w:rPr>
      </w:pPr>
      <w:r w:rsidRPr="00215245">
        <w:rPr>
          <w:rFonts w:cstheme="minorHAnsi"/>
          <w:color w:val="111111"/>
          <w:shd w:val="clear" w:color="auto" w:fill="FFFFFF"/>
        </w:rPr>
        <w:t xml:space="preserve">The generalisability of these findings </w:t>
      </w:r>
      <w:r w:rsidR="00E34FBB" w:rsidRPr="00215245">
        <w:rPr>
          <w:rFonts w:cstheme="minorHAnsi"/>
          <w:color w:val="111111"/>
          <w:shd w:val="clear" w:color="auto" w:fill="FFFFFF"/>
        </w:rPr>
        <w:t>is</w:t>
      </w:r>
      <w:r w:rsidRPr="00215245">
        <w:rPr>
          <w:rFonts w:cstheme="minorHAnsi"/>
          <w:color w:val="111111"/>
          <w:shd w:val="clear" w:color="auto" w:fill="FFFFFF"/>
        </w:rPr>
        <w:t xml:space="preserve"> limited due to the small number of participants, and </w:t>
      </w:r>
      <w:r w:rsidR="00E34FBB" w:rsidRPr="00CF3200">
        <w:rPr>
          <w:rFonts w:cstheme="minorHAnsi"/>
          <w:color w:val="111111"/>
          <w:shd w:val="clear" w:color="auto" w:fill="FFFFFF"/>
        </w:rPr>
        <w:t xml:space="preserve">the fact </w:t>
      </w:r>
      <w:r w:rsidRPr="00215245">
        <w:rPr>
          <w:rFonts w:cstheme="minorHAnsi"/>
          <w:color w:val="111111"/>
          <w:shd w:val="clear" w:color="auto" w:fill="FFFFFF"/>
        </w:rPr>
        <w:t xml:space="preserve">none were from remote regions. </w:t>
      </w:r>
      <w:r w:rsidR="00694FAE" w:rsidRPr="00CF3200">
        <w:rPr>
          <w:rFonts w:cstheme="minorHAnsi"/>
          <w:color w:val="111111"/>
          <w:shd w:val="clear" w:color="auto" w:fill="FFFFFF"/>
        </w:rPr>
        <w:t>In addition, t</w:t>
      </w:r>
      <w:r w:rsidRPr="00215245">
        <w:rPr>
          <w:rFonts w:cstheme="minorHAnsi"/>
          <w:color w:val="111111"/>
          <w:shd w:val="clear" w:color="auto" w:fill="FFFFFF"/>
        </w:rPr>
        <w:t xml:space="preserve">he views and experiences of eligible Indigenous adults who </w:t>
      </w:r>
      <w:r w:rsidR="00694FAE" w:rsidRPr="00CF3200">
        <w:rPr>
          <w:rFonts w:cstheme="minorHAnsi"/>
          <w:color w:val="111111"/>
          <w:shd w:val="clear" w:color="auto" w:fill="FFFFFF"/>
        </w:rPr>
        <w:t>did</w:t>
      </w:r>
      <w:r w:rsidR="00694FAE" w:rsidRPr="00215245">
        <w:rPr>
          <w:rFonts w:cstheme="minorHAnsi"/>
          <w:color w:val="111111"/>
          <w:shd w:val="clear" w:color="auto" w:fill="FFFFFF"/>
        </w:rPr>
        <w:t xml:space="preserve"> </w:t>
      </w:r>
      <w:r w:rsidRPr="00215245">
        <w:rPr>
          <w:rFonts w:cstheme="minorHAnsi"/>
          <w:color w:val="111111"/>
          <w:shd w:val="clear" w:color="auto" w:fill="FFFFFF"/>
        </w:rPr>
        <w:t>not complet</w:t>
      </w:r>
      <w:r w:rsidR="00694FAE" w:rsidRPr="00CF3200">
        <w:rPr>
          <w:rFonts w:cstheme="minorHAnsi"/>
          <w:color w:val="111111"/>
          <w:shd w:val="clear" w:color="auto" w:fill="FFFFFF"/>
        </w:rPr>
        <w:t>e</w:t>
      </w:r>
      <w:r w:rsidRPr="00215245">
        <w:rPr>
          <w:rFonts w:cstheme="minorHAnsi"/>
          <w:color w:val="111111"/>
          <w:shd w:val="clear" w:color="auto" w:fill="FFFFFF"/>
        </w:rPr>
        <w:t xml:space="preserve"> the </w:t>
      </w:r>
      <w:r w:rsidR="00694FAE" w:rsidRPr="00CF3200">
        <w:rPr>
          <w:rFonts w:cstheme="minorHAnsi"/>
          <w:color w:val="111111"/>
          <w:shd w:val="clear" w:color="auto" w:fill="FFFFFF"/>
        </w:rPr>
        <w:t xml:space="preserve">bowel screening </w:t>
      </w:r>
      <w:r w:rsidRPr="00215245">
        <w:rPr>
          <w:rFonts w:cstheme="minorHAnsi"/>
          <w:color w:val="111111"/>
          <w:shd w:val="clear" w:color="auto" w:fill="FFFFFF"/>
        </w:rPr>
        <w:t xml:space="preserve">test </w:t>
      </w:r>
      <w:r w:rsidR="00694FAE" w:rsidRPr="00CF3200">
        <w:rPr>
          <w:rFonts w:cstheme="minorHAnsi"/>
          <w:color w:val="111111"/>
          <w:shd w:val="clear" w:color="auto" w:fill="FFFFFF"/>
        </w:rPr>
        <w:t>are</w:t>
      </w:r>
      <w:r w:rsidRPr="00215245">
        <w:rPr>
          <w:rFonts w:cstheme="minorHAnsi"/>
          <w:color w:val="111111"/>
          <w:shd w:val="clear" w:color="auto" w:fill="FFFFFF"/>
        </w:rPr>
        <w:t xml:space="preserve"> not captured in this report. </w:t>
      </w:r>
    </w:p>
    <w:p w14:paraId="7889CCE9" w14:textId="77777777" w:rsidR="00443D63" w:rsidRPr="00215245" w:rsidRDefault="00443D63" w:rsidP="00443D63">
      <w:pPr>
        <w:rPr>
          <w:rFonts w:cstheme="minorHAnsi"/>
          <w:b/>
          <w:bCs/>
          <w:color w:val="111111"/>
          <w:shd w:val="clear" w:color="auto" w:fill="FFFFFF"/>
        </w:rPr>
      </w:pPr>
      <w:r w:rsidRPr="00215245">
        <w:rPr>
          <w:rFonts w:cstheme="minorHAnsi"/>
          <w:b/>
          <w:bCs/>
          <w:color w:val="111111"/>
          <w:shd w:val="clear" w:color="auto" w:fill="FFFFFF"/>
        </w:rPr>
        <w:t>Conclusion</w:t>
      </w:r>
    </w:p>
    <w:p w14:paraId="0D792121" w14:textId="327B0A7F" w:rsidR="00E34FBB" w:rsidRPr="00CF3200" w:rsidRDefault="00443D63" w:rsidP="00443D63">
      <w:pPr>
        <w:rPr>
          <w:rFonts w:cstheme="minorHAnsi"/>
          <w:shd w:val="clear" w:color="auto" w:fill="FFFFFF"/>
        </w:rPr>
      </w:pPr>
      <w:r w:rsidRPr="00215245">
        <w:rPr>
          <w:rFonts w:cstheme="minorHAnsi"/>
          <w:shd w:val="clear" w:color="auto" w:fill="FFFFFF"/>
        </w:rPr>
        <w:t>These</w:t>
      </w:r>
      <w:r w:rsidR="00694FAE" w:rsidRPr="00CF3200">
        <w:rPr>
          <w:rFonts w:cstheme="minorHAnsi"/>
          <w:shd w:val="clear" w:color="auto" w:fill="FFFFFF"/>
        </w:rPr>
        <w:t xml:space="preserve"> f</w:t>
      </w:r>
      <w:r w:rsidRPr="00215245">
        <w:rPr>
          <w:rFonts w:cstheme="minorHAnsi"/>
          <w:shd w:val="clear" w:color="auto" w:fill="FFFFFF"/>
        </w:rPr>
        <w:t xml:space="preserve">indings suggest </w:t>
      </w:r>
      <w:r w:rsidR="00694FAE" w:rsidRPr="00CF3200">
        <w:rPr>
          <w:rFonts w:cstheme="minorHAnsi"/>
          <w:shd w:val="clear" w:color="auto" w:fill="FFFFFF"/>
        </w:rPr>
        <w:t xml:space="preserve">that </w:t>
      </w:r>
      <w:r w:rsidRPr="00215245">
        <w:rPr>
          <w:rFonts w:cstheme="minorHAnsi"/>
          <w:shd w:val="clear" w:color="auto" w:fill="FFFFFF"/>
        </w:rPr>
        <w:t xml:space="preserve">offering kits from primary health care centres can overcome many of the barriers to bowel screening. Positive encouragement from the local health centre replaces a negative response to receiving the kit in the mail. This cohort of patients had close relationships with their primary health care centre and staff; not all patients are so engaged with their health care. </w:t>
      </w:r>
    </w:p>
    <w:p w14:paraId="324380F6" w14:textId="77777777" w:rsidR="00E34FBB" w:rsidRPr="00CF3200" w:rsidRDefault="00443D63" w:rsidP="00443D63">
      <w:pPr>
        <w:rPr>
          <w:rFonts w:cstheme="minorHAnsi"/>
          <w:shd w:val="clear" w:color="auto" w:fill="FFFFFF"/>
        </w:rPr>
      </w:pPr>
      <w:r w:rsidRPr="00215245">
        <w:rPr>
          <w:rFonts w:cstheme="minorHAnsi"/>
          <w:shd w:val="clear" w:color="auto" w:fill="FFFFFF"/>
        </w:rPr>
        <w:t xml:space="preserve">The findings here are highly consistent with what health centre staff across all regions observed as the response of many of their patients to being invited to screen through the Alternative Pathway. </w:t>
      </w:r>
    </w:p>
    <w:p w14:paraId="1FAA15FA" w14:textId="77777777" w:rsidR="00443D63" w:rsidRPr="00874345" w:rsidRDefault="00443D63" w:rsidP="00BB442E">
      <w:pPr>
        <w:rPr>
          <w:rFonts w:cstheme="minorHAnsi"/>
          <w:lang w:eastAsia="en-AU"/>
        </w:rPr>
      </w:pPr>
    </w:p>
    <w:p w14:paraId="728A45D9" w14:textId="77777777" w:rsidR="00094054" w:rsidRPr="00874345" w:rsidRDefault="00094054">
      <w:pPr>
        <w:spacing w:before="0" w:after="0" w:line="240" w:lineRule="auto"/>
        <w:rPr>
          <w:rFonts w:cstheme="minorHAnsi"/>
          <w:lang w:eastAsia="en-AU"/>
        </w:rPr>
      </w:pPr>
      <w:r w:rsidRPr="00874345">
        <w:rPr>
          <w:rFonts w:cstheme="minorHAnsi"/>
          <w:lang w:eastAsia="en-AU"/>
        </w:rPr>
        <w:br w:type="page"/>
      </w:r>
    </w:p>
    <w:p w14:paraId="01795EA6" w14:textId="2C5442B1" w:rsidR="00094054" w:rsidRPr="001C6675" w:rsidRDefault="005C6DE1" w:rsidP="00510A67">
      <w:pPr>
        <w:pStyle w:val="Heading1"/>
      </w:pPr>
      <w:bookmarkStart w:id="260" w:name="_Toc38539115"/>
      <w:bookmarkStart w:id="261" w:name="_Toc38540050"/>
      <w:bookmarkStart w:id="262" w:name="_Toc38540105"/>
      <w:bookmarkStart w:id="263" w:name="_Toc44339243"/>
      <w:bookmarkStart w:id="264" w:name="_Toc45539275"/>
      <w:bookmarkStart w:id="265" w:name="_Toc54954861"/>
      <w:r>
        <w:lastRenderedPageBreak/>
        <w:t>10.</w:t>
      </w:r>
      <w:r w:rsidR="00D25CAC">
        <w:t xml:space="preserve"> </w:t>
      </w:r>
      <w:r w:rsidR="00094054" w:rsidRPr="001C6675">
        <w:t>FINDINGS</w:t>
      </w:r>
      <w:bookmarkEnd w:id="260"/>
      <w:bookmarkEnd w:id="261"/>
      <w:bookmarkEnd w:id="262"/>
      <w:bookmarkEnd w:id="263"/>
      <w:bookmarkEnd w:id="264"/>
      <w:bookmarkEnd w:id="265"/>
    </w:p>
    <w:p w14:paraId="7E95DC91" w14:textId="77777777" w:rsidR="004F63D6" w:rsidRDefault="004F63D6" w:rsidP="004F63D6">
      <w:pPr>
        <w:rPr>
          <w:rFonts w:cstheme="minorHAnsi"/>
          <w:bCs/>
          <w:lang w:val="en-US" w:eastAsia="en-AU"/>
        </w:rPr>
      </w:pPr>
      <w:bookmarkStart w:id="266" w:name="_Toc38539117"/>
      <w:bookmarkStart w:id="267" w:name="_Toc38540052"/>
      <w:bookmarkStart w:id="268" w:name="_Toc38540107"/>
      <w:bookmarkStart w:id="269" w:name="_Toc44339244"/>
      <w:r>
        <w:rPr>
          <w:rFonts w:cstheme="minorHAnsi"/>
          <w:bCs/>
          <w:lang w:val="en-US" w:eastAsia="en-AU"/>
        </w:rPr>
        <w:t xml:space="preserve">This section of the report brings together the results from earlier sections to respond to the evaluation questions. Where questions have been answered in earlier sections (for example, in describing training provided) this is referenced rather than repeated, as shown in Table 10.1 below. </w:t>
      </w:r>
    </w:p>
    <w:p w14:paraId="678284C7" w14:textId="6FDAC397" w:rsidR="00677823" w:rsidRDefault="00643737" w:rsidP="00070C12">
      <w:pPr>
        <w:pStyle w:val="Heading2"/>
      </w:pPr>
      <w:bookmarkStart w:id="270" w:name="_Toc45539276"/>
      <w:bookmarkStart w:id="271" w:name="_Toc54954862"/>
      <w:r>
        <w:t>10</w:t>
      </w:r>
      <w:r w:rsidR="003D3671">
        <w:t>.</w:t>
      </w:r>
      <w:r w:rsidR="00500A91">
        <w:t>1</w:t>
      </w:r>
      <w:r w:rsidR="003D3671">
        <w:t xml:space="preserve"> </w:t>
      </w:r>
      <w:r w:rsidR="00F85126" w:rsidRPr="00135F72">
        <w:t>What support did health centres require to offer the Alternative Pathway?</w:t>
      </w:r>
      <w:bookmarkEnd w:id="266"/>
      <w:bookmarkEnd w:id="267"/>
      <w:bookmarkEnd w:id="268"/>
      <w:bookmarkEnd w:id="269"/>
      <w:bookmarkEnd w:id="270"/>
      <w:bookmarkEnd w:id="271"/>
    </w:p>
    <w:p w14:paraId="368E78CF" w14:textId="4509F0DF" w:rsidR="004F63D6" w:rsidRPr="004F63D6" w:rsidRDefault="004F63D6" w:rsidP="002E74E6">
      <w:pPr>
        <w:pStyle w:val="Caption"/>
        <w:rPr>
          <w:lang w:eastAsia="en-AU"/>
        </w:rPr>
      </w:pPr>
      <w:r>
        <w:t xml:space="preserve">Table </w:t>
      </w:r>
      <w:r w:rsidR="00B366DA">
        <w:t xml:space="preserve">10.1: </w:t>
      </w:r>
      <w:r>
        <w:t>E</w:t>
      </w:r>
      <w:r w:rsidR="009F0247">
        <w:t>valuation questions about training and implementation support provided to Pilot health centres.</w:t>
      </w:r>
    </w:p>
    <w:tbl>
      <w:tblPr>
        <w:tblStyle w:val="TableGrid"/>
        <w:tblW w:w="0" w:type="auto"/>
        <w:tblBorders>
          <w:left w:val="none" w:sz="0" w:space="0" w:color="auto"/>
          <w:right w:val="none" w:sz="0" w:space="0" w:color="auto"/>
        </w:tblBorders>
        <w:tblCellMar>
          <w:left w:w="125" w:type="dxa"/>
          <w:right w:w="153" w:type="dxa"/>
        </w:tblCellMar>
        <w:tblLook w:val="04A0" w:firstRow="1" w:lastRow="0" w:firstColumn="1" w:lastColumn="0" w:noHBand="0" w:noVBand="1"/>
      </w:tblPr>
      <w:tblGrid>
        <w:gridCol w:w="6804"/>
        <w:gridCol w:w="2206"/>
      </w:tblGrid>
      <w:tr w:rsidR="00BB45AE" w:rsidRPr="00BC2B66" w14:paraId="3FE8639F" w14:textId="77777777" w:rsidTr="00677823">
        <w:trPr>
          <w:tblHeader/>
        </w:trPr>
        <w:tc>
          <w:tcPr>
            <w:tcW w:w="6804" w:type="dxa"/>
          </w:tcPr>
          <w:p w14:paraId="32A791F9" w14:textId="77777777" w:rsidR="00BB45AE" w:rsidRPr="00BC2B66" w:rsidRDefault="00BB45AE" w:rsidP="00BB45AE">
            <w:pPr>
              <w:pStyle w:val="Normaltextfortables"/>
              <w:framePr w:hSpace="0" w:wrap="auto" w:vAnchor="margin" w:hAnchor="text" w:yAlign="inline"/>
            </w:pPr>
            <w:r w:rsidRPr="00BC2B66">
              <w:t>Evaluation question</w:t>
            </w:r>
          </w:p>
          <w:p w14:paraId="71BF2832" w14:textId="6197C683" w:rsidR="00BB45AE" w:rsidRPr="00BC2B66" w:rsidRDefault="00BB45AE" w:rsidP="00BB45AE">
            <w:pPr>
              <w:pStyle w:val="Normaltextfortables"/>
              <w:framePr w:hSpace="0" w:wrap="auto" w:vAnchor="margin" w:hAnchor="text" w:yAlign="inline"/>
            </w:pPr>
            <w:r w:rsidRPr="00BC2B66">
              <w:rPr>
                <w:b/>
                <w:bCs/>
              </w:rPr>
              <w:t>How well were [health centres] supported to implement the Alternative Pathway?</w:t>
            </w:r>
          </w:p>
        </w:tc>
        <w:tc>
          <w:tcPr>
            <w:tcW w:w="2206" w:type="dxa"/>
          </w:tcPr>
          <w:p w14:paraId="4D75EBEB" w14:textId="30170C0A" w:rsidR="00BB45AE" w:rsidRPr="00BC2B66" w:rsidRDefault="00BB45AE" w:rsidP="00BB45AE">
            <w:pPr>
              <w:pStyle w:val="Normaltextfortables"/>
              <w:framePr w:hSpace="0" w:wrap="auto" w:vAnchor="margin" w:hAnchor="text" w:yAlign="inline"/>
            </w:pPr>
            <w:r w:rsidRPr="00BC2B66">
              <w:t>Report sections</w:t>
            </w:r>
          </w:p>
        </w:tc>
      </w:tr>
      <w:tr w:rsidR="00BB45AE" w:rsidRPr="00BC2B66" w14:paraId="07CEFA98" w14:textId="77777777" w:rsidTr="00677823">
        <w:tblPrEx>
          <w:tblBorders>
            <w:top w:val="none" w:sz="0" w:space="0" w:color="auto"/>
            <w:bottom w:val="none" w:sz="0" w:space="0" w:color="auto"/>
            <w:insideH w:val="none" w:sz="0" w:space="0" w:color="auto"/>
            <w:insideV w:val="none" w:sz="0" w:space="0" w:color="auto"/>
          </w:tblBorders>
        </w:tblPrEx>
        <w:tc>
          <w:tcPr>
            <w:tcW w:w="6804" w:type="dxa"/>
            <w:tcBorders>
              <w:top w:val="single" w:sz="4" w:space="0" w:color="auto"/>
              <w:right w:val="single" w:sz="4" w:space="0" w:color="auto"/>
            </w:tcBorders>
          </w:tcPr>
          <w:p w14:paraId="5142AF04" w14:textId="47AE3517" w:rsidR="00BB45AE" w:rsidRPr="00BC2B66" w:rsidRDefault="00BB45AE" w:rsidP="00C77532">
            <w:pPr>
              <w:pStyle w:val="Tabledotpoints"/>
              <w:numPr>
                <w:ilvl w:val="0"/>
                <w:numId w:val="48"/>
              </w:numPr>
            </w:pPr>
            <w:r w:rsidRPr="00BC2B66">
              <w:t>What implementation support (including training opportunities) was made available to [health centres]</w:t>
            </w:r>
            <w:r w:rsidRPr="00BC2B66">
              <w:rPr>
                <w:bCs/>
              </w:rPr>
              <w:t xml:space="preserve"> taking</w:t>
            </w:r>
            <w:r w:rsidRPr="00BC2B66">
              <w:t xml:space="preserve"> part in the Pilot? Was the implementation support provided as planned? </w:t>
            </w:r>
            <w:r w:rsidRPr="00BC2B66">
              <w:br/>
              <w:t>If not, why, and how did it differ?</w:t>
            </w:r>
          </w:p>
        </w:tc>
        <w:tc>
          <w:tcPr>
            <w:tcW w:w="2206" w:type="dxa"/>
            <w:tcBorders>
              <w:top w:val="single" w:sz="4" w:space="0" w:color="auto"/>
              <w:left w:val="single" w:sz="4" w:space="0" w:color="auto"/>
            </w:tcBorders>
          </w:tcPr>
          <w:p w14:paraId="064107A5" w14:textId="4AEB8BF0" w:rsidR="00BB45AE" w:rsidRPr="00BC2B66" w:rsidRDefault="00BB45AE" w:rsidP="00BB45AE">
            <w:pPr>
              <w:rPr>
                <w:rFonts w:cstheme="minorHAnsi"/>
                <w:sz w:val="20"/>
                <w:szCs w:val="20"/>
                <w:lang w:eastAsia="en-AU"/>
              </w:rPr>
            </w:pPr>
            <w:r w:rsidRPr="00BC2B66">
              <w:rPr>
                <w:rFonts w:cstheme="minorHAnsi"/>
                <w:sz w:val="20"/>
                <w:szCs w:val="20"/>
                <w:lang w:eastAsia="en-AU"/>
              </w:rPr>
              <w:t>Sections 4.3 and 6.2</w:t>
            </w:r>
          </w:p>
        </w:tc>
      </w:tr>
      <w:tr w:rsidR="00BB45AE" w:rsidRPr="00BC2B66" w14:paraId="5321C392" w14:textId="77777777" w:rsidTr="00677823">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2A704ECB" w14:textId="2BA0942D" w:rsidR="00BB45AE" w:rsidRPr="00BC2B66" w:rsidRDefault="00BB45AE" w:rsidP="00C77532">
            <w:pPr>
              <w:pStyle w:val="Tabledotpoints"/>
              <w:numPr>
                <w:ilvl w:val="0"/>
                <w:numId w:val="48"/>
              </w:numPr>
            </w:pPr>
            <w:r w:rsidRPr="00BC2B66">
              <w:t>What were the key barriers and enablers to providing implementation support for the Alternative Pathway?</w:t>
            </w:r>
          </w:p>
        </w:tc>
        <w:tc>
          <w:tcPr>
            <w:tcW w:w="2206" w:type="dxa"/>
            <w:tcBorders>
              <w:left w:val="single" w:sz="4" w:space="0" w:color="auto"/>
            </w:tcBorders>
          </w:tcPr>
          <w:p w14:paraId="318B96B7" w14:textId="11F567D0" w:rsidR="00BB45AE" w:rsidRPr="00BC2B66" w:rsidRDefault="00BB45AE" w:rsidP="00BB45AE">
            <w:pPr>
              <w:rPr>
                <w:rFonts w:cstheme="minorHAnsi"/>
                <w:sz w:val="20"/>
                <w:szCs w:val="20"/>
                <w:lang w:eastAsia="en-AU"/>
              </w:rPr>
            </w:pPr>
            <w:r w:rsidRPr="00BC2B66">
              <w:rPr>
                <w:rFonts w:cstheme="minorHAnsi"/>
                <w:sz w:val="20"/>
                <w:szCs w:val="20"/>
                <w:lang w:eastAsia="en-AU"/>
              </w:rPr>
              <w:t>Sections 2.3</w:t>
            </w:r>
            <w:r>
              <w:rPr>
                <w:rFonts w:cstheme="minorHAnsi"/>
                <w:sz w:val="20"/>
                <w:szCs w:val="20"/>
                <w:lang w:eastAsia="en-AU"/>
              </w:rPr>
              <w:t xml:space="preserve">, </w:t>
            </w:r>
            <w:r w:rsidRPr="00BC2B66">
              <w:rPr>
                <w:rFonts w:cstheme="minorHAnsi"/>
                <w:sz w:val="20"/>
                <w:szCs w:val="20"/>
                <w:lang w:eastAsia="en-AU"/>
              </w:rPr>
              <w:t>6.2</w:t>
            </w:r>
            <w:r>
              <w:rPr>
                <w:rFonts w:cstheme="minorHAnsi"/>
                <w:sz w:val="20"/>
                <w:szCs w:val="20"/>
                <w:lang w:eastAsia="en-AU"/>
              </w:rPr>
              <w:t>, 10.1</w:t>
            </w:r>
          </w:p>
        </w:tc>
      </w:tr>
      <w:tr w:rsidR="00BB45AE" w:rsidRPr="00BC2B66" w14:paraId="5DD0FF2C" w14:textId="77777777" w:rsidTr="00677823">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515890C1" w14:textId="1FB9B1D0" w:rsidR="00BB45AE" w:rsidRPr="00BC2B66" w:rsidRDefault="00BB45AE" w:rsidP="00C77532">
            <w:pPr>
              <w:pStyle w:val="Tabledotpoints"/>
              <w:numPr>
                <w:ilvl w:val="0"/>
                <w:numId w:val="48"/>
              </w:numPr>
            </w:pPr>
            <w:r w:rsidRPr="00BC2B66">
              <w:t>How effective and fit-for-purpose</w:t>
            </w:r>
            <w:r w:rsidRPr="00BC2B66">
              <w:rPr>
                <w:rStyle w:val="FootnoteReference"/>
                <w:lang w:eastAsia="en-AU"/>
              </w:rPr>
              <w:footnoteReference w:id="43"/>
            </w:r>
            <w:r w:rsidRPr="00BC2B66">
              <w:t xml:space="preserve"> were the training opportunities, resources and supporting materials?</w:t>
            </w:r>
          </w:p>
        </w:tc>
        <w:tc>
          <w:tcPr>
            <w:tcW w:w="2206" w:type="dxa"/>
            <w:tcBorders>
              <w:left w:val="single" w:sz="4" w:space="0" w:color="auto"/>
            </w:tcBorders>
          </w:tcPr>
          <w:p w14:paraId="4DB61859" w14:textId="5AB0AB6E" w:rsidR="00BB45AE" w:rsidRPr="00BC2B66" w:rsidRDefault="00BB45AE" w:rsidP="00BB45AE">
            <w:pPr>
              <w:rPr>
                <w:rFonts w:cstheme="minorHAnsi"/>
                <w:sz w:val="20"/>
                <w:szCs w:val="20"/>
                <w:lang w:eastAsia="en-AU"/>
              </w:rPr>
            </w:pPr>
            <w:r>
              <w:rPr>
                <w:rFonts w:cstheme="minorHAnsi"/>
                <w:sz w:val="20"/>
                <w:szCs w:val="20"/>
                <w:lang w:eastAsia="en-AU"/>
              </w:rPr>
              <w:t>Sections 6 and 10.1</w:t>
            </w:r>
          </w:p>
        </w:tc>
      </w:tr>
      <w:tr w:rsidR="00BB45AE" w:rsidRPr="00BC2B66" w14:paraId="416C52B6" w14:textId="77777777" w:rsidTr="00677823">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35DA29F4" w14:textId="0A6ECB3B" w:rsidR="00BB45AE" w:rsidRPr="00BC2B66" w:rsidRDefault="00BB45AE" w:rsidP="00C77532">
            <w:pPr>
              <w:pStyle w:val="Tabledotpoints"/>
              <w:numPr>
                <w:ilvl w:val="0"/>
                <w:numId w:val="48"/>
              </w:numPr>
            </w:pPr>
            <w:r w:rsidRPr="00BC2B66">
              <w:t>What activities or programs related to the Pilot aims were carried out by Supporting Agencies during the Pilot? Were any of these activities or programs provided directly to Pilot health centres?</w:t>
            </w:r>
          </w:p>
        </w:tc>
        <w:tc>
          <w:tcPr>
            <w:tcW w:w="2206" w:type="dxa"/>
            <w:tcBorders>
              <w:left w:val="single" w:sz="4" w:space="0" w:color="auto"/>
            </w:tcBorders>
          </w:tcPr>
          <w:p w14:paraId="0D884FDC" w14:textId="1644425B" w:rsidR="00BB45AE" w:rsidRPr="00BC2B66" w:rsidRDefault="00BB45AE" w:rsidP="00BB45AE">
            <w:pPr>
              <w:rPr>
                <w:rFonts w:cstheme="minorHAnsi"/>
                <w:sz w:val="20"/>
                <w:szCs w:val="20"/>
                <w:lang w:eastAsia="en-AU"/>
              </w:rPr>
            </w:pPr>
            <w:r w:rsidRPr="00BC2B66">
              <w:rPr>
                <w:rFonts w:cstheme="minorHAnsi"/>
                <w:sz w:val="20"/>
                <w:szCs w:val="20"/>
                <w:lang w:eastAsia="en-AU"/>
              </w:rPr>
              <w:t>Section</w:t>
            </w:r>
            <w:r>
              <w:rPr>
                <w:rFonts w:cstheme="minorHAnsi"/>
                <w:sz w:val="20"/>
                <w:szCs w:val="20"/>
                <w:lang w:eastAsia="en-AU"/>
              </w:rPr>
              <w:t xml:space="preserve"> </w:t>
            </w:r>
            <w:r w:rsidRPr="00BC2B66">
              <w:rPr>
                <w:rFonts w:cstheme="minorHAnsi"/>
                <w:sz w:val="20"/>
                <w:szCs w:val="20"/>
                <w:lang w:eastAsia="en-AU"/>
              </w:rPr>
              <w:t>5</w:t>
            </w:r>
            <w:r>
              <w:rPr>
                <w:rFonts w:cstheme="minorHAnsi"/>
                <w:sz w:val="20"/>
                <w:szCs w:val="20"/>
                <w:lang w:eastAsia="en-AU"/>
              </w:rPr>
              <w:t xml:space="preserve"> and </w:t>
            </w:r>
            <w:r>
              <w:rPr>
                <w:rFonts w:cstheme="minorHAnsi"/>
                <w:sz w:val="20"/>
                <w:szCs w:val="20"/>
                <w:lang w:eastAsia="en-AU"/>
              </w:rPr>
              <w:br/>
              <w:t>Appendix G</w:t>
            </w:r>
          </w:p>
        </w:tc>
      </w:tr>
      <w:tr w:rsidR="00BB45AE" w:rsidRPr="00BC2B66" w14:paraId="634EC5CA" w14:textId="77777777" w:rsidTr="00677823">
        <w:tblPrEx>
          <w:tblBorders>
            <w:top w:val="none" w:sz="0" w:space="0" w:color="auto"/>
            <w:bottom w:val="none" w:sz="0" w:space="0" w:color="auto"/>
            <w:insideH w:val="none" w:sz="0" w:space="0" w:color="auto"/>
            <w:insideV w:val="none" w:sz="0" w:space="0" w:color="auto"/>
          </w:tblBorders>
        </w:tblPrEx>
        <w:tc>
          <w:tcPr>
            <w:tcW w:w="6804" w:type="dxa"/>
            <w:tcBorders>
              <w:right w:val="single" w:sz="4" w:space="0" w:color="auto"/>
            </w:tcBorders>
          </w:tcPr>
          <w:p w14:paraId="73ADD4E6" w14:textId="79E83387" w:rsidR="00BB45AE" w:rsidRPr="00BC2B66" w:rsidRDefault="00BB45AE" w:rsidP="00C77532">
            <w:pPr>
              <w:pStyle w:val="Tabledotpoints"/>
              <w:numPr>
                <w:ilvl w:val="0"/>
                <w:numId w:val="48"/>
              </w:numPr>
            </w:pPr>
            <w:r w:rsidRPr="00BC2B66">
              <w:t>What support was provided to [health centres] taking part in the Alternative Pathway by the NBCSP pathology provider (</w:t>
            </w:r>
            <w:r>
              <w:t>Sonic Healthcare</w:t>
            </w:r>
            <w:r w:rsidRPr="00BC2B66">
              <w:t>) and the Department of Human Services (during implementation and/or ongoing through the Pilot)? To what extent would this support be required, feasible or sustainable if an Alternative Pathway was rolled out more widely (with the new National Cancer Screening Register operational)?</w:t>
            </w:r>
          </w:p>
        </w:tc>
        <w:tc>
          <w:tcPr>
            <w:tcW w:w="2206" w:type="dxa"/>
            <w:tcBorders>
              <w:left w:val="single" w:sz="4" w:space="0" w:color="auto"/>
            </w:tcBorders>
          </w:tcPr>
          <w:p w14:paraId="133E668A" w14:textId="77777777" w:rsidR="00BB45AE" w:rsidRPr="00BC2B66" w:rsidRDefault="00BB45AE" w:rsidP="00BB45AE">
            <w:pPr>
              <w:rPr>
                <w:rFonts w:cstheme="minorHAnsi"/>
                <w:sz w:val="20"/>
                <w:szCs w:val="20"/>
                <w:lang w:eastAsia="en-AU"/>
              </w:rPr>
            </w:pPr>
            <w:r w:rsidRPr="00BC2B66">
              <w:rPr>
                <w:rFonts w:cstheme="minorHAnsi"/>
                <w:sz w:val="20"/>
                <w:szCs w:val="20"/>
                <w:lang w:eastAsia="en-AU"/>
              </w:rPr>
              <w:t xml:space="preserve">Section 4.3 </w:t>
            </w:r>
          </w:p>
          <w:p w14:paraId="5BF06EA2" w14:textId="77777777" w:rsidR="00BB45AE" w:rsidRDefault="00BB45AE" w:rsidP="00BB45AE">
            <w:pPr>
              <w:rPr>
                <w:rFonts w:cstheme="minorHAnsi"/>
                <w:sz w:val="20"/>
                <w:szCs w:val="20"/>
                <w:lang w:eastAsia="en-AU"/>
              </w:rPr>
            </w:pPr>
          </w:p>
          <w:p w14:paraId="29880C5B" w14:textId="31D12707" w:rsidR="00BB45AE" w:rsidRPr="00BC2B66" w:rsidRDefault="00BB45AE" w:rsidP="00BB45AE">
            <w:pPr>
              <w:rPr>
                <w:rFonts w:cstheme="minorHAnsi"/>
                <w:sz w:val="20"/>
                <w:szCs w:val="20"/>
                <w:lang w:eastAsia="en-AU"/>
              </w:rPr>
            </w:pPr>
            <w:r>
              <w:rPr>
                <w:rFonts w:cstheme="minorHAnsi"/>
                <w:sz w:val="20"/>
                <w:szCs w:val="20"/>
                <w:lang w:eastAsia="en-AU"/>
              </w:rPr>
              <w:t>Section 10</w:t>
            </w:r>
          </w:p>
        </w:tc>
      </w:tr>
      <w:tr w:rsidR="00BB45AE" w:rsidRPr="00BC2B66" w14:paraId="24B94464" w14:textId="77777777" w:rsidTr="00677823">
        <w:tblPrEx>
          <w:tblBorders>
            <w:top w:val="none" w:sz="0" w:space="0" w:color="auto"/>
            <w:bottom w:val="none" w:sz="0" w:space="0" w:color="auto"/>
            <w:insideH w:val="none" w:sz="0" w:space="0" w:color="auto"/>
            <w:insideV w:val="none" w:sz="0" w:space="0" w:color="auto"/>
          </w:tblBorders>
        </w:tblPrEx>
        <w:tc>
          <w:tcPr>
            <w:tcW w:w="6804" w:type="dxa"/>
            <w:tcBorders>
              <w:bottom w:val="single" w:sz="4" w:space="0" w:color="auto"/>
              <w:right w:val="single" w:sz="4" w:space="0" w:color="auto"/>
            </w:tcBorders>
          </w:tcPr>
          <w:p w14:paraId="6006C234" w14:textId="1BC53703" w:rsidR="00BB45AE" w:rsidRPr="00BC2B66" w:rsidRDefault="00BB45AE" w:rsidP="00C77532">
            <w:pPr>
              <w:pStyle w:val="Tabledotpoints"/>
              <w:numPr>
                <w:ilvl w:val="0"/>
                <w:numId w:val="48"/>
              </w:numPr>
            </w:pPr>
            <w:r w:rsidRPr="00BC2B66">
              <w:t xml:space="preserve">Did [health centre] staff report increased knowledge and skills about bowel screening, and increased confidence and capability to deliver the Alternative Pathway, as a result of the training and implementation support activities? Did </w:t>
            </w:r>
            <w:r>
              <w:t xml:space="preserve">health centre staff </w:t>
            </w:r>
            <w:r w:rsidRPr="00BC2B66">
              <w:t xml:space="preserve">view the support </w:t>
            </w:r>
            <w:r>
              <w:t>p</w:t>
            </w:r>
            <w:r w:rsidRPr="00BC2B66">
              <w:t>rovided as sufficient to prepare them to offer the Alternative Pathway?</w:t>
            </w:r>
          </w:p>
        </w:tc>
        <w:tc>
          <w:tcPr>
            <w:tcW w:w="2206" w:type="dxa"/>
            <w:tcBorders>
              <w:left w:val="single" w:sz="4" w:space="0" w:color="auto"/>
              <w:bottom w:val="single" w:sz="4" w:space="0" w:color="auto"/>
            </w:tcBorders>
          </w:tcPr>
          <w:p w14:paraId="7E552D56" w14:textId="57C072A4" w:rsidR="00BB45AE" w:rsidRPr="00BC2B66" w:rsidRDefault="00BB45AE" w:rsidP="00BB45AE">
            <w:pPr>
              <w:rPr>
                <w:rFonts w:cstheme="minorHAnsi"/>
                <w:sz w:val="20"/>
                <w:szCs w:val="20"/>
                <w:lang w:eastAsia="en-AU"/>
              </w:rPr>
            </w:pPr>
            <w:r w:rsidRPr="00BC2B66">
              <w:rPr>
                <w:rFonts w:cstheme="minorHAnsi"/>
                <w:sz w:val="20"/>
                <w:szCs w:val="20"/>
                <w:lang w:eastAsia="en-AU"/>
              </w:rPr>
              <w:t xml:space="preserve">Section </w:t>
            </w:r>
            <w:r>
              <w:rPr>
                <w:rFonts w:cstheme="minorHAnsi"/>
                <w:sz w:val="20"/>
                <w:szCs w:val="20"/>
                <w:lang w:eastAsia="en-AU"/>
              </w:rPr>
              <w:t>6</w:t>
            </w:r>
          </w:p>
        </w:tc>
      </w:tr>
    </w:tbl>
    <w:p w14:paraId="5215A24C" w14:textId="4946C274" w:rsidR="00D21CB8" w:rsidRDefault="00A13CB9" w:rsidP="006354D8">
      <w:pPr>
        <w:rPr>
          <w:rFonts w:cstheme="minorHAnsi"/>
          <w:lang w:eastAsia="en-AU"/>
        </w:rPr>
      </w:pPr>
      <w:r>
        <w:rPr>
          <w:rFonts w:cstheme="minorHAnsi"/>
          <w:lang w:eastAsia="en-AU"/>
        </w:rPr>
        <w:lastRenderedPageBreak/>
        <w:t>The</w:t>
      </w:r>
      <w:r w:rsidR="006354D8" w:rsidRPr="006354D8">
        <w:rPr>
          <w:rFonts w:cstheme="minorHAnsi"/>
          <w:lang w:eastAsia="en-AU"/>
        </w:rPr>
        <w:t xml:space="preserve"> training</w:t>
      </w:r>
      <w:r w:rsidR="00E92159">
        <w:rPr>
          <w:rFonts w:cstheme="minorHAnsi"/>
          <w:lang w:eastAsia="en-AU"/>
        </w:rPr>
        <w:t xml:space="preserve"> and implementation support</w:t>
      </w:r>
      <w:r w:rsidR="006354D8" w:rsidRPr="006354D8">
        <w:rPr>
          <w:rFonts w:cstheme="minorHAnsi"/>
          <w:lang w:eastAsia="en-AU"/>
        </w:rPr>
        <w:t xml:space="preserve">, resources and </w:t>
      </w:r>
      <w:r w:rsidR="00E92159">
        <w:rPr>
          <w:rFonts w:cstheme="minorHAnsi"/>
          <w:lang w:eastAsia="en-AU"/>
        </w:rPr>
        <w:t>other</w:t>
      </w:r>
      <w:r w:rsidR="006354D8" w:rsidRPr="006354D8">
        <w:rPr>
          <w:rFonts w:cstheme="minorHAnsi"/>
          <w:lang w:eastAsia="en-AU"/>
        </w:rPr>
        <w:t xml:space="preserve"> materials made available to health centres for the Pilot were</w:t>
      </w:r>
      <w:r w:rsidR="00E92159">
        <w:rPr>
          <w:rFonts w:cstheme="minorHAnsi"/>
          <w:lang w:eastAsia="en-AU"/>
        </w:rPr>
        <w:t xml:space="preserve"> of high quality, appropriate for their intended</w:t>
      </w:r>
      <w:r w:rsidR="00F638A3">
        <w:rPr>
          <w:rFonts w:cstheme="minorHAnsi"/>
          <w:lang w:eastAsia="en-AU"/>
        </w:rPr>
        <w:t xml:space="preserve"> users</w:t>
      </w:r>
      <w:r w:rsidR="00E92159">
        <w:rPr>
          <w:rFonts w:cstheme="minorHAnsi"/>
          <w:lang w:eastAsia="en-AU"/>
        </w:rPr>
        <w:t xml:space="preserve">, </w:t>
      </w:r>
      <w:r w:rsidR="00D15A98">
        <w:rPr>
          <w:rFonts w:cstheme="minorHAnsi"/>
          <w:lang w:eastAsia="en-AU"/>
        </w:rPr>
        <w:t xml:space="preserve">well </w:t>
      </w:r>
      <w:r w:rsidR="00E92159">
        <w:rPr>
          <w:rFonts w:cstheme="minorHAnsi"/>
          <w:lang w:eastAsia="en-AU"/>
        </w:rPr>
        <w:t>regarded by</w:t>
      </w:r>
      <w:r w:rsidR="006354D8" w:rsidRPr="006354D8">
        <w:rPr>
          <w:rFonts w:cstheme="minorHAnsi"/>
          <w:lang w:eastAsia="en-AU"/>
        </w:rPr>
        <w:t xml:space="preserve"> </w:t>
      </w:r>
      <w:r w:rsidR="00962CDD">
        <w:rPr>
          <w:rFonts w:cstheme="minorHAnsi"/>
          <w:lang w:eastAsia="en-AU"/>
        </w:rPr>
        <w:t xml:space="preserve">and </w:t>
      </w:r>
      <w:r w:rsidR="006354D8" w:rsidRPr="006354D8">
        <w:rPr>
          <w:rFonts w:cstheme="minorHAnsi"/>
          <w:lang w:eastAsia="en-AU"/>
        </w:rPr>
        <w:t>accepted by staff and managers.</w:t>
      </w:r>
    </w:p>
    <w:p w14:paraId="0BE8AA22" w14:textId="6258C4A8" w:rsidR="001010CB" w:rsidRDefault="00D15A98" w:rsidP="006354D8">
      <w:pPr>
        <w:rPr>
          <w:rFonts w:cstheme="minorHAnsi"/>
          <w:lang w:eastAsia="en-AU"/>
        </w:rPr>
      </w:pPr>
      <w:r>
        <w:rPr>
          <w:rFonts w:cstheme="minorHAnsi"/>
          <w:lang w:eastAsia="en-AU"/>
        </w:rPr>
        <w:t>The</w:t>
      </w:r>
      <w:r w:rsidR="006354D8" w:rsidRPr="006354D8">
        <w:rPr>
          <w:rFonts w:cstheme="minorHAnsi"/>
          <w:lang w:eastAsia="en-AU"/>
        </w:rPr>
        <w:t xml:space="preserve"> support and resources </w:t>
      </w:r>
      <w:r w:rsidR="00A13CB9">
        <w:rPr>
          <w:rFonts w:cstheme="minorHAnsi"/>
          <w:lang w:eastAsia="en-AU"/>
        </w:rPr>
        <w:t xml:space="preserve">were </w:t>
      </w:r>
      <w:r w:rsidR="006354D8" w:rsidRPr="006354D8">
        <w:rPr>
          <w:rFonts w:cstheme="minorHAnsi"/>
          <w:lang w:eastAsia="en-AU"/>
        </w:rPr>
        <w:t>fit for purpose</w:t>
      </w:r>
      <w:r w:rsidR="00507F5C">
        <w:rPr>
          <w:rFonts w:cstheme="minorHAnsi"/>
          <w:lang w:eastAsia="en-AU"/>
        </w:rPr>
        <w:t xml:space="preserve"> to address </w:t>
      </w:r>
      <w:r w:rsidR="00852F63">
        <w:rPr>
          <w:rFonts w:cstheme="minorHAnsi"/>
          <w:lang w:eastAsia="en-AU"/>
        </w:rPr>
        <w:t xml:space="preserve">the barriers that could discourage </w:t>
      </w:r>
      <w:r w:rsidR="00507F5C">
        <w:rPr>
          <w:rFonts w:cstheme="minorHAnsi"/>
          <w:lang w:eastAsia="en-AU"/>
        </w:rPr>
        <w:t xml:space="preserve">primary health care professionals </w:t>
      </w:r>
      <w:r w:rsidR="00852F63">
        <w:rPr>
          <w:rFonts w:cstheme="minorHAnsi"/>
          <w:lang w:eastAsia="en-AU"/>
        </w:rPr>
        <w:t xml:space="preserve">from promoting </w:t>
      </w:r>
      <w:r w:rsidR="00507F5C">
        <w:rPr>
          <w:rFonts w:cstheme="minorHAnsi"/>
          <w:lang w:eastAsia="en-AU"/>
        </w:rPr>
        <w:t xml:space="preserve">bowel screening to their </w:t>
      </w:r>
      <w:r w:rsidR="00962CDD">
        <w:rPr>
          <w:rFonts w:cstheme="minorHAnsi"/>
          <w:lang w:eastAsia="en-AU"/>
        </w:rPr>
        <w:t>patients</w:t>
      </w:r>
      <w:r w:rsidR="009F0247">
        <w:rPr>
          <w:rFonts w:cstheme="minorHAnsi"/>
          <w:lang w:eastAsia="en-AU"/>
        </w:rPr>
        <w:t xml:space="preserve">, as </w:t>
      </w:r>
      <w:r w:rsidR="009375DA">
        <w:rPr>
          <w:rFonts w:cstheme="minorHAnsi"/>
          <w:lang w:eastAsia="en-AU"/>
        </w:rPr>
        <w:t>is evident from the views of health centre staff reported in Section 6</w:t>
      </w:r>
      <w:r w:rsidR="007F5490">
        <w:rPr>
          <w:rFonts w:cstheme="minorHAnsi"/>
          <w:lang w:eastAsia="en-AU"/>
        </w:rPr>
        <w:t>.</w:t>
      </w:r>
      <w:r w:rsidR="006354D8" w:rsidRPr="006354D8">
        <w:rPr>
          <w:rFonts w:cstheme="minorHAnsi"/>
          <w:lang w:eastAsia="en-AU"/>
        </w:rPr>
        <w:t xml:space="preserve"> </w:t>
      </w:r>
    </w:p>
    <w:p w14:paraId="55D26B0D" w14:textId="472B640A" w:rsidR="005370A3" w:rsidRPr="006354D8" w:rsidRDefault="00F638A3" w:rsidP="006354D8">
      <w:pPr>
        <w:rPr>
          <w:rFonts w:cstheme="minorHAnsi"/>
          <w:lang w:eastAsia="en-AU"/>
        </w:rPr>
      </w:pPr>
      <w:r>
        <w:rPr>
          <w:rFonts w:cstheme="minorHAnsi"/>
          <w:lang w:eastAsia="en-AU"/>
        </w:rPr>
        <w:t>One</w:t>
      </w:r>
      <w:r w:rsidR="006354D8" w:rsidRPr="006354D8">
        <w:rPr>
          <w:rFonts w:cstheme="minorHAnsi"/>
          <w:lang w:eastAsia="en-AU"/>
        </w:rPr>
        <w:t xml:space="preserve"> </w:t>
      </w:r>
      <w:r>
        <w:rPr>
          <w:rFonts w:cstheme="minorHAnsi"/>
          <w:lang w:eastAsia="en-AU"/>
        </w:rPr>
        <w:t>element</w:t>
      </w:r>
      <w:r w:rsidR="006354D8" w:rsidRPr="006354D8">
        <w:rPr>
          <w:rFonts w:cstheme="minorHAnsi"/>
          <w:lang w:eastAsia="en-AU"/>
        </w:rPr>
        <w:t xml:space="preserve"> of the Alternative Pathway </w:t>
      </w:r>
      <w:r w:rsidR="00507F5C">
        <w:rPr>
          <w:rFonts w:cstheme="minorHAnsi"/>
          <w:lang w:eastAsia="en-AU"/>
        </w:rPr>
        <w:t>that</w:t>
      </w:r>
      <w:r>
        <w:rPr>
          <w:rFonts w:cstheme="minorHAnsi"/>
          <w:lang w:eastAsia="en-AU"/>
        </w:rPr>
        <w:t xml:space="preserve"> </w:t>
      </w:r>
      <w:r w:rsidR="00852F63">
        <w:rPr>
          <w:rFonts w:cstheme="minorHAnsi"/>
          <w:lang w:eastAsia="en-AU"/>
        </w:rPr>
        <w:t>fitted less</w:t>
      </w:r>
      <w:r>
        <w:rPr>
          <w:rFonts w:cstheme="minorHAnsi"/>
          <w:lang w:eastAsia="en-AU"/>
        </w:rPr>
        <w:t xml:space="preserve"> easily into the </w:t>
      </w:r>
      <w:r w:rsidR="006354D8" w:rsidRPr="006354D8">
        <w:rPr>
          <w:rFonts w:cstheme="minorHAnsi"/>
          <w:lang w:eastAsia="en-AU"/>
        </w:rPr>
        <w:t>primary health care setting</w:t>
      </w:r>
      <w:r w:rsidR="00507F5C">
        <w:rPr>
          <w:rFonts w:cstheme="minorHAnsi"/>
          <w:lang w:eastAsia="en-AU"/>
        </w:rPr>
        <w:t xml:space="preserve"> was</w:t>
      </w:r>
      <w:r w:rsidR="006354D8" w:rsidRPr="006354D8">
        <w:rPr>
          <w:rFonts w:cstheme="minorHAnsi"/>
          <w:lang w:eastAsia="en-AU"/>
        </w:rPr>
        <w:t xml:space="preserve"> the online Participant Details form. Numerous interviewees</w:t>
      </w:r>
      <w:r w:rsidR="001010CB">
        <w:rPr>
          <w:rFonts w:cstheme="minorHAnsi"/>
          <w:lang w:eastAsia="en-AU"/>
        </w:rPr>
        <w:t xml:space="preserve"> said</w:t>
      </w:r>
      <w:r w:rsidR="006354D8" w:rsidRPr="006354D8">
        <w:rPr>
          <w:rFonts w:cstheme="minorHAnsi"/>
          <w:lang w:eastAsia="en-AU"/>
        </w:rPr>
        <w:t xml:space="preserve"> they wanted more information or training on </w:t>
      </w:r>
      <w:r w:rsidR="00962CDD">
        <w:rPr>
          <w:rFonts w:cstheme="minorHAnsi"/>
          <w:lang w:eastAsia="en-AU"/>
        </w:rPr>
        <w:t>using</w:t>
      </w:r>
      <w:r w:rsidR="006354D8" w:rsidRPr="006354D8">
        <w:rPr>
          <w:rFonts w:cstheme="minorHAnsi"/>
          <w:lang w:eastAsia="en-AU"/>
        </w:rPr>
        <w:t xml:space="preserve"> the form</w:t>
      </w:r>
      <w:r w:rsidR="00852F63">
        <w:rPr>
          <w:rFonts w:cstheme="minorHAnsi"/>
          <w:lang w:eastAsia="en-AU"/>
        </w:rPr>
        <w:t>. T</w:t>
      </w:r>
      <w:r w:rsidR="006354D8" w:rsidRPr="006354D8">
        <w:rPr>
          <w:rFonts w:cstheme="minorHAnsi"/>
          <w:lang w:eastAsia="en-AU"/>
        </w:rPr>
        <w:t>raining and implementation material around this and</w:t>
      </w:r>
      <w:r>
        <w:rPr>
          <w:rFonts w:cstheme="minorHAnsi"/>
          <w:lang w:eastAsia="en-AU"/>
        </w:rPr>
        <w:t xml:space="preserve"> </w:t>
      </w:r>
      <w:r w:rsidR="006354D8" w:rsidRPr="006354D8">
        <w:rPr>
          <w:rFonts w:cstheme="minorHAnsi"/>
          <w:lang w:eastAsia="en-AU"/>
        </w:rPr>
        <w:t xml:space="preserve">other </w:t>
      </w:r>
      <w:r>
        <w:rPr>
          <w:rFonts w:cstheme="minorHAnsi"/>
          <w:lang w:eastAsia="en-AU"/>
        </w:rPr>
        <w:t xml:space="preserve">procedural </w:t>
      </w:r>
      <w:r w:rsidR="006354D8" w:rsidRPr="006354D8">
        <w:rPr>
          <w:rFonts w:cstheme="minorHAnsi"/>
          <w:lang w:eastAsia="en-AU"/>
        </w:rPr>
        <w:t>information, while available, w</w:t>
      </w:r>
      <w:r w:rsidR="001010CB">
        <w:rPr>
          <w:rFonts w:cstheme="minorHAnsi"/>
          <w:lang w:eastAsia="en-AU"/>
        </w:rPr>
        <w:t>as</w:t>
      </w:r>
      <w:r w:rsidR="006354D8" w:rsidRPr="006354D8">
        <w:rPr>
          <w:rFonts w:cstheme="minorHAnsi"/>
          <w:lang w:eastAsia="en-AU"/>
        </w:rPr>
        <w:t xml:space="preserve"> not </w:t>
      </w:r>
      <w:r>
        <w:rPr>
          <w:rFonts w:cstheme="minorHAnsi"/>
          <w:lang w:eastAsia="en-AU"/>
        </w:rPr>
        <w:t xml:space="preserve">provided in </w:t>
      </w:r>
      <w:r w:rsidR="00507F5C">
        <w:rPr>
          <w:rFonts w:cstheme="minorHAnsi"/>
          <w:lang w:eastAsia="en-AU"/>
        </w:rPr>
        <w:t xml:space="preserve">formats </w:t>
      </w:r>
      <w:r w:rsidR="00CB082B">
        <w:rPr>
          <w:rFonts w:cstheme="minorHAnsi"/>
          <w:lang w:eastAsia="en-AU"/>
        </w:rPr>
        <w:t>for</w:t>
      </w:r>
      <w:r w:rsidR="00507F5C">
        <w:rPr>
          <w:rFonts w:cstheme="minorHAnsi"/>
          <w:lang w:eastAsia="en-AU"/>
        </w:rPr>
        <w:t xml:space="preserve"> </w:t>
      </w:r>
      <w:r w:rsidR="00D15A98">
        <w:rPr>
          <w:rFonts w:cstheme="minorHAnsi"/>
          <w:lang w:eastAsia="en-AU"/>
        </w:rPr>
        <w:t xml:space="preserve">handy </w:t>
      </w:r>
      <w:r w:rsidR="00507F5C">
        <w:rPr>
          <w:rFonts w:cstheme="minorHAnsi"/>
          <w:lang w:eastAsia="en-AU"/>
        </w:rPr>
        <w:t>use in a</w:t>
      </w:r>
      <w:r>
        <w:rPr>
          <w:rFonts w:cstheme="minorHAnsi"/>
          <w:lang w:eastAsia="en-AU"/>
        </w:rPr>
        <w:t xml:space="preserve"> clinical setting</w:t>
      </w:r>
      <w:r w:rsidR="006354D8" w:rsidRPr="006354D8">
        <w:rPr>
          <w:rFonts w:cstheme="minorHAnsi"/>
          <w:lang w:eastAsia="en-AU"/>
        </w:rPr>
        <w:t>.</w:t>
      </w:r>
      <w:r w:rsidR="001010CB">
        <w:rPr>
          <w:rFonts w:cstheme="minorHAnsi"/>
          <w:lang w:eastAsia="en-AU"/>
        </w:rPr>
        <w:t xml:space="preserve"> </w:t>
      </w:r>
      <w:r w:rsidR="00962CDD">
        <w:rPr>
          <w:rFonts w:cstheme="minorHAnsi"/>
          <w:lang w:eastAsia="en-AU"/>
        </w:rPr>
        <w:t>However, w</w:t>
      </w:r>
      <w:r w:rsidR="00852F63">
        <w:rPr>
          <w:rFonts w:cstheme="minorHAnsi"/>
          <w:lang w:eastAsia="en-AU"/>
        </w:rPr>
        <w:t xml:space="preserve">ith the exception of the online form, </w:t>
      </w:r>
      <w:r w:rsidR="007F5490">
        <w:rPr>
          <w:rFonts w:cstheme="minorHAnsi"/>
          <w:lang w:eastAsia="en-AU"/>
        </w:rPr>
        <w:t>health centre staff felt well equipped to promote bowel screening with their Indigenous patients</w:t>
      </w:r>
      <w:r w:rsidR="007F5490" w:rsidRPr="006354D8">
        <w:rPr>
          <w:rFonts w:cstheme="minorHAnsi"/>
          <w:lang w:eastAsia="en-AU"/>
        </w:rPr>
        <w:t>.</w:t>
      </w:r>
    </w:p>
    <w:p w14:paraId="3478E0EF" w14:textId="77777777" w:rsidR="00CD1159" w:rsidRDefault="003E2EBC" w:rsidP="00CB082B">
      <w:pPr>
        <w:rPr>
          <w:rFonts w:cstheme="minorHAnsi"/>
          <w:bCs/>
          <w:lang w:val="en-US" w:eastAsia="en-AU"/>
        </w:rPr>
      </w:pPr>
      <w:r>
        <w:rPr>
          <w:rFonts w:cstheme="minorHAnsi"/>
          <w:bCs/>
          <w:lang w:val="en-US" w:eastAsia="en-AU"/>
        </w:rPr>
        <w:t>There were some differences between the implementation support as planned and what was delivered</w:t>
      </w:r>
      <w:r w:rsidR="0096190B">
        <w:rPr>
          <w:rFonts w:cstheme="minorHAnsi"/>
          <w:bCs/>
          <w:lang w:val="en-US" w:eastAsia="en-AU"/>
        </w:rPr>
        <w:t>. The major triggers of these changes were (a)</w:t>
      </w:r>
      <w:r w:rsidR="00D60412">
        <w:rPr>
          <w:rFonts w:cstheme="minorHAnsi"/>
          <w:bCs/>
          <w:lang w:val="en-US" w:eastAsia="en-AU"/>
        </w:rPr>
        <w:t xml:space="preserve"> health </w:t>
      </w:r>
      <w:proofErr w:type="spellStart"/>
      <w:r w:rsidR="00D60412">
        <w:rPr>
          <w:rFonts w:cstheme="minorHAnsi"/>
          <w:bCs/>
          <w:lang w:val="en-US" w:eastAsia="en-AU"/>
        </w:rPr>
        <w:t>centre</w:t>
      </w:r>
      <w:proofErr w:type="spellEnd"/>
      <w:r w:rsidR="00D60412">
        <w:rPr>
          <w:rFonts w:cstheme="minorHAnsi"/>
          <w:bCs/>
          <w:lang w:val="en-US" w:eastAsia="en-AU"/>
        </w:rPr>
        <w:t xml:space="preserve"> uptake of the support offered; and (b) </w:t>
      </w:r>
      <w:r w:rsidR="00D30650">
        <w:rPr>
          <w:rFonts w:cstheme="minorHAnsi"/>
          <w:bCs/>
          <w:lang w:val="en-US" w:eastAsia="en-AU"/>
        </w:rPr>
        <w:t xml:space="preserve">the Pilot proceeding without the NCSR and the consequent level of activity that </w:t>
      </w:r>
      <w:r w:rsidR="00D60412">
        <w:rPr>
          <w:rFonts w:cstheme="minorHAnsi"/>
          <w:bCs/>
          <w:lang w:val="en-US" w:eastAsia="en-AU"/>
        </w:rPr>
        <w:t>had to be carried out</w:t>
      </w:r>
      <w:r w:rsidR="00D30650">
        <w:rPr>
          <w:rFonts w:cstheme="minorHAnsi"/>
          <w:bCs/>
          <w:lang w:val="en-US" w:eastAsia="en-AU"/>
        </w:rPr>
        <w:t xml:space="preserve"> simultaneously</w:t>
      </w:r>
      <w:r w:rsidR="00D60412">
        <w:rPr>
          <w:rFonts w:cstheme="minorHAnsi"/>
          <w:bCs/>
          <w:lang w:val="en-US" w:eastAsia="en-AU"/>
        </w:rPr>
        <w:t>.</w:t>
      </w:r>
    </w:p>
    <w:p w14:paraId="79185ED0" w14:textId="5C4E0EE9" w:rsidR="004619CF" w:rsidRDefault="00D60412" w:rsidP="00CB082B">
      <w:pPr>
        <w:rPr>
          <w:rFonts w:cstheme="minorHAnsi"/>
          <w:bCs/>
          <w:lang w:val="en-US" w:eastAsia="en-AU"/>
        </w:rPr>
      </w:pPr>
      <w:r>
        <w:rPr>
          <w:rFonts w:cstheme="minorHAnsi"/>
          <w:bCs/>
          <w:lang w:val="en-US" w:eastAsia="en-AU"/>
        </w:rPr>
        <w:t xml:space="preserve">The </w:t>
      </w:r>
      <w:r w:rsidR="00C10D27">
        <w:rPr>
          <w:rFonts w:cstheme="minorHAnsi"/>
          <w:bCs/>
          <w:lang w:val="en-US" w:eastAsia="en-AU"/>
        </w:rPr>
        <w:t xml:space="preserve">decision to conduct the </w:t>
      </w:r>
      <w:r>
        <w:rPr>
          <w:rFonts w:cstheme="minorHAnsi"/>
          <w:bCs/>
          <w:lang w:val="en-US" w:eastAsia="en-AU"/>
        </w:rPr>
        <w:t>Pilot before the introduction of</w:t>
      </w:r>
      <w:r w:rsidR="00C10D27">
        <w:rPr>
          <w:rFonts w:cstheme="minorHAnsi"/>
          <w:bCs/>
          <w:lang w:val="en-US" w:eastAsia="en-AU"/>
        </w:rPr>
        <w:t xml:space="preserve"> the NCSR meant that procedures and materials to </w:t>
      </w:r>
      <w:r w:rsidR="00ED3B24">
        <w:rPr>
          <w:rFonts w:cstheme="minorHAnsi"/>
          <w:bCs/>
          <w:lang w:val="en-US" w:eastAsia="en-AU"/>
        </w:rPr>
        <w:t xml:space="preserve">engage with the NBCSR </w:t>
      </w:r>
      <w:r>
        <w:rPr>
          <w:rFonts w:cstheme="minorHAnsi"/>
          <w:bCs/>
          <w:lang w:val="en-US" w:eastAsia="en-AU"/>
        </w:rPr>
        <w:t xml:space="preserve">needed to be </w:t>
      </w:r>
      <w:r w:rsidR="00C10D27">
        <w:rPr>
          <w:rFonts w:cstheme="minorHAnsi"/>
          <w:bCs/>
          <w:lang w:val="en-US" w:eastAsia="en-AU"/>
        </w:rPr>
        <w:t>developed quickly</w:t>
      </w:r>
      <w:r w:rsidR="00ED3B24">
        <w:rPr>
          <w:rFonts w:cstheme="minorHAnsi"/>
          <w:bCs/>
          <w:lang w:val="en-US" w:eastAsia="en-AU"/>
        </w:rPr>
        <w:t xml:space="preserve"> and without time for </w:t>
      </w:r>
      <w:r>
        <w:rPr>
          <w:rFonts w:cstheme="minorHAnsi"/>
          <w:bCs/>
          <w:lang w:val="en-US" w:eastAsia="en-AU"/>
        </w:rPr>
        <w:t xml:space="preserve">extensive </w:t>
      </w:r>
      <w:r w:rsidR="00ED3B24">
        <w:rPr>
          <w:rFonts w:cstheme="minorHAnsi"/>
          <w:bCs/>
          <w:lang w:val="en-US" w:eastAsia="en-AU"/>
        </w:rPr>
        <w:t xml:space="preserve">testing and review </w:t>
      </w:r>
      <w:r>
        <w:rPr>
          <w:rFonts w:cstheme="minorHAnsi"/>
          <w:bCs/>
          <w:lang w:val="en-US" w:eastAsia="en-AU"/>
        </w:rPr>
        <w:t>as</w:t>
      </w:r>
      <w:r w:rsidR="00ED3B24">
        <w:rPr>
          <w:rFonts w:cstheme="minorHAnsi"/>
          <w:bCs/>
          <w:lang w:val="en-US" w:eastAsia="en-AU"/>
        </w:rPr>
        <w:t xml:space="preserve"> other Pilot material</w:t>
      </w:r>
      <w:r w:rsidR="00803115">
        <w:rPr>
          <w:rFonts w:cstheme="minorHAnsi"/>
          <w:bCs/>
          <w:lang w:val="en-US" w:eastAsia="en-AU"/>
        </w:rPr>
        <w:t>s</w:t>
      </w:r>
      <w:r w:rsidR="00ED3B24">
        <w:rPr>
          <w:rFonts w:cstheme="minorHAnsi"/>
          <w:bCs/>
          <w:lang w:val="en-US" w:eastAsia="en-AU"/>
        </w:rPr>
        <w:t xml:space="preserve">. </w:t>
      </w:r>
      <w:r w:rsidR="00CD1159">
        <w:rPr>
          <w:rFonts w:cstheme="minorHAnsi"/>
          <w:bCs/>
          <w:lang w:val="en-US" w:eastAsia="en-AU"/>
        </w:rPr>
        <w:t xml:space="preserve">At the same time, Menzies needed to revise clinical trial and ethics documents to reflect the change of plan; recruit participant health </w:t>
      </w:r>
      <w:proofErr w:type="spellStart"/>
      <w:r w:rsidR="00CD1159">
        <w:rPr>
          <w:rFonts w:cstheme="minorHAnsi"/>
          <w:bCs/>
          <w:lang w:val="en-US" w:eastAsia="en-AU"/>
        </w:rPr>
        <w:t>centres</w:t>
      </w:r>
      <w:proofErr w:type="spellEnd"/>
      <w:r w:rsidR="00CD1159">
        <w:rPr>
          <w:rFonts w:cstheme="minorHAnsi"/>
          <w:bCs/>
          <w:lang w:val="en-US" w:eastAsia="en-AU"/>
        </w:rPr>
        <w:t xml:space="preserve">; and prepare to rollout the Pilot. </w:t>
      </w:r>
      <w:r w:rsidR="007D2B35">
        <w:rPr>
          <w:rFonts w:cstheme="minorHAnsi"/>
          <w:bCs/>
          <w:lang w:val="en-US" w:eastAsia="en-AU"/>
        </w:rPr>
        <w:t xml:space="preserve">In the process, the production of a small but important resource was overlooked: </w:t>
      </w:r>
      <w:r w:rsidR="00D34BD3">
        <w:rPr>
          <w:rFonts w:cstheme="minorHAnsi"/>
          <w:bCs/>
          <w:lang w:val="en-US" w:eastAsia="en-AU"/>
        </w:rPr>
        <w:t>A sticker</w:t>
      </w:r>
      <w:r w:rsidR="004619CF">
        <w:rPr>
          <w:rFonts w:cstheme="minorHAnsi"/>
          <w:bCs/>
          <w:lang w:val="en-US" w:eastAsia="en-AU"/>
        </w:rPr>
        <w:t xml:space="preserve"> </w:t>
      </w:r>
      <w:r w:rsidR="00ED3B24">
        <w:rPr>
          <w:rFonts w:cstheme="minorHAnsi"/>
          <w:bCs/>
          <w:lang w:val="en-US" w:eastAsia="en-AU"/>
        </w:rPr>
        <w:t xml:space="preserve">or </w:t>
      </w:r>
      <w:proofErr w:type="spellStart"/>
      <w:r w:rsidR="00ED3B24">
        <w:rPr>
          <w:rFonts w:cstheme="minorHAnsi"/>
          <w:bCs/>
          <w:lang w:val="en-US" w:eastAsia="en-AU"/>
        </w:rPr>
        <w:t>flipcard</w:t>
      </w:r>
      <w:proofErr w:type="spellEnd"/>
      <w:r w:rsidR="00ED3B24">
        <w:rPr>
          <w:rFonts w:cstheme="minorHAnsi"/>
          <w:bCs/>
          <w:lang w:val="en-US" w:eastAsia="en-AU"/>
        </w:rPr>
        <w:t xml:space="preserve"> </w:t>
      </w:r>
      <w:r w:rsidR="004619CF">
        <w:rPr>
          <w:rFonts w:cstheme="minorHAnsi"/>
          <w:bCs/>
          <w:lang w:val="en-US" w:eastAsia="en-AU"/>
        </w:rPr>
        <w:t>c</w:t>
      </w:r>
      <w:r w:rsidR="00ED3B24">
        <w:rPr>
          <w:rFonts w:cstheme="minorHAnsi"/>
          <w:bCs/>
          <w:lang w:val="en-US" w:eastAsia="en-AU"/>
        </w:rPr>
        <w:t xml:space="preserve">ontaining the most critical information </w:t>
      </w:r>
      <w:r w:rsidR="00802311">
        <w:rPr>
          <w:rFonts w:cstheme="minorHAnsi"/>
          <w:bCs/>
          <w:lang w:val="en-US" w:eastAsia="en-AU"/>
        </w:rPr>
        <w:t>for</w:t>
      </w:r>
      <w:r w:rsidR="00D34BD3">
        <w:rPr>
          <w:rFonts w:cstheme="minorHAnsi"/>
          <w:bCs/>
          <w:lang w:val="en-US" w:eastAsia="en-AU"/>
        </w:rPr>
        <w:t xml:space="preserve"> clinicians</w:t>
      </w:r>
      <w:r w:rsidR="007D2B35">
        <w:rPr>
          <w:rFonts w:cstheme="minorHAnsi"/>
          <w:bCs/>
          <w:lang w:val="en-US" w:eastAsia="en-AU"/>
        </w:rPr>
        <w:t xml:space="preserve"> about for instance, eligibility and suitability for screening, and the online Participant Details form</w:t>
      </w:r>
      <w:r w:rsidR="00802311">
        <w:rPr>
          <w:rFonts w:cstheme="minorHAnsi"/>
          <w:bCs/>
          <w:lang w:val="en-US" w:eastAsia="en-AU"/>
        </w:rPr>
        <w:t>.</w:t>
      </w:r>
      <w:r w:rsidR="001721DB">
        <w:rPr>
          <w:rFonts w:cstheme="minorHAnsi"/>
          <w:bCs/>
          <w:lang w:val="en-US" w:eastAsia="en-AU"/>
        </w:rPr>
        <w:t xml:space="preserve"> </w:t>
      </w:r>
    </w:p>
    <w:p w14:paraId="5DBF635D" w14:textId="66A9A12E" w:rsidR="004619CF" w:rsidRDefault="004619CF" w:rsidP="00CB082B">
      <w:pPr>
        <w:rPr>
          <w:rFonts w:cstheme="minorHAnsi"/>
          <w:bCs/>
          <w:lang w:val="en-US" w:eastAsia="en-AU"/>
        </w:rPr>
      </w:pPr>
      <w:r>
        <w:rPr>
          <w:rFonts w:cstheme="minorHAnsi"/>
          <w:bCs/>
          <w:lang w:val="en-US" w:eastAsia="en-AU"/>
        </w:rPr>
        <w:t xml:space="preserve">The Quality and Safety Checklist was </w:t>
      </w:r>
      <w:r w:rsidR="003F0C1E">
        <w:rPr>
          <w:rFonts w:cstheme="minorHAnsi"/>
          <w:bCs/>
          <w:lang w:val="en-US" w:eastAsia="en-AU"/>
        </w:rPr>
        <w:t xml:space="preserve">adapted several times during the first few months of the Pilot to make it clearer to health </w:t>
      </w:r>
      <w:proofErr w:type="spellStart"/>
      <w:r w:rsidR="003F0C1E">
        <w:rPr>
          <w:rFonts w:cstheme="minorHAnsi"/>
          <w:bCs/>
          <w:lang w:val="en-US" w:eastAsia="en-AU"/>
        </w:rPr>
        <w:t>centre</w:t>
      </w:r>
      <w:proofErr w:type="spellEnd"/>
      <w:r w:rsidR="003F0C1E">
        <w:rPr>
          <w:rFonts w:cstheme="minorHAnsi"/>
          <w:bCs/>
          <w:lang w:val="en-US" w:eastAsia="en-AU"/>
        </w:rPr>
        <w:t xml:space="preserve"> staff what was required. </w:t>
      </w:r>
      <w:r w:rsidR="00D15A98">
        <w:rPr>
          <w:rFonts w:cstheme="minorHAnsi"/>
          <w:bCs/>
          <w:lang w:val="en-US" w:eastAsia="en-AU"/>
        </w:rPr>
        <w:t xml:space="preserve">Active contact with </w:t>
      </w:r>
      <w:r w:rsidR="007D2B35">
        <w:rPr>
          <w:rFonts w:cstheme="minorHAnsi"/>
          <w:bCs/>
          <w:lang w:val="en-US" w:eastAsia="en-AU"/>
        </w:rPr>
        <w:t>Site Coordinator</w:t>
      </w:r>
      <w:r w:rsidR="00D15A98">
        <w:rPr>
          <w:rFonts w:cstheme="minorHAnsi"/>
          <w:bCs/>
          <w:lang w:val="en-US" w:eastAsia="en-AU"/>
        </w:rPr>
        <w:t xml:space="preserve">s was increased to ensure </w:t>
      </w:r>
      <w:r w:rsidR="007D2B35">
        <w:rPr>
          <w:rFonts w:cstheme="minorHAnsi"/>
          <w:bCs/>
          <w:lang w:val="en-US" w:eastAsia="en-AU"/>
        </w:rPr>
        <w:t xml:space="preserve">health </w:t>
      </w:r>
      <w:proofErr w:type="spellStart"/>
      <w:r w:rsidR="007D2B35">
        <w:rPr>
          <w:rFonts w:cstheme="minorHAnsi"/>
          <w:bCs/>
          <w:lang w:val="en-US" w:eastAsia="en-AU"/>
        </w:rPr>
        <w:t>centres</w:t>
      </w:r>
      <w:proofErr w:type="spellEnd"/>
      <w:r w:rsidR="001721DB">
        <w:rPr>
          <w:rFonts w:cstheme="minorHAnsi"/>
          <w:bCs/>
          <w:lang w:val="en-US" w:eastAsia="en-AU"/>
        </w:rPr>
        <w:t xml:space="preserve"> progressed</w:t>
      </w:r>
      <w:r w:rsidR="007D2B35">
        <w:rPr>
          <w:rFonts w:cstheme="minorHAnsi"/>
          <w:bCs/>
          <w:lang w:val="en-US" w:eastAsia="en-AU"/>
        </w:rPr>
        <w:t xml:space="preserve"> in a timely way</w:t>
      </w:r>
      <w:r w:rsidR="001721DB">
        <w:rPr>
          <w:rFonts w:cstheme="minorHAnsi"/>
          <w:bCs/>
          <w:lang w:val="en-US" w:eastAsia="en-AU"/>
        </w:rPr>
        <w:t xml:space="preserve"> to give out kits.</w:t>
      </w:r>
    </w:p>
    <w:p w14:paraId="43A0C58D" w14:textId="635D37A2" w:rsidR="001721DB" w:rsidRDefault="00B93071" w:rsidP="00CB082B">
      <w:pPr>
        <w:rPr>
          <w:rFonts w:cstheme="minorHAnsi"/>
          <w:bCs/>
          <w:lang w:val="en-US" w:eastAsia="en-AU"/>
        </w:rPr>
      </w:pPr>
      <w:r>
        <w:rPr>
          <w:rFonts w:cstheme="minorHAnsi"/>
          <w:bCs/>
          <w:lang w:val="en-US" w:eastAsia="en-AU"/>
        </w:rPr>
        <w:t>T</w:t>
      </w:r>
      <w:r w:rsidR="001721DB">
        <w:rPr>
          <w:rFonts w:cstheme="minorHAnsi"/>
          <w:bCs/>
          <w:lang w:val="en-US" w:eastAsia="en-AU"/>
        </w:rPr>
        <w:t xml:space="preserve">raining and implementation support during site visits (Group B sites only) was constrained by the </w:t>
      </w:r>
      <w:r w:rsidR="00CD7ADB">
        <w:rPr>
          <w:rFonts w:cstheme="minorHAnsi"/>
          <w:bCs/>
          <w:lang w:val="en-US" w:eastAsia="en-AU"/>
        </w:rPr>
        <w:t xml:space="preserve">amount of time health </w:t>
      </w:r>
      <w:proofErr w:type="spellStart"/>
      <w:r w:rsidR="00CD7ADB">
        <w:rPr>
          <w:rFonts w:cstheme="minorHAnsi"/>
          <w:bCs/>
          <w:lang w:val="en-US" w:eastAsia="en-AU"/>
        </w:rPr>
        <w:t>centres</w:t>
      </w:r>
      <w:proofErr w:type="spellEnd"/>
      <w:r w:rsidR="00CD7ADB">
        <w:rPr>
          <w:rFonts w:cstheme="minorHAnsi"/>
          <w:bCs/>
          <w:lang w:val="en-US" w:eastAsia="en-AU"/>
        </w:rPr>
        <w:t xml:space="preserve"> were prepared to make </w:t>
      </w:r>
      <w:r w:rsidR="00F372FE">
        <w:rPr>
          <w:rFonts w:cstheme="minorHAnsi"/>
          <w:bCs/>
          <w:lang w:val="en-US" w:eastAsia="en-AU"/>
        </w:rPr>
        <w:t xml:space="preserve">staff </w:t>
      </w:r>
      <w:r w:rsidR="00CD7ADB">
        <w:rPr>
          <w:rFonts w:cstheme="minorHAnsi"/>
          <w:bCs/>
          <w:lang w:val="en-US" w:eastAsia="en-AU"/>
        </w:rPr>
        <w:t xml:space="preserve">available – </w:t>
      </w:r>
      <w:r>
        <w:rPr>
          <w:rFonts w:cstheme="minorHAnsi"/>
          <w:bCs/>
          <w:lang w:val="en-US" w:eastAsia="en-AU"/>
        </w:rPr>
        <w:t>even though they were offered</w:t>
      </w:r>
      <w:r w:rsidR="00CD7ADB">
        <w:rPr>
          <w:rFonts w:cstheme="minorHAnsi"/>
          <w:bCs/>
          <w:lang w:val="en-US" w:eastAsia="en-AU"/>
        </w:rPr>
        <w:t xml:space="preserve"> flexible and tailored sessions to suit the needs of different groups of health professionals and to allow attendance at sessions at different times.</w:t>
      </w:r>
    </w:p>
    <w:p w14:paraId="057238AE" w14:textId="30BA3DA0" w:rsidR="0096190B" w:rsidRDefault="00F372FE" w:rsidP="00CB082B">
      <w:pPr>
        <w:rPr>
          <w:rFonts w:cstheme="minorHAnsi"/>
          <w:bCs/>
          <w:lang w:val="en-US" w:eastAsia="en-AU"/>
        </w:rPr>
      </w:pPr>
      <w:r>
        <w:rPr>
          <w:rFonts w:cstheme="minorHAnsi"/>
          <w:bCs/>
          <w:lang w:val="en-US" w:eastAsia="en-AU"/>
        </w:rPr>
        <w:t xml:space="preserve">In addition to receiving face-to-face training, Group B sites were originally planned to have two points of follow up </w:t>
      </w:r>
      <w:r w:rsidR="002B0C43">
        <w:rPr>
          <w:rFonts w:cstheme="minorHAnsi"/>
          <w:bCs/>
          <w:lang w:val="en-US" w:eastAsia="en-AU"/>
        </w:rPr>
        <w:t xml:space="preserve">from Menzies </w:t>
      </w:r>
      <w:r>
        <w:rPr>
          <w:rFonts w:cstheme="minorHAnsi"/>
          <w:bCs/>
          <w:lang w:val="en-US" w:eastAsia="en-AU"/>
        </w:rPr>
        <w:t xml:space="preserve">after starting to give out kits and offered the opportunity to send staff to a regional workshop. </w:t>
      </w:r>
      <w:r w:rsidR="002B0C43">
        <w:rPr>
          <w:rFonts w:cstheme="minorHAnsi"/>
          <w:bCs/>
          <w:lang w:val="en-US" w:eastAsia="en-AU"/>
        </w:rPr>
        <w:t xml:space="preserve">These elements of implementation support did not proceed because of the amount of contact with health </w:t>
      </w:r>
      <w:proofErr w:type="spellStart"/>
      <w:r w:rsidR="002B0C43">
        <w:rPr>
          <w:rFonts w:cstheme="minorHAnsi"/>
          <w:bCs/>
          <w:lang w:val="en-US" w:eastAsia="en-AU"/>
        </w:rPr>
        <w:t>centres</w:t>
      </w:r>
      <w:proofErr w:type="spellEnd"/>
      <w:r w:rsidR="002B0C43">
        <w:rPr>
          <w:rFonts w:cstheme="minorHAnsi"/>
          <w:bCs/>
          <w:lang w:val="en-US" w:eastAsia="en-AU"/>
        </w:rPr>
        <w:t xml:space="preserve"> around the QSC and the constraints on staff time available for training.</w:t>
      </w:r>
    </w:p>
    <w:p w14:paraId="43B16F94" w14:textId="77777777" w:rsidR="00B84879" w:rsidRPr="006354D8" w:rsidRDefault="00B84879" w:rsidP="00B84879">
      <w:pPr>
        <w:rPr>
          <w:rFonts w:cstheme="minorHAnsi"/>
          <w:b/>
          <w:lang w:val="en-US" w:eastAsia="en-AU"/>
        </w:rPr>
      </w:pPr>
      <w:r w:rsidRPr="006354D8">
        <w:rPr>
          <w:rFonts w:cstheme="minorHAnsi"/>
          <w:b/>
          <w:lang w:val="en-US" w:eastAsia="en-AU"/>
        </w:rPr>
        <w:t>Training</w:t>
      </w:r>
    </w:p>
    <w:p w14:paraId="09125D9B" w14:textId="23B909D9" w:rsidR="00B84879" w:rsidRDefault="003F69C5" w:rsidP="00B84879">
      <w:pPr>
        <w:rPr>
          <w:rFonts w:cstheme="minorHAnsi"/>
          <w:lang w:eastAsia="en-AU"/>
        </w:rPr>
      </w:pPr>
      <w:r>
        <w:rPr>
          <w:rFonts w:cstheme="minorHAnsi"/>
          <w:lang w:eastAsia="en-AU"/>
        </w:rPr>
        <w:t xml:space="preserve">Results </w:t>
      </w:r>
      <w:r w:rsidR="00B84879" w:rsidRPr="006354D8">
        <w:rPr>
          <w:rFonts w:cstheme="minorHAnsi"/>
          <w:lang w:eastAsia="en-AU"/>
        </w:rPr>
        <w:t xml:space="preserve">from the pre- and post-training survey and interviews confirmed that both face-to-face and online training </w:t>
      </w:r>
      <w:r w:rsidR="00B84879">
        <w:rPr>
          <w:rFonts w:cstheme="minorHAnsi"/>
          <w:lang w:eastAsia="en-AU"/>
        </w:rPr>
        <w:t xml:space="preserve">were effective in increasing </w:t>
      </w:r>
      <w:r w:rsidR="00B84879" w:rsidRPr="006354D8">
        <w:rPr>
          <w:rFonts w:cstheme="minorHAnsi"/>
          <w:lang w:eastAsia="en-AU"/>
        </w:rPr>
        <w:t xml:space="preserve">confidence </w:t>
      </w:r>
      <w:r w:rsidR="00B84879">
        <w:rPr>
          <w:rFonts w:cstheme="minorHAnsi"/>
          <w:lang w:eastAsia="en-AU"/>
        </w:rPr>
        <w:t xml:space="preserve">to promote bowel screening </w:t>
      </w:r>
      <w:r w:rsidR="00B84879" w:rsidRPr="006354D8">
        <w:rPr>
          <w:rFonts w:cstheme="minorHAnsi"/>
          <w:lang w:eastAsia="en-AU"/>
        </w:rPr>
        <w:t xml:space="preserve">among nurses, IHWs and GPs. Face-to-face training provided some professional groups with an increased understanding of the role they could play in promoting bowel screening, and the motivation to do it. </w:t>
      </w:r>
    </w:p>
    <w:p w14:paraId="209DB8CF" w14:textId="5B4B3FCF" w:rsidR="00B84879" w:rsidRPr="006354D8" w:rsidRDefault="00B84879" w:rsidP="00B84879">
      <w:pPr>
        <w:rPr>
          <w:rFonts w:cstheme="minorHAnsi"/>
          <w:lang w:eastAsia="en-AU"/>
        </w:rPr>
      </w:pPr>
      <w:r w:rsidRPr="006354D8">
        <w:rPr>
          <w:rFonts w:cstheme="minorHAnsi"/>
          <w:lang w:eastAsia="en-AU"/>
        </w:rPr>
        <w:lastRenderedPageBreak/>
        <w:t xml:space="preserve">Both modes of training were seen by health centre staff as containing strong elements that helped staff see themselves having the conversation with their patients about bowel screening. </w:t>
      </w:r>
    </w:p>
    <w:p w14:paraId="5DC7AB33" w14:textId="77777777" w:rsidR="00B84879" w:rsidRDefault="00B84879" w:rsidP="00B84879">
      <w:pPr>
        <w:rPr>
          <w:rFonts w:cstheme="minorHAnsi"/>
          <w:lang w:eastAsia="en-AU"/>
        </w:rPr>
      </w:pPr>
      <w:r w:rsidRPr="006354D8">
        <w:rPr>
          <w:rFonts w:cstheme="minorHAnsi"/>
          <w:lang w:eastAsia="en-AU"/>
        </w:rPr>
        <w:t xml:space="preserve">The style and format of face-to-face training received overwhelmingly positive feedback. Some health centre staff would have preferred face-to-face training than online, but the content and style of the online module was very positively received. A benefit of the online module was that staff could ‘go back to it’, and it was available to orientate new staff to the process. </w:t>
      </w:r>
    </w:p>
    <w:p w14:paraId="4FFFA0BD" w14:textId="77777777" w:rsidR="00B84879" w:rsidRPr="006354D8" w:rsidRDefault="00B84879" w:rsidP="00B84879">
      <w:pPr>
        <w:rPr>
          <w:rFonts w:cstheme="minorHAnsi"/>
          <w:lang w:eastAsia="en-AU"/>
        </w:rPr>
      </w:pPr>
      <w:r w:rsidRPr="006354D8">
        <w:rPr>
          <w:rFonts w:cstheme="minorHAnsi"/>
          <w:lang w:eastAsia="en-AU"/>
        </w:rPr>
        <w:t>However</w:t>
      </w:r>
      <w:r>
        <w:rPr>
          <w:rFonts w:cstheme="minorHAnsi"/>
          <w:lang w:eastAsia="en-AU"/>
        </w:rPr>
        <w:t>,</w:t>
      </w:r>
      <w:r w:rsidRPr="006354D8">
        <w:rPr>
          <w:rFonts w:cstheme="minorHAnsi"/>
          <w:lang w:eastAsia="en-AU"/>
        </w:rPr>
        <w:t xml:space="preserve"> once the basic procedures for offering screening had been absorbed into the health centre’s routines, the amount of training required or offered was minimal. This was both a mark of success (the process had been normalised) and a risk: breaches of NBCSP requirements were often associated with new staff offering screening without understanding the requirements.</w:t>
      </w:r>
    </w:p>
    <w:p w14:paraId="1CC64B01" w14:textId="77777777" w:rsidR="00B84879" w:rsidRPr="006354D8" w:rsidRDefault="00B84879" w:rsidP="00B84879">
      <w:pPr>
        <w:rPr>
          <w:rFonts w:cstheme="minorHAnsi"/>
          <w:lang w:eastAsia="en-AU"/>
        </w:rPr>
      </w:pPr>
      <w:r w:rsidRPr="006354D8">
        <w:rPr>
          <w:rFonts w:cstheme="minorHAnsi"/>
          <w:lang w:eastAsia="en-AU"/>
        </w:rPr>
        <w:t xml:space="preserve">While the feedback on face-to-face training was very positive, there was often a reluctance to allocate time for training, even though the training was offered at the health centre and with flexible delivery options to minimise the time that staff were away from their clinical roles.  Few health centres took advantage of this flexibility. There were staff who felt some of the content of face-to-face training was ‘beneath them’; however the level at which training sessions were pitched was set out in information provided to health centres in advance and Menzies strongly advised against the attendance of GPs at a session on bowel cancer and bowel screening that was designed specifically for IHWs. </w:t>
      </w:r>
    </w:p>
    <w:p w14:paraId="7E381EC1" w14:textId="77777777" w:rsidR="00B84879" w:rsidRDefault="00B84879" w:rsidP="00B84879">
      <w:pPr>
        <w:rPr>
          <w:rFonts w:cstheme="minorHAnsi"/>
          <w:lang w:eastAsia="en-AU"/>
        </w:rPr>
      </w:pPr>
      <w:r w:rsidRPr="006354D8">
        <w:rPr>
          <w:rFonts w:cstheme="minorHAnsi"/>
          <w:lang w:eastAsia="en-AU"/>
        </w:rPr>
        <w:t xml:space="preserve">The interviews reinforced the survey evidence that face-to-face training could increase motivation. However face-to-face training also seemed to evoke a dependency response at some health centres, an expectation that the visiting trainers would ‘provide all the answers’. Meanwhile health centres in Group A, which did not receive face-to-face training, were unlikely to make this assumption and tended to draw more on the broader Pilot resources such as the implementation manual and Helplines. </w:t>
      </w:r>
    </w:p>
    <w:p w14:paraId="4A00D78F" w14:textId="77777777" w:rsidR="00B84879" w:rsidRPr="006354D8" w:rsidRDefault="00B84879" w:rsidP="00B84879">
      <w:pPr>
        <w:rPr>
          <w:rFonts w:cstheme="minorHAnsi"/>
          <w:lang w:eastAsia="en-AU"/>
        </w:rPr>
      </w:pPr>
      <w:r w:rsidRPr="006354D8">
        <w:rPr>
          <w:rFonts w:cstheme="minorHAnsi"/>
          <w:lang w:eastAsia="en-AU"/>
        </w:rPr>
        <w:t>On the other hand, all three of the health centres that completed the QSC but did not manage to implement the Alternative Pathway were Group A sites and received only online training. These sites reported that while they were keen to take part, they had too many competing priorities and often significant staff shortages. It may be that when things were tough, implementing a new program needed the extra motivational push that face-to-face training provided.</w:t>
      </w:r>
    </w:p>
    <w:p w14:paraId="7E912F85" w14:textId="6B0D5F7B" w:rsidR="00404DFB" w:rsidRDefault="007D604C" w:rsidP="00B84879">
      <w:pPr>
        <w:rPr>
          <w:rFonts w:cstheme="minorHAnsi"/>
          <w:lang w:eastAsia="en-AU"/>
        </w:rPr>
      </w:pPr>
      <w:r>
        <w:rPr>
          <w:rFonts w:cstheme="minorHAnsi"/>
          <w:lang w:eastAsia="en-AU"/>
        </w:rPr>
        <w:t>A smaller number of IHWs completed the online module than took part in face-to-face training, but not greatly smaller. And responses</w:t>
      </w:r>
      <w:r w:rsidR="00451788">
        <w:rPr>
          <w:rFonts w:cstheme="minorHAnsi"/>
          <w:lang w:eastAsia="en-AU"/>
        </w:rPr>
        <w:t xml:space="preserve"> </w:t>
      </w:r>
      <w:r w:rsidR="00277D08">
        <w:rPr>
          <w:rFonts w:cstheme="minorHAnsi"/>
          <w:lang w:eastAsia="en-AU"/>
        </w:rPr>
        <w:t xml:space="preserve">from Indigenous staff who </w:t>
      </w:r>
      <w:r w:rsidR="002328BB">
        <w:rPr>
          <w:rFonts w:cstheme="minorHAnsi"/>
          <w:lang w:eastAsia="en-AU"/>
        </w:rPr>
        <w:t>did</w:t>
      </w:r>
      <w:r w:rsidR="00277D08">
        <w:rPr>
          <w:rFonts w:cstheme="minorHAnsi"/>
          <w:lang w:eastAsia="en-AU"/>
        </w:rPr>
        <w:t xml:space="preserve"> the online module </w:t>
      </w:r>
      <w:r w:rsidR="00451788">
        <w:rPr>
          <w:rFonts w:cstheme="minorHAnsi"/>
          <w:lang w:eastAsia="en-AU"/>
        </w:rPr>
        <w:t xml:space="preserve">were </w:t>
      </w:r>
      <w:r>
        <w:rPr>
          <w:rFonts w:cstheme="minorHAnsi"/>
          <w:lang w:eastAsia="en-AU"/>
        </w:rPr>
        <w:t>very positive\</w:t>
      </w:r>
      <w:r w:rsidR="007D2B35">
        <w:rPr>
          <w:rFonts w:cstheme="minorHAnsi"/>
          <w:lang w:eastAsia="en-AU"/>
        </w:rPr>
        <w:t xml:space="preserve"> IHWs </w:t>
      </w:r>
      <w:r w:rsidR="00404DFB">
        <w:rPr>
          <w:rFonts w:cstheme="minorHAnsi"/>
          <w:lang w:eastAsia="en-AU"/>
        </w:rPr>
        <w:t>showed significant shifts in confidence to offer screening</w:t>
      </w:r>
      <w:r w:rsidR="002328BB">
        <w:rPr>
          <w:rFonts w:cstheme="minorHAnsi"/>
          <w:lang w:eastAsia="en-AU"/>
        </w:rPr>
        <w:t xml:space="preserve">, </w:t>
      </w:r>
      <w:r w:rsidR="00404DFB">
        <w:rPr>
          <w:rFonts w:cstheme="minorHAnsi"/>
          <w:lang w:eastAsia="en-AU"/>
        </w:rPr>
        <w:t>and recognition of their role in</w:t>
      </w:r>
      <w:r w:rsidR="00451788">
        <w:rPr>
          <w:rFonts w:cstheme="minorHAnsi"/>
          <w:lang w:eastAsia="en-AU"/>
        </w:rPr>
        <w:t xml:space="preserve"> </w:t>
      </w:r>
      <w:r w:rsidR="00404DFB">
        <w:rPr>
          <w:rFonts w:cstheme="minorHAnsi"/>
          <w:lang w:eastAsia="en-AU"/>
        </w:rPr>
        <w:t xml:space="preserve">promoting bowel screening, from both modes of training. </w:t>
      </w:r>
    </w:p>
    <w:p w14:paraId="1D5A761F" w14:textId="323E8A5E" w:rsidR="00B84879" w:rsidRPr="006354D8" w:rsidRDefault="00404DFB" w:rsidP="00B84879">
      <w:pPr>
        <w:rPr>
          <w:rFonts w:cstheme="minorHAnsi"/>
          <w:lang w:eastAsia="en-AU"/>
        </w:rPr>
      </w:pPr>
      <w:r>
        <w:rPr>
          <w:rFonts w:cstheme="minorHAnsi"/>
          <w:lang w:eastAsia="en-AU"/>
        </w:rPr>
        <w:t>Some staff commented that online training did not provide the same</w:t>
      </w:r>
      <w:r w:rsidR="00B84879" w:rsidRPr="006354D8">
        <w:rPr>
          <w:rFonts w:cstheme="minorHAnsi"/>
          <w:lang w:eastAsia="en-AU"/>
        </w:rPr>
        <w:t xml:space="preserve"> benefits of group discussion, </w:t>
      </w:r>
      <w:r w:rsidRPr="006354D8">
        <w:rPr>
          <w:rFonts w:cstheme="minorHAnsi"/>
          <w:lang w:eastAsia="en-AU"/>
        </w:rPr>
        <w:t xml:space="preserve">shared </w:t>
      </w:r>
      <w:r>
        <w:rPr>
          <w:rFonts w:cstheme="minorHAnsi"/>
          <w:lang w:eastAsia="en-AU"/>
        </w:rPr>
        <w:t xml:space="preserve">experience and </w:t>
      </w:r>
      <w:r w:rsidR="00B84879" w:rsidRPr="006354D8">
        <w:rPr>
          <w:rFonts w:cstheme="minorHAnsi"/>
          <w:lang w:eastAsia="en-AU"/>
        </w:rPr>
        <w:t>opportunities to ask questions as they arose</w:t>
      </w:r>
      <w:r>
        <w:rPr>
          <w:rFonts w:cstheme="minorHAnsi"/>
          <w:lang w:eastAsia="en-AU"/>
        </w:rPr>
        <w:t xml:space="preserve">. </w:t>
      </w:r>
      <w:r w:rsidR="00B84879" w:rsidRPr="006354D8">
        <w:rPr>
          <w:rFonts w:cstheme="minorHAnsi"/>
          <w:lang w:eastAsia="en-AU"/>
        </w:rPr>
        <w:t>For some people</w:t>
      </w:r>
      <w:r w:rsidR="003F69C5">
        <w:rPr>
          <w:rFonts w:cstheme="minorHAnsi"/>
          <w:lang w:eastAsia="en-AU"/>
        </w:rPr>
        <w:t xml:space="preserve">, </w:t>
      </w:r>
      <w:r w:rsidR="002328BB">
        <w:rPr>
          <w:rFonts w:cstheme="minorHAnsi"/>
          <w:lang w:eastAsia="en-AU"/>
        </w:rPr>
        <w:t>the</w:t>
      </w:r>
      <w:r w:rsidR="003F69C5">
        <w:rPr>
          <w:rFonts w:cstheme="minorHAnsi"/>
          <w:lang w:eastAsia="en-AU"/>
        </w:rPr>
        <w:t xml:space="preserve"> online module </w:t>
      </w:r>
      <w:r w:rsidR="002328BB">
        <w:rPr>
          <w:rFonts w:cstheme="minorHAnsi"/>
          <w:lang w:eastAsia="en-AU"/>
        </w:rPr>
        <w:t xml:space="preserve">was </w:t>
      </w:r>
      <w:r w:rsidR="00B84879" w:rsidRPr="006354D8">
        <w:rPr>
          <w:rFonts w:cstheme="minorHAnsi"/>
          <w:lang w:eastAsia="en-AU"/>
        </w:rPr>
        <w:t>not an a</w:t>
      </w:r>
      <w:r w:rsidR="002328BB">
        <w:rPr>
          <w:rFonts w:cstheme="minorHAnsi"/>
          <w:lang w:eastAsia="en-AU"/>
        </w:rPr>
        <w:t>ppealing learning model,</w:t>
      </w:r>
      <w:r w:rsidR="00B84879" w:rsidRPr="006354D8">
        <w:rPr>
          <w:rFonts w:cstheme="minorHAnsi"/>
          <w:lang w:eastAsia="en-AU"/>
        </w:rPr>
        <w:t xml:space="preserve"> whereas for others it worked well. Some health centres in Group A (which did not receive face-to-face training) organised group training sessions using the online module and staff saw these as very positive experiences. </w:t>
      </w:r>
    </w:p>
    <w:p w14:paraId="32724FB1" w14:textId="038A35E4" w:rsidR="00B84879" w:rsidRPr="006354D8" w:rsidRDefault="00B84879" w:rsidP="00B84879">
      <w:pPr>
        <w:rPr>
          <w:rFonts w:cstheme="minorHAnsi"/>
          <w:lang w:eastAsia="en-AU"/>
        </w:rPr>
      </w:pPr>
      <w:r w:rsidRPr="006354D8">
        <w:rPr>
          <w:rFonts w:cstheme="minorHAnsi"/>
          <w:lang w:eastAsia="en-AU"/>
        </w:rPr>
        <w:t xml:space="preserve">Another key difference between the two training modes was that face-to-face training included practical demonstration and interaction with the kit. This was a powerful element of the training, often prompting staff to exclaim: ‘Is that all it takes?’  The realisation that doing the test was not so bad, and that they would </w:t>
      </w:r>
      <w:r w:rsidRPr="006354D8">
        <w:rPr>
          <w:rFonts w:cstheme="minorHAnsi"/>
          <w:lang w:eastAsia="en-AU"/>
        </w:rPr>
        <w:lastRenderedPageBreak/>
        <w:t xml:space="preserve">be ok explaining </w:t>
      </w:r>
      <w:r w:rsidR="009375DA">
        <w:rPr>
          <w:rFonts w:cstheme="minorHAnsi"/>
          <w:lang w:eastAsia="en-AU"/>
        </w:rPr>
        <w:t xml:space="preserve">it to </w:t>
      </w:r>
      <w:r w:rsidRPr="006354D8">
        <w:rPr>
          <w:rFonts w:cstheme="minorHAnsi"/>
          <w:lang w:eastAsia="en-AU"/>
        </w:rPr>
        <w:t>patients, had a powerful effect on staff, and may explain the increased motivation associated with face-to-face training. Staff who completed online training only were less likely to comment in interviews on the kit demonstration</w:t>
      </w:r>
      <w:r>
        <w:rPr>
          <w:rFonts w:cstheme="minorHAnsi"/>
          <w:lang w:eastAsia="en-AU"/>
        </w:rPr>
        <w:t xml:space="preserve"> and</w:t>
      </w:r>
      <w:r w:rsidRPr="006354D8">
        <w:rPr>
          <w:rFonts w:cstheme="minorHAnsi"/>
          <w:lang w:eastAsia="en-AU"/>
        </w:rPr>
        <w:t xml:space="preserve"> it may be</w:t>
      </w:r>
      <w:r>
        <w:rPr>
          <w:rFonts w:cstheme="minorHAnsi"/>
          <w:lang w:eastAsia="en-AU"/>
        </w:rPr>
        <w:t xml:space="preserve"> the case</w:t>
      </w:r>
      <w:r w:rsidRPr="006354D8">
        <w:rPr>
          <w:rFonts w:cstheme="minorHAnsi"/>
          <w:lang w:eastAsia="en-AU"/>
        </w:rPr>
        <w:t xml:space="preserve"> that watching the kit demonstration in an online animation had less of an impact. </w:t>
      </w:r>
    </w:p>
    <w:p w14:paraId="6667F744" w14:textId="77777777" w:rsidR="00B84879" w:rsidRPr="006354D8" w:rsidRDefault="00B84879" w:rsidP="00B84879">
      <w:pPr>
        <w:rPr>
          <w:rFonts w:cstheme="minorHAnsi"/>
          <w:b/>
          <w:lang w:eastAsia="en-AU"/>
        </w:rPr>
      </w:pPr>
      <w:r w:rsidRPr="006354D8">
        <w:rPr>
          <w:rFonts w:cstheme="minorHAnsi"/>
          <w:b/>
          <w:lang w:eastAsia="en-AU"/>
        </w:rPr>
        <w:t>Resources for staff</w:t>
      </w:r>
    </w:p>
    <w:p w14:paraId="3D85CDDC" w14:textId="04B1D3C8" w:rsidR="00B84879" w:rsidRPr="006354D8" w:rsidRDefault="00B84879" w:rsidP="00B84879">
      <w:pPr>
        <w:rPr>
          <w:rFonts w:cstheme="minorHAnsi"/>
          <w:lang w:eastAsia="en-AU"/>
        </w:rPr>
      </w:pPr>
      <w:r w:rsidRPr="006354D8">
        <w:rPr>
          <w:rFonts w:cstheme="minorHAnsi"/>
          <w:lang w:eastAsia="en-AU"/>
        </w:rPr>
        <w:t>The resources available for staff to support implementation of the Alternative Pathway included an implementation manual</w:t>
      </w:r>
      <w:r w:rsidRPr="006354D8">
        <w:rPr>
          <w:rFonts w:cstheme="minorHAnsi"/>
          <w:vertAlign w:val="superscript"/>
          <w:lang w:eastAsia="en-AU"/>
        </w:rPr>
        <w:footnoteReference w:id="44"/>
      </w:r>
      <w:r w:rsidRPr="006354D8">
        <w:rPr>
          <w:rFonts w:cstheme="minorHAnsi"/>
          <w:lang w:eastAsia="en-AU"/>
        </w:rPr>
        <w:t xml:space="preserve">, the online module, face-to-face training presentations, the websites </w:t>
      </w:r>
      <w:hyperlink r:id="rId39" w:history="1">
        <w:r w:rsidRPr="006354D8">
          <w:rPr>
            <w:rStyle w:val="Hyperlink"/>
            <w:rFonts w:cstheme="minorHAnsi"/>
            <w:lang w:eastAsia="en-AU"/>
          </w:rPr>
          <w:t>www.Indigenousbowelscreen.org.au</w:t>
        </w:r>
      </w:hyperlink>
      <w:r w:rsidRPr="006354D8">
        <w:rPr>
          <w:rFonts w:cstheme="minorHAnsi"/>
          <w:lang w:eastAsia="en-AU"/>
        </w:rPr>
        <w:t xml:space="preserve"> and </w:t>
      </w:r>
      <w:hyperlink r:id="rId40" w:history="1">
        <w:r w:rsidRPr="006354D8">
          <w:rPr>
            <w:rStyle w:val="Hyperlink"/>
            <w:rFonts w:cstheme="minorHAnsi"/>
            <w:lang w:eastAsia="en-AU"/>
          </w:rPr>
          <w:t>www.cancerscreening.gov.au</w:t>
        </w:r>
      </w:hyperlink>
      <w:r w:rsidRPr="006354D8">
        <w:rPr>
          <w:rFonts w:cstheme="minorHAnsi"/>
          <w:lang w:eastAsia="en-AU"/>
        </w:rPr>
        <w:t xml:space="preserve">; two fact sheets; and the helplines offered by Menzies, DHS, </w:t>
      </w:r>
      <w:r w:rsidR="00C67CA1">
        <w:rPr>
          <w:rFonts w:cstheme="minorHAnsi"/>
          <w:lang w:eastAsia="en-AU"/>
        </w:rPr>
        <w:t xml:space="preserve">the Department of </w:t>
      </w:r>
      <w:r w:rsidRPr="006354D8">
        <w:rPr>
          <w:rFonts w:cstheme="minorHAnsi"/>
          <w:lang w:eastAsia="en-AU"/>
        </w:rPr>
        <w:t xml:space="preserve">Health and </w:t>
      </w:r>
      <w:r w:rsidR="00C67CA1">
        <w:rPr>
          <w:rFonts w:cstheme="minorHAnsi"/>
          <w:lang w:eastAsia="en-AU"/>
        </w:rPr>
        <w:t xml:space="preserve">Sonic </w:t>
      </w:r>
      <w:r w:rsidRPr="006354D8">
        <w:rPr>
          <w:rFonts w:cstheme="minorHAnsi"/>
          <w:lang w:eastAsia="en-AU"/>
        </w:rPr>
        <w:t xml:space="preserve">Healthcare. </w:t>
      </w:r>
    </w:p>
    <w:p w14:paraId="50F12FE0" w14:textId="47DF5711" w:rsidR="00B84879" w:rsidRPr="006354D8" w:rsidRDefault="00B84879" w:rsidP="00571A54">
      <w:pPr>
        <w:rPr>
          <w:rFonts w:cstheme="minorHAnsi"/>
          <w:lang w:eastAsia="en-AU"/>
        </w:rPr>
      </w:pPr>
      <w:r w:rsidRPr="006354D8">
        <w:rPr>
          <w:rFonts w:cstheme="minorHAnsi"/>
          <w:lang w:eastAsia="en-AU"/>
        </w:rPr>
        <w:t xml:space="preserve">The implementation manual provided comprehensive details about the NBCSP and the Alternative Pathway and was designed for use by </w:t>
      </w:r>
      <w:r>
        <w:rPr>
          <w:rFonts w:cstheme="minorHAnsi"/>
          <w:lang w:eastAsia="en-AU"/>
        </w:rPr>
        <w:t>s</w:t>
      </w:r>
      <w:r w:rsidRPr="006354D8">
        <w:rPr>
          <w:rFonts w:cstheme="minorHAnsi"/>
          <w:lang w:eastAsia="en-AU"/>
        </w:rPr>
        <w:t xml:space="preserve">ite </w:t>
      </w:r>
      <w:r>
        <w:rPr>
          <w:rFonts w:cstheme="minorHAnsi"/>
          <w:lang w:eastAsia="en-AU"/>
        </w:rPr>
        <w:t>c</w:t>
      </w:r>
      <w:r w:rsidRPr="006354D8">
        <w:rPr>
          <w:rFonts w:cstheme="minorHAnsi"/>
          <w:lang w:eastAsia="en-AU"/>
        </w:rPr>
        <w:t xml:space="preserve">oordinators. However, as one </w:t>
      </w:r>
      <w:r>
        <w:rPr>
          <w:rFonts w:cstheme="minorHAnsi"/>
          <w:lang w:eastAsia="en-AU"/>
        </w:rPr>
        <w:t>s</w:t>
      </w:r>
      <w:r w:rsidRPr="006354D8">
        <w:rPr>
          <w:rFonts w:cstheme="minorHAnsi"/>
          <w:lang w:eastAsia="en-AU"/>
        </w:rPr>
        <w:t xml:space="preserve">ite </w:t>
      </w:r>
      <w:r>
        <w:rPr>
          <w:rFonts w:cstheme="minorHAnsi"/>
          <w:lang w:eastAsia="en-AU"/>
        </w:rPr>
        <w:t>c</w:t>
      </w:r>
      <w:r w:rsidRPr="006354D8">
        <w:rPr>
          <w:rFonts w:cstheme="minorHAnsi"/>
          <w:lang w:eastAsia="en-AU"/>
        </w:rPr>
        <w:t xml:space="preserve">oordinator commented: ‘It was a bit of a dry read.’ The manual needed to include detail, and </w:t>
      </w:r>
      <w:r>
        <w:rPr>
          <w:rFonts w:cstheme="minorHAnsi"/>
          <w:lang w:eastAsia="en-AU"/>
        </w:rPr>
        <w:t>the</w:t>
      </w:r>
      <w:r w:rsidRPr="006354D8">
        <w:rPr>
          <w:rFonts w:cstheme="minorHAnsi"/>
          <w:lang w:eastAsia="en-AU"/>
        </w:rPr>
        <w:t xml:space="preserve"> detail was appreciated by those who used it, but the manual could have been reduced to half its 58 pages and made more user-friendly. </w:t>
      </w:r>
      <w:r w:rsidR="002328BB">
        <w:rPr>
          <w:rFonts w:cstheme="minorHAnsi"/>
          <w:lang w:eastAsia="en-AU"/>
        </w:rPr>
        <w:t>As</w:t>
      </w:r>
      <w:r w:rsidR="00571A54">
        <w:rPr>
          <w:rFonts w:cstheme="minorHAnsi"/>
          <w:lang w:eastAsia="en-AU"/>
        </w:rPr>
        <w:t xml:space="preserve"> mentioned above, there </w:t>
      </w:r>
      <w:r w:rsidRPr="006354D8">
        <w:rPr>
          <w:rFonts w:cstheme="minorHAnsi"/>
          <w:lang w:eastAsia="en-AU"/>
        </w:rPr>
        <w:t xml:space="preserve">was also </w:t>
      </w:r>
      <w:r>
        <w:rPr>
          <w:rFonts w:cstheme="minorHAnsi"/>
          <w:lang w:eastAsia="en-AU"/>
        </w:rPr>
        <w:t>an</w:t>
      </w:r>
      <w:r w:rsidRPr="006354D8">
        <w:rPr>
          <w:rFonts w:cstheme="minorHAnsi"/>
          <w:lang w:eastAsia="en-AU"/>
        </w:rPr>
        <w:t xml:space="preserve"> unmet need for easily accessible, user-friendly information a</w:t>
      </w:r>
      <w:r w:rsidR="00463DF2">
        <w:rPr>
          <w:rFonts w:cstheme="minorHAnsi"/>
          <w:lang w:eastAsia="en-AU"/>
        </w:rPr>
        <w:t xml:space="preserve">bout procedures and guidelines </w:t>
      </w:r>
      <w:r w:rsidRPr="006354D8">
        <w:rPr>
          <w:rFonts w:cstheme="minorHAnsi"/>
          <w:lang w:eastAsia="en-AU"/>
        </w:rPr>
        <w:t xml:space="preserve">that could </w:t>
      </w:r>
      <w:r w:rsidR="00571A54">
        <w:rPr>
          <w:rFonts w:cstheme="minorHAnsi"/>
          <w:lang w:eastAsia="en-AU"/>
        </w:rPr>
        <w:t xml:space="preserve">be used as </w:t>
      </w:r>
      <w:r w:rsidRPr="006354D8">
        <w:rPr>
          <w:rFonts w:cstheme="minorHAnsi"/>
          <w:lang w:eastAsia="en-AU"/>
        </w:rPr>
        <w:t>a day</w:t>
      </w:r>
      <w:r w:rsidR="00C67CA1">
        <w:rPr>
          <w:rFonts w:cstheme="minorHAnsi"/>
          <w:lang w:eastAsia="en-AU"/>
        </w:rPr>
        <w:t>-</w:t>
      </w:r>
      <w:r w:rsidRPr="006354D8">
        <w:rPr>
          <w:rFonts w:cstheme="minorHAnsi"/>
          <w:lang w:eastAsia="en-AU"/>
        </w:rPr>
        <w:t>to</w:t>
      </w:r>
      <w:r w:rsidR="00C67CA1">
        <w:rPr>
          <w:rFonts w:cstheme="minorHAnsi"/>
          <w:lang w:eastAsia="en-AU"/>
        </w:rPr>
        <w:t>-</w:t>
      </w:r>
      <w:r w:rsidRPr="006354D8">
        <w:rPr>
          <w:rFonts w:cstheme="minorHAnsi"/>
          <w:lang w:eastAsia="en-AU"/>
        </w:rPr>
        <w:t xml:space="preserve">day reference in the clinical setting. </w:t>
      </w:r>
    </w:p>
    <w:p w14:paraId="4FC675D2" w14:textId="0677B491" w:rsidR="00B84879" w:rsidRPr="006354D8" w:rsidRDefault="00B84879" w:rsidP="00B84879">
      <w:pPr>
        <w:rPr>
          <w:rFonts w:cstheme="minorHAnsi"/>
          <w:lang w:eastAsia="en-AU"/>
        </w:rPr>
      </w:pPr>
      <w:r w:rsidRPr="006354D8">
        <w:rPr>
          <w:rFonts w:cstheme="minorHAnsi"/>
          <w:lang w:eastAsia="en-AU"/>
        </w:rPr>
        <w:t>One of the challenges for the Menzies project team was how best to explain the procedural requirements for the Alternative Pathway, when the audience was largely unfamiliar with the usual pathway of the NBCSP.</w:t>
      </w:r>
      <w:r w:rsidR="00B051BD">
        <w:rPr>
          <w:rFonts w:cstheme="minorHAnsi"/>
          <w:lang w:eastAsia="en-AU"/>
        </w:rPr>
        <w:t xml:space="preserve"> </w:t>
      </w:r>
      <w:r w:rsidRPr="006354D8">
        <w:rPr>
          <w:rFonts w:cstheme="minorHAnsi"/>
          <w:lang w:eastAsia="en-AU"/>
        </w:rPr>
        <w:t xml:space="preserve">Instead of trying to explain the NBCSP and how the Alternative Pathway differed, which was the approach taken, a better option may have been to compare the Alternative Pathway procedures to those of a program more familiar to the primary sector, such as cervical screening. </w:t>
      </w:r>
    </w:p>
    <w:p w14:paraId="0BA2E424" w14:textId="77777777" w:rsidR="00B84879" w:rsidRDefault="00B84879" w:rsidP="00B84879">
      <w:pPr>
        <w:rPr>
          <w:rFonts w:cstheme="minorHAnsi"/>
          <w:lang w:eastAsia="en-AU"/>
        </w:rPr>
      </w:pPr>
      <w:r w:rsidRPr="006354D8">
        <w:rPr>
          <w:rFonts w:cstheme="minorHAnsi"/>
          <w:lang w:eastAsia="en-AU"/>
        </w:rPr>
        <w:t xml:space="preserve">Difficulties finding materials online were frequently raised by interviewees. Sometimes these difficulties were as simple as not knowing where to find the online form. Many health centres resolved this problem by placing a link to the online form into their CIS. Access to materials in some cases could have been improved. For example, some staff mentioned using </w:t>
      </w:r>
      <w:r>
        <w:rPr>
          <w:rFonts w:cstheme="minorHAnsi"/>
          <w:lang w:eastAsia="en-AU"/>
        </w:rPr>
        <w:t>www.</w:t>
      </w:r>
      <w:r w:rsidRPr="006354D8">
        <w:rPr>
          <w:rFonts w:cstheme="minorHAnsi"/>
          <w:lang w:eastAsia="en-AU"/>
        </w:rPr>
        <w:t xml:space="preserve">Indigenousbowelscreen.com.au but that it was ‘difficult to find what I need’. </w:t>
      </w:r>
    </w:p>
    <w:p w14:paraId="0316ED4F" w14:textId="77777777" w:rsidR="00B84879" w:rsidRPr="006354D8" w:rsidRDefault="00B84879" w:rsidP="00B84879">
      <w:pPr>
        <w:rPr>
          <w:rFonts w:cstheme="minorHAnsi"/>
          <w:lang w:eastAsia="en-AU"/>
        </w:rPr>
      </w:pPr>
      <w:r w:rsidRPr="006354D8">
        <w:rPr>
          <w:rFonts w:cstheme="minorHAnsi"/>
          <w:lang w:eastAsia="en-AU"/>
        </w:rPr>
        <w:t>This was partly a consequence of the website’s dual function serving Pilot sites and as a public site providing information for community members and health professionals who were not part of the Pilot. Access to resources for the Pilot sites required a password. Access to the online module was also made more difficult by username and password issues. Users needed to set up their own password</w:t>
      </w:r>
      <w:r>
        <w:rPr>
          <w:rFonts w:cstheme="minorHAnsi"/>
          <w:lang w:eastAsia="en-AU"/>
        </w:rPr>
        <w:t xml:space="preserve"> protected</w:t>
      </w:r>
      <w:r w:rsidRPr="006354D8">
        <w:rPr>
          <w:rFonts w:cstheme="minorHAnsi"/>
          <w:lang w:eastAsia="en-AU"/>
        </w:rPr>
        <w:t xml:space="preserve"> account, and because of the way that data were collected to evaluate this component of the Pilot, access could be frustratingly difficult. These seemingly small glitches could be barriers that prevented staff from accessing training or resources.</w:t>
      </w:r>
    </w:p>
    <w:p w14:paraId="219A93F7" w14:textId="7FF8CA59" w:rsidR="00B84879" w:rsidRPr="006354D8" w:rsidRDefault="00B84879" w:rsidP="00B84879">
      <w:pPr>
        <w:rPr>
          <w:rFonts w:cstheme="minorHAnsi"/>
          <w:lang w:eastAsia="en-AU"/>
        </w:rPr>
      </w:pPr>
      <w:r w:rsidRPr="006354D8">
        <w:rPr>
          <w:rFonts w:cstheme="minorHAnsi"/>
          <w:lang w:eastAsia="en-AU"/>
        </w:rPr>
        <w:lastRenderedPageBreak/>
        <w:t>Other resources for staff, such as posters prompting clinicians to offer screening, the two fact sheets (</w:t>
      </w:r>
      <w:r w:rsidRPr="006354D8">
        <w:rPr>
          <w:rFonts w:cstheme="minorHAnsi"/>
          <w:i/>
          <w:iCs/>
          <w:lang w:eastAsia="en-AU"/>
        </w:rPr>
        <w:t xml:space="preserve">Information for Health Workers: Bowel screening and Aboriginal and Torres Strait Islander people </w:t>
      </w:r>
      <w:r w:rsidRPr="006354D8">
        <w:rPr>
          <w:rFonts w:cstheme="minorHAnsi"/>
          <w:lang w:eastAsia="en-AU"/>
        </w:rPr>
        <w:t xml:space="preserve">and </w:t>
      </w:r>
      <w:r w:rsidRPr="006354D8">
        <w:rPr>
          <w:rFonts w:cstheme="minorHAnsi"/>
          <w:i/>
          <w:iCs/>
          <w:lang w:eastAsia="en-AU"/>
        </w:rPr>
        <w:t xml:space="preserve">Information for GPs: Bowel screening and Aboriginal and Torres Strait Islander people), </w:t>
      </w:r>
      <w:r w:rsidRPr="006354D8">
        <w:rPr>
          <w:rFonts w:cstheme="minorHAnsi"/>
          <w:lang w:eastAsia="en-AU"/>
        </w:rPr>
        <w:t xml:space="preserve">and other resources available for download from www.indigenousbowelscreen.com.au, did not appear to have been used widely, if at all. </w:t>
      </w:r>
    </w:p>
    <w:p w14:paraId="422B4146" w14:textId="77777777" w:rsidR="00B84879" w:rsidRPr="006354D8" w:rsidRDefault="00B84879" w:rsidP="00B84879">
      <w:pPr>
        <w:rPr>
          <w:rFonts w:cstheme="minorHAnsi"/>
          <w:b/>
          <w:lang w:val="en-US" w:eastAsia="en-AU"/>
        </w:rPr>
      </w:pPr>
      <w:r w:rsidRPr="006354D8">
        <w:rPr>
          <w:rFonts w:cstheme="minorHAnsi"/>
          <w:b/>
          <w:lang w:val="en-US" w:eastAsia="en-AU"/>
        </w:rPr>
        <w:t>Resources for use with patients</w:t>
      </w:r>
    </w:p>
    <w:p w14:paraId="10740368" w14:textId="77777777" w:rsidR="00B84879" w:rsidRPr="006354D8" w:rsidRDefault="00B84879" w:rsidP="00B84879">
      <w:pPr>
        <w:rPr>
          <w:rFonts w:cstheme="minorHAnsi"/>
          <w:lang w:eastAsia="en-AU"/>
        </w:rPr>
      </w:pPr>
      <w:r w:rsidRPr="006354D8">
        <w:rPr>
          <w:rFonts w:cstheme="minorHAnsi"/>
          <w:lang w:eastAsia="en-AU"/>
        </w:rPr>
        <w:t xml:space="preserve">Resources produced for use with Indigenous patients received a more varied response: for those staff who were aware of them, the resources were rated highly; but some staff were unaware of them, used them only occasionally, or suffered from ‘resource burnout’ from the continual flow of new materials, training and resources coming into the health centre from external organisations. </w:t>
      </w:r>
    </w:p>
    <w:p w14:paraId="4DB3729D" w14:textId="5587A65D" w:rsidR="00B84879" w:rsidRPr="006354D8" w:rsidRDefault="00B84879" w:rsidP="00B84879">
      <w:pPr>
        <w:rPr>
          <w:rFonts w:cstheme="minorHAnsi"/>
          <w:lang w:eastAsia="en-AU"/>
        </w:rPr>
      </w:pPr>
      <w:r w:rsidRPr="006354D8">
        <w:rPr>
          <w:rFonts w:cstheme="minorHAnsi"/>
          <w:lang w:eastAsia="en-AU"/>
        </w:rPr>
        <w:t xml:space="preserve">Patient resources provided through the Pilot included a flipchart, posters, postcard and NBCSP brochures and leaflets. The resource that health centre staff used most was the NBCSP kit with its colourful Indigenous-design sticker added </w:t>
      </w:r>
      <w:r w:rsidR="0024046D">
        <w:rPr>
          <w:rFonts w:cstheme="minorHAnsi"/>
          <w:lang w:eastAsia="en-AU"/>
        </w:rPr>
        <w:t>to the front of the kit envelope.</w:t>
      </w:r>
      <w:r w:rsidRPr="006354D8">
        <w:rPr>
          <w:rFonts w:cstheme="minorHAnsi"/>
          <w:lang w:eastAsia="en-AU"/>
        </w:rPr>
        <w:t xml:space="preserve"> </w:t>
      </w:r>
    </w:p>
    <w:p w14:paraId="7840D5F6" w14:textId="77777777" w:rsidR="00B84879" w:rsidRPr="006354D8" w:rsidRDefault="00B84879" w:rsidP="00B84879">
      <w:pPr>
        <w:rPr>
          <w:rFonts w:cstheme="minorHAnsi"/>
          <w:lang w:eastAsia="en-AU"/>
        </w:rPr>
      </w:pPr>
      <w:r w:rsidRPr="006354D8">
        <w:rPr>
          <w:rFonts w:cstheme="minorHAnsi"/>
          <w:lang w:eastAsia="en-AU"/>
        </w:rPr>
        <w:t xml:space="preserve">As mentioned above, once staff realised the effectiveness of opening up the kit, explaining how the test was done, and why it was important, they saw little need to use other resources. Some staff used the flipchart when talking with patients, and a few health centres placed the flipchart in their waiting room for patients to examine. Posters, postcards and brochures for patients were used when the Pilot began, but their use tapered off over time. </w:t>
      </w:r>
    </w:p>
    <w:p w14:paraId="6A5D31E8" w14:textId="15B3BC11" w:rsidR="00B84879" w:rsidRPr="006354D8" w:rsidRDefault="00B84879" w:rsidP="00B84879">
      <w:pPr>
        <w:rPr>
          <w:rFonts w:cstheme="minorHAnsi"/>
          <w:lang w:eastAsia="en-AU"/>
        </w:rPr>
      </w:pPr>
      <w:r w:rsidRPr="006354D8">
        <w:rPr>
          <w:rFonts w:cstheme="minorHAnsi"/>
          <w:lang w:eastAsia="en-AU"/>
        </w:rPr>
        <w:t xml:space="preserve">Patients reported noticing posters and seeing NBCSP resources on the health centre television service (provided by </w:t>
      </w:r>
      <w:r w:rsidR="00C67CA1">
        <w:rPr>
          <w:rFonts w:cstheme="minorHAnsi"/>
          <w:lang w:eastAsia="en-AU"/>
        </w:rPr>
        <w:t>Sonic Healthcare</w:t>
      </w:r>
      <w:r w:rsidRPr="006354D8">
        <w:rPr>
          <w:rFonts w:cstheme="minorHAnsi"/>
          <w:lang w:eastAsia="en-AU"/>
        </w:rPr>
        <w:t>). Some had seen television advertisements run during 2019, but as one patient commented, ‘It didn’t click that they were relevant to me’.</w:t>
      </w:r>
    </w:p>
    <w:p w14:paraId="3D8EAC8A" w14:textId="335EB28E" w:rsidR="00204BA2" w:rsidRDefault="00B84879" w:rsidP="00B84879">
      <w:pPr>
        <w:rPr>
          <w:rFonts w:cstheme="minorHAnsi"/>
          <w:lang w:eastAsia="en-AU"/>
        </w:rPr>
      </w:pPr>
      <w:r w:rsidRPr="006354D8">
        <w:rPr>
          <w:rFonts w:cstheme="minorHAnsi"/>
          <w:b/>
          <w:lang w:eastAsia="en-AU"/>
        </w:rPr>
        <w:t>The online Participant Details form</w:t>
      </w:r>
      <w:r w:rsidRPr="006354D8">
        <w:rPr>
          <w:rFonts w:cstheme="minorHAnsi"/>
          <w:lang w:eastAsia="en-AU"/>
        </w:rPr>
        <w:t xml:space="preserve"> </w:t>
      </w:r>
    </w:p>
    <w:p w14:paraId="5C6365F7" w14:textId="1D77A3B1" w:rsidR="00B84879" w:rsidRPr="006354D8" w:rsidRDefault="00204BA2" w:rsidP="00B84879">
      <w:pPr>
        <w:rPr>
          <w:rFonts w:cstheme="minorHAnsi"/>
          <w:lang w:eastAsia="en-AU"/>
        </w:rPr>
      </w:pPr>
      <w:r>
        <w:rPr>
          <w:rFonts w:cstheme="minorHAnsi"/>
          <w:lang w:eastAsia="en-AU"/>
        </w:rPr>
        <w:t>P</w:t>
      </w:r>
      <w:r w:rsidR="00B84879" w:rsidRPr="006354D8">
        <w:rPr>
          <w:rFonts w:cstheme="minorHAnsi"/>
          <w:lang w:eastAsia="en-AU"/>
        </w:rPr>
        <w:t xml:space="preserve">rior to the Pilot </w:t>
      </w:r>
      <w:r>
        <w:rPr>
          <w:rFonts w:cstheme="minorHAnsi"/>
          <w:lang w:eastAsia="en-AU"/>
        </w:rPr>
        <w:t xml:space="preserve">a member of the Evaluation Committee warned that </w:t>
      </w:r>
      <w:r w:rsidR="00B84879" w:rsidRPr="006354D8">
        <w:rPr>
          <w:rFonts w:cstheme="minorHAnsi"/>
          <w:lang w:eastAsia="en-AU"/>
        </w:rPr>
        <w:t xml:space="preserve">that GPs would not fill out the form unless it was integrated and able to load patient details from the CIS, and this proved to be correct. Some GPs filled out the form, but it was more likely to be done by a nurse or IHW. At one health centre, GPs flatly refused to use the form.  </w:t>
      </w:r>
    </w:p>
    <w:p w14:paraId="6C4B9503" w14:textId="77777777" w:rsidR="00B84879" w:rsidRDefault="00B84879" w:rsidP="00B84879">
      <w:pPr>
        <w:rPr>
          <w:rFonts w:cstheme="minorHAnsi"/>
          <w:lang w:eastAsia="en-AU"/>
        </w:rPr>
      </w:pPr>
      <w:r w:rsidRPr="006354D8">
        <w:rPr>
          <w:rFonts w:cstheme="minorHAnsi"/>
          <w:lang w:eastAsia="en-AU"/>
        </w:rPr>
        <w:t xml:space="preserve">The original plan was to run the Pilot on the newly built NCSR, which was expected to include a portal for primary health care professionals to interact with the Register. The preparation of training materials for health centres on how to use the NCSR for the Pilot was a responsibility designated to Telstra Health, the company building the new Register. When work on the NBCSP component of the NCSR was put on hold in early 2017, there were still no details available on how Pilot health centres would engage with the Register. </w:t>
      </w:r>
    </w:p>
    <w:p w14:paraId="2AA07D97" w14:textId="68975E0A" w:rsidR="00B84879" w:rsidRPr="006354D8" w:rsidRDefault="00B84879" w:rsidP="00B84879">
      <w:pPr>
        <w:rPr>
          <w:rFonts w:cstheme="minorHAnsi"/>
          <w:lang w:eastAsia="en-AU"/>
        </w:rPr>
      </w:pPr>
      <w:r w:rsidRPr="006354D8">
        <w:rPr>
          <w:rFonts w:cstheme="minorHAnsi"/>
          <w:lang w:eastAsia="en-AU"/>
        </w:rPr>
        <w:t xml:space="preserve">When the decision was made in </w:t>
      </w:r>
      <w:r w:rsidR="00463DF2">
        <w:rPr>
          <w:rFonts w:cstheme="minorHAnsi"/>
          <w:lang w:eastAsia="en-AU"/>
        </w:rPr>
        <w:t>mid-2018</w:t>
      </w:r>
      <w:r>
        <w:rPr>
          <w:rFonts w:cstheme="minorHAnsi"/>
          <w:lang w:eastAsia="en-AU"/>
        </w:rPr>
        <w:t xml:space="preserve"> </w:t>
      </w:r>
      <w:r w:rsidRPr="006354D8">
        <w:rPr>
          <w:rFonts w:cstheme="minorHAnsi"/>
          <w:lang w:eastAsia="en-AU"/>
        </w:rPr>
        <w:t xml:space="preserve">that the Pilot should proceed without waiting for the NCSR’s completion, a temporary workaround had to be developed to use the NBCSR to support the Pilot and ensure that patient safety and the integrity of Register data were maintained.  There were constraints on what was possible within the capacity of the NBCSR, privacy legislation, technical and data integrity requirements, and the recognition that for a Pilot project, investing in an expensive but temporary technical solution would not be feasible, particularly in the timeframe available. </w:t>
      </w:r>
      <w:r w:rsidR="005E5297">
        <w:rPr>
          <w:rFonts w:cstheme="minorHAnsi"/>
        </w:rPr>
        <w:t xml:space="preserve">The </w:t>
      </w:r>
      <w:r w:rsidR="005E5297">
        <w:rPr>
          <w:rFonts w:eastAsiaTheme="majorEastAsia" w:cstheme="minorHAnsi"/>
        </w:rPr>
        <w:t>Department of Health</w:t>
      </w:r>
      <w:r w:rsidRPr="006354D8">
        <w:rPr>
          <w:rFonts w:cstheme="minorHAnsi"/>
          <w:lang w:eastAsia="en-AU"/>
        </w:rPr>
        <w:t xml:space="preserve">, DHS and Menzies worked </w:t>
      </w:r>
      <w:r w:rsidRPr="006354D8">
        <w:rPr>
          <w:rFonts w:cstheme="minorHAnsi"/>
          <w:lang w:eastAsia="en-AU"/>
        </w:rPr>
        <w:lastRenderedPageBreak/>
        <w:t xml:space="preserve">together to develop and test the online Participants Detail form; and DHS developed a process around it to keep track of screening information and manually enter it into the NBCSR. </w:t>
      </w:r>
    </w:p>
    <w:p w14:paraId="69FEDA1A" w14:textId="77777777" w:rsidR="00B84879" w:rsidRPr="006354D8" w:rsidRDefault="00B84879" w:rsidP="00B84879">
      <w:pPr>
        <w:rPr>
          <w:rFonts w:cstheme="minorHAnsi"/>
          <w:lang w:eastAsia="en-AU"/>
        </w:rPr>
      </w:pPr>
      <w:r w:rsidRPr="006354D8">
        <w:rPr>
          <w:rFonts w:cstheme="minorHAnsi"/>
          <w:lang w:eastAsia="en-AU"/>
        </w:rPr>
        <w:t xml:space="preserve">The development of such critical procedures so soon before the Pilot was rolled out meant the development of materials to support their use was rushed. Other materials developed for the Pilot were extensively tested and refined, but the procedural details of the workaround were sometimes being refined as they were being written into the implementation manual. </w:t>
      </w:r>
    </w:p>
    <w:p w14:paraId="710205E3" w14:textId="77777777" w:rsidR="00B84879" w:rsidRPr="006354D8" w:rsidRDefault="00B84879" w:rsidP="00B84879">
      <w:pPr>
        <w:rPr>
          <w:rFonts w:cstheme="minorHAnsi"/>
          <w:lang w:eastAsia="en-AU"/>
        </w:rPr>
      </w:pPr>
      <w:r w:rsidRPr="006354D8">
        <w:rPr>
          <w:rFonts w:cstheme="minorHAnsi"/>
          <w:lang w:eastAsia="en-AU"/>
        </w:rPr>
        <w:t>Participants in both training modes said they needed more explanation about the form and what was required.</w:t>
      </w:r>
    </w:p>
    <w:p w14:paraId="75A8CBA0" w14:textId="77777777" w:rsidR="00B84879" w:rsidRPr="006354D8" w:rsidRDefault="00B84879" w:rsidP="00B84879">
      <w:pPr>
        <w:rPr>
          <w:rFonts w:cstheme="minorHAnsi"/>
          <w:lang w:eastAsia="en-AU"/>
        </w:rPr>
      </w:pPr>
      <w:r w:rsidRPr="006354D8">
        <w:rPr>
          <w:rFonts w:cstheme="minorHAnsi"/>
          <w:lang w:eastAsia="en-AU"/>
        </w:rPr>
        <w:t xml:space="preserve">Nonetheless, the form enabled the Pilot to proceed, and observation of the ways that health centres engaged with the form provided valuable information to inform any broader rollout of an Alternative Pathway. </w:t>
      </w:r>
    </w:p>
    <w:p w14:paraId="6798A432" w14:textId="77777777" w:rsidR="00B84879" w:rsidRPr="006354D8" w:rsidRDefault="00B84879" w:rsidP="00B84879">
      <w:pPr>
        <w:rPr>
          <w:rFonts w:cstheme="minorHAnsi"/>
          <w:b/>
          <w:bCs/>
          <w:lang w:eastAsia="en-AU"/>
        </w:rPr>
      </w:pPr>
      <w:r w:rsidRPr="006354D8">
        <w:rPr>
          <w:rFonts w:cstheme="minorHAnsi"/>
          <w:b/>
          <w:bCs/>
          <w:lang w:eastAsia="en-AU"/>
        </w:rPr>
        <w:t>Helplines</w:t>
      </w:r>
    </w:p>
    <w:p w14:paraId="65E001BB" w14:textId="392B9631" w:rsidR="00B84879" w:rsidRPr="006354D8" w:rsidRDefault="00B84879" w:rsidP="00B84879">
      <w:pPr>
        <w:rPr>
          <w:rFonts w:cstheme="minorHAnsi"/>
          <w:lang w:eastAsia="en-AU"/>
        </w:rPr>
      </w:pPr>
      <w:r w:rsidRPr="006354D8">
        <w:rPr>
          <w:rFonts w:cstheme="minorHAnsi"/>
          <w:lang w:eastAsia="en-AU"/>
        </w:rPr>
        <w:t xml:space="preserve">Health centres were provided with details of </w:t>
      </w:r>
      <w:r w:rsidR="00571A54">
        <w:rPr>
          <w:rFonts w:cstheme="minorHAnsi"/>
          <w:lang w:eastAsia="en-AU"/>
        </w:rPr>
        <w:t>three</w:t>
      </w:r>
      <w:r w:rsidRPr="006354D8">
        <w:rPr>
          <w:rFonts w:cstheme="minorHAnsi"/>
          <w:lang w:eastAsia="en-AU"/>
        </w:rPr>
        <w:t xml:space="preserve"> different helplines they could contact for information or troubleshooting around the NBCSP and the Pilot – one for each of the different organisations involved in supporting the NBCSP, plus Menzies.  Most contact was made with Menzies Site Support, often to find out who to call to order more kits or follow up on patient results.  Fewer helplines, or more consistent procedures for handling calls, may have made it less confusing for Pilot health centres to interact with the NBCSP. </w:t>
      </w:r>
    </w:p>
    <w:p w14:paraId="5DAF4E87" w14:textId="77777777" w:rsidR="00B84879" w:rsidRPr="006354D8" w:rsidRDefault="00B84879" w:rsidP="00B84879">
      <w:pPr>
        <w:rPr>
          <w:rFonts w:cstheme="minorHAnsi"/>
          <w:b/>
          <w:lang w:val="en-US" w:eastAsia="en-AU"/>
        </w:rPr>
      </w:pPr>
      <w:r w:rsidRPr="006354D8">
        <w:rPr>
          <w:rFonts w:cstheme="minorHAnsi"/>
          <w:b/>
          <w:lang w:val="en-US" w:eastAsia="en-AU"/>
        </w:rPr>
        <w:t>Summary of findings on training, resources, other support materials</w:t>
      </w:r>
    </w:p>
    <w:p w14:paraId="29648AF4" w14:textId="77777777" w:rsidR="00B84879" w:rsidRPr="006354D8" w:rsidRDefault="00B84879" w:rsidP="00B84879">
      <w:pPr>
        <w:rPr>
          <w:rFonts w:cstheme="minorHAnsi"/>
          <w:lang w:eastAsia="en-AU"/>
        </w:rPr>
      </w:pPr>
      <w:r w:rsidRPr="006354D8">
        <w:rPr>
          <w:rFonts w:cstheme="minorHAnsi"/>
          <w:lang w:eastAsia="en-AU"/>
        </w:rPr>
        <w:t xml:space="preserve">The training, resources and other support materials provided to Pilot health centres were high-quality, appropriate for their intended audiences, and achieved the intended outcomes of increasing motivation, confidence and capacity to promote bowel screening to Indigenous patients. </w:t>
      </w:r>
    </w:p>
    <w:p w14:paraId="11337A6D" w14:textId="5B422942" w:rsidR="00B84879" w:rsidRPr="006354D8" w:rsidRDefault="00B84879" w:rsidP="00B84879">
      <w:pPr>
        <w:rPr>
          <w:rFonts w:cstheme="minorHAnsi"/>
          <w:lang w:eastAsia="en-AU"/>
        </w:rPr>
      </w:pPr>
      <w:r w:rsidRPr="006354D8">
        <w:rPr>
          <w:rFonts w:cstheme="minorHAnsi"/>
          <w:lang w:eastAsia="en-AU"/>
        </w:rPr>
        <w:t>The online Participant Details form was not an ideal solution. However</w:t>
      </w:r>
      <w:r>
        <w:rPr>
          <w:rFonts w:cstheme="minorHAnsi"/>
          <w:lang w:eastAsia="en-AU"/>
        </w:rPr>
        <w:t>,</w:t>
      </w:r>
      <w:r w:rsidRPr="006354D8">
        <w:rPr>
          <w:rFonts w:cstheme="minorHAnsi"/>
          <w:lang w:eastAsia="en-AU"/>
        </w:rPr>
        <w:t xml:space="preserve"> nurses and IHWs had fewer complaints than GPs about the form, and in most cases were responsible for its completion. The online form made it possible for the Pilot to occur during 2018-2019 and provided valuable lessons about what will and </w:t>
      </w:r>
      <w:r>
        <w:rPr>
          <w:rFonts w:cstheme="minorHAnsi"/>
          <w:lang w:eastAsia="en-AU"/>
        </w:rPr>
        <w:t>won’t</w:t>
      </w:r>
      <w:r w:rsidRPr="006354D8">
        <w:rPr>
          <w:rFonts w:cstheme="minorHAnsi"/>
          <w:lang w:eastAsia="en-AU"/>
        </w:rPr>
        <w:t xml:space="preserve"> for primary health care professionals</w:t>
      </w:r>
      <w:r>
        <w:rPr>
          <w:rFonts w:cstheme="minorHAnsi"/>
          <w:lang w:eastAsia="en-AU"/>
        </w:rPr>
        <w:t xml:space="preserve"> to </w:t>
      </w:r>
      <w:r w:rsidRPr="006354D8">
        <w:rPr>
          <w:rFonts w:cstheme="minorHAnsi"/>
          <w:lang w:eastAsia="en-AU"/>
        </w:rPr>
        <w:t xml:space="preserve">interact with the NBCSP and the NCSR. </w:t>
      </w:r>
    </w:p>
    <w:p w14:paraId="7EEC5B85" w14:textId="77777777" w:rsidR="00B84879" w:rsidRPr="006354D8" w:rsidRDefault="00B84879" w:rsidP="00B84879">
      <w:pPr>
        <w:rPr>
          <w:rFonts w:cstheme="minorHAnsi"/>
          <w:lang w:eastAsia="en-AU"/>
        </w:rPr>
      </w:pPr>
      <w:r w:rsidRPr="006354D8">
        <w:rPr>
          <w:rFonts w:cstheme="minorHAnsi"/>
          <w:lang w:eastAsia="en-AU"/>
        </w:rPr>
        <w:t xml:space="preserve">Many of those who took part in either of the two training modes said they needed more explanation about the form and what was required. Some attendees at face-to-face training commented that the training couldn’t explain how the process was going to be carried out at the health centre (because those details were to be determined at the health centre level. With these exceptions, staff felt the training was more than sufficient to equip them to offer the Alternative Pathway. </w:t>
      </w:r>
    </w:p>
    <w:p w14:paraId="4C7FF8CC" w14:textId="77777777" w:rsidR="00B84879" w:rsidRDefault="00B84879" w:rsidP="00B84879">
      <w:pPr>
        <w:rPr>
          <w:rFonts w:cstheme="minorHAnsi"/>
          <w:lang w:eastAsia="en-AU"/>
        </w:rPr>
      </w:pPr>
      <w:r w:rsidRPr="006354D8">
        <w:rPr>
          <w:rFonts w:cstheme="minorHAnsi"/>
          <w:lang w:eastAsia="en-AU"/>
        </w:rPr>
        <w:t xml:space="preserve">The Pilot demonstrated the vital importance of well prepared, minimal and tested materials to support not only implementation but ongoing delivery of critical procedures, such as completing the online form. Testing these materials in situ and as part of a system would also help iron out potential barriers to their use. </w:t>
      </w:r>
    </w:p>
    <w:p w14:paraId="64789122" w14:textId="1BC7B05D" w:rsidR="00B84879" w:rsidRPr="006354D8" w:rsidRDefault="00B84879" w:rsidP="00B84879">
      <w:pPr>
        <w:rPr>
          <w:rFonts w:cstheme="minorHAnsi"/>
          <w:lang w:eastAsia="en-AU"/>
        </w:rPr>
      </w:pPr>
      <w:r w:rsidRPr="006354D8">
        <w:rPr>
          <w:rFonts w:cstheme="minorHAnsi"/>
          <w:lang w:eastAsia="en-AU"/>
        </w:rPr>
        <w:t xml:space="preserve">For example, the online form was tested as a standalone item with a small number of health centre staff. Feedback was positive – it was easy to use. Filling out the form during a clinical consultation was not so easy, as it took time to find the </w:t>
      </w:r>
      <w:r w:rsidRPr="00411D4A">
        <w:rPr>
          <w:rFonts w:cstheme="minorHAnsi"/>
          <w:lang w:eastAsia="en-AU"/>
        </w:rPr>
        <w:t>URL</w:t>
      </w:r>
      <w:r w:rsidRPr="00411D4A">
        <w:rPr>
          <w:rFonts w:cstheme="minorHAnsi"/>
          <w:i/>
          <w:iCs/>
          <w:lang w:eastAsia="en-AU"/>
        </w:rPr>
        <w:t xml:space="preserve"> </w:t>
      </w:r>
      <w:r w:rsidRPr="006354D8">
        <w:rPr>
          <w:rFonts w:cstheme="minorHAnsi"/>
          <w:lang w:eastAsia="en-AU"/>
        </w:rPr>
        <w:t xml:space="preserve">and type in the patient details. When the Participant Details form was printed </w:t>
      </w:r>
      <w:r w:rsidRPr="006354D8">
        <w:rPr>
          <w:rFonts w:cstheme="minorHAnsi"/>
          <w:lang w:eastAsia="en-AU"/>
        </w:rPr>
        <w:lastRenderedPageBreak/>
        <w:t xml:space="preserve">to give to the patient, from a printer that could only print single-sided (the type of printer many GP offices contain), it was almost impossible to fit into the </w:t>
      </w:r>
      <w:r w:rsidR="00315D5B" w:rsidRPr="006354D8">
        <w:rPr>
          <w:rFonts w:cstheme="minorHAnsi"/>
          <w:lang w:eastAsia="en-AU"/>
        </w:rPr>
        <w:t>Reply-Paid</w:t>
      </w:r>
      <w:r w:rsidRPr="006354D8">
        <w:rPr>
          <w:rFonts w:cstheme="minorHAnsi"/>
          <w:lang w:eastAsia="en-AU"/>
        </w:rPr>
        <w:t xml:space="preserve"> envelope to be returned with the completed samples.  </w:t>
      </w:r>
    </w:p>
    <w:p w14:paraId="0064BC31" w14:textId="77777777" w:rsidR="00B84879" w:rsidRPr="006354D8" w:rsidRDefault="00B84879" w:rsidP="00B84879">
      <w:pPr>
        <w:rPr>
          <w:rFonts w:cstheme="minorHAnsi"/>
          <w:lang w:eastAsia="en-AU"/>
        </w:rPr>
      </w:pPr>
      <w:r w:rsidRPr="006354D8">
        <w:rPr>
          <w:rFonts w:cstheme="minorHAnsi"/>
          <w:lang w:eastAsia="en-AU"/>
        </w:rPr>
        <w:t xml:space="preserve">While the use of resources that connect with their intended audiences is critical, the capacity of health centres to absorb these resources is limited, in part because health centres are inundated with health promotion resources and training to such an extent that they became </w:t>
      </w:r>
      <w:r>
        <w:rPr>
          <w:rFonts w:cstheme="minorHAnsi"/>
          <w:lang w:eastAsia="en-AU"/>
        </w:rPr>
        <w:t xml:space="preserve">overwhelmed. </w:t>
      </w:r>
    </w:p>
    <w:p w14:paraId="33945A6D" w14:textId="48382058" w:rsidR="00B84879" w:rsidRDefault="00B84879" w:rsidP="00B84879">
      <w:pPr>
        <w:rPr>
          <w:rFonts w:cstheme="minorHAnsi"/>
          <w:lang w:eastAsia="en-AU"/>
        </w:rPr>
      </w:pPr>
      <w:r w:rsidRPr="006354D8">
        <w:rPr>
          <w:rFonts w:cstheme="minorHAnsi"/>
          <w:lang w:eastAsia="en-AU"/>
        </w:rPr>
        <w:t>The Pilot showed that a process that embedded the promotion of bowel screening into routine practice did not necessarily require fancy resources to</w:t>
      </w:r>
      <w:r>
        <w:rPr>
          <w:rFonts w:cstheme="minorHAnsi"/>
          <w:lang w:eastAsia="en-AU"/>
        </w:rPr>
        <w:t xml:space="preserve"> be effective. For many health professionals the colourful kit, along with a demonstration </w:t>
      </w:r>
      <w:r w:rsidR="007A0E0B">
        <w:rPr>
          <w:rFonts w:cstheme="minorHAnsi"/>
          <w:lang w:eastAsia="en-AU"/>
        </w:rPr>
        <w:t xml:space="preserve">of </w:t>
      </w:r>
      <w:r>
        <w:rPr>
          <w:rFonts w:cstheme="minorHAnsi"/>
          <w:lang w:eastAsia="en-AU"/>
        </w:rPr>
        <w:t xml:space="preserve">how to use it and an explanation as to why it is important, was all that was necessary.  </w:t>
      </w:r>
    </w:p>
    <w:p w14:paraId="2ADC64DC" w14:textId="60031256" w:rsidR="00677823" w:rsidRDefault="00B84879" w:rsidP="00677823">
      <w:pPr>
        <w:rPr>
          <w:rFonts w:cstheme="minorHAnsi"/>
          <w:lang w:eastAsia="en-AU"/>
        </w:rPr>
      </w:pPr>
      <w:r w:rsidRPr="006354D8">
        <w:rPr>
          <w:rFonts w:cstheme="minorHAnsi"/>
          <w:lang w:eastAsia="en-AU"/>
        </w:rPr>
        <w:t xml:space="preserve">However, the broader range of resources gave health professionals the option to choose tools that they felt comfortable </w:t>
      </w:r>
      <w:r>
        <w:rPr>
          <w:rFonts w:cstheme="minorHAnsi"/>
          <w:lang w:eastAsia="en-AU"/>
        </w:rPr>
        <w:t xml:space="preserve">using </w:t>
      </w:r>
      <w:r w:rsidRPr="006354D8">
        <w:rPr>
          <w:rFonts w:cstheme="minorHAnsi"/>
          <w:lang w:eastAsia="en-AU"/>
        </w:rPr>
        <w:t xml:space="preserve">and that suited their patient’s needs. The resources </w:t>
      </w:r>
      <w:r>
        <w:rPr>
          <w:rFonts w:cstheme="minorHAnsi"/>
          <w:lang w:eastAsia="en-AU"/>
        </w:rPr>
        <w:t xml:space="preserve">also served other functions: they </w:t>
      </w:r>
      <w:r w:rsidRPr="006354D8">
        <w:rPr>
          <w:rFonts w:cstheme="minorHAnsi"/>
          <w:lang w:eastAsia="en-AU"/>
        </w:rPr>
        <w:t>provided a range of messages that health centre staff could make their own</w:t>
      </w:r>
      <w:r>
        <w:rPr>
          <w:rFonts w:cstheme="minorHAnsi"/>
          <w:lang w:eastAsia="en-AU"/>
        </w:rPr>
        <w:t xml:space="preserve"> and </w:t>
      </w:r>
      <w:r w:rsidRPr="006354D8">
        <w:rPr>
          <w:rFonts w:cstheme="minorHAnsi"/>
          <w:lang w:eastAsia="en-AU"/>
        </w:rPr>
        <w:t xml:space="preserve">played </w:t>
      </w:r>
      <w:r>
        <w:rPr>
          <w:rFonts w:cstheme="minorHAnsi"/>
          <w:lang w:eastAsia="en-AU"/>
        </w:rPr>
        <w:t xml:space="preserve">a </w:t>
      </w:r>
      <w:r w:rsidRPr="006354D8">
        <w:rPr>
          <w:rFonts w:cstheme="minorHAnsi"/>
          <w:lang w:eastAsia="en-AU"/>
        </w:rPr>
        <w:t xml:space="preserve">role in building confidence about the project among health professionals and other stakeholders. </w:t>
      </w:r>
      <w:bookmarkStart w:id="272" w:name="_Toc44339245"/>
    </w:p>
    <w:p w14:paraId="70E35A09" w14:textId="1C8D0ACE" w:rsidR="002E09DC" w:rsidRDefault="002E09DC" w:rsidP="004257B1">
      <w:pPr>
        <w:pStyle w:val="Heading4"/>
      </w:pPr>
      <w:r>
        <w:t>Supporting agencies</w:t>
      </w:r>
    </w:p>
    <w:p w14:paraId="69E445D8" w14:textId="3C99B841" w:rsidR="002E09DC" w:rsidRDefault="002E09DC" w:rsidP="00677823">
      <w:pPr>
        <w:rPr>
          <w:rFonts w:cstheme="minorHAnsi"/>
          <w:lang w:eastAsia="en-AU"/>
        </w:rPr>
      </w:pPr>
      <w:r>
        <w:rPr>
          <w:rFonts w:cstheme="minorHAnsi"/>
          <w:lang w:eastAsia="en-AU"/>
        </w:rPr>
        <w:t>As reported in Section 5</w:t>
      </w:r>
      <w:r w:rsidR="00E33D08">
        <w:rPr>
          <w:rFonts w:cstheme="minorHAnsi"/>
          <w:lang w:eastAsia="en-AU"/>
        </w:rPr>
        <w:t xml:space="preserve"> and Appendix G</w:t>
      </w:r>
      <w:r>
        <w:rPr>
          <w:rFonts w:cstheme="minorHAnsi"/>
          <w:lang w:eastAsia="en-AU"/>
        </w:rPr>
        <w:t xml:space="preserve">, there was considerable activity occurring around bowel screening </w:t>
      </w:r>
      <w:r w:rsidR="00E33D08">
        <w:rPr>
          <w:rFonts w:cstheme="minorHAnsi"/>
          <w:lang w:eastAsia="en-AU"/>
        </w:rPr>
        <w:t xml:space="preserve">during the Pilot period, including activity to strengthen the capacity of Indigenous primary health care </w:t>
      </w:r>
      <w:r w:rsidR="00531F87">
        <w:rPr>
          <w:rFonts w:cstheme="minorHAnsi"/>
          <w:lang w:eastAsia="en-AU"/>
        </w:rPr>
        <w:t xml:space="preserve">centres and promote bowel screening to Indigenous people in the eligible age range. Some of this activity directly involved Pilot sites; for example, three sites in Victoria were able to host a Bowel Comedy Show; an ACCHO peak body visited sites prior to and during the Pilot building capacity to use the CIS, </w:t>
      </w:r>
      <w:r w:rsidR="00315D5B">
        <w:rPr>
          <w:rFonts w:cstheme="minorHAnsi"/>
          <w:lang w:eastAsia="en-AU"/>
        </w:rPr>
        <w:t>and several</w:t>
      </w:r>
      <w:r w:rsidR="00531F87">
        <w:rPr>
          <w:rFonts w:cstheme="minorHAnsi"/>
          <w:lang w:eastAsia="en-AU"/>
        </w:rPr>
        <w:t xml:space="preserve"> supporting agenc</w:t>
      </w:r>
      <w:r w:rsidR="00E0706B">
        <w:rPr>
          <w:rFonts w:cstheme="minorHAnsi"/>
          <w:lang w:eastAsia="en-AU"/>
        </w:rPr>
        <w:t xml:space="preserve">y staff </w:t>
      </w:r>
      <w:r w:rsidR="00531F87">
        <w:rPr>
          <w:rFonts w:cstheme="minorHAnsi"/>
          <w:lang w:eastAsia="en-AU"/>
        </w:rPr>
        <w:t xml:space="preserve">attended </w:t>
      </w:r>
      <w:r w:rsidR="00E0706B">
        <w:rPr>
          <w:rFonts w:cstheme="minorHAnsi"/>
          <w:lang w:eastAsia="en-AU"/>
        </w:rPr>
        <w:t xml:space="preserve">Pilot training sessions. </w:t>
      </w:r>
      <w:r w:rsidR="00EC6429">
        <w:rPr>
          <w:rFonts w:cstheme="minorHAnsi"/>
          <w:lang w:eastAsia="en-AU"/>
        </w:rPr>
        <w:t xml:space="preserve">However, these instances were quite rare. </w:t>
      </w:r>
    </w:p>
    <w:p w14:paraId="05D55A1D" w14:textId="6581F46B" w:rsidR="00E0706B" w:rsidRDefault="00E0706B" w:rsidP="00677823">
      <w:pPr>
        <w:rPr>
          <w:rFonts w:cstheme="minorHAnsi"/>
          <w:lang w:eastAsia="en-AU"/>
        </w:rPr>
      </w:pPr>
      <w:r>
        <w:rPr>
          <w:rFonts w:cstheme="minorHAnsi"/>
          <w:lang w:eastAsia="en-AU"/>
        </w:rPr>
        <w:t xml:space="preserve">While supporting agencies did not deliver specific elements of Pilot training or implementation support, the level of activity in the </w:t>
      </w:r>
      <w:r w:rsidR="00E318AC">
        <w:rPr>
          <w:rFonts w:cstheme="minorHAnsi"/>
          <w:lang w:eastAsia="en-AU"/>
        </w:rPr>
        <w:t xml:space="preserve">public arena to promote bowel screening may well have influenced public perceptions about bowel screening, including that of Indigenous Australians. </w:t>
      </w:r>
      <w:r w:rsidR="00C77896">
        <w:rPr>
          <w:rFonts w:cstheme="minorHAnsi"/>
          <w:lang w:eastAsia="en-AU"/>
        </w:rPr>
        <w:t>The second phase of background screening data</w:t>
      </w:r>
      <w:r w:rsidR="00E54FAC">
        <w:rPr>
          <w:rFonts w:cstheme="minorHAnsi"/>
          <w:lang w:eastAsia="en-AU"/>
        </w:rPr>
        <w:t xml:space="preserve"> – </w:t>
      </w:r>
      <w:r w:rsidR="00E318AC">
        <w:rPr>
          <w:rFonts w:cstheme="minorHAnsi"/>
          <w:lang w:eastAsia="en-AU"/>
        </w:rPr>
        <w:t xml:space="preserve">still to be released by the AIHW </w:t>
      </w:r>
      <w:r w:rsidR="00C77896">
        <w:rPr>
          <w:rFonts w:cstheme="minorHAnsi"/>
          <w:lang w:eastAsia="en-AU"/>
        </w:rPr>
        <w:t xml:space="preserve">– should </w:t>
      </w:r>
      <w:r w:rsidR="00E318AC">
        <w:rPr>
          <w:rFonts w:cstheme="minorHAnsi"/>
          <w:lang w:eastAsia="en-AU"/>
        </w:rPr>
        <w:t xml:space="preserve">allow </w:t>
      </w:r>
      <w:r w:rsidR="00EC6429">
        <w:rPr>
          <w:rFonts w:cstheme="minorHAnsi"/>
          <w:lang w:eastAsia="en-AU"/>
        </w:rPr>
        <w:t xml:space="preserve">some </w:t>
      </w:r>
      <w:r w:rsidR="00E318AC">
        <w:rPr>
          <w:rFonts w:cstheme="minorHAnsi"/>
          <w:lang w:eastAsia="en-AU"/>
        </w:rPr>
        <w:t xml:space="preserve">scrutiny of the extent to which this may have influenced Indigenous </w:t>
      </w:r>
      <w:r w:rsidR="000F3238">
        <w:rPr>
          <w:rFonts w:cstheme="minorHAnsi"/>
          <w:lang w:eastAsia="en-AU"/>
        </w:rPr>
        <w:t xml:space="preserve">people in the areas around Pilot sites.  </w:t>
      </w:r>
    </w:p>
    <w:p w14:paraId="3D47FE11" w14:textId="26DDCC9D" w:rsidR="000F3238" w:rsidRDefault="000F3238" w:rsidP="00677823">
      <w:pPr>
        <w:rPr>
          <w:rFonts w:cstheme="minorHAnsi"/>
          <w:lang w:eastAsia="en-AU"/>
        </w:rPr>
      </w:pPr>
      <w:r>
        <w:rPr>
          <w:rFonts w:cstheme="minorHAnsi"/>
          <w:lang w:eastAsia="en-AU"/>
        </w:rPr>
        <w:t xml:space="preserve">The </w:t>
      </w:r>
      <w:r w:rsidR="00E26837">
        <w:rPr>
          <w:rFonts w:cstheme="minorHAnsi"/>
          <w:lang w:eastAsia="en-AU"/>
        </w:rPr>
        <w:t>reports from supporting agencies are described</w:t>
      </w:r>
      <w:r>
        <w:rPr>
          <w:rFonts w:cstheme="minorHAnsi"/>
          <w:lang w:eastAsia="en-AU"/>
        </w:rPr>
        <w:t xml:space="preserve"> </w:t>
      </w:r>
      <w:r w:rsidR="00E26837">
        <w:rPr>
          <w:rFonts w:cstheme="minorHAnsi"/>
          <w:lang w:eastAsia="en-AU"/>
        </w:rPr>
        <w:t xml:space="preserve">in more </w:t>
      </w:r>
      <w:r>
        <w:rPr>
          <w:rFonts w:cstheme="minorHAnsi"/>
          <w:lang w:eastAsia="en-AU"/>
        </w:rPr>
        <w:t>detail</w:t>
      </w:r>
      <w:r w:rsidR="00E26837">
        <w:rPr>
          <w:rFonts w:cstheme="minorHAnsi"/>
          <w:lang w:eastAsia="en-AU"/>
        </w:rPr>
        <w:t xml:space="preserve"> in</w:t>
      </w:r>
      <w:r>
        <w:rPr>
          <w:rFonts w:cstheme="minorHAnsi"/>
          <w:lang w:eastAsia="en-AU"/>
        </w:rPr>
        <w:t xml:space="preserve"> Appendix G </w:t>
      </w:r>
      <w:r w:rsidR="00E26837">
        <w:rPr>
          <w:rFonts w:cstheme="minorHAnsi"/>
          <w:lang w:eastAsia="en-AU"/>
        </w:rPr>
        <w:t xml:space="preserve">and </w:t>
      </w:r>
      <w:r w:rsidR="00C77896">
        <w:rPr>
          <w:rFonts w:cstheme="minorHAnsi"/>
          <w:lang w:eastAsia="en-AU"/>
        </w:rPr>
        <w:t xml:space="preserve">are helpful in </w:t>
      </w:r>
      <w:r>
        <w:rPr>
          <w:rFonts w:cstheme="minorHAnsi"/>
          <w:lang w:eastAsia="en-AU"/>
        </w:rPr>
        <w:t xml:space="preserve">considering </w:t>
      </w:r>
      <w:r w:rsidR="00EC6429">
        <w:rPr>
          <w:rFonts w:cstheme="minorHAnsi"/>
          <w:lang w:eastAsia="en-AU"/>
        </w:rPr>
        <w:t>options around</w:t>
      </w:r>
      <w:r>
        <w:rPr>
          <w:rFonts w:cstheme="minorHAnsi"/>
          <w:lang w:eastAsia="en-AU"/>
        </w:rPr>
        <w:t xml:space="preserve"> further rollout. </w:t>
      </w:r>
    </w:p>
    <w:p w14:paraId="63FF4ACB" w14:textId="77777777" w:rsidR="009007DD" w:rsidRDefault="009007DD">
      <w:pPr>
        <w:spacing w:before="0" w:after="0" w:line="240" w:lineRule="auto"/>
        <w:rPr>
          <w:rFonts w:eastAsiaTheme="majorEastAsia" w:cstheme="minorHAnsi"/>
          <w:b/>
          <w:color w:val="C45911" w:themeColor="accent2" w:themeShade="BF"/>
          <w:szCs w:val="22"/>
          <w:lang w:eastAsia="en-AU"/>
        </w:rPr>
      </w:pPr>
      <w:r>
        <w:br w:type="page"/>
      </w:r>
    </w:p>
    <w:p w14:paraId="547BC7A0" w14:textId="64386ECB" w:rsidR="00F64CF9" w:rsidRPr="006354D8" w:rsidRDefault="00643737" w:rsidP="00070C12">
      <w:pPr>
        <w:pStyle w:val="Heading2"/>
      </w:pPr>
      <w:bookmarkStart w:id="273" w:name="_Toc45539277"/>
      <w:bookmarkStart w:id="274" w:name="_Toc54954863"/>
      <w:r>
        <w:lastRenderedPageBreak/>
        <w:t>10</w:t>
      </w:r>
      <w:r w:rsidR="00F64CF9">
        <w:t>.2 Did the Alternative Pathway increase screening participation?</w:t>
      </w:r>
      <w:bookmarkEnd w:id="272"/>
      <w:bookmarkEnd w:id="273"/>
      <w:bookmarkEnd w:id="274"/>
    </w:p>
    <w:p w14:paraId="22B56CC8" w14:textId="1A15688B" w:rsidR="00B819DA" w:rsidRDefault="00B819DA" w:rsidP="002E74E6">
      <w:pPr>
        <w:pStyle w:val="Caption"/>
      </w:pPr>
      <w:r>
        <w:t>Table 10.2: Evaluation questions about screening participation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516"/>
        <w:gridCol w:w="2494"/>
      </w:tblGrid>
      <w:tr w:rsidR="009007DD" w:rsidRPr="005B6AA7" w14:paraId="2B8DD181" w14:textId="77777777" w:rsidTr="00CA0599">
        <w:trPr>
          <w:tblHeader/>
        </w:trPr>
        <w:tc>
          <w:tcPr>
            <w:tcW w:w="6516" w:type="dxa"/>
            <w:tcBorders>
              <w:bottom w:val="single" w:sz="4" w:space="0" w:color="auto"/>
            </w:tcBorders>
          </w:tcPr>
          <w:p w14:paraId="2C394B86" w14:textId="77777777" w:rsidR="009007DD" w:rsidRPr="00F64CF9" w:rsidRDefault="009007DD" w:rsidP="00830946">
            <w:pPr>
              <w:pStyle w:val="Normaltextfortables"/>
              <w:keepNext/>
              <w:framePr w:hSpace="0" w:wrap="auto" w:vAnchor="margin" w:hAnchor="text" w:yAlign="inline"/>
              <w:rPr>
                <w:b/>
                <w:bCs/>
              </w:rPr>
            </w:pPr>
            <w:r w:rsidRPr="00F64CF9">
              <w:rPr>
                <w:b/>
                <w:bCs/>
              </w:rPr>
              <w:t>Evaluation question</w:t>
            </w:r>
          </w:p>
          <w:p w14:paraId="2D131099" w14:textId="77777777" w:rsidR="009007DD" w:rsidRPr="00F64CF9" w:rsidRDefault="009007DD" w:rsidP="00830946">
            <w:pPr>
              <w:pStyle w:val="Normaltextfortables"/>
              <w:keepNext/>
              <w:framePr w:wrap="around"/>
            </w:pPr>
            <w:r w:rsidRPr="00F64CF9">
              <w:t>Did the Alternative Pathway achieve its objective of increasing bowel screening participation by eligible Indigenous Australians (aged 50-74 years, who may or may not have done a previous bowel cancer screening test)?</w:t>
            </w:r>
          </w:p>
        </w:tc>
        <w:tc>
          <w:tcPr>
            <w:tcW w:w="2494" w:type="dxa"/>
            <w:tcBorders>
              <w:bottom w:val="single" w:sz="4" w:space="0" w:color="auto"/>
            </w:tcBorders>
          </w:tcPr>
          <w:p w14:paraId="4F708AE8" w14:textId="77777777" w:rsidR="009007DD" w:rsidRPr="00F64CF9" w:rsidRDefault="009007DD" w:rsidP="00830946">
            <w:pPr>
              <w:pStyle w:val="Normaltextfortables"/>
              <w:keepNext/>
              <w:framePr w:hSpace="0" w:wrap="auto" w:vAnchor="margin" w:hAnchor="text" w:yAlign="inline"/>
              <w:rPr>
                <w:b/>
                <w:bCs/>
              </w:rPr>
            </w:pPr>
            <w:r w:rsidRPr="00F64CF9">
              <w:rPr>
                <w:b/>
                <w:bCs/>
              </w:rPr>
              <w:t>Report section</w:t>
            </w:r>
          </w:p>
        </w:tc>
      </w:tr>
      <w:tr w:rsidR="009007DD" w:rsidRPr="005B6AA7" w14:paraId="38BFE353" w14:textId="77777777" w:rsidTr="00830946">
        <w:tc>
          <w:tcPr>
            <w:tcW w:w="6516" w:type="dxa"/>
            <w:tcBorders>
              <w:bottom w:val="nil"/>
              <w:right w:val="single" w:sz="4" w:space="0" w:color="auto"/>
            </w:tcBorders>
          </w:tcPr>
          <w:p w14:paraId="7AAB18ED" w14:textId="77777777" w:rsidR="009007DD" w:rsidRPr="005B6AA7" w:rsidRDefault="009007DD" w:rsidP="00C77532">
            <w:pPr>
              <w:pStyle w:val="Tabledotpoints"/>
              <w:keepNext/>
              <w:keepLines/>
              <w:numPr>
                <w:ilvl w:val="0"/>
                <w:numId w:val="49"/>
              </w:numPr>
            </w:pPr>
            <w:r w:rsidRPr="005B6AA7">
              <w:t xml:space="preserve"> To what extent did the Alternative Pathway increase screening participation rates of eligible Indigenous Australians, compared to the usual direct mail approach?</w:t>
            </w:r>
          </w:p>
        </w:tc>
        <w:tc>
          <w:tcPr>
            <w:tcW w:w="2494" w:type="dxa"/>
            <w:tcBorders>
              <w:left w:val="single" w:sz="4" w:space="0" w:color="auto"/>
              <w:bottom w:val="nil"/>
            </w:tcBorders>
          </w:tcPr>
          <w:p w14:paraId="10E83EDA" w14:textId="77777777" w:rsidR="009007DD" w:rsidRPr="005B6AA7" w:rsidRDefault="009007DD" w:rsidP="00830946">
            <w:pPr>
              <w:pStyle w:val="Normaltextfortables"/>
              <w:keepNext/>
              <w:framePr w:hSpace="0" w:wrap="auto" w:vAnchor="margin" w:hAnchor="text" w:yAlign="inline"/>
            </w:pPr>
            <w:r>
              <w:t>Section 8</w:t>
            </w:r>
          </w:p>
        </w:tc>
      </w:tr>
      <w:tr w:rsidR="009007DD" w:rsidRPr="005B6AA7" w14:paraId="2AF96F50" w14:textId="77777777" w:rsidTr="00830946">
        <w:tc>
          <w:tcPr>
            <w:tcW w:w="6516" w:type="dxa"/>
            <w:tcBorders>
              <w:top w:val="nil"/>
              <w:bottom w:val="nil"/>
              <w:right w:val="single" w:sz="4" w:space="0" w:color="auto"/>
            </w:tcBorders>
          </w:tcPr>
          <w:p w14:paraId="3480AE7C" w14:textId="77777777" w:rsidR="009007DD" w:rsidRPr="005B6AA7" w:rsidRDefault="009007DD" w:rsidP="00C77532">
            <w:pPr>
              <w:pStyle w:val="Tabledotpoints"/>
              <w:keepNext/>
              <w:keepLines/>
              <w:numPr>
                <w:ilvl w:val="0"/>
                <w:numId w:val="49"/>
              </w:numPr>
            </w:pPr>
            <w:r w:rsidRPr="005B6AA7">
              <w:t>Did the diagnostic assessment rate and median time between a positive screen and diagnostic assessment (colonoscopy) for Indigenous Australians differ between the Alternative Pathway and usual direct mail approach?</w:t>
            </w:r>
          </w:p>
        </w:tc>
        <w:tc>
          <w:tcPr>
            <w:tcW w:w="2494" w:type="dxa"/>
            <w:tcBorders>
              <w:top w:val="nil"/>
              <w:left w:val="single" w:sz="4" w:space="0" w:color="auto"/>
              <w:bottom w:val="nil"/>
            </w:tcBorders>
          </w:tcPr>
          <w:p w14:paraId="47B2A1E3" w14:textId="77777777" w:rsidR="009007DD" w:rsidRPr="005B6AA7" w:rsidRDefault="009007DD" w:rsidP="00830946">
            <w:pPr>
              <w:pStyle w:val="Normaltextfortables"/>
              <w:keepNext/>
              <w:framePr w:hSpace="0" w:wrap="auto" w:vAnchor="margin" w:hAnchor="text" w:yAlign="inline"/>
            </w:pPr>
            <w:r>
              <w:t>Section 8 (awaiting release of AIHW data)</w:t>
            </w:r>
          </w:p>
        </w:tc>
      </w:tr>
      <w:tr w:rsidR="009007DD" w:rsidRPr="005B6AA7" w14:paraId="56429A43" w14:textId="77777777" w:rsidTr="00830946">
        <w:tc>
          <w:tcPr>
            <w:tcW w:w="6516" w:type="dxa"/>
            <w:tcBorders>
              <w:top w:val="nil"/>
              <w:bottom w:val="nil"/>
              <w:right w:val="single" w:sz="4" w:space="0" w:color="auto"/>
            </w:tcBorders>
          </w:tcPr>
          <w:p w14:paraId="3E300E7A" w14:textId="77777777" w:rsidR="009007DD" w:rsidRPr="005B6AA7" w:rsidRDefault="009007DD" w:rsidP="00C77532">
            <w:pPr>
              <w:pStyle w:val="Tabledotpoints"/>
              <w:keepNext/>
              <w:keepLines/>
              <w:numPr>
                <w:ilvl w:val="0"/>
                <w:numId w:val="49"/>
              </w:numPr>
            </w:pPr>
            <w:r w:rsidRPr="005B6AA7">
              <w:t>What factors contributed to eligible Indigenous Australians participating in screening through the Alternative Pathway?</w:t>
            </w:r>
          </w:p>
        </w:tc>
        <w:tc>
          <w:tcPr>
            <w:tcW w:w="2494" w:type="dxa"/>
            <w:tcBorders>
              <w:top w:val="nil"/>
              <w:left w:val="single" w:sz="4" w:space="0" w:color="auto"/>
              <w:bottom w:val="nil"/>
            </w:tcBorders>
          </w:tcPr>
          <w:p w14:paraId="54A843EC" w14:textId="77777777" w:rsidR="009007DD" w:rsidRPr="005B6AA7" w:rsidRDefault="009007DD" w:rsidP="00830946">
            <w:pPr>
              <w:pStyle w:val="Normaltextfortables"/>
              <w:keepNext/>
              <w:framePr w:hSpace="0" w:wrap="auto" w:vAnchor="margin" w:hAnchor="text" w:yAlign="inline"/>
            </w:pPr>
            <w:r>
              <w:t>Section 9</w:t>
            </w:r>
          </w:p>
        </w:tc>
      </w:tr>
      <w:tr w:rsidR="009007DD" w:rsidRPr="005B6AA7" w14:paraId="6E86BC1A" w14:textId="77777777" w:rsidTr="00830946">
        <w:tc>
          <w:tcPr>
            <w:tcW w:w="6516" w:type="dxa"/>
            <w:tcBorders>
              <w:top w:val="nil"/>
              <w:bottom w:val="nil"/>
              <w:right w:val="single" w:sz="4" w:space="0" w:color="auto"/>
            </w:tcBorders>
          </w:tcPr>
          <w:p w14:paraId="5424DAE6" w14:textId="77777777" w:rsidR="009007DD" w:rsidRPr="005B6AA7" w:rsidRDefault="009007DD" w:rsidP="00C77532">
            <w:pPr>
              <w:pStyle w:val="Tabledotpoints"/>
              <w:keepNext/>
              <w:keepLines/>
              <w:numPr>
                <w:ilvl w:val="0"/>
                <w:numId w:val="49"/>
              </w:numPr>
            </w:pPr>
            <w:r w:rsidRPr="005B6AA7">
              <w:t>Did the proportion of Indigenous participants with inconclusive screening results differ between the Alternative Pathway and usual direct mail approach?</w:t>
            </w:r>
          </w:p>
        </w:tc>
        <w:tc>
          <w:tcPr>
            <w:tcW w:w="2494" w:type="dxa"/>
            <w:tcBorders>
              <w:top w:val="nil"/>
              <w:left w:val="single" w:sz="4" w:space="0" w:color="auto"/>
              <w:bottom w:val="nil"/>
            </w:tcBorders>
          </w:tcPr>
          <w:p w14:paraId="24EE8C3D" w14:textId="77777777" w:rsidR="009007DD" w:rsidRPr="005B6AA7" w:rsidRDefault="009007DD" w:rsidP="00830946">
            <w:pPr>
              <w:pStyle w:val="Normaltextfortables"/>
              <w:keepNext/>
              <w:framePr w:hSpace="0" w:wrap="auto" w:vAnchor="margin" w:hAnchor="text" w:yAlign="inline"/>
            </w:pPr>
            <w:r>
              <w:t>Section 8 (awaiting release of AIHW data)</w:t>
            </w:r>
          </w:p>
        </w:tc>
      </w:tr>
      <w:tr w:rsidR="009007DD" w:rsidRPr="005B6AA7" w14:paraId="63315C91" w14:textId="77777777" w:rsidTr="00830946">
        <w:tc>
          <w:tcPr>
            <w:tcW w:w="6516" w:type="dxa"/>
            <w:tcBorders>
              <w:top w:val="nil"/>
              <w:bottom w:val="single" w:sz="4" w:space="0" w:color="auto"/>
              <w:right w:val="single" w:sz="4" w:space="0" w:color="auto"/>
            </w:tcBorders>
          </w:tcPr>
          <w:p w14:paraId="41EB1746" w14:textId="77777777" w:rsidR="009007DD" w:rsidRPr="005B6AA7" w:rsidRDefault="009007DD" w:rsidP="00C77532">
            <w:pPr>
              <w:pStyle w:val="Tabledotpoints"/>
              <w:keepNext/>
              <w:keepLines/>
              <w:numPr>
                <w:ilvl w:val="0"/>
                <w:numId w:val="49"/>
              </w:numPr>
            </w:pPr>
            <w:r w:rsidRPr="005B6AA7">
              <w:t xml:space="preserve">Were there any unintended consequences (positive or negative)? </w:t>
            </w:r>
          </w:p>
        </w:tc>
        <w:tc>
          <w:tcPr>
            <w:tcW w:w="2494" w:type="dxa"/>
            <w:tcBorders>
              <w:top w:val="nil"/>
              <w:left w:val="single" w:sz="4" w:space="0" w:color="auto"/>
              <w:bottom w:val="single" w:sz="4" w:space="0" w:color="auto"/>
            </w:tcBorders>
          </w:tcPr>
          <w:p w14:paraId="72E8AC92" w14:textId="77777777" w:rsidR="009007DD" w:rsidRPr="005B6AA7" w:rsidRDefault="009007DD" w:rsidP="00830946">
            <w:pPr>
              <w:pStyle w:val="Normaltextfortables"/>
              <w:keepNext/>
              <w:framePr w:hSpace="0" w:wrap="auto" w:vAnchor="margin" w:hAnchor="text" w:yAlign="inline"/>
            </w:pPr>
            <w:r>
              <w:t>Section 10</w:t>
            </w:r>
          </w:p>
        </w:tc>
      </w:tr>
    </w:tbl>
    <w:p w14:paraId="1A4A1A10" w14:textId="77777777" w:rsidR="005E2732" w:rsidRDefault="005E2732" w:rsidP="006354D8">
      <w:pPr>
        <w:rPr>
          <w:rFonts w:cstheme="minorHAnsi"/>
          <w:lang w:eastAsia="en-AU"/>
        </w:rPr>
      </w:pPr>
    </w:p>
    <w:p w14:paraId="50BD8598" w14:textId="2FD297B8" w:rsidR="006354D8" w:rsidRPr="006354D8" w:rsidRDefault="00CC1E0A" w:rsidP="006354D8">
      <w:pPr>
        <w:rPr>
          <w:rFonts w:cstheme="minorHAnsi"/>
          <w:lang w:eastAsia="en-AU"/>
        </w:rPr>
      </w:pPr>
      <w:r>
        <w:rPr>
          <w:rFonts w:cstheme="minorHAnsi"/>
          <w:lang w:eastAsia="en-AU"/>
        </w:rPr>
        <w:t>The Alternative Pathway increased screening participation rates for Indigenous Australians, as explained in Section 8.  While there are limitations to all of the methods of calculating participation using the available data, the most reliable estimate is that just under 40% of those invited (assessed) to screen returned a completed test</w:t>
      </w:r>
      <w:r w:rsidR="00E61828">
        <w:rPr>
          <w:rFonts w:cstheme="minorHAnsi"/>
          <w:lang w:eastAsia="en-AU"/>
        </w:rPr>
        <w:t>, compared to 23% of Indigenous participants through the usual pathway.</w:t>
      </w:r>
    </w:p>
    <w:p w14:paraId="48A8BFA4" w14:textId="77777777" w:rsidR="0074036B" w:rsidRDefault="00C040AC" w:rsidP="00366EAB">
      <w:pPr>
        <w:pStyle w:val="Heading3"/>
      </w:pPr>
      <w:r>
        <w:t xml:space="preserve">Factors contributing to </w:t>
      </w:r>
      <w:r w:rsidR="0074036B">
        <w:t xml:space="preserve">eligible </w:t>
      </w:r>
      <w:r>
        <w:t>Indigenous Australians screening through the Alternative Pathway</w:t>
      </w:r>
    </w:p>
    <w:p w14:paraId="1614F090" w14:textId="07996DD2" w:rsidR="00C040AC" w:rsidRDefault="002C6D5C" w:rsidP="002C6D5C">
      <w:pPr>
        <w:rPr>
          <w:rFonts w:cstheme="minorHAnsi"/>
          <w:color w:val="000000" w:themeColor="text1"/>
        </w:rPr>
      </w:pPr>
      <w:r>
        <w:rPr>
          <w:rFonts w:cstheme="minorHAnsi"/>
          <w:color w:val="000000" w:themeColor="text1"/>
        </w:rPr>
        <w:t xml:space="preserve">Across Australia, health centre staff reported that giving out the kit to their Indigenous patients face-to-face removed many of the barriers to screening. Seeing the kit demonstrated took away the fear of how distasteful it </w:t>
      </w:r>
      <w:r w:rsidR="00315D5B">
        <w:rPr>
          <w:rFonts w:cstheme="minorHAnsi"/>
          <w:color w:val="000000" w:themeColor="text1"/>
        </w:rPr>
        <w:t>was,</w:t>
      </w:r>
      <w:r w:rsidR="00617F82">
        <w:rPr>
          <w:rFonts w:cstheme="minorHAnsi"/>
          <w:color w:val="000000" w:themeColor="text1"/>
        </w:rPr>
        <w:t xml:space="preserve"> and</w:t>
      </w:r>
      <w:r>
        <w:rPr>
          <w:rFonts w:cstheme="minorHAnsi"/>
          <w:color w:val="000000" w:themeColor="text1"/>
        </w:rPr>
        <w:t xml:space="preserve"> patients were glad to see it was so straightforward. Having a trusted health professional explain what the test was for, and why it was important</w:t>
      </w:r>
      <w:r w:rsidR="00617F82">
        <w:rPr>
          <w:rFonts w:cstheme="minorHAnsi"/>
          <w:color w:val="000000" w:themeColor="text1"/>
        </w:rPr>
        <w:t xml:space="preserve"> was also a</w:t>
      </w:r>
      <w:r>
        <w:rPr>
          <w:rFonts w:cstheme="minorHAnsi"/>
          <w:color w:val="000000" w:themeColor="text1"/>
        </w:rPr>
        <w:t xml:space="preserve"> motivation. </w:t>
      </w:r>
      <w:r w:rsidR="0000647D">
        <w:rPr>
          <w:rFonts w:cstheme="minorHAnsi"/>
          <w:color w:val="000000" w:themeColor="text1"/>
        </w:rPr>
        <w:t xml:space="preserve">One GP </w:t>
      </w:r>
      <w:r w:rsidR="00C040AC">
        <w:rPr>
          <w:rFonts w:cstheme="minorHAnsi"/>
          <w:color w:val="000000" w:themeColor="text1"/>
        </w:rPr>
        <w:t>said patients seemed to feel</w:t>
      </w:r>
      <w:r w:rsidR="0000647D">
        <w:rPr>
          <w:rFonts w:cstheme="minorHAnsi"/>
          <w:color w:val="000000" w:themeColor="text1"/>
        </w:rPr>
        <w:t xml:space="preserve"> </w:t>
      </w:r>
      <w:r w:rsidR="00C040AC">
        <w:rPr>
          <w:rFonts w:cstheme="minorHAnsi"/>
          <w:color w:val="000000" w:themeColor="text1"/>
        </w:rPr>
        <w:t>‘cared for’ after receiving the brightly coloured kit and having the talk about screening – ‘It was a special thing – for them.’</w:t>
      </w:r>
    </w:p>
    <w:p w14:paraId="4F31D115" w14:textId="1594DBE2" w:rsidR="002C6D5C" w:rsidRDefault="002C6D5C" w:rsidP="002C6D5C">
      <w:pPr>
        <w:rPr>
          <w:rFonts w:cstheme="minorHAnsi"/>
          <w:color w:val="000000" w:themeColor="text1"/>
        </w:rPr>
      </w:pPr>
      <w:r>
        <w:rPr>
          <w:rFonts w:cstheme="minorHAnsi"/>
          <w:color w:val="000000" w:themeColor="text1"/>
        </w:rPr>
        <w:t xml:space="preserve">One of the reasons patients gave for completing the test was that they knew the health centre staff </w:t>
      </w:r>
      <w:r w:rsidR="002328BB">
        <w:rPr>
          <w:rFonts w:cstheme="minorHAnsi"/>
          <w:color w:val="000000" w:themeColor="text1"/>
        </w:rPr>
        <w:t xml:space="preserve">would </w:t>
      </w:r>
      <w:r w:rsidR="00617F82">
        <w:rPr>
          <w:rFonts w:cstheme="minorHAnsi"/>
          <w:color w:val="000000" w:themeColor="text1"/>
        </w:rPr>
        <w:t>ask</w:t>
      </w:r>
      <w:r>
        <w:rPr>
          <w:rFonts w:cstheme="minorHAnsi"/>
          <w:color w:val="000000" w:themeColor="text1"/>
        </w:rPr>
        <w:t xml:space="preserve"> whether they</w:t>
      </w:r>
      <w:r w:rsidR="00617F82">
        <w:rPr>
          <w:rFonts w:cstheme="minorHAnsi"/>
          <w:color w:val="000000" w:themeColor="text1"/>
        </w:rPr>
        <w:t xml:space="preserve"> had</w:t>
      </w:r>
      <w:r>
        <w:rPr>
          <w:rFonts w:cstheme="minorHAnsi"/>
          <w:color w:val="000000" w:themeColor="text1"/>
        </w:rPr>
        <w:t xml:space="preserve"> done it next time they </w:t>
      </w:r>
      <w:r w:rsidR="00617F82">
        <w:rPr>
          <w:rFonts w:cstheme="minorHAnsi"/>
          <w:color w:val="000000" w:themeColor="text1"/>
        </w:rPr>
        <w:t>were in</w:t>
      </w:r>
      <w:r>
        <w:rPr>
          <w:rFonts w:cstheme="minorHAnsi"/>
          <w:color w:val="000000" w:themeColor="text1"/>
        </w:rPr>
        <w:t xml:space="preserve"> the clinic. </w:t>
      </w:r>
      <w:r w:rsidR="00C040AC">
        <w:rPr>
          <w:rFonts w:cstheme="minorHAnsi"/>
          <w:color w:val="000000" w:themeColor="text1"/>
        </w:rPr>
        <w:t xml:space="preserve">Their most common reference however was how different it was to receive the kit at the health centre than having it turn up in the mail. </w:t>
      </w:r>
    </w:p>
    <w:p w14:paraId="7F8D82BE" w14:textId="49D294EF" w:rsidR="00240279" w:rsidRDefault="002C6D5C" w:rsidP="006354D8">
      <w:pPr>
        <w:rPr>
          <w:rFonts w:cstheme="minorHAnsi"/>
          <w:color w:val="000000" w:themeColor="text1"/>
        </w:rPr>
      </w:pPr>
      <w:r>
        <w:rPr>
          <w:rFonts w:cstheme="minorHAnsi"/>
          <w:color w:val="000000" w:themeColor="text1"/>
        </w:rPr>
        <w:t xml:space="preserve">Promoting bowel screening through the primary health care centre had other benefits too: </w:t>
      </w:r>
      <w:r w:rsidR="00617F82">
        <w:rPr>
          <w:rFonts w:cstheme="minorHAnsi"/>
          <w:color w:val="000000" w:themeColor="text1"/>
        </w:rPr>
        <w:t>H</w:t>
      </w:r>
      <w:r>
        <w:rPr>
          <w:rFonts w:cstheme="minorHAnsi"/>
          <w:color w:val="000000" w:themeColor="text1"/>
        </w:rPr>
        <w:t xml:space="preserve">ealth professionals were more engaged in the patient’s whole screening journey. General </w:t>
      </w:r>
      <w:r w:rsidR="00617F82">
        <w:rPr>
          <w:rFonts w:cstheme="minorHAnsi"/>
          <w:color w:val="000000" w:themeColor="text1"/>
        </w:rPr>
        <w:t>p</w:t>
      </w:r>
      <w:r>
        <w:rPr>
          <w:rFonts w:cstheme="minorHAnsi"/>
          <w:color w:val="000000" w:themeColor="text1"/>
        </w:rPr>
        <w:t xml:space="preserve">ractitioners (GPs) tend to be involved in the usual pathway of the NBCSP only if a patient receives a positive test and </w:t>
      </w:r>
      <w:r w:rsidR="00617F82">
        <w:rPr>
          <w:rFonts w:cstheme="minorHAnsi"/>
          <w:color w:val="000000" w:themeColor="text1"/>
        </w:rPr>
        <w:t xml:space="preserve">needs </w:t>
      </w:r>
      <w:r w:rsidR="00617F82">
        <w:rPr>
          <w:rFonts w:cstheme="minorHAnsi"/>
          <w:color w:val="000000" w:themeColor="text1"/>
        </w:rPr>
        <w:lastRenderedPageBreak/>
        <w:t>a</w:t>
      </w:r>
      <w:r>
        <w:rPr>
          <w:rFonts w:cstheme="minorHAnsi"/>
          <w:color w:val="000000" w:themeColor="text1"/>
        </w:rPr>
        <w:t>ssessment for referral for a colonoscopy. However, 41% of Indigenous Australians who receive a positive test result through the usual pathway of the NBCSP do not receive a GP Assessment, so do not proceed to further diagnostic testing (colonoscopy),</w:t>
      </w:r>
      <w:r>
        <w:rPr>
          <w:rStyle w:val="FootnoteReference"/>
          <w:rFonts w:cstheme="minorHAnsi"/>
          <w:color w:val="000000" w:themeColor="text1"/>
        </w:rPr>
        <w:footnoteReference w:id="45"/>
      </w:r>
      <w:r>
        <w:rPr>
          <w:rFonts w:cstheme="minorHAnsi"/>
          <w:color w:val="000000" w:themeColor="text1"/>
        </w:rPr>
        <w:t xml:space="preserve"> which effectively makes the screening process redundant for those individuals. </w:t>
      </w:r>
    </w:p>
    <w:p w14:paraId="17D0383F" w14:textId="53E56F4B" w:rsidR="00E61828" w:rsidRDefault="00E61828" w:rsidP="006354D8">
      <w:pPr>
        <w:rPr>
          <w:rFonts w:cstheme="minorHAnsi"/>
          <w:b/>
          <w:bCs/>
          <w:lang w:eastAsia="en-AU"/>
        </w:rPr>
      </w:pPr>
      <w:r>
        <w:rPr>
          <w:rFonts w:cstheme="minorHAnsi"/>
          <w:b/>
          <w:bCs/>
          <w:lang w:eastAsia="en-AU"/>
        </w:rPr>
        <w:t>Benefits of the Alternative Pathway</w:t>
      </w:r>
    </w:p>
    <w:p w14:paraId="0DD21E6A" w14:textId="0B4D84A6" w:rsidR="00E61828" w:rsidRPr="00D0757D" w:rsidRDefault="00092B21" w:rsidP="00E61828">
      <w:pPr>
        <w:pStyle w:val="Insetdotpoints1"/>
        <w:numPr>
          <w:ilvl w:val="0"/>
          <w:numId w:val="0"/>
        </w:numPr>
      </w:pPr>
      <w:r>
        <w:t>T</w:t>
      </w:r>
      <w:r w:rsidR="00E61828">
        <w:t xml:space="preserve">he Alternative Pathway </w:t>
      </w:r>
      <w:r>
        <w:t>brought many benefits in addition to increased screening participation.</w:t>
      </w:r>
    </w:p>
    <w:p w14:paraId="50E58F64" w14:textId="5746C7FA" w:rsidR="00E61828" w:rsidRPr="00D0757D" w:rsidRDefault="00E61828" w:rsidP="00E61828">
      <w:pPr>
        <w:pStyle w:val="Insetdotpoints1"/>
      </w:pPr>
      <w:r w:rsidRPr="00D0757D">
        <w:rPr>
          <w:u w:val="single"/>
        </w:rPr>
        <w:t>Many barriers to screening were removed</w:t>
      </w:r>
      <w:r w:rsidRPr="00D0757D">
        <w:t xml:space="preserve">. Health centre staff reported that giving out the kit </w:t>
      </w:r>
      <w:r>
        <w:t xml:space="preserve">directly </w:t>
      </w:r>
      <w:r w:rsidRPr="00D0757D">
        <w:t xml:space="preserve">to their Indigenous patients removed many of the barriers to screening. Having a trusted health professional explain what the test was for, </w:t>
      </w:r>
      <w:r>
        <w:t xml:space="preserve">demonstrate what they needed to do </w:t>
      </w:r>
      <w:r w:rsidRPr="00D0757D">
        <w:t xml:space="preserve">and </w:t>
      </w:r>
      <w:r>
        <w:t xml:space="preserve">say </w:t>
      </w:r>
      <w:r w:rsidRPr="00D0757D">
        <w:t xml:space="preserve">why it was important, gave patients the </w:t>
      </w:r>
      <w:r>
        <w:t xml:space="preserve">confidence and </w:t>
      </w:r>
      <w:r w:rsidRPr="00D0757D">
        <w:t>motivation to complete</w:t>
      </w:r>
      <w:r>
        <w:t xml:space="preserve"> the test</w:t>
      </w:r>
      <w:r w:rsidRPr="00D0757D">
        <w:t>. One of the many reasons patients gave for their motivation to complete the test was they knew health centre staff would ask them about it the next time they were in the clinic. Health centres also offered to store or post completed samples for patients, overcoming patient concerns about keeping the samples in the refrigerator. Some even offered to have the samples picked up from patient homes.</w:t>
      </w:r>
    </w:p>
    <w:p w14:paraId="11BAC2BA" w14:textId="77777777" w:rsidR="00E61828" w:rsidRPr="00E26284" w:rsidRDefault="00E61828" w:rsidP="00E61828">
      <w:pPr>
        <w:pStyle w:val="Insetdotpoints1"/>
        <w:rPr>
          <w:i/>
          <w:iCs/>
        </w:rPr>
      </w:pPr>
      <w:r w:rsidRPr="00D0757D">
        <w:rPr>
          <w:u w:val="single"/>
        </w:rPr>
        <w:t>Invitation to screen became a culturally safe and more positive experience.</w:t>
      </w:r>
      <w:r w:rsidRPr="00D0757D">
        <w:t xml:space="preserve"> Patients described the interaction that they had with a nurse or an </w:t>
      </w:r>
      <w:r>
        <w:t>Indigenous Health Worker (</w:t>
      </w:r>
      <w:r w:rsidRPr="00D0757D">
        <w:t>IHW</w:t>
      </w:r>
      <w:r>
        <w:t>)</w:t>
      </w:r>
      <w:r w:rsidRPr="00D0757D">
        <w:t xml:space="preserve"> who gave them the kit as a positive one. They may have felt initial embarrassment, but they said the health professional ‘did it well’ and ‘did it properly, culturally’ – explaining things clearl</w:t>
      </w:r>
      <w:r>
        <w:t xml:space="preserve">y, removing any stigma with touches of humour, and making it just another routine thing to do. </w:t>
      </w:r>
    </w:p>
    <w:p w14:paraId="44CD136A" w14:textId="46DC7E91" w:rsidR="00E61828" w:rsidRPr="00D0757D" w:rsidRDefault="00E61828" w:rsidP="00E61828">
      <w:pPr>
        <w:pStyle w:val="Insetdotpoints1"/>
      </w:pPr>
      <w:r w:rsidRPr="00D0757D">
        <w:rPr>
          <w:u w:val="single"/>
        </w:rPr>
        <w:t>Greater engagement of primary care health professionals across the bowel screening journey.</w:t>
      </w:r>
      <w:r w:rsidRPr="00D0757D">
        <w:t xml:space="preserve"> General practitioners (GPs) tend to be involved in the usual pathway of the NBCSP only if a patient receives a positive test and needs a GP assessment for referral to a colonoscopy. However, 41% of Indigenous Australians who receive a positive test result through the NBCSP usual pathway d</w:t>
      </w:r>
      <w:r>
        <w:t>id</w:t>
      </w:r>
      <w:r w:rsidRPr="00D0757D">
        <w:t xml:space="preserve"> not receive a GP assessment, </w:t>
      </w:r>
      <w:r>
        <w:t>or</w:t>
      </w:r>
      <w:r w:rsidRPr="00D0757D">
        <w:t xml:space="preserve"> proceed to further diagnostic testing (colonoscopy),</w:t>
      </w:r>
      <w:r w:rsidRPr="00E61828">
        <w:rPr>
          <w:vertAlign w:val="superscript"/>
        </w:rPr>
        <w:footnoteReference w:id="46"/>
      </w:r>
      <w:r w:rsidRPr="00D0757D">
        <w:t xml:space="preserve"> which effectively makes the screening process redundant for those individuals. Where the Alternative Pathway was implemented systematically, health centres put in place systems to support their patients if they received a positive test.   </w:t>
      </w:r>
    </w:p>
    <w:p w14:paraId="0A6EAC0B" w14:textId="4E6FF2AF" w:rsidR="00E61828" w:rsidRPr="00D0757D" w:rsidRDefault="00E61828" w:rsidP="00E61828">
      <w:pPr>
        <w:pStyle w:val="Insetdotpoints1"/>
      </w:pPr>
      <w:r w:rsidRPr="00D0757D">
        <w:rPr>
          <w:u w:val="single"/>
        </w:rPr>
        <w:t xml:space="preserve">Opportunities to increase participation </w:t>
      </w:r>
      <w:r>
        <w:rPr>
          <w:u w:val="single"/>
        </w:rPr>
        <w:t xml:space="preserve">over time, </w:t>
      </w:r>
      <w:r w:rsidRPr="00D0757D">
        <w:rPr>
          <w:u w:val="single"/>
        </w:rPr>
        <w:t>through improved approaches to invitation</w:t>
      </w:r>
      <w:r w:rsidRPr="00D0757D">
        <w:t xml:space="preserve">. </w:t>
      </w:r>
      <w:r>
        <w:t>During</w:t>
      </w:r>
      <w:r w:rsidRPr="00D0757D">
        <w:t xml:space="preserve"> the Pilot, health centres were try</w:t>
      </w:r>
      <w:r>
        <w:t>ing</w:t>
      </w:r>
      <w:r w:rsidRPr="00D0757D">
        <w:t xml:space="preserve"> different quality improvement approaches (formal or informal) to </w:t>
      </w:r>
      <w:r>
        <w:t>encourage</w:t>
      </w:r>
      <w:r w:rsidRPr="00D0757D">
        <w:t xml:space="preserve"> patients to screen. Working so closely with those being invited to screen, </w:t>
      </w:r>
      <w:r w:rsidRPr="00D0757D">
        <w:lastRenderedPageBreak/>
        <w:t xml:space="preserve">primary health care staff </w:t>
      </w:r>
      <w:r>
        <w:t>were</w:t>
      </w:r>
      <w:r w:rsidRPr="00D0757D">
        <w:t xml:space="preserve"> able to </w:t>
      </w:r>
      <w:r>
        <w:t>quickly</w:t>
      </w:r>
      <w:r w:rsidRPr="00D0757D">
        <w:t xml:space="preserve"> see if their strategies </w:t>
      </w:r>
      <w:r>
        <w:t>we</w:t>
      </w:r>
      <w:r w:rsidRPr="00D0757D">
        <w:t>re working or need</w:t>
      </w:r>
      <w:r>
        <w:t>ed</w:t>
      </w:r>
      <w:r w:rsidRPr="00D0757D">
        <w:t xml:space="preserve"> to be improved. They </w:t>
      </w:r>
      <w:r>
        <w:t xml:space="preserve">were </w:t>
      </w:r>
      <w:r w:rsidRPr="00D0757D">
        <w:t xml:space="preserve">also </w:t>
      </w:r>
      <w:r>
        <w:t>able</w:t>
      </w:r>
      <w:r w:rsidRPr="00D0757D">
        <w:t xml:space="preserve"> to re-invite patients who did not accept a kit.</w:t>
      </w:r>
    </w:p>
    <w:p w14:paraId="52CAD000" w14:textId="37BDF625" w:rsidR="00E61828" w:rsidRDefault="00E61828" w:rsidP="00E61828">
      <w:pPr>
        <w:pStyle w:val="Insetdotpoints1"/>
      </w:pPr>
      <w:r w:rsidRPr="00D0757D">
        <w:rPr>
          <w:u w:val="single"/>
        </w:rPr>
        <w:t>More targeted distribution of kits.</w:t>
      </w:r>
      <w:r w:rsidRPr="00D0757D">
        <w:t xml:space="preserve"> Under the usual pathway’s systematic invitation process, kits are sent to everyone who is eligible: they must be on the Register, aged 50 to 74, and not screened in previous two years. To receive a kit, their Medicare address must be up to date. Under the Alternative Pathway, each kit was handed to the person it was intended to reach. Patients could be assessed for </w:t>
      </w:r>
      <w:r>
        <w:t xml:space="preserve">their </w:t>
      </w:r>
      <w:r w:rsidRPr="00D0757D">
        <w:t>suitability to screen</w:t>
      </w:r>
      <w:r>
        <w:t xml:space="preserve"> and kits </w:t>
      </w:r>
      <w:r w:rsidRPr="00D0757D">
        <w:t>were only given to those who agreed to accept them.</w:t>
      </w:r>
    </w:p>
    <w:p w14:paraId="499A7E12" w14:textId="77777777" w:rsidR="00E61828" w:rsidRPr="00D0757D" w:rsidRDefault="00E61828" w:rsidP="00E61828">
      <w:pPr>
        <w:pStyle w:val="Insetdotpoints1"/>
      </w:pPr>
      <w:r>
        <w:rPr>
          <w:u w:val="single"/>
        </w:rPr>
        <w:t>More accurate recording of Indigenous status and personal details for the NBCSP.</w:t>
      </w:r>
      <w:r>
        <w:t xml:space="preserve"> Many of the participating health centres helped their patients to correct or update their details with Medicare (the major source of names and contact details for invitation through the NBCSP). </w:t>
      </w:r>
    </w:p>
    <w:p w14:paraId="46E34BDC" w14:textId="77777777" w:rsidR="00E61828" w:rsidRPr="00CE6974" w:rsidRDefault="00E61828" w:rsidP="00E61828">
      <w:pPr>
        <w:pStyle w:val="Heading3"/>
      </w:pPr>
      <w:r w:rsidRPr="00CE6974">
        <w:t>Remaining challenges</w:t>
      </w:r>
    </w:p>
    <w:p w14:paraId="18E2102A" w14:textId="7881D85A" w:rsidR="00E61828" w:rsidRDefault="00E61828" w:rsidP="00E61828">
      <w:pPr>
        <w:pStyle w:val="Insetdotpoints1"/>
      </w:pPr>
      <w:r w:rsidRPr="00E45571">
        <w:rPr>
          <w:u w:val="single"/>
        </w:rPr>
        <w:t>Not all barriers to screening were removed</w:t>
      </w:r>
      <w:r>
        <w:t xml:space="preserve">. Over fifty percent (55%) of those who received a kit did not complete the test. There is little data available to understand the reasons for this as no interviews were held with those patients who declined the offer to screen through the Pilot, or who had accepted a kit but did not complete it.  Health centre staff spoke of patients for whom, at that time, ‘you know there’s just no way they’re going to do it’. </w:t>
      </w:r>
    </w:p>
    <w:p w14:paraId="3392DB8C" w14:textId="2796C1CA" w:rsidR="00E61828" w:rsidRDefault="00E61828" w:rsidP="00E61828">
      <w:pPr>
        <w:pStyle w:val="Insetdotpoints1"/>
      </w:pPr>
      <w:r w:rsidRPr="00E45571">
        <w:rPr>
          <w:u w:val="single"/>
        </w:rPr>
        <w:t>Not all health centres offered the Alternative Pathway</w:t>
      </w:r>
      <w:r>
        <w:t xml:space="preserve">. Eight health centres were recorded to have given out no kits. The reasons for this included: lengthy processes to negotiate a legal agreement to cover their participation in a clinical trial (n=2); they were overwhelmed with staff turnover, management changes and other competing priorities (n=3); and </w:t>
      </w:r>
      <w:r w:rsidR="00092B21">
        <w:t>three</w:t>
      </w:r>
      <w:r>
        <w:t xml:space="preserve"> health centre</w:t>
      </w:r>
      <w:r w:rsidR="00092B21">
        <w:t>s</w:t>
      </w:r>
      <w:r>
        <w:t xml:space="preserve"> gave out kits but did not complete the necessary procedures to report the kits as given out. </w:t>
      </w:r>
    </w:p>
    <w:p w14:paraId="23FD5DDB" w14:textId="5313F34E" w:rsidR="00E61828" w:rsidRDefault="00E61828" w:rsidP="00E61828">
      <w:pPr>
        <w:pStyle w:val="Insetdotpoints1"/>
      </w:pPr>
      <w:r w:rsidRPr="00CB5A64">
        <w:rPr>
          <w:u w:val="single"/>
        </w:rPr>
        <w:t>Not all health centres complied with the requirements of the NBCSP</w:t>
      </w:r>
      <w:r w:rsidRPr="009509E3">
        <w:t xml:space="preserve">. </w:t>
      </w:r>
      <w:r w:rsidR="00092B21">
        <w:t>Five</w:t>
      </w:r>
      <w:r>
        <w:t xml:space="preserve"> health centres gave out substantial numbers of kits without completing the necessary paperwork, which included providing the patient with a Participant Details form as well as a kit</w:t>
      </w:r>
      <w:r w:rsidR="00092B21">
        <w:t>. Two of the</w:t>
      </w:r>
      <w:r w:rsidR="001208D7">
        <w:t>se</w:t>
      </w:r>
      <w:r w:rsidR="00092B21">
        <w:t xml:space="preserve"> </w:t>
      </w:r>
      <w:r w:rsidR="001208D7">
        <w:t>did report some screening invitees using the online form</w:t>
      </w:r>
      <w:r>
        <w:t xml:space="preserve">. Only 15 of the 36 health centres complied with the requirement to record all patients assessed for screening as well as those who accepted a kit. At least two health centres gave out some kits during hot zone restrictions (when kits should not have been given out), although one promptly rectified the error. The lack of compliance might be partly explained as an assumption that the requirements were those of a research project, and not a live part of the NBCSP. </w:t>
      </w:r>
    </w:p>
    <w:p w14:paraId="4A0665C9" w14:textId="0AF02846" w:rsidR="00E61828" w:rsidRPr="00FD024F" w:rsidRDefault="00E61828" w:rsidP="001208D7">
      <w:pPr>
        <w:pStyle w:val="Insetdotpoints1"/>
      </w:pPr>
      <w:r w:rsidRPr="00283648">
        <w:rPr>
          <w:u w:val="single"/>
        </w:rPr>
        <w:t>Follow up to see if patients had completed the test was often ad hoc</w:t>
      </w:r>
      <w:r>
        <w:rPr>
          <w:u w:val="single"/>
        </w:rPr>
        <w:t>.</w:t>
      </w:r>
      <w:r>
        <w:t xml:space="preserve"> Health centres varied greatly in the records they kept in their Clinical Information System (CIS) for patients invited to screen. This was partly a result of the inconvenient way in which they had to interact with the Register (through the online form), but also because it was difficult to find out if a patient had completed the test or not. Several health centre staff commented that they thought they could increase the participation rate significantly if they followed up patients who had not completed the kit. </w:t>
      </w:r>
    </w:p>
    <w:p w14:paraId="70ECDAF6" w14:textId="77777777" w:rsidR="00E61828" w:rsidRDefault="00E61828" w:rsidP="006354D8">
      <w:pPr>
        <w:rPr>
          <w:rFonts w:cstheme="minorHAnsi"/>
          <w:b/>
          <w:bCs/>
          <w:lang w:eastAsia="en-AU"/>
        </w:rPr>
      </w:pPr>
    </w:p>
    <w:p w14:paraId="7C118E55" w14:textId="2A0A8714" w:rsidR="00F262AA" w:rsidRPr="00F262AA" w:rsidRDefault="00F262AA" w:rsidP="006354D8">
      <w:pPr>
        <w:rPr>
          <w:rFonts w:cstheme="minorHAnsi"/>
          <w:b/>
          <w:bCs/>
          <w:lang w:eastAsia="en-AU"/>
        </w:rPr>
      </w:pPr>
      <w:r w:rsidRPr="00F262AA">
        <w:rPr>
          <w:rFonts w:cstheme="minorHAnsi"/>
          <w:b/>
          <w:bCs/>
          <w:lang w:eastAsia="en-AU"/>
        </w:rPr>
        <w:lastRenderedPageBreak/>
        <w:t>Expectations</w:t>
      </w:r>
    </w:p>
    <w:p w14:paraId="0915829B" w14:textId="74F87E48" w:rsidR="006354D8" w:rsidRDefault="00C5403E" w:rsidP="006354D8">
      <w:pPr>
        <w:rPr>
          <w:rFonts w:cstheme="minorHAnsi"/>
          <w:lang w:eastAsia="en-AU"/>
        </w:rPr>
      </w:pPr>
      <w:r>
        <w:rPr>
          <w:rFonts w:cstheme="minorHAnsi"/>
          <w:lang w:eastAsia="en-AU"/>
        </w:rPr>
        <w:t xml:space="preserve">Some </w:t>
      </w:r>
      <w:r w:rsidR="009E2A5A">
        <w:rPr>
          <w:rFonts w:cstheme="minorHAnsi"/>
          <w:lang w:eastAsia="en-AU"/>
        </w:rPr>
        <w:t>of those involved in supporting the Pilot and</w:t>
      </w:r>
      <w:r w:rsidR="00F118DA">
        <w:rPr>
          <w:rFonts w:cstheme="minorHAnsi"/>
          <w:lang w:eastAsia="en-AU"/>
        </w:rPr>
        <w:t xml:space="preserve"> some</w:t>
      </w:r>
      <w:r>
        <w:rPr>
          <w:rFonts w:cstheme="minorHAnsi"/>
          <w:lang w:eastAsia="en-AU"/>
        </w:rPr>
        <w:t xml:space="preserve"> health centre</w:t>
      </w:r>
      <w:r w:rsidR="009E2A5A">
        <w:rPr>
          <w:rFonts w:cstheme="minorHAnsi"/>
          <w:lang w:eastAsia="en-AU"/>
        </w:rPr>
        <w:t xml:space="preserve"> staff</w:t>
      </w:r>
      <w:r>
        <w:rPr>
          <w:rFonts w:cstheme="minorHAnsi"/>
          <w:lang w:eastAsia="en-AU"/>
        </w:rPr>
        <w:t xml:space="preserve"> expected a higher rate of return from the Alternative Pathway. </w:t>
      </w:r>
    </w:p>
    <w:p w14:paraId="432AA4DF" w14:textId="741604ED" w:rsidR="009E2A5A" w:rsidRDefault="009E2A5A" w:rsidP="000920C7">
      <w:pPr>
        <w:pStyle w:val="Quote"/>
      </w:pPr>
      <w:r>
        <w:t>‘Yeah, I almost took it as a bit of a given that anybody who was given a kit would virtually do that kit.’</w:t>
      </w:r>
    </w:p>
    <w:p w14:paraId="75228756" w14:textId="41133B63" w:rsidR="00B01D05" w:rsidRDefault="00B01D05" w:rsidP="006354D8">
      <w:pPr>
        <w:rPr>
          <w:rFonts w:cstheme="minorHAnsi"/>
          <w:lang w:eastAsia="en-AU"/>
        </w:rPr>
      </w:pPr>
      <w:r>
        <w:rPr>
          <w:rFonts w:cstheme="minorHAnsi"/>
          <w:lang w:eastAsia="en-AU"/>
        </w:rPr>
        <w:t xml:space="preserve">One </w:t>
      </w:r>
      <w:r w:rsidR="004D6C42">
        <w:rPr>
          <w:rFonts w:cstheme="minorHAnsi"/>
          <w:lang w:eastAsia="en-AU"/>
        </w:rPr>
        <w:t>s</w:t>
      </w:r>
      <w:r>
        <w:rPr>
          <w:rFonts w:cstheme="minorHAnsi"/>
          <w:lang w:eastAsia="en-AU"/>
        </w:rPr>
        <w:t xml:space="preserve">ite </w:t>
      </w:r>
      <w:r w:rsidR="004D6C42">
        <w:rPr>
          <w:rFonts w:cstheme="minorHAnsi"/>
          <w:lang w:eastAsia="en-AU"/>
        </w:rPr>
        <w:t>c</w:t>
      </w:r>
      <w:r>
        <w:rPr>
          <w:rFonts w:cstheme="minorHAnsi"/>
          <w:lang w:eastAsia="en-AU"/>
        </w:rPr>
        <w:t xml:space="preserve">oordinator commented after being told the health centre’s </w:t>
      </w:r>
      <w:r w:rsidR="002F117F">
        <w:rPr>
          <w:rFonts w:cstheme="minorHAnsi"/>
          <w:lang w:eastAsia="en-AU"/>
        </w:rPr>
        <w:t xml:space="preserve">(quite high) </w:t>
      </w:r>
      <w:r>
        <w:rPr>
          <w:rFonts w:cstheme="minorHAnsi"/>
          <w:lang w:eastAsia="en-AU"/>
        </w:rPr>
        <w:t>participation rate: ‘What happened to the other ** per cent of them?’</w:t>
      </w:r>
    </w:p>
    <w:p w14:paraId="365DAFB6" w14:textId="40C00DD8" w:rsidR="009E2A5A" w:rsidRPr="006354D8" w:rsidRDefault="00B01D05" w:rsidP="006354D8">
      <w:pPr>
        <w:rPr>
          <w:rFonts w:cstheme="minorHAnsi"/>
          <w:lang w:eastAsia="en-AU"/>
        </w:rPr>
      </w:pPr>
      <w:r>
        <w:rPr>
          <w:rFonts w:cstheme="minorHAnsi"/>
          <w:lang w:eastAsia="en-AU"/>
        </w:rPr>
        <w:t xml:space="preserve">In comparison, a </w:t>
      </w:r>
      <w:r w:rsidR="00411D4A">
        <w:rPr>
          <w:rFonts w:cstheme="minorHAnsi"/>
          <w:lang w:eastAsia="en-AU"/>
        </w:rPr>
        <w:t>s</w:t>
      </w:r>
      <w:r>
        <w:rPr>
          <w:rFonts w:cstheme="minorHAnsi"/>
          <w:lang w:eastAsia="en-AU"/>
        </w:rPr>
        <w:t xml:space="preserve">ite </w:t>
      </w:r>
      <w:r w:rsidR="00411D4A">
        <w:rPr>
          <w:rFonts w:cstheme="minorHAnsi"/>
          <w:lang w:eastAsia="en-AU"/>
        </w:rPr>
        <w:t>c</w:t>
      </w:r>
      <w:r>
        <w:rPr>
          <w:rFonts w:cstheme="minorHAnsi"/>
          <w:lang w:eastAsia="en-AU"/>
        </w:rPr>
        <w:t xml:space="preserve">oordinator from a different health centre explained </w:t>
      </w:r>
      <w:r w:rsidR="00B274AE">
        <w:rPr>
          <w:rFonts w:cstheme="minorHAnsi"/>
          <w:lang w:eastAsia="en-AU"/>
        </w:rPr>
        <w:t xml:space="preserve">they had been trying to </w:t>
      </w:r>
      <w:r w:rsidR="004D6C42">
        <w:rPr>
          <w:rFonts w:cstheme="minorHAnsi"/>
          <w:lang w:eastAsia="en-AU"/>
        </w:rPr>
        <w:t>encourage</w:t>
      </w:r>
      <w:r w:rsidR="00B274AE">
        <w:rPr>
          <w:rFonts w:cstheme="minorHAnsi"/>
          <w:lang w:eastAsia="en-AU"/>
        </w:rPr>
        <w:t xml:space="preserve"> their patients to complete bowel screening using standard pathology FOBT kits for many </w:t>
      </w:r>
      <w:r w:rsidR="00315D5B">
        <w:rPr>
          <w:rFonts w:cstheme="minorHAnsi"/>
          <w:lang w:eastAsia="en-AU"/>
        </w:rPr>
        <w:t>years and</w:t>
      </w:r>
      <w:r w:rsidR="00B274AE">
        <w:rPr>
          <w:rFonts w:cstheme="minorHAnsi"/>
          <w:lang w:eastAsia="en-AU"/>
        </w:rPr>
        <w:t xml:space="preserve"> expected the</w:t>
      </w:r>
      <w:r w:rsidR="005141F4">
        <w:rPr>
          <w:rFonts w:cstheme="minorHAnsi"/>
          <w:lang w:eastAsia="en-AU"/>
        </w:rPr>
        <w:t xml:space="preserve"> centre</w:t>
      </w:r>
      <w:r w:rsidR="00B274AE">
        <w:rPr>
          <w:rFonts w:cstheme="minorHAnsi"/>
          <w:lang w:eastAsia="en-AU"/>
        </w:rPr>
        <w:t xml:space="preserve"> would need to provide sample pick-up, storage and postage for their patients under the Alternative Pathway. </w:t>
      </w:r>
      <w:r w:rsidR="005141F4">
        <w:rPr>
          <w:rFonts w:cstheme="minorHAnsi"/>
          <w:lang w:eastAsia="en-AU"/>
        </w:rPr>
        <w:t>However</w:t>
      </w:r>
      <w:r w:rsidR="00411D4A">
        <w:rPr>
          <w:rFonts w:cstheme="minorHAnsi"/>
          <w:lang w:eastAsia="en-AU"/>
        </w:rPr>
        <w:t>,</w:t>
      </w:r>
      <w:r w:rsidR="005141F4">
        <w:rPr>
          <w:rFonts w:cstheme="minorHAnsi"/>
          <w:lang w:eastAsia="en-AU"/>
        </w:rPr>
        <w:t xml:space="preserve"> she said they had no requests for </w:t>
      </w:r>
      <w:r w:rsidR="00452333">
        <w:rPr>
          <w:rFonts w:cstheme="minorHAnsi"/>
          <w:lang w:eastAsia="en-AU"/>
        </w:rPr>
        <w:t>this under the Alternative Pathway</w:t>
      </w:r>
      <w:r w:rsidR="005141F4">
        <w:rPr>
          <w:rFonts w:cstheme="minorHAnsi"/>
          <w:lang w:eastAsia="en-AU"/>
        </w:rPr>
        <w:t xml:space="preserve"> and the rate of return </w:t>
      </w:r>
      <w:r w:rsidR="00452333">
        <w:rPr>
          <w:rFonts w:cstheme="minorHAnsi"/>
          <w:lang w:eastAsia="en-AU"/>
        </w:rPr>
        <w:t xml:space="preserve">of samples </w:t>
      </w:r>
      <w:r w:rsidR="005141F4">
        <w:rPr>
          <w:rFonts w:cstheme="minorHAnsi"/>
          <w:lang w:eastAsia="en-AU"/>
        </w:rPr>
        <w:t>was much higher</w:t>
      </w:r>
      <w:r w:rsidR="00452333">
        <w:rPr>
          <w:rFonts w:cstheme="minorHAnsi"/>
          <w:lang w:eastAsia="en-AU"/>
        </w:rPr>
        <w:t xml:space="preserve"> than</w:t>
      </w:r>
      <w:r w:rsidR="005141F4">
        <w:rPr>
          <w:rFonts w:cstheme="minorHAnsi"/>
          <w:lang w:eastAsia="en-AU"/>
        </w:rPr>
        <w:t xml:space="preserve"> with </w:t>
      </w:r>
      <w:r w:rsidR="00452333">
        <w:rPr>
          <w:rFonts w:cstheme="minorHAnsi"/>
          <w:lang w:eastAsia="en-AU"/>
        </w:rPr>
        <w:t xml:space="preserve">the standard pathology </w:t>
      </w:r>
      <w:r w:rsidR="005141F4">
        <w:rPr>
          <w:rFonts w:cstheme="minorHAnsi"/>
          <w:lang w:eastAsia="en-AU"/>
        </w:rPr>
        <w:t xml:space="preserve">kits. </w:t>
      </w:r>
    </w:p>
    <w:p w14:paraId="2D7A0571" w14:textId="77B90682" w:rsidR="0074036B" w:rsidRDefault="0074036B">
      <w:pPr>
        <w:spacing w:before="0" w:after="0" w:line="240" w:lineRule="auto"/>
        <w:rPr>
          <w:rFonts w:cstheme="minorHAnsi"/>
          <w:b/>
          <w:bCs/>
          <w:lang w:eastAsia="en-AU"/>
        </w:rPr>
      </w:pPr>
    </w:p>
    <w:p w14:paraId="098F4336" w14:textId="43CAC095" w:rsidR="00CF47E4" w:rsidRDefault="00643737" w:rsidP="00070C12">
      <w:pPr>
        <w:pStyle w:val="Heading2"/>
      </w:pPr>
      <w:bookmarkStart w:id="275" w:name="_Toc44339246"/>
      <w:bookmarkStart w:id="276" w:name="_Toc45539278"/>
      <w:bookmarkStart w:id="277" w:name="_Toc54954864"/>
      <w:r>
        <w:t>10</w:t>
      </w:r>
      <w:r w:rsidR="00CF47E4">
        <w:t>.3 Delivery of the Alternative Pathway by Pilot health centres</w:t>
      </w:r>
      <w:bookmarkEnd w:id="275"/>
      <w:bookmarkEnd w:id="276"/>
      <w:bookmarkEnd w:id="277"/>
    </w:p>
    <w:p w14:paraId="544AEB45" w14:textId="07F25C0D" w:rsidR="00B819DA" w:rsidRPr="00B819DA" w:rsidRDefault="00B819DA" w:rsidP="002E74E6">
      <w:pPr>
        <w:pStyle w:val="Caption"/>
        <w:rPr>
          <w:lang w:eastAsia="en-AU"/>
        </w:rPr>
      </w:pPr>
      <w:r>
        <w:t>Table 10.3: Evaluation questions about how health centres offered the Alternative Pathway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gridCol w:w="79"/>
      </w:tblGrid>
      <w:tr w:rsidR="00BB45AE" w:rsidRPr="00C10D8D" w14:paraId="0FA3F3C7" w14:textId="77777777" w:rsidTr="00CA0599">
        <w:trPr>
          <w:gridAfter w:val="1"/>
          <w:wAfter w:w="79" w:type="dxa"/>
          <w:tblHeader/>
        </w:trPr>
        <w:tc>
          <w:tcPr>
            <w:tcW w:w="6804" w:type="dxa"/>
            <w:tcBorders>
              <w:top w:val="single" w:sz="4" w:space="0" w:color="auto"/>
              <w:bottom w:val="single" w:sz="4" w:space="0" w:color="auto"/>
            </w:tcBorders>
          </w:tcPr>
          <w:p w14:paraId="60C86C7F" w14:textId="77777777" w:rsidR="00BB45AE" w:rsidRPr="00C10D8D" w:rsidRDefault="00BB45AE" w:rsidP="00830946">
            <w:pPr>
              <w:pStyle w:val="Normaltextfortables"/>
              <w:framePr w:hSpace="0" w:wrap="auto" w:vAnchor="margin" w:hAnchor="text" w:yAlign="inline"/>
              <w:rPr>
                <w:b/>
                <w:bCs/>
              </w:rPr>
            </w:pPr>
            <w:r w:rsidRPr="00C10D8D">
              <w:rPr>
                <w:b/>
                <w:bCs/>
              </w:rPr>
              <w:t>Evaluation question</w:t>
            </w:r>
          </w:p>
          <w:p w14:paraId="03F72519" w14:textId="77777777" w:rsidR="00BB45AE" w:rsidRPr="00C10D8D" w:rsidRDefault="00BB45AE" w:rsidP="00830946">
            <w:pPr>
              <w:pStyle w:val="Normaltextfortables"/>
              <w:framePr w:hSpace="0" w:wrap="auto" w:vAnchor="margin" w:hAnchor="text" w:yAlign="inline"/>
            </w:pPr>
            <w:r w:rsidRPr="00C10D8D">
              <w:t xml:space="preserve">How effectively was the Alternative Pathway delivered by </w:t>
            </w:r>
            <w:r>
              <w:t xml:space="preserve">health </w:t>
            </w:r>
            <w:r w:rsidRPr="00C10D8D">
              <w:t>s</w:t>
            </w:r>
            <w:r>
              <w:t>ervices</w:t>
            </w:r>
            <w:r w:rsidRPr="00C10D8D">
              <w:t>?</w:t>
            </w:r>
          </w:p>
        </w:tc>
        <w:tc>
          <w:tcPr>
            <w:tcW w:w="2127" w:type="dxa"/>
            <w:tcBorders>
              <w:top w:val="single" w:sz="4" w:space="0" w:color="auto"/>
              <w:bottom w:val="single" w:sz="4" w:space="0" w:color="auto"/>
            </w:tcBorders>
          </w:tcPr>
          <w:p w14:paraId="3B56E535" w14:textId="77777777" w:rsidR="00BB45AE" w:rsidRPr="00C10D8D" w:rsidRDefault="00BB45AE" w:rsidP="00830946">
            <w:pPr>
              <w:pStyle w:val="Normaltextfortables"/>
              <w:framePr w:hSpace="0" w:wrap="auto" w:vAnchor="margin" w:hAnchor="text" w:yAlign="inline"/>
              <w:rPr>
                <w:b/>
                <w:bCs/>
              </w:rPr>
            </w:pPr>
            <w:r w:rsidRPr="00C10D8D">
              <w:rPr>
                <w:b/>
                <w:bCs/>
              </w:rPr>
              <w:t>Report section</w:t>
            </w:r>
          </w:p>
        </w:tc>
      </w:tr>
      <w:tr w:rsidR="00BB45AE" w:rsidRPr="00C10D8D" w14:paraId="3B052190" w14:textId="77777777" w:rsidTr="00830946">
        <w:tc>
          <w:tcPr>
            <w:tcW w:w="6804" w:type="dxa"/>
            <w:tcBorders>
              <w:top w:val="single" w:sz="4" w:space="0" w:color="auto"/>
            </w:tcBorders>
          </w:tcPr>
          <w:p w14:paraId="1FCBE4C0" w14:textId="77777777" w:rsidR="00BB45AE" w:rsidRPr="00C10D8D" w:rsidRDefault="00BB45AE" w:rsidP="00830946">
            <w:pPr>
              <w:pStyle w:val="Normaltextfortables"/>
              <w:framePr w:hSpace="0" w:wrap="auto" w:vAnchor="margin" w:hAnchor="text" w:yAlign="inline"/>
              <w:rPr>
                <w:rFonts w:cstheme="minorHAnsi"/>
                <w:lang w:eastAsia="en-AU"/>
              </w:rPr>
            </w:pPr>
            <w:r w:rsidRPr="00C10D8D">
              <w:rPr>
                <w:rFonts w:cstheme="minorHAnsi"/>
                <w:lang w:eastAsia="en-AU"/>
              </w:rPr>
              <w:t xml:space="preserve">How did IPHCCs incorporate bowel screening into their practice systems and processes? (i.e. how were eligible clients identified and offered screening, and how was follow-up provided?)  This includes: (1) how the Alternative Pathway was implemented at the health centre (the service model used); (2) health promotion or other activities carried out by health centre staff or others, with local community members, that occur outside the health centre itself.  </w:t>
            </w:r>
          </w:p>
        </w:tc>
        <w:tc>
          <w:tcPr>
            <w:tcW w:w="2206" w:type="dxa"/>
            <w:gridSpan w:val="2"/>
            <w:tcBorders>
              <w:top w:val="single" w:sz="4" w:space="0" w:color="auto"/>
            </w:tcBorders>
          </w:tcPr>
          <w:p w14:paraId="6C1349DA" w14:textId="77777777" w:rsidR="00BB45AE" w:rsidRPr="00C10D8D" w:rsidRDefault="00BB45AE" w:rsidP="00830946">
            <w:pPr>
              <w:pStyle w:val="Normaltextfortables"/>
              <w:framePr w:hSpace="0" w:wrap="auto" w:vAnchor="margin" w:hAnchor="text" w:yAlign="inline"/>
              <w:rPr>
                <w:rFonts w:cstheme="minorHAnsi"/>
                <w:lang w:eastAsia="en-AU"/>
              </w:rPr>
            </w:pPr>
            <w:r>
              <w:rPr>
                <w:rFonts w:cstheme="minorHAnsi"/>
                <w:lang w:eastAsia="en-AU"/>
              </w:rPr>
              <w:t>Section 7</w:t>
            </w:r>
          </w:p>
        </w:tc>
      </w:tr>
      <w:tr w:rsidR="00BB45AE" w:rsidRPr="00C10D8D" w14:paraId="18693F57" w14:textId="77777777" w:rsidTr="00830946">
        <w:tc>
          <w:tcPr>
            <w:tcW w:w="6804" w:type="dxa"/>
          </w:tcPr>
          <w:p w14:paraId="4EE56468" w14:textId="77777777" w:rsidR="00BB45AE" w:rsidRPr="00C10D8D" w:rsidRDefault="00BB45AE" w:rsidP="00830946">
            <w:pPr>
              <w:pStyle w:val="Normaltextfortables"/>
              <w:framePr w:hSpace="0" w:wrap="auto" w:vAnchor="margin" w:hAnchor="text" w:yAlign="inline"/>
              <w:rPr>
                <w:rFonts w:cstheme="minorHAnsi"/>
                <w:lang w:eastAsia="en-AU"/>
              </w:rPr>
            </w:pPr>
            <w:r w:rsidRPr="00C10D8D">
              <w:rPr>
                <w:rFonts w:cstheme="minorHAnsi"/>
                <w:lang w:eastAsia="en-AU"/>
              </w:rPr>
              <w:t xml:space="preserve">What proportion of the eligible active client group of participating </w:t>
            </w:r>
            <w:r>
              <w:rPr>
                <w:rFonts w:cstheme="minorHAnsi"/>
                <w:lang w:eastAsia="en-AU"/>
              </w:rPr>
              <w:t>health centres</w:t>
            </w:r>
            <w:r w:rsidRPr="00C10D8D">
              <w:rPr>
                <w:rFonts w:cstheme="minorHAnsi"/>
                <w:lang w:eastAsia="en-AU"/>
              </w:rPr>
              <w:t xml:space="preserve"> were invited to screen?</w:t>
            </w:r>
          </w:p>
        </w:tc>
        <w:tc>
          <w:tcPr>
            <w:tcW w:w="2206" w:type="dxa"/>
            <w:gridSpan w:val="2"/>
          </w:tcPr>
          <w:p w14:paraId="5149D47A" w14:textId="77777777" w:rsidR="00BB45AE" w:rsidRPr="00C10D8D" w:rsidRDefault="00BB45AE" w:rsidP="00830946">
            <w:pPr>
              <w:pStyle w:val="Normaltextfortables"/>
              <w:framePr w:hSpace="0" w:wrap="auto" w:vAnchor="margin" w:hAnchor="text" w:yAlign="inline"/>
              <w:rPr>
                <w:rFonts w:cstheme="minorHAnsi"/>
                <w:lang w:eastAsia="en-AU"/>
              </w:rPr>
            </w:pPr>
            <w:r>
              <w:rPr>
                <w:rFonts w:cstheme="minorHAnsi"/>
                <w:lang w:eastAsia="en-AU"/>
              </w:rPr>
              <w:t>Section 8</w:t>
            </w:r>
          </w:p>
        </w:tc>
      </w:tr>
      <w:tr w:rsidR="00BB45AE" w:rsidRPr="00C10D8D" w14:paraId="29FF4688" w14:textId="77777777" w:rsidTr="00830946">
        <w:tc>
          <w:tcPr>
            <w:tcW w:w="6804" w:type="dxa"/>
          </w:tcPr>
          <w:p w14:paraId="18AF991E" w14:textId="77777777" w:rsidR="00BB45AE" w:rsidRPr="00C10D8D" w:rsidRDefault="00BB45AE" w:rsidP="00830946">
            <w:pPr>
              <w:pStyle w:val="Normaltextfortables"/>
              <w:framePr w:hSpace="0" w:wrap="auto" w:vAnchor="margin" w:hAnchor="text" w:yAlign="inline"/>
              <w:rPr>
                <w:rFonts w:cstheme="minorHAnsi"/>
                <w:lang w:eastAsia="en-AU"/>
              </w:rPr>
            </w:pPr>
            <w:r w:rsidRPr="00C10D8D">
              <w:rPr>
                <w:rFonts w:cstheme="minorHAnsi"/>
                <w:lang w:val="en-US"/>
              </w:rPr>
              <w:t>To what extent was the NBCSP as delivered through the Alternative Pathway manageable for IPHCC staff and managers? Were some elements of the NBCSP more/less manageable than others?</w:t>
            </w:r>
          </w:p>
        </w:tc>
        <w:tc>
          <w:tcPr>
            <w:tcW w:w="2206" w:type="dxa"/>
            <w:gridSpan w:val="2"/>
          </w:tcPr>
          <w:p w14:paraId="2391C355" w14:textId="77777777" w:rsidR="00BB45AE" w:rsidRPr="00C10D8D" w:rsidRDefault="00BB45AE" w:rsidP="00830946">
            <w:pPr>
              <w:pStyle w:val="Normaltextfortables"/>
              <w:framePr w:hSpace="0" w:wrap="auto" w:vAnchor="margin" w:hAnchor="text" w:yAlign="inline"/>
              <w:rPr>
                <w:rFonts w:cstheme="minorHAnsi"/>
                <w:lang w:val="en-US"/>
              </w:rPr>
            </w:pPr>
            <w:r>
              <w:rPr>
                <w:rFonts w:cstheme="minorHAnsi"/>
                <w:lang w:val="en-US"/>
              </w:rPr>
              <w:t>Section 7</w:t>
            </w:r>
          </w:p>
        </w:tc>
      </w:tr>
      <w:tr w:rsidR="00BB45AE" w:rsidRPr="00C10D8D" w14:paraId="07A24627" w14:textId="77777777" w:rsidTr="00830946">
        <w:tc>
          <w:tcPr>
            <w:tcW w:w="6804" w:type="dxa"/>
            <w:tcBorders>
              <w:bottom w:val="single" w:sz="4" w:space="0" w:color="auto"/>
            </w:tcBorders>
          </w:tcPr>
          <w:p w14:paraId="4141A127" w14:textId="77777777" w:rsidR="00BB45AE" w:rsidRPr="00C10D8D" w:rsidRDefault="00BB45AE" w:rsidP="00830946">
            <w:pPr>
              <w:pStyle w:val="Normaltextfortables"/>
              <w:framePr w:hSpace="0" w:wrap="auto" w:vAnchor="margin" w:hAnchor="text" w:yAlign="inline"/>
              <w:rPr>
                <w:rFonts w:cstheme="minorHAnsi"/>
                <w:lang w:eastAsia="en-AU"/>
              </w:rPr>
            </w:pPr>
            <w:r w:rsidRPr="00C10D8D">
              <w:rPr>
                <w:rFonts w:cstheme="minorHAnsi"/>
                <w:lang w:val="en-US"/>
              </w:rPr>
              <w:t xml:space="preserve">What were the barriers and enablers for </w:t>
            </w:r>
            <w:r>
              <w:rPr>
                <w:rFonts w:cstheme="minorHAnsi"/>
                <w:lang w:val="en-US"/>
              </w:rPr>
              <w:t xml:space="preserve">health </w:t>
            </w:r>
            <w:proofErr w:type="spellStart"/>
            <w:r>
              <w:rPr>
                <w:rFonts w:cstheme="minorHAnsi"/>
                <w:lang w:val="en-US"/>
              </w:rPr>
              <w:t>centres</w:t>
            </w:r>
            <w:proofErr w:type="spellEnd"/>
            <w:r w:rsidRPr="00C10D8D">
              <w:rPr>
                <w:rFonts w:cstheme="minorHAnsi"/>
                <w:lang w:val="en-US"/>
              </w:rPr>
              <w:t xml:space="preserve"> in delivering the Alternative Pathway?</w:t>
            </w:r>
          </w:p>
        </w:tc>
        <w:tc>
          <w:tcPr>
            <w:tcW w:w="2206" w:type="dxa"/>
            <w:gridSpan w:val="2"/>
            <w:tcBorders>
              <w:bottom w:val="single" w:sz="4" w:space="0" w:color="auto"/>
            </w:tcBorders>
          </w:tcPr>
          <w:p w14:paraId="0DD03587" w14:textId="77777777" w:rsidR="00BB45AE" w:rsidRPr="00C10D8D" w:rsidRDefault="00BB45AE" w:rsidP="00830946">
            <w:pPr>
              <w:pStyle w:val="Normaltextfortables"/>
              <w:framePr w:hSpace="0" w:wrap="auto" w:vAnchor="margin" w:hAnchor="text" w:yAlign="inline"/>
              <w:rPr>
                <w:rFonts w:cstheme="minorHAnsi"/>
                <w:lang w:val="en-US"/>
              </w:rPr>
            </w:pPr>
            <w:r>
              <w:rPr>
                <w:rFonts w:cstheme="minorHAnsi"/>
                <w:lang w:val="en-US"/>
              </w:rPr>
              <w:t>Section 7</w:t>
            </w:r>
          </w:p>
        </w:tc>
      </w:tr>
    </w:tbl>
    <w:p w14:paraId="690CCFF9" w14:textId="77777777" w:rsidR="005370A3" w:rsidRDefault="005370A3" w:rsidP="005370A3"/>
    <w:p w14:paraId="0E91251B" w14:textId="37DE5FC5" w:rsidR="005370A3" w:rsidRDefault="005370A3" w:rsidP="005370A3">
      <w:r>
        <w:t xml:space="preserve">Health centres that gave out kits showed considerable consistency in the approaches used to organise and offer the Alternative Pathway. Eligible patients were identified through an audit or within routine health assessments and flagged in the CIS for bowel screening. The online Form was completed mainly by </w:t>
      </w:r>
      <w:r w:rsidRPr="000233DE">
        <w:rPr>
          <w:rFonts w:ascii="Calibri" w:eastAsia="Times New Roman" w:hAnsi="Calibri" w:cs="Calibri"/>
          <w:color w:val="000000"/>
          <w:lang w:eastAsia="en-AU"/>
        </w:rPr>
        <w:t>nurses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23) followed by AHWs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11) and GPs (</w:t>
      </w:r>
      <w:r>
        <w:rPr>
          <w:rFonts w:ascii="Calibri" w:eastAsia="Times New Roman" w:hAnsi="Calibri" w:cs="Calibri"/>
          <w:color w:val="000000"/>
          <w:lang w:eastAsia="en-AU"/>
        </w:rPr>
        <w:t>n=</w:t>
      </w:r>
      <w:r w:rsidRPr="000233DE">
        <w:rPr>
          <w:rFonts w:ascii="Calibri" w:eastAsia="Times New Roman" w:hAnsi="Calibri" w:cs="Calibri"/>
          <w:color w:val="000000"/>
          <w:lang w:eastAsia="en-AU"/>
        </w:rPr>
        <w:t>5).</w:t>
      </w:r>
      <w:r>
        <w:rPr>
          <w:rFonts w:ascii="Calibri" w:eastAsia="Times New Roman" w:hAnsi="Calibri" w:cs="Calibri"/>
          <w:color w:val="000000"/>
          <w:lang w:eastAsia="en-AU"/>
        </w:rPr>
        <w:t xml:space="preserve"> Most health centres used a variety of approaches to engage with their patients about bowel screening within the health centre.</w:t>
      </w:r>
    </w:p>
    <w:p w14:paraId="71492DA9" w14:textId="2B936145" w:rsidR="005370A3" w:rsidRDefault="005370A3" w:rsidP="005370A3">
      <w:r>
        <w:lastRenderedPageBreak/>
        <w:t xml:space="preserve">Those health centres (n=6) reported by DHS to have given out no kits tended to have larger patient numbers, a smaller proportion of Indigenous clients, and were more likely to have planned to rely on community events for engagement and to have GPs designated to complete the Participant Details Form. </w:t>
      </w:r>
    </w:p>
    <w:p w14:paraId="1F6996B8" w14:textId="77777777" w:rsidR="005370A3" w:rsidRDefault="005370A3" w:rsidP="005370A3">
      <w:r>
        <w:t>Within these six health centres, there were two sub-groups: health centres that had struggled with staff turnover and competing priorities and did not manage to start giving out kits; and a group that gave or may have given out kits without using the Participant Details Form, which meant the kits were invisible to DHS as being part of the Alternative Pathway.</w:t>
      </w:r>
    </w:p>
    <w:p w14:paraId="30C7E118" w14:textId="71BE0203" w:rsidR="005370A3" w:rsidRDefault="005370A3" w:rsidP="005370A3">
      <w:r>
        <w:t>Health centres demonstrated varying levels of compliance with the requirements of the NBCSP. Only 15 out of 36 health centres followed the request to report on all patients assessed for screening, whether the patient accepted a kit or not. This was an administrative requirement that did not have any real effect on patient care</w:t>
      </w:r>
      <w:r w:rsidR="006F3176">
        <w:t xml:space="preserve"> but was important to maintaining data integrity in the Register.</w:t>
      </w:r>
      <w:r>
        <w:t xml:space="preserve"> </w:t>
      </w:r>
    </w:p>
    <w:p w14:paraId="7F131DCC" w14:textId="77777777" w:rsidR="005370A3" w:rsidRDefault="005370A3" w:rsidP="005370A3">
      <w:r>
        <w:t>However, at least three health centres gave out substantial numbers of kits without a Participant Details Form being submitted or provided to the patient, a more serious lack of compliance which could have consequences for patient care</w:t>
      </w:r>
    </w:p>
    <w:p w14:paraId="1B6B1146" w14:textId="77777777" w:rsidR="005370A3" w:rsidRDefault="005370A3" w:rsidP="005370A3">
      <w:r>
        <w:t>The health centres that distributed the greatest number of kits in the time available to them applied a more systematic and systems-oriented approach than those that gave out the lowest number of kits. The higher performing centres were more likely to use targeted invitations or recalls to identify and engage eligible clients for bowel screening, and to offer to store or post completed kits at the health centre.</w:t>
      </w:r>
    </w:p>
    <w:p w14:paraId="2807BAD7" w14:textId="3D2F9DF0" w:rsidR="005370A3" w:rsidRPr="0074036B" w:rsidRDefault="005370A3" w:rsidP="006354D8">
      <w:r>
        <w:t xml:space="preserve">These centres used systematic approaches to ensure that staff completed training and held meetings or delivered their own group sessions to plan, train and sometimes review the implementation of the Alternative Pathway at their service. They were also more likely to have an identified organisational champion for the Pilot. </w:t>
      </w:r>
    </w:p>
    <w:p w14:paraId="4E8B51EF" w14:textId="77C207EE" w:rsidR="00404139" w:rsidRDefault="00643737" w:rsidP="00070C12">
      <w:pPr>
        <w:pStyle w:val="Heading2"/>
      </w:pPr>
      <w:bookmarkStart w:id="278" w:name="_Toc44339247"/>
      <w:bookmarkStart w:id="279" w:name="_Toc45539279"/>
      <w:bookmarkStart w:id="280" w:name="_Toc54954865"/>
      <w:r>
        <w:t>10</w:t>
      </w:r>
      <w:r w:rsidR="00404139">
        <w:t>.4 Cost-effectiveness of support</w:t>
      </w:r>
      <w:bookmarkEnd w:id="278"/>
      <w:bookmarkEnd w:id="279"/>
      <w:bookmarkEnd w:id="280"/>
    </w:p>
    <w:p w14:paraId="69B731EA" w14:textId="03BDA346" w:rsidR="00B819DA" w:rsidRDefault="00B819DA" w:rsidP="002E74E6">
      <w:pPr>
        <w:pStyle w:val="Caption"/>
      </w:pPr>
      <w:r w:rsidRPr="0021753F">
        <w:t>Table 10.</w:t>
      </w:r>
      <w:r w:rsidR="0021753F">
        <w:t>4</w:t>
      </w:r>
      <w:r w:rsidRPr="0021753F">
        <w:t xml:space="preserve">: Evaluation questions about </w:t>
      </w:r>
      <w:r w:rsidR="0021753F" w:rsidRPr="0021753F">
        <w:t xml:space="preserve">Group A vs Group B </w:t>
      </w:r>
    </w:p>
    <w:tbl>
      <w:tblPr>
        <w:tblStyle w:val="TableGrid"/>
        <w:tblW w:w="0" w:type="auto"/>
        <w:tblLook w:val="04A0" w:firstRow="1" w:lastRow="0" w:firstColumn="1" w:lastColumn="0" w:noHBand="0" w:noVBand="1"/>
      </w:tblPr>
      <w:tblGrid>
        <w:gridCol w:w="6663"/>
        <w:gridCol w:w="2347"/>
      </w:tblGrid>
      <w:tr w:rsidR="00BB45AE" w:rsidRPr="00E23BC4" w14:paraId="01FFF68B" w14:textId="77777777" w:rsidTr="00BB45AE">
        <w:trPr>
          <w:tblHeader/>
        </w:trPr>
        <w:tc>
          <w:tcPr>
            <w:tcW w:w="6663" w:type="dxa"/>
            <w:tcBorders>
              <w:top w:val="single" w:sz="4" w:space="0" w:color="auto"/>
              <w:left w:val="nil"/>
              <w:bottom w:val="single" w:sz="4" w:space="0" w:color="auto"/>
              <w:right w:val="nil"/>
            </w:tcBorders>
          </w:tcPr>
          <w:p w14:paraId="742E4779" w14:textId="77777777" w:rsidR="00BB45AE" w:rsidRPr="007C245E" w:rsidRDefault="00BB45AE" w:rsidP="00830946">
            <w:pPr>
              <w:pStyle w:val="Normaltextfortables"/>
              <w:framePr w:hSpace="0" w:wrap="auto" w:vAnchor="margin" w:hAnchor="text" w:yAlign="inline"/>
              <w:rPr>
                <w:b/>
                <w:bCs/>
              </w:rPr>
            </w:pPr>
            <w:r w:rsidRPr="007C245E">
              <w:rPr>
                <w:b/>
                <w:bCs/>
              </w:rPr>
              <w:t>Evaluation question</w:t>
            </w:r>
          </w:p>
          <w:p w14:paraId="2E78E67E" w14:textId="77777777" w:rsidR="00BB45AE" w:rsidRPr="00E23BC4" w:rsidRDefault="00BB45AE" w:rsidP="00830946">
            <w:pPr>
              <w:pStyle w:val="Normaltextfortables"/>
              <w:framePr w:hSpace="0" w:wrap="auto" w:vAnchor="margin" w:hAnchor="text" w:yAlign="inline"/>
            </w:pPr>
            <w:r w:rsidRPr="00E23BC4">
              <w:t>How cost-effective are the two variants of the Alternative Pathway?</w:t>
            </w:r>
          </w:p>
        </w:tc>
        <w:tc>
          <w:tcPr>
            <w:tcW w:w="2347" w:type="dxa"/>
            <w:tcBorders>
              <w:top w:val="single" w:sz="4" w:space="0" w:color="auto"/>
              <w:left w:val="nil"/>
              <w:bottom w:val="single" w:sz="4" w:space="0" w:color="auto"/>
              <w:right w:val="nil"/>
            </w:tcBorders>
          </w:tcPr>
          <w:p w14:paraId="6F2F3B39" w14:textId="77777777" w:rsidR="00BB45AE" w:rsidRPr="007C245E" w:rsidRDefault="00BB45AE" w:rsidP="00830946">
            <w:pPr>
              <w:pStyle w:val="Normaltextfortables"/>
              <w:framePr w:hSpace="0" w:wrap="auto" w:vAnchor="margin" w:hAnchor="text" w:yAlign="inline"/>
              <w:rPr>
                <w:b/>
                <w:bCs/>
              </w:rPr>
            </w:pPr>
            <w:r w:rsidRPr="007C245E">
              <w:rPr>
                <w:b/>
                <w:bCs/>
              </w:rPr>
              <w:t>Report section</w:t>
            </w:r>
          </w:p>
        </w:tc>
      </w:tr>
      <w:tr w:rsidR="00BB45AE" w:rsidRPr="00E23BC4" w14:paraId="0A98F6D0" w14:textId="77777777" w:rsidTr="00BB45AE">
        <w:tc>
          <w:tcPr>
            <w:tcW w:w="6663" w:type="dxa"/>
            <w:tcBorders>
              <w:top w:val="single" w:sz="4" w:space="0" w:color="auto"/>
              <w:left w:val="nil"/>
              <w:bottom w:val="nil"/>
              <w:right w:val="nil"/>
            </w:tcBorders>
          </w:tcPr>
          <w:p w14:paraId="53A1D749" w14:textId="77777777" w:rsidR="00BB45AE" w:rsidRPr="00E23BC4" w:rsidRDefault="00BB45AE" w:rsidP="00830946">
            <w:pPr>
              <w:pStyle w:val="Normaltextfortables"/>
              <w:framePr w:hSpace="0" w:wrap="auto" w:vAnchor="margin" w:hAnchor="text" w:yAlign="inline"/>
              <w:rPr>
                <w:lang w:eastAsia="en-AU"/>
              </w:rPr>
            </w:pPr>
            <w:r w:rsidRPr="00E23BC4">
              <w:rPr>
                <w:lang w:eastAsia="en-AU"/>
              </w:rPr>
              <w:t>Was there a difference in the performance of IPHCCs in Group A (low intensity support) compared to Group B (high intensity support) in terms of the following outcomes:</w:t>
            </w:r>
          </w:p>
        </w:tc>
        <w:tc>
          <w:tcPr>
            <w:tcW w:w="2347" w:type="dxa"/>
            <w:tcBorders>
              <w:top w:val="single" w:sz="4" w:space="0" w:color="auto"/>
              <w:left w:val="nil"/>
              <w:bottom w:val="nil"/>
              <w:right w:val="nil"/>
            </w:tcBorders>
          </w:tcPr>
          <w:p w14:paraId="02CCEC7C" w14:textId="77777777" w:rsidR="00BB45AE" w:rsidRPr="00E23BC4" w:rsidRDefault="00BB45AE" w:rsidP="00830946">
            <w:pPr>
              <w:pStyle w:val="Normaltextfortables"/>
              <w:framePr w:hSpace="0" w:wrap="auto" w:vAnchor="margin" w:hAnchor="text" w:yAlign="inline"/>
              <w:rPr>
                <w:lang w:eastAsia="en-AU"/>
              </w:rPr>
            </w:pPr>
            <w:r>
              <w:rPr>
                <w:lang w:eastAsia="en-AU"/>
              </w:rPr>
              <w:t>Section 8</w:t>
            </w:r>
          </w:p>
        </w:tc>
      </w:tr>
      <w:tr w:rsidR="00BB45AE" w:rsidRPr="00E23BC4" w14:paraId="4109C96F" w14:textId="77777777" w:rsidTr="00BB45AE">
        <w:tc>
          <w:tcPr>
            <w:tcW w:w="6663" w:type="dxa"/>
            <w:tcBorders>
              <w:top w:val="nil"/>
              <w:left w:val="nil"/>
              <w:bottom w:val="nil"/>
              <w:right w:val="nil"/>
            </w:tcBorders>
          </w:tcPr>
          <w:p w14:paraId="29415206" w14:textId="77777777" w:rsidR="00BB45AE" w:rsidRPr="00E23BC4" w:rsidRDefault="00BB45AE" w:rsidP="00C77532">
            <w:pPr>
              <w:pStyle w:val="Normaltextfortables"/>
              <w:framePr w:hSpace="0" w:wrap="auto" w:vAnchor="margin" w:hAnchor="text" w:yAlign="inline"/>
              <w:numPr>
                <w:ilvl w:val="0"/>
                <w:numId w:val="50"/>
              </w:numPr>
              <w:rPr>
                <w:lang w:eastAsia="en-AU"/>
              </w:rPr>
            </w:pPr>
            <w:r w:rsidRPr="00E23BC4">
              <w:rPr>
                <w:lang w:eastAsia="en-AU"/>
              </w:rPr>
              <w:t>Screening participation rates</w:t>
            </w:r>
          </w:p>
        </w:tc>
        <w:tc>
          <w:tcPr>
            <w:tcW w:w="2347" w:type="dxa"/>
            <w:tcBorders>
              <w:top w:val="nil"/>
              <w:left w:val="nil"/>
              <w:bottom w:val="nil"/>
              <w:right w:val="nil"/>
            </w:tcBorders>
          </w:tcPr>
          <w:p w14:paraId="49F46D16" w14:textId="77777777" w:rsidR="00BB45AE" w:rsidRPr="00E23BC4" w:rsidRDefault="00BB45AE" w:rsidP="00830946">
            <w:pPr>
              <w:pStyle w:val="Normaltextfortables"/>
              <w:framePr w:hSpace="0" w:wrap="auto" w:vAnchor="margin" w:hAnchor="text" w:yAlign="inline"/>
              <w:rPr>
                <w:lang w:eastAsia="en-AU"/>
              </w:rPr>
            </w:pPr>
            <w:r>
              <w:rPr>
                <w:lang w:eastAsia="en-AU"/>
              </w:rPr>
              <w:t>Section 8</w:t>
            </w:r>
          </w:p>
        </w:tc>
      </w:tr>
      <w:tr w:rsidR="00BB45AE" w:rsidRPr="00E23BC4" w14:paraId="47D4E766" w14:textId="77777777" w:rsidTr="00BB45AE">
        <w:tc>
          <w:tcPr>
            <w:tcW w:w="6663" w:type="dxa"/>
            <w:tcBorders>
              <w:top w:val="nil"/>
              <w:left w:val="nil"/>
              <w:bottom w:val="nil"/>
              <w:right w:val="nil"/>
            </w:tcBorders>
          </w:tcPr>
          <w:p w14:paraId="2F8180CA" w14:textId="77777777" w:rsidR="00BB45AE" w:rsidRPr="00E23BC4" w:rsidRDefault="00BB45AE" w:rsidP="00C77532">
            <w:pPr>
              <w:pStyle w:val="Normaltextfortables"/>
              <w:framePr w:hSpace="0" w:wrap="auto" w:vAnchor="margin" w:hAnchor="text" w:yAlign="inline"/>
              <w:numPr>
                <w:ilvl w:val="0"/>
                <w:numId w:val="50"/>
              </w:numPr>
              <w:rPr>
                <w:lang w:eastAsia="en-AU"/>
              </w:rPr>
            </w:pPr>
            <w:r w:rsidRPr="00E23BC4">
              <w:rPr>
                <w:lang w:eastAsia="en-AU"/>
              </w:rPr>
              <w:t>Invitation rates</w:t>
            </w:r>
          </w:p>
        </w:tc>
        <w:tc>
          <w:tcPr>
            <w:tcW w:w="2347" w:type="dxa"/>
            <w:tcBorders>
              <w:top w:val="nil"/>
              <w:left w:val="nil"/>
              <w:bottom w:val="nil"/>
              <w:right w:val="nil"/>
            </w:tcBorders>
          </w:tcPr>
          <w:p w14:paraId="16369A94" w14:textId="77777777" w:rsidR="00BB45AE" w:rsidRPr="00E23BC4" w:rsidRDefault="00BB45AE" w:rsidP="00830946">
            <w:pPr>
              <w:pStyle w:val="Normaltextfortables"/>
              <w:framePr w:hSpace="0" w:wrap="auto" w:vAnchor="margin" w:hAnchor="text" w:yAlign="inline"/>
              <w:rPr>
                <w:lang w:eastAsia="en-AU"/>
              </w:rPr>
            </w:pPr>
            <w:r>
              <w:rPr>
                <w:lang w:eastAsia="en-AU"/>
              </w:rPr>
              <w:t>Section 8</w:t>
            </w:r>
          </w:p>
        </w:tc>
      </w:tr>
      <w:tr w:rsidR="00BB45AE" w:rsidRPr="00E23BC4" w14:paraId="7DA8125A" w14:textId="77777777" w:rsidTr="00BB45AE">
        <w:tc>
          <w:tcPr>
            <w:tcW w:w="6663" w:type="dxa"/>
            <w:tcBorders>
              <w:top w:val="nil"/>
              <w:left w:val="nil"/>
              <w:bottom w:val="nil"/>
              <w:right w:val="nil"/>
            </w:tcBorders>
          </w:tcPr>
          <w:p w14:paraId="4DBE0068" w14:textId="77777777" w:rsidR="00BB45AE" w:rsidRPr="009561F3" w:rsidRDefault="00BB45AE" w:rsidP="00C77532">
            <w:pPr>
              <w:pStyle w:val="Normaltextfortables"/>
              <w:framePr w:hSpace="0" w:wrap="auto" w:vAnchor="margin" w:hAnchor="text" w:yAlign="inline"/>
              <w:numPr>
                <w:ilvl w:val="0"/>
                <w:numId w:val="50"/>
              </w:numPr>
              <w:rPr>
                <w:lang w:eastAsia="en-AU"/>
              </w:rPr>
            </w:pPr>
            <w:r w:rsidRPr="00E23BC4">
              <w:rPr>
                <w:lang w:eastAsia="en-AU"/>
              </w:rPr>
              <w:t>Measures of quality (adherence to Hot Zone restrictions by IPHCCs; sample viability; proportion of invitees with a positive result who progressed to diagnostic assessment (colonoscopy)/timely diagnostic assessment.)</w:t>
            </w:r>
          </w:p>
        </w:tc>
        <w:tc>
          <w:tcPr>
            <w:tcW w:w="2347" w:type="dxa"/>
            <w:tcBorders>
              <w:top w:val="nil"/>
              <w:left w:val="nil"/>
              <w:bottom w:val="nil"/>
              <w:right w:val="nil"/>
            </w:tcBorders>
          </w:tcPr>
          <w:p w14:paraId="0D227325" w14:textId="77777777" w:rsidR="00BB45AE" w:rsidRPr="00E23BC4" w:rsidRDefault="00BB45AE" w:rsidP="00830946">
            <w:pPr>
              <w:pStyle w:val="Normaltextfortables"/>
              <w:framePr w:hSpace="0" w:wrap="auto" w:vAnchor="margin" w:hAnchor="text" w:yAlign="inline"/>
              <w:rPr>
                <w:lang w:eastAsia="en-AU"/>
              </w:rPr>
            </w:pPr>
            <w:r>
              <w:rPr>
                <w:lang w:eastAsia="en-AU"/>
              </w:rPr>
              <w:t xml:space="preserve">Sections 7 and 8 </w:t>
            </w:r>
          </w:p>
        </w:tc>
      </w:tr>
      <w:tr w:rsidR="00BB45AE" w:rsidRPr="00E23BC4" w14:paraId="1741F2DA" w14:textId="77777777" w:rsidTr="00BB45AE">
        <w:tc>
          <w:tcPr>
            <w:tcW w:w="6663" w:type="dxa"/>
            <w:tcBorders>
              <w:top w:val="nil"/>
              <w:left w:val="nil"/>
              <w:bottom w:val="nil"/>
              <w:right w:val="nil"/>
            </w:tcBorders>
          </w:tcPr>
          <w:p w14:paraId="33D50493" w14:textId="77777777" w:rsidR="00BB45AE" w:rsidRPr="00E23BC4" w:rsidRDefault="00BB45AE" w:rsidP="00830946">
            <w:pPr>
              <w:pStyle w:val="Normaltextfortables"/>
              <w:framePr w:hSpace="0" w:wrap="auto" w:vAnchor="margin" w:hAnchor="text" w:yAlign="inline"/>
              <w:rPr>
                <w:lang w:eastAsia="en-AU"/>
              </w:rPr>
            </w:pPr>
            <w:r w:rsidRPr="00E23BC4">
              <w:rPr>
                <w:lang w:eastAsia="en-AU"/>
              </w:rPr>
              <w:lastRenderedPageBreak/>
              <w:t xml:space="preserve">What was the extent of variation in performance between IPHCCs within either Group A or Group B? Were there common characteristics shared by IPHCCs that attained particularly high or low participation or quality outcomes, and if so, to what extent might these factors have implications for the feasibility of wider rollout of an Alternative Pathway model?  </w:t>
            </w:r>
          </w:p>
        </w:tc>
        <w:tc>
          <w:tcPr>
            <w:tcW w:w="2347" w:type="dxa"/>
            <w:tcBorders>
              <w:top w:val="nil"/>
              <w:left w:val="nil"/>
              <w:bottom w:val="nil"/>
              <w:right w:val="nil"/>
            </w:tcBorders>
          </w:tcPr>
          <w:p w14:paraId="0E1D5B3D" w14:textId="77777777" w:rsidR="00BB45AE" w:rsidRPr="00E23BC4" w:rsidRDefault="00BB45AE" w:rsidP="00830946">
            <w:pPr>
              <w:pStyle w:val="Normaltextfortables"/>
              <w:framePr w:hSpace="0" w:wrap="auto" w:vAnchor="margin" w:hAnchor="text" w:yAlign="inline"/>
              <w:rPr>
                <w:lang w:eastAsia="en-AU"/>
              </w:rPr>
            </w:pPr>
            <w:r>
              <w:rPr>
                <w:lang w:eastAsia="en-AU"/>
              </w:rPr>
              <w:t>Section 8</w:t>
            </w:r>
          </w:p>
        </w:tc>
      </w:tr>
      <w:tr w:rsidR="00BB45AE" w:rsidRPr="00E23BC4" w14:paraId="1C9625D6" w14:textId="77777777" w:rsidTr="00BB45AE">
        <w:tc>
          <w:tcPr>
            <w:tcW w:w="6663" w:type="dxa"/>
            <w:tcBorders>
              <w:top w:val="nil"/>
              <w:left w:val="nil"/>
              <w:bottom w:val="single" w:sz="4" w:space="0" w:color="auto"/>
              <w:right w:val="nil"/>
            </w:tcBorders>
          </w:tcPr>
          <w:p w14:paraId="580E57CE" w14:textId="77777777" w:rsidR="00BB45AE" w:rsidRPr="00E23BC4" w:rsidRDefault="00BB45AE" w:rsidP="00830946">
            <w:pPr>
              <w:pStyle w:val="Normaltextfortables"/>
              <w:framePr w:hSpace="0" w:wrap="auto" w:vAnchor="margin" w:hAnchor="text" w:yAlign="inline"/>
              <w:rPr>
                <w:lang w:eastAsia="en-AU"/>
              </w:rPr>
            </w:pPr>
            <w:r w:rsidRPr="00E23BC4">
              <w:rPr>
                <w:lang w:eastAsia="en-AU"/>
              </w:rPr>
              <w:t>What was the difference in the cost of providing the low intensity compared to the high intensity level of support for IPHCCs to implement the Alternative Pathway? (These costs will not include those of setting up or evaluating the Pilot but will include the cost of ongoing support for each option, including the Quality and Safety Checklist process and any difference in use of Helplines or email contact to Menzies.)</w:t>
            </w:r>
          </w:p>
        </w:tc>
        <w:tc>
          <w:tcPr>
            <w:tcW w:w="2347" w:type="dxa"/>
            <w:tcBorders>
              <w:top w:val="nil"/>
              <w:left w:val="nil"/>
              <w:bottom w:val="single" w:sz="4" w:space="0" w:color="auto"/>
              <w:right w:val="nil"/>
            </w:tcBorders>
          </w:tcPr>
          <w:p w14:paraId="394B6608" w14:textId="77777777" w:rsidR="00BB45AE" w:rsidRPr="00E23BC4" w:rsidRDefault="00BB45AE" w:rsidP="00830946">
            <w:pPr>
              <w:pStyle w:val="Normaltextfortables"/>
              <w:framePr w:hSpace="0" w:wrap="auto" w:vAnchor="margin" w:hAnchor="text" w:yAlign="inline"/>
              <w:rPr>
                <w:lang w:eastAsia="en-AU"/>
              </w:rPr>
            </w:pPr>
            <w:r>
              <w:rPr>
                <w:lang w:eastAsia="en-AU"/>
              </w:rPr>
              <w:t>Section 10</w:t>
            </w:r>
          </w:p>
        </w:tc>
      </w:tr>
    </w:tbl>
    <w:p w14:paraId="1D2D76AB" w14:textId="77777777" w:rsidR="00BB45AE" w:rsidRPr="00BB45AE" w:rsidRDefault="00BB45AE" w:rsidP="00BB45AE"/>
    <w:p w14:paraId="2B8708A5" w14:textId="0A938966" w:rsidR="00240279" w:rsidRDefault="00240279" w:rsidP="00366EAB">
      <w:pPr>
        <w:pStyle w:val="Heading3"/>
      </w:pPr>
      <w:bookmarkStart w:id="281" w:name="_Toc44339248"/>
      <w:bookmarkStart w:id="282" w:name="_Toc44361613"/>
      <w:bookmarkStart w:id="283" w:name="_Toc44279131"/>
      <w:r>
        <w:t>Difference in performance of low/high intensity support groups</w:t>
      </w:r>
      <w:bookmarkEnd w:id="281"/>
      <w:bookmarkEnd w:id="282"/>
    </w:p>
    <w:p w14:paraId="0F475235" w14:textId="77777777" w:rsidR="00240279" w:rsidRDefault="00240279" w:rsidP="00240279">
      <w:pPr>
        <w:rPr>
          <w:rFonts w:cstheme="minorHAnsi"/>
          <w:color w:val="000000" w:themeColor="text1"/>
        </w:rPr>
      </w:pPr>
      <w:r>
        <w:rPr>
          <w:rFonts w:cstheme="minorHAnsi"/>
          <w:color w:val="000000" w:themeColor="text1"/>
        </w:rPr>
        <w:t xml:space="preserve">The Pilot provided training and implementation support to help participating health centres get started with offering the Alternative Pathway. Health centres were randomised into two groups, and each was offered a different level of training and support:  high or low intensity support. Both groups received access to an online training module and a range of other resources. The high intensity model also provided face-to-face training at the health centre; the low intensity support group did not receive face-to-face training. When participation rates were compared between the two groups, there was no significant difference. Whereas the results from pre- and post-training questionnaires and thematic analysis of interviews showed the two levels of support did produce different outcomes in terms of staff attitudes and behaviour, which could be relevant to planning broader rollout of an Alternative Pathway (see Section 6). </w:t>
      </w:r>
    </w:p>
    <w:p w14:paraId="5F3A943A" w14:textId="482DB5BC" w:rsidR="00240279" w:rsidRDefault="00E96A8F" w:rsidP="0069783C">
      <w:pPr>
        <w:rPr>
          <w:rFonts w:cstheme="minorHAnsi"/>
          <w:color w:val="000000" w:themeColor="text1"/>
        </w:rPr>
      </w:pPr>
      <w:r>
        <w:rPr>
          <w:rFonts w:cstheme="minorHAnsi"/>
          <w:color w:val="000000" w:themeColor="text1"/>
        </w:rPr>
        <w:t xml:space="preserve">The training and implementation model used for the Pilot encouraged the embedding of bowel screening into routine practice. Beyond the </w:t>
      </w:r>
      <w:r w:rsidR="0074036B">
        <w:rPr>
          <w:rFonts w:cstheme="minorHAnsi"/>
          <w:color w:val="000000" w:themeColor="text1"/>
        </w:rPr>
        <w:t xml:space="preserve">NBCSP </w:t>
      </w:r>
      <w:r>
        <w:rPr>
          <w:rFonts w:cstheme="minorHAnsi"/>
          <w:color w:val="000000" w:themeColor="text1"/>
        </w:rPr>
        <w:t xml:space="preserve">requirements to provide information about screening activity to the DHS (for the Register), it was up to each health centre to determine how the Alternative Pathway would be offered to patients and embedded in routine practice. For health centres with an organisational champion to set up the systems to support routine delivery, the low intensity version of Pilot support was sufficient. Health centres undergoing significant staff turnover or disruption found it more difficult to get started under the low intensity mode. The opportunity for face-to-face training on-site helped increase motivation and broad staff engagement, but for some health centres provoked an expectation that the visiting trainers would provide all the answers about how the Alternative Pathway was delivered. Health centres in the high intensity support group were also more likely to systemically fail to follow the correct procedures for reporting screening activity to DHS. Health centres that achieved high rates of invitation to screen within the time available were characterised by a systematic and team approach to offering the Alternative Pathway; had a motivated organisational champion to oversee the implementation of the Alternative Pathway; took a targeted rather than opportunistic approach to inviting patients to screen; had a higher percentage of Indigenous patients; and offered a greater level of support to help their clients overcome barriers to screening. Community concerns about bowel cancer deaths was a strong motivating factor for some </w:t>
      </w:r>
      <w:r w:rsidR="006F3176">
        <w:rPr>
          <w:rFonts w:cstheme="minorHAnsi"/>
          <w:color w:val="000000" w:themeColor="text1"/>
        </w:rPr>
        <w:t xml:space="preserve">of these </w:t>
      </w:r>
      <w:r>
        <w:rPr>
          <w:rFonts w:cstheme="minorHAnsi"/>
          <w:color w:val="000000" w:themeColor="text1"/>
        </w:rPr>
        <w:t>health centres</w:t>
      </w:r>
      <w:r w:rsidR="006F3176">
        <w:rPr>
          <w:rFonts w:cstheme="minorHAnsi"/>
          <w:color w:val="000000" w:themeColor="text1"/>
        </w:rPr>
        <w:t xml:space="preserve"> too</w:t>
      </w:r>
      <w:r>
        <w:rPr>
          <w:rFonts w:cstheme="minorHAnsi"/>
          <w:color w:val="000000" w:themeColor="text1"/>
        </w:rPr>
        <w:t xml:space="preserve">. </w:t>
      </w:r>
    </w:p>
    <w:p w14:paraId="1CA1DAB2" w14:textId="7ED5F518" w:rsidR="00EC6429" w:rsidRDefault="00EC6429" w:rsidP="00366EAB">
      <w:pPr>
        <w:pStyle w:val="Heading3"/>
      </w:pPr>
      <w:r>
        <w:lastRenderedPageBreak/>
        <w:t>Difference in costs of low</w:t>
      </w:r>
      <w:r w:rsidR="00BE3218">
        <w:t xml:space="preserve"> /</w:t>
      </w:r>
      <w:r>
        <w:t xml:space="preserve"> high intensity </w:t>
      </w:r>
      <w:r w:rsidR="00BE3218">
        <w:t>support</w:t>
      </w:r>
    </w:p>
    <w:p w14:paraId="2B803EE3" w14:textId="51751169" w:rsidR="00EC6429" w:rsidRDefault="00D04B23" w:rsidP="0069783C">
      <w:r>
        <w:t xml:space="preserve">The cost to deliver the low intensity and high intensity models of support during the Pilot </w:t>
      </w:r>
      <w:r w:rsidR="007D3F8D">
        <w:t xml:space="preserve">are reported in Section 6.2. The low intensity model was delivered for all 47 health centres at a cost of </w:t>
      </w:r>
      <w:r w:rsidR="001E0EAC">
        <w:t xml:space="preserve">$77,500 – an average cost per health centre of $1650. The additional </w:t>
      </w:r>
      <w:r w:rsidR="008743EB">
        <w:t xml:space="preserve">component of face-to-face training provided to make up the high intensity model of support cost just under $5000 per </w:t>
      </w:r>
      <w:r w:rsidR="00653215">
        <w:t xml:space="preserve">health centre. </w:t>
      </w:r>
      <w:r w:rsidR="00803721">
        <w:t>Th</w:t>
      </w:r>
      <w:r w:rsidR="00DD130F">
        <w:t>e number of eligible Indigenous patients aged 50 to 74 who attended the 47 health centres enrolled in the study was approximately 18,000.</w:t>
      </w:r>
    </w:p>
    <w:p w14:paraId="2D4C8E99" w14:textId="5720968F" w:rsidR="00653215" w:rsidRDefault="00653215" w:rsidP="0069783C">
      <w:r>
        <w:t>Both models were therefore relatively inexpensive</w:t>
      </w:r>
      <w:r w:rsidR="00AB5F0C">
        <w:t>. The NBCSP is considered</w:t>
      </w:r>
      <w:r w:rsidR="007F4305">
        <w:t xml:space="preserve"> a </w:t>
      </w:r>
      <w:r w:rsidR="00AB5F0C">
        <w:t xml:space="preserve">highly cost-effective </w:t>
      </w:r>
      <w:r w:rsidR="007F4305">
        <w:t>programme, and increased participation makes it even more so</w:t>
      </w:r>
      <w:r w:rsidR="007F4305">
        <w:rPr>
          <w:rStyle w:val="FootnoteReference"/>
        </w:rPr>
        <w:footnoteReference w:id="47"/>
      </w:r>
      <w:r w:rsidR="007F4305">
        <w:t xml:space="preserve">.  </w:t>
      </w:r>
      <w:r w:rsidR="009419E5">
        <w:t xml:space="preserve">Based on the findings of this evaluation, the Alternative Pathway would be an inexpensive way to increase the participation of Indigenous people in the NBCSP, and a mix-and-match option that allowed the provision of more support to health centres with less capacity would be a valuable way to improve equity of access for Indigenous peoples. </w:t>
      </w:r>
    </w:p>
    <w:p w14:paraId="05F7926E" w14:textId="04436CBC" w:rsidR="00404139" w:rsidRDefault="00240279" w:rsidP="00070C12">
      <w:pPr>
        <w:pStyle w:val="Heading2"/>
      </w:pPr>
      <w:bookmarkStart w:id="284" w:name="_Toc44339249"/>
      <w:bookmarkStart w:id="285" w:name="_Toc45539280"/>
      <w:bookmarkStart w:id="286" w:name="_Toc54954866"/>
      <w:r>
        <w:t xml:space="preserve">10.5 </w:t>
      </w:r>
      <w:r w:rsidR="00404139" w:rsidRPr="00135F72">
        <w:t xml:space="preserve">Considerations for </w:t>
      </w:r>
      <w:r w:rsidR="00404139">
        <w:t>f</w:t>
      </w:r>
      <w:r w:rsidR="00404139" w:rsidRPr="00135F72">
        <w:t>u</w:t>
      </w:r>
      <w:r w:rsidR="0021753F">
        <w:t>rther</w:t>
      </w:r>
      <w:r w:rsidR="00404139" w:rsidRPr="00135F72">
        <w:t xml:space="preserve"> </w:t>
      </w:r>
      <w:r w:rsidR="00404139">
        <w:t>r</w:t>
      </w:r>
      <w:r w:rsidR="00404139" w:rsidRPr="00135F72">
        <w:t>ollout</w:t>
      </w:r>
      <w:bookmarkStart w:id="287" w:name="_Toc38539119"/>
      <w:bookmarkStart w:id="288" w:name="_Toc38540054"/>
      <w:bookmarkStart w:id="289" w:name="_Toc38540109"/>
      <w:bookmarkEnd w:id="283"/>
      <w:bookmarkEnd w:id="284"/>
      <w:bookmarkEnd w:id="285"/>
      <w:bookmarkEnd w:id="286"/>
    </w:p>
    <w:p w14:paraId="500327E7" w14:textId="79AB0619" w:rsidR="0021753F" w:rsidRDefault="0021753F" w:rsidP="002E74E6">
      <w:pPr>
        <w:pStyle w:val="Caption"/>
      </w:pPr>
      <w:r>
        <w:t>Table 10.5: Evaluation questions about further rollout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36"/>
      </w:tblGrid>
      <w:tr w:rsidR="00BB45AE" w:rsidRPr="00404139" w14:paraId="5F95309B" w14:textId="77777777" w:rsidTr="00830946">
        <w:trPr>
          <w:cantSplit/>
          <w:tblHeader/>
        </w:trPr>
        <w:tc>
          <w:tcPr>
            <w:tcW w:w="6374" w:type="dxa"/>
            <w:tcBorders>
              <w:top w:val="single" w:sz="4" w:space="0" w:color="auto"/>
              <w:bottom w:val="single" w:sz="4" w:space="0" w:color="auto"/>
            </w:tcBorders>
          </w:tcPr>
          <w:bookmarkEnd w:id="287"/>
          <w:bookmarkEnd w:id="288"/>
          <w:bookmarkEnd w:id="289"/>
          <w:p w14:paraId="6FF4B5BD" w14:textId="77777777" w:rsidR="00BB45AE" w:rsidRPr="00AA6A48" w:rsidRDefault="00BB45AE" w:rsidP="00830946">
            <w:pPr>
              <w:pStyle w:val="Normaltextfortables"/>
              <w:framePr w:hSpace="0" w:wrap="auto" w:vAnchor="margin" w:hAnchor="text" w:yAlign="inline"/>
              <w:rPr>
                <w:b/>
                <w:bCs/>
              </w:rPr>
            </w:pPr>
            <w:r w:rsidRPr="00AA6A48">
              <w:rPr>
                <w:b/>
                <w:bCs/>
              </w:rPr>
              <w:t>Evaluation question</w:t>
            </w:r>
          </w:p>
          <w:p w14:paraId="19ED0F85" w14:textId="77777777" w:rsidR="00BB45AE" w:rsidRPr="00404139" w:rsidRDefault="00BB45AE" w:rsidP="00830946">
            <w:pPr>
              <w:pStyle w:val="Normaltextfortables"/>
              <w:framePr w:hSpace="0" w:wrap="auto" w:vAnchor="margin" w:hAnchor="text" w:yAlign="inline"/>
            </w:pPr>
            <w:r w:rsidRPr="00404139">
              <w:t>Based on the findings from questions 1-4, is the Alternative Pathway feasible to be rolled out further?</w:t>
            </w:r>
          </w:p>
        </w:tc>
        <w:tc>
          <w:tcPr>
            <w:tcW w:w="2636" w:type="dxa"/>
            <w:tcBorders>
              <w:top w:val="single" w:sz="4" w:space="0" w:color="auto"/>
              <w:bottom w:val="single" w:sz="4" w:space="0" w:color="auto"/>
            </w:tcBorders>
          </w:tcPr>
          <w:p w14:paraId="36791E89" w14:textId="77777777" w:rsidR="00BB45AE" w:rsidRPr="00AA6A48" w:rsidRDefault="00BB45AE" w:rsidP="00830946">
            <w:pPr>
              <w:pStyle w:val="Normaltextfortables"/>
              <w:framePr w:hSpace="0" w:wrap="auto" w:vAnchor="margin" w:hAnchor="text" w:yAlign="inline"/>
              <w:rPr>
                <w:b/>
                <w:bCs/>
              </w:rPr>
            </w:pPr>
            <w:r w:rsidRPr="00AA6A48">
              <w:rPr>
                <w:b/>
                <w:bCs/>
              </w:rPr>
              <w:t>Report section</w:t>
            </w:r>
          </w:p>
        </w:tc>
      </w:tr>
      <w:tr w:rsidR="00BB45AE" w:rsidRPr="00404139" w14:paraId="3519538C" w14:textId="77777777" w:rsidTr="00830946">
        <w:trPr>
          <w:cantSplit/>
        </w:trPr>
        <w:tc>
          <w:tcPr>
            <w:tcW w:w="6374" w:type="dxa"/>
            <w:tcBorders>
              <w:top w:val="single" w:sz="4" w:space="0" w:color="auto"/>
            </w:tcBorders>
          </w:tcPr>
          <w:p w14:paraId="7976850B" w14:textId="77777777" w:rsidR="00BB45AE" w:rsidRPr="00404139" w:rsidRDefault="00BB45AE" w:rsidP="00830946">
            <w:pPr>
              <w:pStyle w:val="Normaltextfortables"/>
              <w:framePr w:hSpace="0" w:wrap="auto" w:vAnchor="margin" w:hAnchor="text" w:yAlign="inline"/>
              <w:rPr>
                <w:rFonts w:cstheme="minorHAnsi"/>
                <w:lang w:eastAsia="en-AU"/>
              </w:rPr>
            </w:pPr>
            <w:r w:rsidRPr="00404139">
              <w:rPr>
                <w:rFonts w:cstheme="minorHAnsi"/>
                <w:lang w:eastAsia="en-AU"/>
              </w:rPr>
              <w:t xml:space="preserve">What level of implementation support for </w:t>
            </w:r>
            <w:r>
              <w:rPr>
                <w:rFonts w:cstheme="minorHAnsi"/>
                <w:lang w:eastAsia="en-AU"/>
              </w:rPr>
              <w:t xml:space="preserve">[health centres] </w:t>
            </w:r>
            <w:r w:rsidRPr="00404139">
              <w:rPr>
                <w:rFonts w:cstheme="minorHAnsi"/>
                <w:lang w:eastAsia="en-AU"/>
              </w:rPr>
              <w:t>is required for the Alternative Pathway to maximize screening participation rates (initial setup and ongoing delivery)? Does the level of implementation support required vary according to health centre or environmental characteristics?</w:t>
            </w:r>
          </w:p>
        </w:tc>
        <w:tc>
          <w:tcPr>
            <w:tcW w:w="2636" w:type="dxa"/>
            <w:tcBorders>
              <w:top w:val="single" w:sz="4" w:space="0" w:color="auto"/>
            </w:tcBorders>
          </w:tcPr>
          <w:p w14:paraId="52DAF5EC" w14:textId="77777777" w:rsidR="00BB45AE" w:rsidRPr="00404139" w:rsidRDefault="00BB45AE" w:rsidP="00830946">
            <w:pPr>
              <w:pStyle w:val="Normaltextfortables"/>
              <w:framePr w:hSpace="0" w:wrap="auto" w:vAnchor="margin" w:hAnchor="text" w:yAlign="inline"/>
              <w:rPr>
                <w:rFonts w:cstheme="minorHAnsi"/>
                <w:lang w:eastAsia="en-AU"/>
              </w:rPr>
            </w:pPr>
            <w:r>
              <w:rPr>
                <w:rFonts w:cstheme="minorHAnsi"/>
                <w:lang w:eastAsia="en-AU"/>
              </w:rPr>
              <w:t>Section 1</w:t>
            </w:r>
          </w:p>
        </w:tc>
      </w:tr>
      <w:tr w:rsidR="00BB45AE" w:rsidRPr="00404139" w14:paraId="3C57F778" w14:textId="77777777" w:rsidTr="00830946">
        <w:trPr>
          <w:cantSplit/>
        </w:trPr>
        <w:tc>
          <w:tcPr>
            <w:tcW w:w="6374" w:type="dxa"/>
          </w:tcPr>
          <w:p w14:paraId="27A70285" w14:textId="77777777" w:rsidR="00BB45AE" w:rsidRPr="00404139" w:rsidRDefault="00BB45AE" w:rsidP="00830946">
            <w:pPr>
              <w:pStyle w:val="Normaltextfortables"/>
              <w:framePr w:hSpace="0" w:wrap="auto" w:vAnchor="margin" w:hAnchor="text" w:yAlign="inline"/>
              <w:rPr>
                <w:rFonts w:cstheme="minorHAnsi"/>
                <w:lang w:eastAsia="en-AU"/>
              </w:rPr>
            </w:pPr>
            <w:r w:rsidRPr="00404139">
              <w:rPr>
                <w:rFonts w:cstheme="minorHAnsi"/>
                <w:lang w:eastAsia="en-AU"/>
              </w:rPr>
              <w:t xml:space="preserve">Do </w:t>
            </w:r>
            <w:r>
              <w:rPr>
                <w:rFonts w:cstheme="minorHAnsi"/>
                <w:lang w:eastAsia="en-AU"/>
              </w:rPr>
              <w:t xml:space="preserve">[health centres] </w:t>
            </w:r>
            <w:r w:rsidRPr="00404139">
              <w:rPr>
                <w:rFonts w:cstheme="minorHAnsi"/>
                <w:lang w:eastAsia="en-AU"/>
              </w:rPr>
              <w:t>participating in the Alternative Pilot differ from other IPHCCs?</w:t>
            </w:r>
          </w:p>
        </w:tc>
        <w:tc>
          <w:tcPr>
            <w:tcW w:w="2636" w:type="dxa"/>
          </w:tcPr>
          <w:p w14:paraId="4D1867EE" w14:textId="77777777" w:rsidR="00BB45AE" w:rsidRPr="00404139" w:rsidRDefault="00BB45AE" w:rsidP="00830946">
            <w:pPr>
              <w:pStyle w:val="Normaltextfortables"/>
              <w:framePr w:hSpace="0" w:wrap="auto" w:vAnchor="margin" w:hAnchor="text" w:yAlign="inline"/>
              <w:rPr>
                <w:rFonts w:cstheme="minorHAnsi"/>
                <w:lang w:eastAsia="en-AU"/>
              </w:rPr>
            </w:pPr>
            <w:r>
              <w:rPr>
                <w:rFonts w:cstheme="minorHAnsi"/>
                <w:lang w:eastAsia="en-AU"/>
              </w:rPr>
              <w:t xml:space="preserve">Section 5 </w:t>
            </w:r>
          </w:p>
        </w:tc>
      </w:tr>
      <w:tr w:rsidR="00BB45AE" w:rsidRPr="00404139" w14:paraId="76CE3634" w14:textId="77777777" w:rsidTr="00830946">
        <w:trPr>
          <w:cantSplit/>
        </w:trPr>
        <w:tc>
          <w:tcPr>
            <w:tcW w:w="6374" w:type="dxa"/>
          </w:tcPr>
          <w:p w14:paraId="15BD808D" w14:textId="77777777" w:rsidR="00BB45AE" w:rsidRPr="00404139" w:rsidRDefault="00BB45AE" w:rsidP="00830946">
            <w:pPr>
              <w:pStyle w:val="Normaltextfortables"/>
              <w:framePr w:hSpace="0" w:wrap="auto" w:vAnchor="margin" w:hAnchor="text" w:yAlign="inline"/>
              <w:rPr>
                <w:rFonts w:cstheme="minorHAnsi"/>
                <w:lang w:eastAsia="en-AU"/>
              </w:rPr>
            </w:pPr>
            <w:r w:rsidRPr="00404139">
              <w:rPr>
                <w:rFonts w:cstheme="minorHAnsi"/>
                <w:lang w:eastAsia="en-AU"/>
              </w:rPr>
              <w:t>What other considerations (including opportunities and risks) are there for a potential further roll-out?</w:t>
            </w:r>
          </w:p>
        </w:tc>
        <w:tc>
          <w:tcPr>
            <w:tcW w:w="2636" w:type="dxa"/>
          </w:tcPr>
          <w:p w14:paraId="21F95F6A" w14:textId="77777777" w:rsidR="00BB45AE" w:rsidRPr="00404139" w:rsidRDefault="00BB45AE" w:rsidP="00830946">
            <w:pPr>
              <w:pStyle w:val="Normaltextfortables"/>
              <w:framePr w:hSpace="0" w:wrap="auto" w:vAnchor="margin" w:hAnchor="text" w:yAlign="inline"/>
              <w:rPr>
                <w:rFonts w:cstheme="minorHAnsi"/>
                <w:lang w:eastAsia="en-AU"/>
              </w:rPr>
            </w:pPr>
            <w:r>
              <w:rPr>
                <w:rFonts w:cstheme="minorHAnsi"/>
                <w:lang w:eastAsia="en-AU"/>
              </w:rPr>
              <w:t>Section 10</w:t>
            </w:r>
          </w:p>
        </w:tc>
      </w:tr>
    </w:tbl>
    <w:p w14:paraId="2F19E53E" w14:textId="77777777" w:rsidR="00240279" w:rsidRDefault="00240279">
      <w:pPr>
        <w:spacing w:before="0" w:after="0" w:line="240" w:lineRule="auto"/>
      </w:pPr>
    </w:p>
    <w:p w14:paraId="18F41452" w14:textId="06486055" w:rsidR="002328BB" w:rsidRDefault="00240279" w:rsidP="00240279">
      <w:pPr>
        <w:rPr>
          <w:rFonts w:cstheme="minorHAnsi"/>
          <w:color w:val="000000" w:themeColor="text1"/>
        </w:rPr>
      </w:pPr>
      <w:r>
        <w:rPr>
          <w:rFonts w:cstheme="minorHAnsi"/>
          <w:color w:val="000000" w:themeColor="text1"/>
        </w:rPr>
        <w:t xml:space="preserve">Overall, the Pilot demonstrated that </w:t>
      </w:r>
      <w:r w:rsidR="002F117F">
        <w:rPr>
          <w:rFonts w:cstheme="minorHAnsi"/>
          <w:color w:val="000000" w:themeColor="text1"/>
        </w:rPr>
        <w:t xml:space="preserve">an Alternative Pathway offering NBCSP kits to eligible Indigenous adults </w:t>
      </w:r>
      <w:r w:rsidR="00055D23">
        <w:rPr>
          <w:rFonts w:cstheme="minorHAnsi"/>
          <w:color w:val="000000" w:themeColor="text1"/>
        </w:rPr>
        <w:t>via primary health care centres</w:t>
      </w:r>
      <w:r w:rsidR="002F117F">
        <w:rPr>
          <w:rFonts w:cstheme="minorHAnsi"/>
          <w:color w:val="000000" w:themeColor="text1"/>
        </w:rPr>
        <w:t xml:space="preserve"> is feasible to be rolled out more broadly</w:t>
      </w:r>
      <w:r w:rsidR="002328BB">
        <w:rPr>
          <w:rFonts w:cstheme="minorHAnsi"/>
          <w:color w:val="000000" w:themeColor="text1"/>
        </w:rPr>
        <w:t xml:space="preserve">, </w:t>
      </w:r>
      <w:r w:rsidR="00055D23">
        <w:rPr>
          <w:rFonts w:cstheme="minorHAnsi"/>
          <w:color w:val="000000" w:themeColor="text1"/>
        </w:rPr>
        <w:t xml:space="preserve">under </w:t>
      </w:r>
      <w:r w:rsidR="009679E1">
        <w:rPr>
          <w:rFonts w:cstheme="minorHAnsi"/>
          <w:color w:val="000000" w:themeColor="text1"/>
        </w:rPr>
        <w:t>certain conditions</w:t>
      </w:r>
      <w:r w:rsidR="00055D23">
        <w:rPr>
          <w:rFonts w:cstheme="minorHAnsi"/>
          <w:color w:val="000000" w:themeColor="text1"/>
        </w:rPr>
        <w:t>. The way primary health care practitioners access and provide information to the</w:t>
      </w:r>
      <w:r w:rsidR="006C717E">
        <w:rPr>
          <w:rFonts w:cstheme="minorHAnsi"/>
          <w:color w:val="000000" w:themeColor="text1"/>
        </w:rPr>
        <w:t xml:space="preserve"> program’s Register (now the NCSR) would need </w:t>
      </w:r>
      <w:r w:rsidR="002328BB">
        <w:rPr>
          <w:rFonts w:cstheme="minorHAnsi"/>
          <w:color w:val="000000" w:themeColor="text1"/>
        </w:rPr>
        <w:t>improvement</w:t>
      </w:r>
      <w:r w:rsidR="006C717E">
        <w:rPr>
          <w:rFonts w:cstheme="minorHAnsi"/>
          <w:color w:val="000000" w:themeColor="text1"/>
        </w:rPr>
        <w:t>. Nurses and AIHWs and some GPs showed a commitment to offer screening to the</w:t>
      </w:r>
      <w:r w:rsidR="006C2A3E">
        <w:rPr>
          <w:rFonts w:cstheme="minorHAnsi"/>
          <w:color w:val="000000" w:themeColor="text1"/>
        </w:rPr>
        <w:t>ir</w:t>
      </w:r>
      <w:r w:rsidR="006C717E">
        <w:rPr>
          <w:rFonts w:cstheme="minorHAnsi"/>
          <w:color w:val="000000" w:themeColor="text1"/>
        </w:rPr>
        <w:t xml:space="preserve"> Indigenous </w:t>
      </w:r>
      <w:r w:rsidR="006C2A3E">
        <w:rPr>
          <w:rFonts w:cstheme="minorHAnsi"/>
          <w:color w:val="000000" w:themeColor="text1"/>
        </w:rPr>
        <w:t>patients</w:t>
      </w:r>
      <w:r w:rsidR="006C717E">
        <w:rPr>
          <w:rFonts w:cstheme="minorHAnsi"/>
          <w:color w:val="000000" w:themeColor="text1"/>
        </w:rPr>
        <w:t xml:space="preserve"> despite the inconvenient online form that needed to be completed for each patient</w:t>
      </w:r>
      <w:r w:rsidR="00206C83">
        <w:rPr>
          <w:rFonts w:cstheme="minorHAnsi"/>
          <w:color w:val="000000" w:themeColor="text1"/>
        </w:rPr>
        <w:t>, and these were the people who drove the systematic implementation of the Alternative Pathway</w:t>
      </w:r>
      <w:r w:rsidR="006C717E">
        <w:rPr>
          <w:rFonts w:cstheme="minorHAnsi"/>
          <w:color w:val="000000" w:themeColor="text1"/>
        </w:rPr>
        <w:t>.</w:t>
      </w:r>
      <w:r w:rsidR="00055D23">
        <w:rPr>
          <w:rFonts w:cstheme="minorHAnsi"/>
          <w:color w:val="000000" w:themeColor="text1"/>
        </w:rPr>
        <w:t xml:space="preserve"> </w:t>
      </w:r>
    </w:p>
    <w:p w14:paraId="5147A4D5" w14:textId="21A44E1C" w:rsidR="008F348E" w:rsidRDefault="006C2A3E" w:rsidP="00240279">
      <w:pPr>
        <w:rPr>
          <w:rFonts w:cstheme="minorHAnsi"/>
          <w:color w:val="000000" w:themeColor="text1"/>
        </w:rPr>
      </w:pPr>
      <w:r>
        <w:rPr>
          <w:rFonts w:cstheme="minorHAnsi"/>
          <w:color w:val="000000" w:themeColor="text1"/>
        </w:rPr>
        <w:t>However</w:t>
      </w:r>
      <w:r w:rsidR="002328BB">
        <w:rPr>
          <w:rFonts w:cstheme="minorHAnsi"/>
          <w:color w:val="000000" w:themeColor="text1"/>
        </w:rPr>
        <w:t>,</w:t>
      </w:r>
      <w:r>
        <w:rPr>
          <w:rFonts w:cstheme="minorHAnsi"/>
          <w:color w:val="000000" w:themeColor="text1"/>
        </w:rPr>
        <w:t xml:space="preserve"> </w:t>
      </w:r>
      <w:r w:rsidR="00827046">
        <w:rPr>
          <w:rFonts w:cstheme="minorHAnsi"/>
          <w:color w:val="000000" w:themeColor="text1"/>
        </w:rPr>
        <w:t xml:space="preserve">it would be difficult to sustain </w:t>
      </w:r>
      <w:r w:rsidR="00C905A1">
        <w:rPr>
          <w:rFonts w:cstheme="minorHAnsi"/>
          <w:color w:val="000000" w:themeColor="text1"/>
        </w:rPr>
        <w:t>a broader</w:t>
      </w:r>
      <w:r w:rsidR="005521DA">
        <w:rPr>
          <w:rFonts w:cstheme="minorHAnsi"/>
          <w:color w:val="000000" w:themeColor="text1"/>
        </w:rPr>
        <w:t xml:space="preserve"> Alternative Pathway</w:t>
      </w:r>
      <w:r w:rsidR="00C905A1">
        <w:rPr>
          <w:rFonts w:cstheme="minorHAnsi"/>
          <w:color w:val="000000" w:themeColor="text1"/>
        </w:rPr>
        <w:t xml:space="preserve"> </w:t>
      </w:r>
      <w:r w:rsidR="002328BB">
        <w:rPr>
          <w:rFonts w:cstheme="minorHAnsi"/>
          <w:color w:val="000000" w:themeColor="text1"/>
        </w:rPr>
        <w:t>without</w:t>
      </w:r>
      <w:r w:rsidR="00C905A1">
        <w:rPr>
          <w:rFonts w:cstheme="minorHAnsi"/>
          <w:color w:val="000000" w:themeColor="text1"/>
        </w:rPr>
        <w:t xml:space="preserve"> more workable IT arrangements for primary health care staff to communicate with the National Cancer Screening Register </w:t>
      </w:r>
      <w:r w:rsidR="00C905A1">
        <w:rPr>
          <w:rFonts w:cstheme="minorHAnsi"/>
          <w:color w:val="000000" w:themeColor="text1"/>
        </w:rPr>
        <w:lastRenderedPageBreak/>
        <w:t>about the distribution of kits, patient screening histories and results.</w:t>
      </w:r>
      <w:r w:rsidR="005521DA">
        <w:rPr>
          <w:rFonts w:cstheme="minorHAnsi"/>
          <w:color w:val="000000" w:themeColor="text1"/>
        </w:rPr>
        <w:t xml:space="preserve"> There are also risks related to the use of the </w:t>
      </w:r>
      <w:r w:rsidR="00C905A1">
        <w:rPr>
          <w:rFonts w:cstheme="minorHAnsi"/>
          <w:color w:val="000000" w:themeColor="text1"/>
        </w:rPr>
        <w:t>o</w:t>
      </w:r>
      <w:r w:rsidR="005521DA">
        <w:rPr>
          <w:rFonts w:cstheme="minorHAnsi"/>
          <w:color w:val="000000" w:themeColor="text1"/>
        </w:rPr>
        <w:t>nline form</w:t>
      </w:r>
      <w:r w:rsidR="006C717E">
        <w:rPr>
          <w:rFonts w:cstheme="minorHAnsi"/>
          <w:color w:val="000000" w:themeColor="text1"/>
        </w:rPr>
        <w:t xml:space="preserve">: </w:t>
      </w:r>
      <w:r w:rsidR="005521DA">
        <w:rPr>
          <w:rFonts w:cstheme="minorHAnsi"/>
          <w:color w:val="000000" w:themeColor="text1"/>
        </w:rPr>
        <w:t>for</w:t>
      </w:r>
      <w:r w:rsidR="006C717E">
        <w:rPr>
          <w:rFonts w:cstheme="minorHAnsi"/>
          <w:color w:val="000000" w:themeColor="text1"/>
        </w:rPr>
        <w:t xml:space="preserve"> the integrity of the program’s data and</w:t>
      </w:r>
      <w:r>
        <w:rPr>
          <w:rFonts w:cstheme="minorHAnsi"/>
          <w:color w:val="000000" w:themeColor="text1"/>
        </w:rPr>
        <w:t xml:space="preserve"> for patients. </w:t>
      </w:r>
    </w:p>
    <w:p w14:paraId="231DBBB9" w14:textId="230F8376" w:rsidR="005521DA" w:rsidRDefault="005521DA" w:rsidP="00240279">
      <w:pPr>
        <w:rPr>
          <w:rFonts w:cstheme="minorHAnsi"/>
          <w:color w:val="000000" w:themeColor="text1"/>
        </w:rPr>
      </w:pPr>
      <w:r>
        <w:rPr>
          <w:rFonts w:cstheme="minorHAnsi"/>
          <w:color w:val="000000" w:themeColor="text1"/>
        </w:rPr>
        <w:t>Other necessary conditions for a broader rollout of the Alternative Pathway are that health centres would need to self-nominate and would need to commit to following the NBCSP’s procedures. Having at least one staff member who was motivated to lead and oversee the introduction of the Alternative Pathway was a key success factor for Pilot sites. Health centres would need to commit to follow the NBCSP procedures. Barriers that discourage health centre staff from following those procedures, such as the online form, would need to be addressed.</w:t>
      </w:r>
    </w:p>
    <w:p w14:paraId="3A94BB92" w14:textId="5DCF6A9A" w:rsidR="00EC658E" w:rsidRDefault="009E571F" w:rsidP="00EC658E">
      <w:pPr>
        <w:rPr>
          <w:rFonts w:cstheme="minorHAnsi"/>
          <w:color w:val="000000" w:themeColor="text1"/>
        </w:rPr>
      </w:pPr>
      <w:r>
        <w:rPr>
          <w:rFonts w:cstheme="minorHAnsi"/>
          <w:color w:val="000000" w:themeColor="text1"/>
        </w:rPr>
        <w:t xml:space="preserve">Around the world there has been growing interest in offering screening outside of a standard systematic invitation program, as a </w:t>
      </w:r>
      <w:r w:rsidR="00422D27">
        <w:rPr>
          <w:rFonts w:cstheme="minorHAnsi"/>
          <w:color w:val="000000" w:themeColor="text1"/>
        </w:rPr>
        <w:t xml:space="preserve">means of creating more equitable </w:t>
      </w:r>
      <w:r w:rsidR="003E59C4">
        <w:rPr>
          <w:rFonts w:cstheme="minorHAnsi"/>
          <w:color w:val="000000" w:themeColor="text1"/>
        </w:rPr>
        <w:t>access</w:t>
      </w:r>
      <w:r>
        <w:rPr>
          <w:rFonts w:cstheme="minorHAnsi"/>
          <w:color w:val="000000" w:themeColor="text1"/>
        </w:rPr>
        <w:t xml:space="preserve"> to screening. But there are challenges in </w:t>
      </w:r>
      <w:r w:rsidR="00827046">
        <w:rPr>
          <w:rFonts w:cstheme="minorHAnsi"/>
          <w:color w:val="000000" w:themeColor="text1"/>
        </w:rPr>
        <w:t>integrating program data across these two different approaches to invitation</w:t>
      </w:r>
      <w:r w:rsidR="00C905A1">
        <w:rPr>
          <w:rFonts w:cstheme="minorHAnsi"/>
          <w:color w:val="000000" w:themeColor="text1"/>
        </w:rPr>
        <w:t xml:space="preserve"> and this is true for the NBCSP</w:t>
      </w:r>
      <w:r w:rsidR="00827046">
        <w:rPr>
          <w:rFonts w:cstheme="minorHAnsi"/>
          <w:color w:val="000000" w:themeColor="text1"/>
        </w:rPr>
        <w:t xml:space="preserve">. </w:t>
      </w:r>
      <w:r w:rsidR="00EC658E">
        <w:rPr>
          <w:rFonts w:cstheme="minorHAnsi"/>
          <w:color w:val="000000" w:themeColor="text1"/>
        </w:rPr>
        <w:t>Broader rollout would require</w:t>
      </w:r>
      <w:r w:rsidR="003E59C4">
        <w:rPr>
          <w:rFonts w:cstheme="minorHAnsi"/>
          <w:color w:val="000000" w:themeColor="text1"/>
        </w:rPr>
        <w:t xml:space="preserve"> easier ways to fit</w:t>
      </w:r>
      <w:r w:rsidR="00EC658E">
        <w:rPr>
          <w:rFonts w:cstheme="minorHAnsi"/>
          <w:color w:val="000000" w:themeColor="text1"/>
        </w:rPr>
        <w:t xml:space="preserve"> Alternative Pathway invitees into the Register. The National Bowel Cancer Screening Register (NBCSR) treated invitees as ‘cohorts’ – large groups of people invited to screen in the same ‘round’. For the Alternative Pathway, individual participants screening outside of their ‘round’ were fitted into the NBCSR manually. That level of support is manageable for a Pilot project, but not as part of an ongoing program. </w:t>
      </w:r>
    </w:p>
    <w:p w14:paraId="0F7C35D3" w14:textId="2A4B380A" w:rsidR="00240279" w:rsidRDefault="00240279" w:rsidP="00240279">
      <w:pPr>
        <w:rPr>
          <w:rFonts w:cstheme="minorHAnsi"/>
          <w:color w:val="000000" w:themeColor="text1"/>
        </w:rPr>
      </w:pPr>
      <w:r>
        <w:rPr>
          <w:rFonts w:cstheme="minorHAnsi"/>
          <w:color w:val="000000" w:themeColor="text1"/>
        </w:rPr>
        <w:t xml:space="preserve">The Pilot was carried out before the NBCSP transitioned to the NCSR (in November 2019). The NCSR will reportedly provide easier access through a ‘portal’ for primary health care professionals at a future date. The lesson from the Pilot is that the design of these administrative procedures must be informed by those who will use them </w:t>
      </w:r>
      <w:r w:rsidRPr="00EF4776">
        <w:rPr>
          <w:rFonts w:cstheme="minorHAnsi"/>
          <w:i/>
          <w:iCs/>
          <w:color w:val="000000" w:themeColor="text1"/>
        </w:rPr>
        <w:t>and tested in situ and as part of broader organisational system</w:t>
      </w:r>
      <w:r>
        <w:rPr>
          <w:rFonts w:cstheme="minorHAnsi"/>
          <w:color w:val="000000" w:themeColor="text1"/>
        </w:rPr>
        <w:t xml:space="preserve">s. </w:t>
      </w:r>
    </w:p>
    <w:p w14:paraId="04202F4B" w14:textId="77777777" w:rsidR="00E96A8F" w:rsidRDefault="00E96A8F" w:rsidP="00E96A8F">
      <w:pPr>
        <w:rPr>
          <w:rFonts w:cstheme="minorHAnsi"/>
          <w:color w:val="000000" w:themeColor="text1"/>
        </w:rPr>
      </w:pPr>
      <w:r>
        <w:rPr>
          <w:rFonts w:cstheme="minorHAnsi"/>
          <w:color w:val="000000" w:themeColor="text1"/>
        </w:rPr>
        <w:t xml:space="preserve">A key part of the implementation support provided through the Pilot was a quality and safety process. Health centres were required to complete a Quality and Safety Checklist to a satisfactory standard before giving out kits. Because the Pilot was conducted as a research project, most effort went into ensuring health centres moved through the quality and safety process and were approved to give out kits in a timely way. Feedback from those involved with supporting the Pilot from within the NBCSP suggested that checking in with health centres on a regular basis </w:t>
      </w:r>
      <w:r w:rsidRPr="008E36D5">
        <w:rPr>
          <w:rFonts w:cstheme="minorHAnsi"/>
          <w:i/>
          <w:iCs/>
          <w:color w:val="000000" w:themeColor="text1"/>
        </w:rPr>
        <w:t>after</w:t>
      </w:r>
      <w:r>
        <w:rPr>
          <w:rFonts w:cstheme="minorHAnsi"/>
          <w:color w:val="000000" w:themeColor="text1"/>
        </w:rPr>
        <w:t xml:space="preserve"> they started giving out kits may have helped identify and correct procedural errors more quickly. </w:t>
      </w:r>
    </w:p>
    <w:p w14:paraId="0F5DCCEA" w14:textId="4D042C5E" w:rsidR="007565A1" w:rsidRDefault="00EE77D3" w:rsidP="00E96A8F">
      <w:pPr>
        <w:rPr>
          <w:rFonts w:cstheme="minorHAnsi"/>
          <w:color w:val="000000" w:themeColor="text1"/>
        </w:rPr>
      </w:pPr>
      <w:r>
        <w:rPr>
          <w:rFonts w:cstheme="minorHAnsi"/>
          <w:color w:val="000000" w:themeColor="text1"/>
        </w:rPr>
        <w:t xml:space="preserve">The Pilot provided tools that could be used at multiple levels to support </w:t>
      </w:r>
      <w:r w:rsidR="004C7585">
        <w:rPr>
          <w:rFonts w:cstheme="minorHAnsi"/>
          <w:color w:val="000000" w:themeColor="text1"/>
        </w:rPr>
        <w:t xml:space="preserve">the implementation and ongoing delivery of the </w:t>
      </w:r>
      <w:r>
        <w:rPr>
          <w:rFonts w:cstheme="minorHAnsi"/>
          <w:color w:val="000000" w:themeColor="text1"/>
        </w:rPr>
        <w:t>Alternative Pathway</w:t>
      </w:r>
      <w:r w:rsidR="004C7585">
        <w:rPr>
          <w:rFonts w:cstheme="minorHAnsi"/>
          <w:color w:val="000000" w:themeColor="text1"/>
        </w:rPr>
        <w:t xml:space="preserve">: training, implementation planning and materials, resources for use with patients, and external sources of help when needed. These same levels of support should be provided if broader rollout were to </w:t>
      </w:r>
      <w:r w:rsidR="007565A1">
        <w:rPr>
          <w:rFonts w:cstheme="minorHAnsi"/>
          <w:color w:val="000000" w:themeColor="text1"/>
        </w:rPr>
        <w:t>proceed</w:t>
      </w:r>
      <w:r w:rsidR="004C7585">
        <w:rPr>
          <w:rFonts w:cstheme="minorHAnsi"/>
          <w:color w:val="000000" w:themeColor="text1"/>
        </w:rPr>
        <w:t>. S</w:t>
      </w:r>
      <w:r w:rsidR="00E96A8F">
        <w:rPr>
          <w:rFonts w:cstheme="minorHAnsi"/>
          <w:color w:val="000000" w:themeColor="text1"/>
        </w:rPr>
        <w:t xml:space="preserve">upport would be required, until promoting the NBCSP through primary health care became widespread and more staff understood the program. </w:t>
      </w:r>
    </w:p>
    <w:p w14:paraId="61C2FBDA" w14:textId="51A30910" w:rsidR="00E96A8F" w:rsidRDefault="00E96A8F" w:rsidP="00E96A8F">
      <w:pPr>
        <w:rPr>
          <w:rFonts w:cstheme="minorHAnsi"/>
          <w:color w:val="000000" w:themeColor="text1"/>
        </w:rPr>
      </w:pPr>
      <w:r>
        <w:rPr>
          <w:rFonts w:cstheme="minorHAnsi"/>
          <w:color w:val="000000" w:themeColor="text1"/>
        </w:rPr>
        <w:t>The Pilot findings suggest that a simpler version of the quality and safety process</w:t>
      </w:r>
      <w:r w:rsidR="007565A1">
        <w:rPr>
          <w:rFonts w:cstheme="minorHAnsi"/>
          <w:color w:val="000000" w:themeColor="text1"/>
        </w:rPr>
        <w:t xml:space="preserve">, </w:t>
      </w:r>
      <w:r>
        <w:rPr>
          <w:rFonts w:cstheme="minorHAnsi"/>
          <w:color w:val="000000" w:themeColor="text1"/>
        </w:rPr>
        <w:t xml:space="preserve">combined with a variation of the </w:t>
      </w:r>
      <w:r w:rsidR="007565A1">
        <w:rPr>
          <w:rFonts w:cstheme="minorHAnsi"/>
          <w:color w:val="000000" w:themeColor="text1"/>
        </w:rPr>
        <w:t>s</w:t>
      </w:r>
      <w:r>
        <w:rPr>
          <w:rFonts w:cstheme="minorHAnsi"/>
          <w:color w:val="000000" w:themeColor="text1"/>
        </w:rPr>
        <w:t xml:space="preserve">ite </w:t>
      </w:r>
      <w:r w:rsidR="007565A1">
        <w:rPr>
          <w:rFonts w:cstheme="minorHAnsi"/>
          <w:color w:val="000000" w:themeColor="text1"/>
        </w:rPr>
        <w:t>s</w:t>
      </w:r>
      <w:r>
        <w:rPr>
          <w:rFonts w:cstheme="minorHAnsi"/>
          <w:color w:val="000000" w:themeColor="text1"/>
        </w:rPr>
        <w:t>upport function provided through the Pilot by Menzies</w:t>
      </w:r>
      <w:r w:rsidR="007565A1">
        <w:rPr>
          <w:rFonts w:cstheme="minorHAnsi"/>
          <w:color w:val="000000" w:themeColor="text1"/>
        </w:rPr>
        <w:t xml:space="preserve">, </w:t>
      </w:r>
      <w:r>
        <w:rPr>
          <w:rFonts w:cstheme="minorHAnsi"/>
          <w:color w:val="000000" w:themeColor="text1"/>
        </w:rPr>
        <w:t xml:space="preserve">could be a more effective way to ensure that the procedural requirements of the NBCSP </w:t>
      </w:r>
      <w:r w:rsidR="007565A1">
        <w:rPr>
          <w:rFonts w:cstheme="minorHAnsi"/>
          <w:color w:val="000000" w:themeColor="text1"/>
        </w:rPr>
        <w:t>a</w:t>
      </w:r>
      <w:r>
        <w:rPr>
          <w:rFonts w:cstheme="minorHAnsi"/>
          <w:color w:val="000000" w:themeColor="text1"/>
        </w:rPr>
        <w:t xml:space="preserve">re followed. </w:t>
      </w:r>
      <w:r w:rsidR="007565A1">
        <w:rPr>
          <w:rFonts w:cstheme="minorHAnsi"/>
          <w:color w:val="000000" w:themeColor="text1"/>
        </w:rPr>
        <w:t>T</w:t>
      </w:r>
      <w:r w:rsidR="004C7585">
        <w:rPr>
          <w:rFonts w:cstheme="minorHAnsi"/>
          <w:color w:val="000000" w:themeColor="text1"/>
        </w:rPr>
        <w:t xml:space="preserve">he online and face-to-face training used </w:t>
      </w:r>
      <w:r w:rsidR="006F31A6">
        <w:rPr>
          <w:rFonts w:cstheme="minorHAnsi"/>
          <w:color w:val="000000" w:themeColor="text1"/>
        </w:rPr>
        <w:t xml:space="preserve">in the Pilot worked well to </w:t>
      </w:r>
      <w:r w:rsidR="007565A1">
        <w:rPr>
          <w:rFonts w:cstheme="minorHAnsi"/>
          <w:color w:val="000000" w:themeColor="text1"/>
        </w:rPr>
        <w:t>engage teams</w:t>
      </w:r>
      <w:r w:rsidR="006F31A6">
        <w:rPr>
          <w:rFonts w:cstheme="minorHAnsi"/>
          <w:color w:val="000000" w:themeColor="text1"/>
        </w:rPr>
        <w:t xml:space="preserve"> and to build </w:t>
      </w:r>
      <w:r w:rsidR="007565A1">
        <w:rPr>
          <w:rFonts w:cstheme="minorHAnsi"/>
          <w:color w:val="000000" w:themeColor="text1"/>
        </w:rPr>
        <w:t xml:space="preserve">their </w:t>
      </w:r>
      <w:r w:rsidR="006F31A6">
        <w:rPr>
          <w:rFonts w:cstheme="minorHAnsi"/>
          <w:color w:val="000000" w:themeColor="text1"/>
        </w:rPr>
        <w:t>confidence to offer screening to patients. The</w:t>
      </w:r>
      <w:r w:rsidR="006B022B">
        <w:rPr>
          <w:rFonts w:cstheme="minorHAnsi"/>
          <w:color w:val="000000" w:themeColor="text1"/>
        </w:rPr>
        <w:t xml:space="preserve"> same or similar online module and/or face to face training should also be available</w:t>
      </w:r>
      <w:r w:rsidR="00EE77D3">
        <w:rPr>
          <w:rFonts w:cstheme="minorHAnsi"/>
          <w:color w:val="000000" w:themeColor="text1"/>
        </w:rPr>
        <w:t xml:space="preserve"> </w:t>
      </w:r>
      <w:r w:rsidR="006B022B">
        <w:rPr>
          <w:rFonts w:cstheme="minorHAnsi"/>
          <w:color w:val="000000" w:themeColor="text1"/>
        </w:rPr>
        <w:t>and could be supported through regional organisations like PHNs, ACCHO peak bodies, Cancer Councils or state and territory health services</w:t>
      </w:r>
      <w:r w:rsidR="007565A1">
        <w:rPr>
          <w:rFonts w:cstheme="minorHAnsi"/>
          <w:color w:val="000000" w:themeColor="text1"/>
        </w:rPr>
        <w:t xml:space="preserve">, </w:t>
      </w:r>
      <w:r w:rsidR="006B022B">
        <w:rPr>
          <w:rFonts w:cstheme="minorHAnsi"/>
          <w:color w:val="000000" w:themeColor="text1"/>
        </w:rPr>
        <w:t xml:space="preserve">or a collaboration between two or more of these organisations. </w:t>
      </w:r>
    </w:p>
    <w:p w14:paraId="66C3D736" w14:textId="77777777" w:rsidR="006227DB" w:rsidRDefault="006227DB" w:rsidP="006227DB">
      <w:pPr>
        <w:rPr>
          <w:rFonts w:cstheme="minorHAnsi"/>
          <w:color w:val="000000" w:themeColor="text1"/>
        </w:rPr>
      </w:pPr>
      <w:r>
        <w:rPr>
          <w:rFonts w:cstheme="minorHAnsi"/>
          <w:color w:val="000000" w:themeColor="text1"/>
        </w:rPr>
        <w:lastRenderedPageBreak/>
        <w:t xml:space="preserve">However, not all Indigenous primary health care centres will have the capacity to offer the Alternative Pathway without a higher level of support. To avoid creating further inequity, with some health centres offering their Indigenous patients the Alternative Pathway and some not, more intensive support strategies are likely to be needed. </w:t>
      </w:r>
    </w:p>
    <w:p w14:paraId="12DBBCBE" w14:textId="3227E382" w:rsidR="006227DB" w:rsidRDefault="006227DB" w:rsidP="006227DB">
      <w:pPr>
        <w:rPr>
          <w:rFonts w:cstheme="minorHAnsi"/>
          <w:color w:val="000000" w:themeColor="text1"/>
        </w:rPr>
      </w:pPr>
      <w:r>
        <w:rPr>
          <w:rFonts w:cstheme="minorHAnsi"/>
          <w:color w:val="000000" w:themeColor="text1"/>
        </w:rPr>
        <w:t xml:space="preserve">For example, establishing systems and ensuring staff were skilled to offer bowel screening during the implementation was described as the most time-consuming part of the process. However, once the system was up and running, it took little maintenance so financial and or technical assistance to establish the process, combined with face-to-face training to motivate health centre participation, might be needed to extend the Alternative Pathway to a greater number of health centres. </w:t>
      </w:r>
    </w:p>
    <w:p w14:paraId="3AD79F9C" w14:textId="5E453AC1" w:rsidR="00E96A8F" w:rsidRDefault="003E59C4" w:rsidP="00E96A8F">
      <w:pPr>
        <w:rPr>
          <w:rFonts w:cstheme="minorHAnsi"/>
          <w:color w:val="000000" w:themeColor="text1"/>
        </w:rPr>
      </w:pPr>
      <w:r>
        <w:rPr>
          <w:rFonts w:cstheme="minorHAnsi"/>
          <w:color w:val="000000" w:themeColor="text1"/>
        </w:rPr>
        <w:t>The</w:t>
      </w:r>
      <w:r w:rsidR="00E96A8F">
        <w:rPr>
          <w:rFonts w:cstheme="minorHAnsi"/>
          <w:color w:val="000000" w:themeColor="text1"/>
        </w:rPr>
        <w:t xml:space="preserve"> Pilot focussed on getting health centres to embed bowel screening into routine practice. Achieving higher screening rates, as for the broader community, will need to build on that foundation with approaches that evolve over time. Quality improvement initiatives and/or learning networks</w:t>
      </w:r>
      <w:r w:rsidR="006227DB">
        <w:rPr>
          <w:rFonts w:cstheme="minorHAnsi"/>
          <w:color w:val="000000" w:themeColor="text1"/>
        </w:rPr>
        <w:t xml:space="preserve">, </w:t>
      </w:r>
      <w:r w:rsidR="00E96A8F">
        <w:rPr>
          <w:rFonts w:cstheme="minorHAnsi"/>
          <w:color w:val="000000" w:themeColor="text1"/>
        </w:rPr>
        <w:t>at the health centre, regional or even national levels</w:t>
      </w:r>
      <w:r w:rsidR="006227DB">
        <w:rPr>
          <w:rFonts w:cstheme="minorHAnsi"/>
          <w:color w:val="000000" w:themeColor="text1"/>
        </w:rPr>
        <w:t xml:space="preserve">, </w:t>
      </w:r>
      <w:r w:rsidR="00E96A8F">
        <w:rPr>
          <w:rFonts w:cstheme="minorHAnsi"/>
          <w:color w:val="000000" w:themeColor="text1"/>
        </w:rPr>
        <w:t xml:space="preserve">could build a greater body of knowledge amongst health professionals about what works to increase bowel screening participation across the entire eligible population.  </w:t>
      </w:r>
    </w:p>
    <w:p w14:paraId="47B22619" w14:textId="77777777" w:rsidR="000E405C" w:rsidRPr="00E26837" w:rsidRDefault="000E405C" w:rsidP="004257B1">
      <w:pPr>
        <w:pStyle w:val="Heading4"/>
      </w:pPr>
      <w:r w:rsidRPr="00E26837">
        <w:t>Other opportunities</w:t>
      </w:r>
    </w:p>
    <w:p w14:paraId="5148A999" w14:textId="1D845991" w:rsidR="00A03D40" w:rsidRDefault="00E96A8F" w:rsidP="00240279">
      <w:pPr>
        <w:rPr>
          <w:rFonts w:cstheme="minorHAnsi"/>
          <w:color w:val="000000" w:themeColor="text1"/>
        </w:rPr>
      </w:pPr>
      <w:r>
        <w:rPr>
          <w:rFonts w:cstheme="minorHAnsi"/>
          <w:color w:val="000000" w:themeColor="text1"/>
        </w:rPr>
        <w:t>There is an increasing awareness and desire to reduce deaths from cancer in Indigenous communities. In interviews with health centre staff, it was suggested that a dedicated cancer workforce is needed in Indigenous primary health care centres to encourage screening, prevention and early detection</w:t>
      </w:r>
      <w:r w:rsidR="004E23D8">
        <w:rPr>
          <w:rFonts w:cstheme="minorHAnsi"/>
          <w:color w:val="000000" w:themeColor="text1"/>
        </w:rPr>
        <w:t>, in the same way that chronic disease management has been targeted with specific workforce roles and funding.</w:t>
      </w:r>
      <w:r>
        <w:rPr>
          <w:rFonts w:cstheme="minorHAnsi"/>
          <w:color w:val="000000" w:themeColor="text1"/>
        </w:rPr>
        <w:t xml:space="preserve"> </w:t>
      </w:r>
      <w:r w:rsidR="000E405C">
        <w:rPr>
          <w:rFonts w:cstheme="minorHAnsi"/>
          <w:color w:val="000000" w:themeColor="text1"/>
        </w:rPr>
        <w:t>A broader agenda of increasing awareness and building primary health care capability to promote and</w:t>
      </w:r>
      <w:r w:rsidR="004E23D8">
        <w:rPr>
          <w:rFonts w:cstheme="minorHAnsi"/>
          <w:color w:val="000000" w:themeColor="text1"/>
        </w:rPr>
        <w:t xml:space="preserve"> </w:t>
      </w:r>
      <w:r w:rsidR="000E405C">
        <w:rPr>
          <w:rFonts w:cstheme="minorHAnsi"/>
          <w:color w:val="000000" w:themeColor="text1"/>
        </w:rPr>
        <w:t xml:space="preserve">manage </w:t>
      </w:r>
      <w:r w:rsidR="00A03D40">
        <w:rPr>
          <w:rFonts w:cstheme="minorHAnsi"/>
          <w:color w:val="000000" w:themeColor="text1"/>
        </w:rPr>
        <w:t>cancer screening across the three current screening programs could be built around such a workforce, and the implementation support recommended above could be adapted to support this workforce.</w:t>
      </w:r>
    </w:p>
    <w:p w14:paraId="43586C98" w14:textId="796CDCB3" w:rsidR="00E26837" w:rsidRDefault="00E26837" w:rsidP="00240279">
      <w:pPr>
        <w:rPr>
          <w:rFonts w:cstheme="minorHAnsi"/>
          <w:color w:val="000000" w:themeColor="text1"/>
        </w:rPr>
      </w:pPr>
      <w:r>
        <w:rPr>
          <w:rFonts w:cstheme="minorHAnsi"/>
          <w:color w:val="000000" w:themeColor="text1"/>
        </w:rPr>
        <w:t xml:space="preserve">A number of supporting agencies </w:t>
      </w:r>
      <w:r w:rsidR="00F303EF">
        <w:rPr>
          <w:rFonts w:cstheme="minorHAnsi"/>
          <w:color w:val="000000" w:themeColor="text1"/>
        </w:rPr>
        <w:t xml:space="preserve">that provided reports to the Pilot (see Appendix G) have developed or are in the process of developing or running programs to build and strengthen capacity to support bowel screening promotion at a range of levels, including in the Indigenous primary health care sector. </w:t>
      </w:r>
      <w:r w:rsidR="00B819DA">
        <w:rPr>
          <w:rFonts w:cstheme="minorHAnsi"/>
          <w:color w:val="000000" w:themeColor="text1"/>
        </w:rPr>
        <w:t>These provide many opportunities, not only for action but for new ways of thinking about things.</w:t>
      </w:r>
    </w:p>
    <w:p w14:paraId="2FFFD1CB" w14:textId="6D39D316" w:rsidR="00E96A8F" w:rsidRDefault="00A03D40" w:rsidP="00240279">
      <w:pPr>
        <w:rPr>
          <w:rFonts w:cstheme="minorHAnsi"/>
          <w:color w:val="000000" w:themeColor="text1"/>
        </w:rPr>
      </w:pPr>
      <w:r>
        <w:rPr>
          <w:rFonts w:cstheme="minorHAnsi"/>
          <w:color w:val="000000" w:themeColor="text1"/>
        </w:rPr>
        <w:t xml:space="preserve">When the National </w:t>
      </w:r>
      <w:r w:rsidR="00AE4FB1">
        <w:rPr>
          <w:rFonts w:cstheme="minorHAnsi"/>
          <w:color w:val="000000" w:themeColor="text1"/>
        </w:rPr>
        <w:t xml:space="preserve">Indigenous </w:t>
      </w:r>
      <w:r>
        <w:rPr>
          <w:rFonts w:cstheme="minorHAnsi"/>
          <w:color w:val="000000" w:themeColor="text1"/>
        </w:rPr>
        <w:t xml:space="preserve">Bowel Screening Project began, a GP made the comment that it was a ‘no brainer’ to give out kits to Indigenous Australians from their primary health care centre. Similar comments have been made many times since then, and in relation to </w:t>
      </w:r>
      <w:r w:rsidR="00B64303">
        <w:rPr>
          <w:rFonts w:cstheme="minorHAnsi"/>
          <w:color w:val="000000" w:themeColor="text1"/>
        </w:rPr>
        <w:t>the whole Australian population</w:t>
      </w:r>
      <w:r w:rsidR="007D3F8D">
        <w:rPr>
          <w:rFonts w:cstheme="minorHAnsi"/>
          <w:color w:val="000000" w:themeColor="text1"/>
        </w:rPr>
        <w:t>, not only for Indigenous Australians</w:t>
      </w:r>
      <w:r>
        <w:rPr>
          <w:rFonts w:cstheme="minorHAnsi"/>
          <w:color w:val="000000" w:themeColor="text1"/>
        </w:rPr>
        <w:t xml:space="preserve">. </w:t>
      </w:r>
      <w:r w:rsidR="00B64303">
        <w:rPr>
          <w:rFonts w:cstheme="minorHAnsi"/>
          <w:color w:val="000000" w:themeColor="text1"/>
        </w:rPr>
        <w:t xml:space="preserve">There is a risk though in thinking that the model of Alternative Pathway used in the Pilot could simply be picked up and dropped into Australia’s general practice sector, without careful consideration of the setting, the barriers and enablers to uptake, and the strategies to address those. </w:t>
      </w:r>
    </w:p>
    <w:p w14:paraId="2C5AC215" w14:textId="00095C22" w:rsidR="00422D27" w:rsidRDefault="00422D27" w:rsidP="00240279">
      <w:pPr>
        <w:rPr>
          <w:rFonts w:cstheme="minorHAnsi"/>
          <w:color w:val="000000" w:themeColor="text1"/>
        </w:rPr>
      </w:pPr>
    </w:p>
    <w:p w14:paraId="15F00EFA" w14:textId="77777777" w:rsidR="00A03D40" w:rsidRDefault="00A03D40" w:rsidP="00240279">
      <w:pPr>
        <w:rPr>
          <w:rFonts w:cstheme="minorHAnsi"/>
          <w:color w:val="000000" w:themeColor="text1"/>
        </w:rPr>
      </w:pPr>
    </w:p>
    <w:p w14:paraId="65851077" w14:textId="02BD3153" w:rsidR="00643737" w:rsidRDefault="00643737">
      <w:pPr>
        <w:spacing w:before="0" w:after="0" w:line="240" w:lineRule="auto"/>
        <w:rPr>
          <w:rFonts w:asciiTheme="majorHAnsi" w:eastAsiaTheme="majorEastAsia" w:hAnsiTheme="majorHAnsi" w:cstheme="majorBidi"/>
          <w:b/>
          <w:color w:val="C45911" w:themeColor="accent2" w:themeShade="BF"/>
          <w:sz w:val="48"/>
          <w:szCs w:val="32"/>
          <w:lang w:eastAsia="en-AU"/>
        </w:rPr>
      </w:pPr>
      <w:r>
        <w:br w:type="page"/>
      </w:r>
    </w:p>
    <w:p w14:paraId="59C17D86" w14:textId="6494C46C" w:rsidR="00940005" w:rsidRPr="00874345" w:rsidRDefault="00EC7BAC" w:rsidP="00510A67">
      <w:pPr>
        <w:pStyle w:val="Heading1"/>
      </w:pPr>
      <w:bookmarkStart w:id="290" w:name="_Toc44339250"/>
      <w:bookmarkStart w:id="291" w:name="_Toc45539281"/>
      <w:bookmarkStart w:id="292" w:name="_Toc54954867"/>
      <w:r>
        <w:lastRenderedPageBreak/>
        <w:t>Appendix A</w:t>
      </w:r>
      <w:bookmarkEnd w:id="290"/>
      <w:bookmarkEnd w:id="291"/>
      <w:bookmarkEnd w:id="292"/>
    </w:p>
    <w:p w14:paraId="3BBC61B1" w14:textId="77777777" w:rsidR="004D0E45" w:rsidRDefault="004D0E45" w:rsidP="00070C12">
      <w:pPr>
        <w:pStyle w:val="Heading2"/>
      </w:pPr>
      <w:bookmarkStart w:id="293" w:name="_Toc45539282"/>
      <w:bookmarkStart w:id="294" w:name="_Toc54954868"/>
      <w:r>
        <w:t>Stakeholder engagement</w:t>
      </w:r>
      <w:bookmarkEnd w:id="293"/>
      <w:bookmarkEnd w:id="294"/>
      <w:r>
        <w:t xml:space="preserve"> </w:t>
      </w:r>
    </w:p>
    <w:p w14:paraId="26A518B1" w14:textId="2CA47229" w:rsidR="00065308" w:rsidRPr="00A141EA" w:rsidRDefault="003B0F50" w:rsidP="00F4178D">
      <w:pPr>
        <w:spacing w:before="0" w:after="120"/>
        <w:rPr>
          <w:rFonts w:cstheme="minorHAnsi"/>
          <w:b/>
          <w:bCs/>
          <w:sz w:val="20"/>
          <w:szCs w:val="20"/>
        </w:rPr>
      </w:pPr>
      <w:r w:rsidRPr="00A141EA">
        <w:rPr>
          <w:rFonts w:cstheme="minorHAnsi"/>
          <w:b/>
          <w:bCs/>
          <w:sz w:val="20"/>
          <w:szCs w:val="20"/>
        </w:rPr>
        <w:t>Original project consortium members</w:t>
      </w:r>
    </w:p>
    <w:p w14:paraId="5D93B1A5" w14:textId="75E05E7E" w:rsidR="003B0F50" w:rsidRDefault="003B0F50" w:rsidP="00F4178D">
      <w:pPr>
        <w:spacing w:before="0" w:after="120" w:line="240" w:lineRule="auto"/>
        <w:rPr>
          <w:sz w:val="20"/>
          <w:szCs w:val="20"/>
        </w:rPr>
      </w:pPr>
      <w:r w:rsidRPr="00066B5E">
        <w:rPr>
          <w:sz w:val="20"/>
          <w:szCs w:val="20"/>
        </w:rPr>
        <w:t xml:space="preserve">Tamara </w:t>
      </w:r>
      <w:proofErr w:type="spellStart"/>
      <w:r w:rsidRPr="00066B5E">
        <w:rPr>
          <w:sz w:val="20"/>
          <w:szCs w:val="20"/>
        </w:rPr>
        <w:t>Cunnett</w:t>
      </w:r>
      <w:proofErr w:type="spellEnd"/>
      <w:r w:rsidR="00066B5E">
        <w:rPr>
          <w:sz w:val="20"/>
          <w:szCs w:val="20"/>
        </w:rPr>
        <w:tab/>
      </w:r>
      <w:r w:rsidR="00066B5E">
        <w:rPr>
          <w:sz w:val="20"/>
          <w:szCs w:val="20"/>
        </w:rPr>
        <w:tab/>
      </w:r>
      <w:r w:rsidRPr="00066B5E">
        <w:rPr>
          <w:sz w:val="20"/>
          <w:szCs w:val="20"/>
        </w:rPr>
        <w:tab/>
      </w:r>
      <w:r w:rsidRPr="00066B5E">
        <w:rPr>
          <w:sz w:val="20"/>
          <w:szCs w:val="20"/>
        </w:rPr>
        <w:tab/>
        <w:t>Northern Territory Primary Health Network</w:t>
      </w:r>
    </w:p>
    <w:p w14:paraId="40F57C87" w14:textId="3B95FC96" w:rsidR="00066B5E" w:rsidRPr="00066B5E" w:rsidRDefault="00066B5E" w:rsidP="00F4178D">
      <w:pPr>
        <w:spacing w:before="0" w:after="120" w:line="240" w:lineRule="auto"/>
        <w:rPr>
          <w:sz w:val="20"/>
          <w:szCs w:val="20"/>
        </w:rPr>
      </w:pPr>
      <w:r>
        <w:rPr>
          <w:sz w:val="20"/>
          <w:szCs w:val="20"/>
        </w:rPr>
        <w:t xml:space="preserve">Emily </w:t>
      </w:r>
      <w:proofErr w:type="spellStart"/>
      <w:r>
        <w:rPr>
          <w:sz w:val="20"/>
          <w:szCs w:val="20"/>
        </w:rPr>
        <w:t>Raso</w:t>
      </w:r>
      <w:proofErr w:type="spellEnd"/>
      <w:r>
        <w:rPr>
          <w:sz w:val="20"/>
          <w:szCs w:val="20"/>
        </w:rPr>
        <w:tab/>
      </w:r>
      <w:r>
        <w:rPr>
          <w:sz w:val="20"/>
          <w:szCs w:val="20"/>
        </w:rPr>
        <w:tab/>
      </w:r>
      <w:r>
        <w:rPr>
          <w:sz w:val="20"/>
          <w:szCs w:val="20"/>
        </w:rPr>
        <w:tab/>
      </w:r>
      <w:r>
        <w:rPr>
          <w:sz w:val="20"/>
          <w:szCs w:val="20"/>
        </w:rPr>
        <w:tab/>
        <w:t>Northern Territory Primary Health Network</w:t>
      </w:r>
    </w:p>
    <w:p w14:paraId="23EF280E" w14:textId="0407E73B" w:rsidR="003B0F50" w:rsidRPr="00066B5E" w:rsidRDefault="003B0F50" w:rsidP="00F4178D">
      <w:pPr>
        <w:spacing w:before="0" w:after="120" w:line="240" w:lineRule="auto"/>
        <w:rPr>
          <w:sz w:val="20"/>
          <w:szCs w:val="20"/>
        </w:rPr>
      </w:pPr>
      <w:r w:rsidRPr="00066B5E">
        <w:rPr>
          <w:sz w:val="20"/>
          <w:szCs w:val="20"/>
        </w:rPr>
        <w:t>Professor Jeff Dunn</w:t>
      </w:r>
      <w:r w:rsidRPr="00066B5E">
        <w:rPr>
          <w:sz w:val="20"/>
          <w:szCs w:val="20"/>
        </w:rPr>
        <w:tab/>
      </w:r>
      <w:r w:rsidRPr="00066B5E">
        <w:rPr>
          <w:sz w:val="20"/>
          <w:szCs w:val="20"/>
        </w:rPr>
        <w:tab/>
      </w:r>
      <w:r w:rsidRPr="00066B5E">
        <w:rPr>
          <w:sz w:val="20"/>
          <w:szCs w:val="20"/>
        </w:rPr>
        <w:tab/>
        <w:t>Cancer Council Queensland</w:t>
      </w:r>
    </w:p>
    <w:p w14:paraId="66C0A737" w14:textId="3E3E62A7" w:rsidR="003B0F50" w:rsidRPr="00066B5E" w:rsidRDefault="003B0F50" w:rsidP="00F4178D">
      <w:pPr>
        <w:spacing w:before="0" w:after="120" w:line="240" w:lineRule="auto"/>
        <w:rPr>
          <w:sz w:val="20"/>
          <w:szCs w:val="20"/>
        </w:rPr>
      </w:pPr>
      <w:r w:rsidRPr="00066B5E">
        <w:rPr>
          <w:sz w:val="20"/>
          <w:szCs w:val="20"/>
        </w:rPr>
        <w:t>Melissa Ledger</w:t>
      </w:r>
      <w:r w:rsidRPr="00066B5E">
        <w:rPr>
          <w:sz w:val="20"/>
          <w:szCs w:val="20"/>
        </w:rPr>
        <w:tab/>
      </w:r>
      <w:r w:rsidRPr="00066B5E">
        <w:rPr>
          <w:sz w:val="20"/>
          <w:szCs w:val="20"/>
        </w:rPr>
        <w:tab/>
      </w:r>
      <w:r w:rsidRPr="00066B5E">
        <w:rPr>
          <w:sz w:val="20"/>
          <w:szCs w:val="20"/>
        </w:rPr>
        <w:tab/>
      </w:r>
      <w:r w:rsidRPr="00066B5E">
        <w:rPr>
          <w:sz w:val="20"/>
          <w:szCs w:val="20"/>
        </w:rPr>
        <w:tab/>
        <w:t>Cancer Council WA</w:t>
      </w:r>
    </w:p>
    <w:p w14:paraId="0ACA84F8" w14:textId="7A5B7E8D" w:rsidR="003B0F50" w:rsidRPr="00066B5E" w:rsidRDefault="003B0F50" w:rsidP="00F4178D">
      <w:pPr>
        <w:spacing w:before="0" w:after="120" w:line="240" w:lineRule="auto"/>
        <w:rPr>
          <w:sz w:val="20"/>
          <w:szCs w:val="20"/>
        </w:rPr>
      </w:pPr>
      <w:r w:rsidRPr="00066B5E">
        <w:rPr>
          <w:sz w:val="20"/>
          <w:szCs w:val="20"/>
        </w:rPr>
        <w:t xml:space="preserve">Dr </w:t>
      </w:r>
      <w:proofErr w:type="spellStart"/>
      <w:r w:rsidRPr="00066B5E">
        <w:rPr>
          <w:sz w:val="20"/>
          <w:szCs w:val="20"/>
        </w:rPr>
        <w:t>Sanchia</w:t>
      </w:r>
      <w:proofErr w:type="spellEnd"/>
      <w:r w:rsidRPr="00066B5E">
        <w:rPr>
          <w:sz w:val="20"/>
          <w:szCs w:val="20"/>
        </w:rPr>
        <w:t xml:space="preserve"> </w:t>
      </w:r>
      <w:proofErr w:type="spellStart"/>
      <w:r w:rsidRPr="00066B5E">
        <w:rPr>
          <w:sz w:val="20"/>
          <w:szCs w:val="20"/>
        </w:rPr>
        <w:t>Shibasaki</w:t>
      </w:r>
      <w:proofErr w:type="spellEnd"/>
      <w:r w:rsidRPr="00066B5E">
        <w:rPr>
          <w:sz w:val="20"/>
          <w:szCs w:val="20"/>
        </w:rPr>
        <w:t xml:space="preserve"> (no longer on project)</w:t>
      </w:r>
      <w:r w:rsidRPr="00066B5E">
        <w:rPr>
          <w:sz w:val="20"/>
          <w:szCs w:val="20"/>
        </w:rPr>
        <w:tab/>
        <w:t>University of Western Australia</w:t>
      </w:r>
    </w:p>
    <w:p w14:paraId="3516CBD7" w14:textId="2312D7EB" w:rsidR="003B0F50" w:rsidRPr="00066B5E" w:rsidRDefault="003B0F50" w:rsidP="00F4178D">
      <w:pPr>
        <w:spacing w:before="0" w:after="120" w:line="240" w:lineRule="auto"/>
        <w:rPr>
          <w:sz w:val="20"/>
          <w:szCs w:val="20"/>
        </w:rPr>
      </w:pPr>
      <w:r w:rsidRPr="00066B5E">
        <w:rPr>
          <w:sz w:val="20"/>
          <w:szCs w:val="20"/>
        </w:rPr>
        <w:t>Professor Sandra Thompson</w:t>
      </w:r>
      <w:r w:rsidRPr="00066B5E">
        <w:rPr>
          <w:sz w:val="20"/>
          <w:szCs w:val="20"/>
        </w:rPr>
        <w:tab/>
      </w:r>
      <w:r w:rsidRPr="00066B5E">
        <w:rPr>
          <w:sz w:val="20"/>
          <w:szCs w:val="20"/>
        </w:rPr>
        <w:tab/>
        <w:t>University of Western Australia</w:t>
      </w:r>
    </w:p>
    <w:p w14:paraId="52421AA0" w14:textId="24F20D0B" w:rsidR="003B0F50" w:rsidRPr="00066B5E" w:rsidRDefault="003B0F50" w:rsidP="00F4178D">
      <w:pPr>
        <w:spacing w:before="0" w:after="120" w:line="240" w:lineRule="auto"/>
        <w:rPr>
          <w:sz w:val="20"/>
          <w:szCs w:val="20"/>
        </w:rPr>
      </w:pPr>
      <w:r w:rsidRPr="00066B5E">
        <w:rPr>
          <w:sz w:val="20"/>
          <w:szCs w:val="20"/>
        </w:rPr>
        <w:t>Professor Neil Drew</w:t>
      </w:r>
      <w:r w:rsidRPr="00066B5E">
        <w:rPr>
          <w:sz w:val="20"/>
          <w:szCs w:val="20"/>
        </w:rPr>
        <w:tab/>
      </w:r>
      <w:r w:rsidRPr="00066B5E">
        <w:rPr>
          <w:sz w:val="20"/>
          <w:szCs w:val="20"/>
        </w:rPr>
        <w:tab/>
      </w:r>
      <w:r w:rsidRPr="00066B5E">
        <w:rPr>
          <w:sz w:val="20"/>
          <w:szCs w:val="20"/>
        </w:rPr>
        <w:tab/>
        <w:t xml:space="preserve">Australian Indigenous </w:t>
      </w:r>
      <w:proofErr w:type="spellStart"/>
      <w:r w:rsidRPr="00066B5E">
        <w:rPr>
          <w:sz w:val="20"/>
          <w:szCs w:val="20"/>
        </w:rPr>
        <w:t>HealthInfoNet</w:t>
      </w:r>
      <w:proofErr w:type="spellEnd"/>
    </w:p>
    <w:p w14:paraId="4544AC69" w14:textId="74EB1B16" w:rsidR="003B0F50" w:rsidRPr="00066B5E" w:rsidRDefault="003B0F50" w:rsidP="00F4178D">
      <w:pPr>
        <w:spacing w:before="0" w:after="120" w:line="240" w:lineRule="auto"/>
        <w:rPr>
          <w:sz w:val="20"/>
          <w:szCs w:val="20"/>
        </w:rPr>
      </w:pPr>
      <w:r w:rsidRPr="00066B5E">
        <w:rPr>
          <w:sz w:val="20"/>
          <w:szCs w:val="20"/>
        </w:rPr>
        <w:t>Dr Mick Adams</w:t>
      </w:r>
      <w:r w:rsidRPr="00066B5E">
        <w:rPr>
          <w:sz w:val="20"/>
          <w:szCs w:val="20"/>
        </w:rPr>
        <w:tab/>
      </w:r>
      <w:r w:rsidRPr="00066B5E">
        <w:rPr>
          <w:sz w:val="20"/>
          <w:szCs w:val="20"/>
        </w:rPr>
        <w:tab/>
      </w:r>
      <w:r w:rsidRPr="00066B5E">
        <w:rPr>
          <w:sz w:val="20"/>
          <w:szCs w:val="20"/>
        </w:rPr>
        <w:tab/>
      </w:r>
      <w:r w:rsidRPr="00066B5E">
        <w:rPr>
          <w:sz w:val="20"/>
          <w:szCs w:val="20"/>
        </w:rPr>
        <w:tab/>
        <w:t xml:space="preserve">Australian Indigenous </w:t>
      </w:r>
      <w:proofErr w:type="spellStart"/>
      <w:r w:rsidRPr="00066B5E">
        <w:rPr>
          <w:sz w:val="20"/>
          <w:szCs w:val="20"/>
        </w:rPr>
        <w:t>HealthInfoNet</w:t>
      </w:r>
      <w:proofErr w:type="spellEnd"/>
    </w:p>
    <w:p w14:paraId="7A95B648" w14:textId="7A7B0EC1" w:rsidR="003B0F50" w:rsidRPr="00066B5E" w:rsidRDefault="003B0F50" w:rsidP="00F4178D">
      <w:pPr>
        <w:spacing w:before="0" w:after="120" w:line="240" w:lineRule="auto"/>
        <w:rPr>
          <w:sz w:val="20"/>
          <w:szCs w:val="20"/>
        </w:rPr>
      </w:pPr>
      <w:r w:rsidRPr="00066B5E">
        <w:rPr>
          <w:sz w:val="20"/>
          <w:szCs w:val="20"/>
        </w:rPr>
        <w:t xml:space="preserve">Professor John </w:t>
      </w:r>
      <w:proofErr w:type="spellStart"/>
      <w:r w:rsidRPr="00066B5E">
        <w:rPr>
          <w:sz w:val="20"/>
          <w:szCs w:val="20"/>
        </w:rPr>
        <w:t>Zalcberg</w:t>
      </w:r>
      <w:proofErr w:type="spellEnd"/>
      <w:r w:rsidRPr="00066B5E">
        <w:rPr>
          <w:sz w:val="20"/>
          <w:szCs w:val="20"/>
        </w:rPr>
        <w:tab/>
      </w:r>
      <w:r w:rsidRPr="00066B5E">
        <w:rPr>
          <w:sz w:val="20"/>
          <w:szCs w:val="20"/>
        </w:rPr>
        <w:tab/>
      </w:r>
      <w:r w:rsidRPr="00066B5E">
        <w:rPr>
          <w:sz w:val="20"/>
          <w:szCs w:val="20"/>
        </w:rPr>
        <w:tab/>
        <w:t>Monash University</w:t>
      </w:r>
    </w:p>
    <w:p w14:paraId="10369767" w14:textId="5DF1F461" w:rsidR="003B0F50" w:rsidRPr="00066B5E" w:rsidRDefault="003B0F50" w:rsidP="00F4178D">
      <w:pPr>
        <w:spacing w:before="0" w:after="120" w:line="240" w:lineRule="auto"/>
        <w:rPr>
          <w:sz w:val="20"/>
          <w:szCs w:val="20"/>
        </w:rPr>
      </w:pPr>
      <w:r w:rsidRPr="00066B5E">
        <w:rPr>
          <w:sz w:val="20"/>
          <w:szCs w:val="20"/>
        </w:rPr>
        <w:t xml:space="preserve">Professor Richard </w:t>
      </w:r>
      <w:r w:rsidR="00066B5E" w:rsidRPr="00066B5E">
        <w:rPr>
          <w:sz w:val="20"/>
          <w:szCs w:val="20"/>
        </w:rPr>
        <w:t>R</w:t>
      </w:r>
      <w:r w:rsidRPr="00066B5E">
        <w:rPr>
          <w:sz w:val="20"/>
          <w:szCs w:val="20"/>
        </w:rPr>
        <w:t>eed</w:t>
      </w:r>
      <w:r w:rsidRPr="00066B5E">
        <w:rPr>
          <w:sz w:val="20"/>
          <w:szCs w:val="20"/>
        </w:rPr>
        <w:tab/>
      </w:r>
      <w:r w:rsidRPr="00066B5E">
        <w:rPr>
          <w:sz w:val="20"/>
          <w:szCs w:val="20"/>
        </w:rPr>
        <w:tab/>
      </w:r>
      <w:r w:rsidRPr="00066B5E">
        <w:rPr>
          <w:sz w:val="20"/>
          <w:szCs w:val="20"/>
        </w:rPr>
        <w:tab/>
        <w:t>Flinders University</w:t>
      </w:r>
    </w:p>
    <w:p w14:paraId="1FF4A792" w14:textId="2639073B" w:rsidR="003B0F50" w:rsidRPr="00066B5E" w:rsidRDefault="003B0F50" w:rsidP="00F4178D">
      <w:pPr>
        <w:spacing w:before="0" w:after="120" w:line="240" w:lineRule="auto"/>
        <w:rPr>
          <w:sz w:val="20"/>
          <w:szCs w:val="20"/>
        </w:rPr>
      </w:pPr>
      <w:r w:rsidRPr="00066B5E">
        <w:rPr>
          <w:sz w:val="20"/>
          <w:szCs w:val="20"/>
        </w:rPr>
        <w:t>A/Professor John Condon</w:t>
      </w:r>
      <w:r w:rsidRPr="00066B5E">
        <w:rPr>
          <w:sz w:val="20"/>
          <w:szCs w:val="20"/>
        </w:rPr>
        <w:tab/>
      </w:r>
      <w:r w:rsidRPr="00066B5E">
        <w:rPr>
          <w:sz w:val="20"/>
          <w:szCs w:val="20"/>
        </w:rPr>
        <w:tab/>
      </w:r>
      <w:r w:rsidRPr="00066B5E">
        <w:rPr>
          <w:sz w:val="20"/>
          <w:szCs w:val="20"/>
        </w:rPr>
        <w:tab/>
        <w:t>Menzies School of Health Research</w:t>
      </w:r>
    </w:p>
    <w:p w14:paraId="780F0F4F" w14:textId="74D71BAD" w:rsidR="003B0F50" w:rsidRPr="00066B5E" w:rsidRDefault="003B0F50" w:rsidP="00F4178D">
      <w:pPr>
        <w:spacing w:before="0" w:after="120" w:line="240" w:lineRule="auto"/>
        <w:rPr>
          <w:sz w:val="20"/>
          <w:szCs w:val="20"/>
        </w:rPr>
      </w:pPr>
      <w:r w:rsidRPr="00066B5E">
        <w:rPr>
          <w:sz w:val="20"/>
          <w:szCs w:val="20"/>
        </w:rPr>
        <w:t>Professor John Cass</w:t>
      </w:r>
      <w:r w:rsidRPr="00066B5E">
        <w:rPr>
          <w:sz w:val="20"/>
          <w:szCs w:val="20"/>
        </w:rPr>
        <w:tab/>
      </w:r>
      <w:r w:rsidRPr="00066B5E">
        <w:rPr>
          <w:sz w:val="20"/>
          <w:szCs w:val="20"/>
        </w:rPr>
        <w:tab/>
      </w:r>
      <w:r w:rsidRPr="00066B5E">
        <w:rPr>
          <w:sz w:val="20"/>
          <w:szCs w:val="20"/>
        </w:rPr>
        <w:tab/>
        <w:t>Menzies School of Health Research</w:t>
      </w:r>
    </w:p>
    <w:p w14:paraId="40ADEBA0" w14:textId="7B4DB35B" w:rsidR="003B0F50" w:rsidRPr="00066B5E" w:rsidRDefault="003B0F50" w:rsidP="00F4178D">
      <w:pPr>
        <w:spacing w:before="0" w:after="120" w:line="240" w:lineRule="auto"/>
        <w:rPr>
          <w:sz w:val="20"/>
          <w:szCs w:val="20"/>
        </w:rPr>
      </w:pPr>
      <w:r w:rsidRPr="00066B5E">
        <w:rPr>
          <w:sz w:val="20"/>
          <w:szCs w:val="20"/>
        </w:rPr>
        <w:t>Professor Joan Cunningham</w:t>
      </w:r>
      <w:r w:rsidRPr="00066B5E">
        <w:rPr>
          <w:sz w:val="20"/>
          <w:szCs w:val="20"/>
        </w:rPr>
        <w:tab/>
      </w:r>
      <w:r w:rsidRPr="00066B5E">
        <w:rPr>
          <w:sz w:val="20"/>
          <w:szCs w:val="20"/>
        </w:rPr>
        <w:tab/>
        <w:t>Menzies School of Health Research</w:t>
      </w:r>
    </w:p>
    <w:p w14:paraId="760167E9" w14:textId="3E2D7DEC" w:rsidR="00066B5E" w:rsidRDefault="003B0F50" w:rsidP="00F4178D">
      <w:pPr>
        <w:spacing w:before="0" w:after="120" w:line="240" w:lineRule="auto"/>
        <w:rPr>
          <w:sz w:val="20"/>
          <w:szCs w:val="20"/>
        </w:rPr>
      </w:pPr>
      <w:r w:rsidRPr="00066B5E">
        <w:rPr>
          <w:sz w:val="20"/>
          <w:szCs w:val="20"/>
        </w:rPr>
        <w:t>Professor Ross Bailie</w:t>
      </w:r>
      <w:r w:rsidRPr="00066B5E">
        <w:rPr>
          <w:sz w:val="20"/>
          <w:szCs w:val="20"/>
        </w:rPr>
        <w:tab/>
      </w:r>
      <w:r w:rsidRPr="00066B5E">
        <w:rPr>
          <w:sz w:val="20"/>
          <w:szCs w:val="20"/>
        </w:rPr>
        <w:tab/>
      </w:r>
      <w:r w:rsidRPr="00066B5E">
        <w:rPr>
          <w:sz w:val="20"/>
          <w:szCs w:val="20"/>
        </w:rPr>
        <w:tab/>
        <w:t>Menzies School of Health Research</w:t>
      </w:r>
    </w:p>
    <w:p w14:paraId="7244ABF6" w14:textId="77777777" w:rsidR="00066B5E" w:rsidRPr="00066B5E" w:rsidRDefault="00066B5E" w:rsidP="00F4178D">
      <w:pPr>
        <w:spacing w:before="0" w:after="120" w:line="240" w:lineRule="auto"/>
        <w:rPr>
          <w:sz w:val="20"/>
          <w:szCs w:val="20"/>
        </w:rPr>
      </w:pPr>
    </w:p>
    <w:p w14:paraId="5F288601" w14:textId="77777777" w:rsidR="00066B5E" w:rsidRPr="00066B5E" w:rsidRDefault="00066B5E" w:rsidP="00F4178D">
      <w:pPr>
        <w:spacing w:before="0" w:after="120" w:line="240" w:lineRule="auto"/>
        <w:rPr>
          <w:sz w:val="20"/>
          <w:szCs w:val="20"/>
        </w:rPr>
      </w:pPr>
      <w:r w:rsidRPr="00066B5E">
        <w:rPr>
          <w:b/>
          <w:bCs/>
          <w:sz w:val="20"/>
          <w:szCs w:val="20"/>
        </w:rPr>
        <w:t>Project Advisory Committee</w:t>
      </w:r>
    </w:p>
    <w:p w14:paraId="1E263DA8" w14:textId="0890901D" w:rsidR="00066B5E" w:rsidRPr="00066B5E" w:rsidRDefault="00066B5E" w:rsidP="00F4178D">
      <w:pPr>
        <w:spacing w:before="0" w:after="120" w:line="240" w:lineRule="auto"/>
        <w:rPr>
          <w:sz w:val="20"/>
          <w:szCs w:val="20"/>
        </w:rPr>
      </w:pPr>
      <w:r w:rsidRPr="00066B5E">
        <w:rPr>
          <w:sz w:val="20"/>
          <w:szCs w:val="20"/>
        </w:rPr>
        <w:t xml:space="preserve">Professor Jacinta </w:t>
      </w:r>
      <w:proofErr w:type="spellStart"/>
      <w:r w:rsidRPr="00066B5E">
        <w:rPr>
          <w:sz w:val="20"/>
          <w:szCs w:val="20"/>
        </w:rPr>
        <w:t>Elston</w:t>
      </w:r>
      <w:proofErr w:type="spellEnd"/>
      <w:r w:rsidRPr="00066B5E">
        <w:rPr>
          <w:sz w:val="20"/>
          <w:szCs w:val="20"/>
        </w:rPr>
        <w:t xml:space="preserve"> (Chair)</w:t>
      </w:r>
      <w:r w:rsidRPr="00066B5E">
        <w:rPr>
          <w:sz w:val="20"/>
          <w:szCs w:val="20"/>
        </w:rPr>
        <w:tab/>
      </w:r>
      <w:r w:rsidRPr="00066B5E">
        <w:rPr>
          <w:sz w:val="20"/>
          <w:szCs w:val="20"/>
        </w:rPr>
        <w:tab/>
        <w:t>James Cook University</w:t>
      </w:r>
    </w:p>
    <w:p w14:paraId="23442302" w14:textId="7DEAD0C6" w:rsidR="00066B5E" w:rsidRDefault="00066B5E" w:rsidP="00F4178D">
      <w:pPr>
        <w:spacing w:before="0" w:after="120" w:line="240" w:lineRule="auto"/>
        <w:rPr>
          <w:sz w:val="20"/>
          <w:szCs w:val="20"/>
        </w:rPr>
      </w:pPr>
      <w:r w:rsidRPr="00066B5E">
        <w:rPr>
          <w:sz w:val="20"/>
          <w:szCs w:val="20"/>
        </w:rPr>
        <w:t xml:space="preserve">Cassandra </w:t>
      </w:r>
      <w:proofErr w:type="spellStart"/>
      <w:r w:rsidRPr="00066B5E">
        <w:rPr>
          <w:sz w:val="20"/>
          <w:szCs w:val="20"/>
        </w:rPr>
        <w:t>Clayforth</w:t>
      </w:r>
      <w:proofErr w:type="spellEnd"/>
      <w:r w:rsidRPr="00066B5E">
        <w:rPr>
          <w:sz w:val="20"/>
          <w:szCs w:val="20"/>
        </w:rPr>
        <w:t xml:space="preserve"> </w:t>
      </w:r>
      <w:r w:rsidRPr="00066B5E">
        <w:rPr>
          <w:sz w:val="20"/>
          <w:szCs w:val="20"/>
        </w:rPr>
        <w:tab/>
      </w:r>
      <w:r w:rsidRPr="00066B5E">
        <w:rPr>
          <w:sz w:val="20"/>
          <w:szCs w:val="20"/>
        </w:rPr>
        <w:tab/>
      </w:r>
      <w:r w:rsidRPr="00066B5E">
        <w:rPr>
          <w:sz w:val="20"/>
          <w:szCs w:val="20"/>
        </w:rPr>
        <w:tab/>
        <w:t>Cancer Council WA</w:t>
      </w:r>
    </w:p>
    <w:p w14:paraId="34584580" w14:textId="1AE2C48E" w:rsidR="00F4178D" w:rsidRDefault="00F4178D" w:rsidP="00F4178D">
      <w:pPr>
        <w:spacing w:before="0" w:after="120" w:line="240" w:lineRule="auto"/>
        <w:rPr>
          <w:sz w:val="20"/>
          <w:szCs w:val="20"/>
        </w:rPr>
      </w:pPr>
      <w:proofErr w:type="spellStart"/>
      <w:r>
        <w:rPr>
          <w:sz w:val="20"/>
          <w:szCs w:val="20"/>
        </w:rPr>
        <w:t>Chamandeep</w:t>
      </w:r>
      <w:proofErr w:type="spellEnd"/>
      <w:r>
        <w:rPr>
          <w:sz w:val="20"/>
          <w:szCs w:val="20"/>
        </w:rPr>
        <w:t xml:space="preserve"> </w:t>
      </w:r>
      <w:proofErr w:type="spellStart"/>
      <w:r>
        <w:rPr>
          <w:sz w:val="20"/>
          <w:szCs w:val="20"/>
        </w:rPr>
        <w:t>Chehl</w:t>
      </w:r>
      <w:proofErr w:type="spellEnd"/>
      <w:r>
        <w:rPr>
          <w:sz w:val="20"/>
          <w:szCs w:val="20"/>
        </w:rPr>
        <w:tab/>
      </w:r>
      <w:r>
        <w:rPr>
          <w:sz w:val="20"/>
          <w:szCs w:val="20"/>
        </w:rPr>
        <w:tab/>
      </w:r>
      <w:r>
        <w:rPr>
          <w:sz w:val="20"/>
          <w:szCs w:val="20"/>
        </w:rPr>
        <w:tab/>
        <w:t xml:space="preserve">Cancer Council Western Australia </w:t>
      </w:r>
    </w:p>
    <w:p w14:paraId="4CC29185" w14:textId="2E023EB2" w:rsidR="00066B5E" w:rsidRPr="00066B5E" w:rsidRDefault="00066B5E" w:rsidP="00F4178D">
      <w:pPr>
        <w:spacing w:before="0" w:after="120" w:line="240" w:lineRule="auto"/>
        <w:rPr>
          <w:sz w:val="20"/>
          <w:szCs w:val="20"/>
        </w:rPr>
      </w:pPr>
      <w:r w:rsidRPr="00066B5E">
        <w:rPr>
          <w:sz w:val="20"/>
          <w:szCs w:val="20"/>
        </w:rPr>
        <w:t>Craig Dukes</w:t>
      </w:r>
      <w:r w:rsidRPr="00066B5E">
        <w:rPr>
          <w:sz w:val="20"/>
          <w:szCs w:val="20"/>
        </w:rPr>
        <w:tab/>
      </w:r>
      <w:r w:rsidRPr="00066B5E">
        <w:rPr>
          <w:sz w:val="20"/>
          <w:szCs w:val="20"/>
        </w:rPr>
        <w:tab/>
      </w:r>
      <w:r w:rsidRPr="00066B5E">
        <w:rPr>
          <w:sz w:val="20"/>
          <w:szCs w:val="20"/>
        </w:rPr>
        <w:tab/>
      </w:r>
      <w:r w:rsidRPr="00066B5E">
        <w:rPr>
          <w:sz w:val="20"/>
          <w:szCs w:val="20"/>
        </w:rPr>
        <w:tab/>
        <w:t>National Aboriginal and Torres Strait Islander Health Worker Assn.</w:t>
      </w:r>
    </w:p>
    <w:p w14:paraId="167A3FFB" w14:textId="71D898D1" w:rsidR="00066B5E" w:rsidRPr="00066B5E" w:rsidRDefault="00066B5E" w:rsidP="00F4178D">
      <w:pPr>
        <w:spacing w:before="0" w:after="120" w:line="240" w:lineRule="auto"/>
        <w:rPr>
          <w:sz w:val="20"/>
          <w:szCs w:val="20"/>
        </w:rPr>
      </w:pPr>
      <w:r w:rsidRPr="00066B5E">
        <w:rPr>
          <w:sz w:val="20"/>
          <w:szCs w:val="20"/>
        </w:rPr>
        <w:t>Karl Briscoe</w:t>
      </w:r>
      <w:r w:rsidRPr="00066B5E">
        <w:rPr>
          <w:sz w:val="20"/>
          <w:szCs w:val="20"/>
        </w:rPr>
        <w:tab/>
      </w:r>
      <w:r w:rsidRPr="00066B5E">
        <w:rPr>
          <w:sz w:val="20"/>
          <w:szCs w:val="20"/>
        </w:rPr>
        <w:tab/>
      </w:r>
      <w:r w:rsidRPr="00066B5E">
        <w:rPr>
          <w:sz w:val="20"/>
          <w:szCs w:val="20"/>
        </w:rPr>
        <w:tab/>
      </w:r>
      <w:r w:rsidRPr="00066B5E">
        <w:rPr>
          <w:sz w:val="20"/>
          <w:szCs w:val="20"/>
        </w:rPr>
        <w:tab/>
        <w:t>National Aboriginal and Torres Strait Islander Health Worker Assn.</w:t>
      </w:r>
    </w:p>
    <w:p w14:paraId="7EA2D5FC" w14:textId="4ED7A017" w:rsidR="00066B5E" w:rsidRPr="00066B5E" w:rsidRDefault="00066B5E" w:rsidP="00F4178D">
      <w:pPr>
        <w:spacing w:before="0" w:after="120" w:line="240" w:lineRule="auto"/>
        <w:rPr>
          <w:sz w:val="20"/>
          <w:szCs w:val="20"/>
        </w:rPr>
      </w:pPr>
      <w:r w:rsidRPr="00066B5E">
        <w:rPr>
          <w:sz w:val="20"/>
          <w:szCs w:val="20"/>
        </w:rPr>
        <w:t xml:space="preserve">David </w:t>
      </w:r>
      <w:r w:rsidR="000122F2" w:rsidRPr="00066B5E">
        <w:rPr>
          <w:sz w:val="20"/>
          <w:szCs w:val="20"/>
        </w:rPr>
        <w:t>Copley</w:t>
      </w:r>
      <w:r w:rsidRPr="00066B5E">
        <w:rPr>
          <w:sz w:val="20"/>
          <w:szCs w:val="20"/>
        </w:rPr>
        <w:tab/>
      </w:r>
      <w:r w:rsidRPr="00066B5E">
        <w:rPr>
          <w:sz w:val="20"/>
          <w:szCs w:val="20"/>
        </w:rPr>
        <w:tab/>
      </w:r>
      <w:r w:rsidRPr="00066B5E">
        <w:rPr>
          <w:sz w:val="20"/>
          <w:szCs w:val="20"/>
        </w:rPr>
        <w:tab/>
      </w:r>
      <w:r w:rsidRPr="00066B5E">
        <w:rPr>
          <w:sz w:val="20"/>
          <w:szCs w:val="20"/>
        </w:rPr>
        <w:tab/>
      </w:r>
      <w:proofErr w:type="spellStart"/>
      <w:r w:rsidRPr="00066B5E">
        <w:rPr>
          <w:sz w:val="20"/>
          <w:szCs w:val="20"/>
        </w:rPr>
        <w:t>Pangula</w:t>
      </w:r>
      <w:proofErr w:type="spellEnd"/>
      <w:r w:rsidRPr="00066B5E">
        <w:rPr>
          <w:sz w:val="20"/>
          <w:szCs w:val="20"/>
        </w:rPr>
        <w:t xml:space="preserve"> </w:t>
      </w:r>
      <w:proofErr w:type="spellStart"/>
      <w:r w:rsidRPr="00066B5E">
        <w:rPr>
          <w:sz w:val="20"/>
          <w:szCs w:val="20"/>
        </w:rPr>
        <w:t>Mannamurna</w:t>
      </w:r>
      <w:proofErr w:type="spellEnd"/>
      <w:r w:rsidRPr="00066B5E">
        <w:rPr>
          <w:sz w:val="20"/>
          <w:szCs w:val="20"/>
        </w:rPr>
        <w:t xml:space="preserve"> Inc / Menzies School of Health Research</w:t>
      </w:r>
    </w:p>
    <w:p w14:paraId="37C98A50" w14:textId="6C822D0A" w:rsidR="00066B5E" w:rsidRPr="00066B5E" w:rsidRDefault="00066B5E" w:rsidP="00F4178D">
      <w:pPr>
        <w:widowControl w:val="0"/>
        <w:spacing w:before="0" w:after="120" w:line="240" w:lineRule="auto"/>
        <w:rPr>
          <w:sz w:val="20"/>
          <w:szCs w:val="20"/>
        </w:rPr>
      </w:pPr>
      <w:r w:rsidRPr="00066B5E">
        <w:rPr>
          <w:sz w:val="20"/>
          <w:szCs w:val="20"/>
        </w:rPr>
        <w:t>Dr Jason Agostino</w:t>
      </w:r>
      <w:r w:rsidRPr="00066B5E">
        <w:rPr>
          <w:sz w:val="20"/>
          <w:szCs w:val="20"/>
        </w:rPr>
        <w:tab/>
      </w:r>
      <w:r w:rsidRPr="00066B5E">
        <w:rPr>
          <w:sz w:val="20"/>
          <w:szCs w:val="20"/>
        </w:rPr>
        <w:tab/>
      </w:r>
      <w:r w:rsidRPr="00066B5E">
        <w:rPr>
          <w:sz w:val="20"/>
          <w:szCs w:val="20"/>
        </w:rPr>
        <w:tab/>
      </w:r>
      <w:proofErr w:type="spellStart"/>
      <w:r w:rsidRPr="00066B5E">
        <w:rPr>
          <w:sz w:val="20"/>
          <w:szCs w:val="20"/>
        </w:rPr>
        <w:t>Gurriny</w:t>
      </w:r>
      <w:proofErr w:type="spellEnd"/>
      <w:r w:rsidRPr="00066B5E">
        <w:rPr>
          <w:sz w:val="20"/>
          <w:szCs w:val="20"/>
        </w:rPr>
        <w:t xml:space="preserve"> </w:t>
      </w:r>
      <w:proofErr w:type="spellStart"/>
      <w:r w:rsidRPr="00066B5E">
        <w:rPr>
          <w:sz w:val="20"/>
          <w:szCs w:val="20"/>
        </w:rPr>
        <w:t>Yealamucka</w:t>
      </w:r>
      <w:proofErr w:type="spellEnd"/>
      <w:r w:rsidRPr="00066B5E">
        <w:rPr>
          <w:sz w:val="20"/>
          <w:szCs w:val="20"/>
        </w:rPr>
        <w:t xml:space="preserve"> Health Service, Cairns</w:t>
      </w:r>
    </w:p>
    <w:p w14:paraId="5906BE16" w14:textId="1D7629C8" w:rsidR="00066B5E" w:rsidRPr="00066B5E" w:rsidRDefault="00066B5E" w:rsidP="00F4178D">
      <w:pPr>
        <w:widowControl w:val="0"/>
        <w:spacing w:before="0" w:after="120" w:line="240" w:lineRule="auto"/>
        <w:rPr>
          <w:sz w:val="20"/>
          <w:szCs w:val="20"/>
        </w:rPr>
      </w:pPr>
      <w:r w:rsidRPr="00066B5E">
        <w:rPr>
          <w:sz w:val="20"/>
          <w:szCs w:val="20"/>
        </w:rPr>
        <w:t>Kathleen O’Connor</w:t>
      </w:r>
      <w:r w:rsidRPr="00066B5E">
        <w:rPr>
          <w:sz w:val="20"/>
          <w:szCs w:val="20"/>
        </w:rPr>
        <w:tab/>
      </w:r>
      <w:r w:rsidRPr="00066B5E">
        <w:rPr>
          <w:sz w:val="20"/>
          <w:szCs w:val="20"/>
        </w:rPr>
        <w:tab/>
      </w:r>
      <w:r w:rsidRPr="00066B5E">
        <w:rPr>
          <w:sz w:val="20"/>
          <w:szCs w:val="20"/>
        </w:rPr>
        <w:tab/>
        <w:t>WA Cancer and Palliative Care Network</w:t>
      </w:r>
    </w:p>
    <w:p w14:paraId="6F69AFA6" w14:textId="6A0B0C98" w:rsidR="003B0F50" w:rsidRPr="00066B5E" w:rsidRDefault="00066B5E" w:rsidP="00F4178D">
      <w:pPr>
        <w:spacing w:before="0" w:after="120" w:line="240" w:lineRule="auto"/>
        <w:rPr>
          <w:sz w:val="20"/>
          <w:szCs w:val="20"/>
        </w:rPr>
      </w:pPr>
      <w:r w:rsidRPr="00066B5E">
        <w:rPr>
          <w:sz w:val="20"/>
          <w:szCs w:val="20"/>
        </w:rPr>
        <w:t>Kim Coulter</w:t>
      </w:r>
      <w:r w:rsidRPr="00066B5E">
        <w:rPr>
          <w:sz w:val="20"/>
          <w:szCs w:val="20"/>
        </w:rPr>
        <w:tab/>
      </w:r>
      <w:r w:rsidRPr="00066B5E">
        <w:rPr>
          <w:sz w:val="20"/>
          <w:szCs w:val="20"/>
        </w:rPr>
        <w:tab/>
      </w:r>
      <w:r w:rsidRPr="00066B5E">
        <w:rPr>
          <w:sz w:val="20"/>
          <w:szCs w:val="20"/>
        </w:rPr>
        <w:tab/>
      </w:r>
      <w:r w:rsidRPr="00066B5E">
        <w:rPr>
          <w:sz w:val="20"/>
          <w:szCs w:val="20"/>
        </w:rPr>
        <w:tab/>
        <w:t>Department of Health, NT</w:t>
      </w:r>
      <w:r w:rsidR="003B0F50" w:rsidRPr="00066B5E">
        <w:rPr>
          <w:sz w:val="20"/>
          <w:szCs w:val="20"/>
        </w:rPr>
        <w:tab/>
      </w:r>
    </w:p>
    <w:p w14:paraId="44EF1183" w14:textId="01C04622" w:rsidR="00066B5E" w:rsidRPr="00066B5E" w:rsidRDefault="00066B5E" w:rsidP="00F4178D">
      <w:pPr>
        <w:spacing w:before="0" w:after="120" w:line="240" w:lineRule="auto"/>
        <w:rPr>
          <w:sz w:val="20"/>
          <w:szCs w:val="20"/>
        </w:rPr>
      </w:pPr>
      <w:r w:rsidRPr="00066B5E">
        <w:rPr>
          <w:sz w:val="20"/>
          <w:szCs w:val="20"/>
        </w:rPr>
        <w:t xml:space="preserve">Professor John </w:t>
      </w:r>
      <w:proofErr w:type="spellStart"/>
      <w:r w:rsidRPr="00066B5E">
        <w:rPr>
          <w:sz w:val="20"/>
          <w:szCs w:val="20"/>
        </w:rPr>
        <w:t>Zalcberg</w:t>
      </w:r>
      <w:proofErr w:type="spellEnd"/>
      <w:r w:rsidRPr="00066B5E">
        <w:rPr>
          <w:sz w:val="20"/>
          <w:szCs w:val="20"/>
        </w:rPr>
        <w:tab/>
      </w:r>
      <w:r w:rsidRPr="00066B5E">
        <w:rPr>
          <w:sz w:val="20"/>
          <w:szCs w:val="20"/>
        </w:rPr>
        <w:tab/>
      </w:r>
      <w:r w:rsidRPr="00066B5E">
        <w:rPr>
          <w:sz w:val="20"/>
          <w:szCs w:val="20"/>
        </w:rPr>
        <w:tab/>
        <w:t>Monash University</w:t>
      </w:r>
    </w:p>
    <w:p w14:paraId="484F3F72" w14:textId="3C5ABD46" w:rsidR="00066B5E" w:rsidRPr="00066B5E" w:rsidRDefault="00066B5E" w:rsidP="00F4178D">
      <w:pPr>
        <w:spacing w:before="0" w:after="120" w:line="240" w:lineRule="auto"/>
        <w:rPr>
          <w:sz w:val="20"/>
          <w:szCs w:val="20"/>
        </w:rPr>
      </w:pPr>
      <w:r w:rsidRPr="00066B5E">
        <w:rPr>
          <w:sz w:val="20"/>
          <w:szCs w:val="20"/>
        </w:rPr>
        <w:t>Rebecca Lowe</w:t>
      </w:r>
      <w:r w:rsidRPr="00066B5E">
        <w:rPr>
          <w:sz w:val="20"/>
          <w:szCs w:val="20"/>
        </w:rPr>
        <w:tab/>
      </w:r>
      <w:r w:rsidRPr="00066B5E">
        <w:rPr>
          <w:sz w:val="20"/>
          <w:szCs w:val="20"/>
        </w:rPr>
        <w:tab/>
      </w:r>
      <w:r w:rsidRPr="00066B5E">
        <w:rPr>
          <w:sz w:val="20"/>
          <w:szCs w:val="20"/>
        </w:rPr>
        <w:tab/>
      </w:r>
      <w:r w:rsidRPr="00066B5E">
        <w:rPr>
          <w:sz w:val="20"/>
          <w:szCs w:val="20"/>
        </w:rPr>
        <w:tab/>
        <w:t>Cancer Council Queensland</w:t>
      </w:r>
    </w:p>
    <w:p w14:paraId="001BFEC6" w14:textId="313E9C30" w:rsidR="00066B5E" w:rsidRPr="00066B5E" w:rsidRDefault="00066B5E" w:rsidP="00F4178D">
      <w:pPr>
        <w:spacing w:before="0" w:after="120" w:line="240" w:lineRule="auto"/>
        <w:rPr>
          <w:sz w:val="20"/>
          <w:szCs w:val="20"/>
        </w:rPr>
      </w:pPr>
      <w:r w:rsidRPr="00066B5E">
        <w:rPr>
          <w:sz w:val="20"/>
          <w:szCs w:val="20"/>
        </w:rPr>
        <w:t xml:space="preserve">Rose </w:t>
      </w:r>
      <w:proofErr w:type="spellStart"/>
      <w:r w:rsidRPr="00066B5E">
        <w:rPr>
          <w:sz w:val="20"/>
          <w:szCs w:val="20"/>
        </w:rPr>
        <w:t>Durey</w:t>
      </w:r>
      <w:proofErr w:type="spellEnd"/>
      <w:r w:rsidRPr="00066B5E">
        <w:rPr>
          <w:sz w:val="20"/>
          <w:szCs w:val="20"/>
        </w:rPr>
        <w:tab/>
      </w:r>
      <w:r w:rsidRPr="00066B5E">
        <w:rPr>
          <w:sz w:val="20"/>
          <w:szCs w:val="20"/>
        </w:rPr>
        <w:tab/>
      </w:r>
      <w:r w:rsidRPr="00066B5E">
        <w:rPr>
          <w:sz w:val="20"/>
          <w:szCs w:val="20"/>
        </w:rPr>
        <w:tab/>
      </w:r>
      <w:r w:rsidRPr="00066B5E">
        <w:rPr>
          <w:sz w:val="20"/>
          <w:szCs w:val="20"/>
        </w:rPr>
        <w:tab/>
        <w:t>Victorian Department of Health</w:t>
      </w:r>
    </w:p>
    <w:p w14:paraId="76775F24" w14:textId="77777777" w:rsidR="00066B5E" w:rsidRPr="00066B5E" w:rsidRDefault="00066B5E" w:rsidP="00F4178D">
      <w:pPr>
        <w:spacing w:before="0" w:after="120" w:line="240" w:lineRule="auto"/>
        <w:rPr>
          <w:sz w:val="20"/>
          <w:szCs w:val="20"/>
        </w:rPr>
      </w:pPr>
      <w:r w:rsidRPr="00066B5E">
        <w:rPr>
          <w:sz w:val="20"/>
          <w:szCs w:val="20"/>
        </w:rPr>
        <w:t xml:space="preserve">Sally </w:t>
      </w:r>
      <w:proofErr w:type="spellStart"/>
      <w:r w:rsidRPr="00066B5E">
        <w:rPr>
          <w:sz w:val="20"/>
          <w:szCs w:val="20"/>
        </w:rPr>
        <w:t>Doncovio</w:t>
      </w:r>
      <w:proofErr w:type="spellEnd"/>
      <w:r w:rsidRPr="00066B5E">
        <w:rPr>
          <w:sz w:val="20"/>
          <w:szCs w:val="20"/>
        </w:rPr>
        <w:tab/>
      </w:r>
      <w:r w:rsidRPr="00066B5E">
        <w:rPr>
          <w:sz w:val="20"/>
          <w:szCs w:val="20"/>
        </w:rPr>
        <w:tab/>
      </w:r>
      <w:r w:rsidRPr="00066B5E">
        <w:rPr>
          <w:sz w:val="20"/>
          <w:szCs w:val="20"/>
        </w:rPr>
        <w:tab/>
      </w:r>
      <w:r w:rsidRPr="00066B5E">
        <w:rPr>
          <w:sz w:val="20"/>
          <w:szCs w:val="20"/>
        </w:rPr>
        <w:tab/>
        <w:t>Victorian Department of Health</w:t>
      </w:r>
    </w:p>
    <w:p w14:paraId="49FA999B" w14:textId="649C8B34" w:rsidR="00066B5E" w:rsidRPr="00066B5E" w:rsidRDefault="00066B5E" w:rsidP="00F4178D">
      <w:pPr>
        <w:spacing w:before="0" w:after="120" w:line="240" w:lineRule="auto"/>
        <w:rPr>
          <w:sz w:val="20"/>
          <w:szCs w:val="20"/>
        </w:rPr>
      </w:pPr>
      <w:r w:rsidRPr="00066B5E">
        <w:rPr>
          <w:sz w:val="20"/>
          <w:szCs w:val="20"/>
        </w:rPr>
        <w:t>Sharon Wallace</w:t>
      </w:r>
      <w:r w:rsidRPr="00066B5E">
        <w:rPr>
          <w:sz w:val="20"/>
          <w:szCs w:val="20"/>
        </w:rPr>
        <w:tab/>
      </w:r>
      <w:r w:rsidRPr="00066B5E">
        <w:rPr>
          <w:sz w:val="20"/>
          <w:szCs w:val="20"/>
        </w:rPr>
        <w:tab/>
      </w:r>
      <w:r w:rsidRPr="00066B5E">
        <w:rPr>
          <w:sz w:val="20"/>
          <w:szCs w:val="20"/>
        </w:rPr>
        <w:tab/>
      </w:r>
      <w:r w:rsidRPr="00066B5E">
        <w:rPr>
          <w:sz w:val="20"/>
          <w:szCs w:val="20"/>
        </w:rPr>
        <w:tab/>
        <w:t xml:space="preserve">AMSANT </w:t>
      </w:r>
    </w:p>
    <w:p w14:paraId="64952839" w14:textId="54D19E70" w:rsidR="00066B5E" w:rsidRPr="00066B5E" w:rsidRDefault="00066B5E" w:rsidP="00F4178D">
      <w:pPr>
        <w:spacing w:before="0" w:after="120" w:line="240" w:lineRule="auto"/>
        <w:rPr>
          <w:rFonts w:cs="Calibri"/>
          <w:color w:val="000000"/>
          <w:sz w:val="20"/>
          <w:szCs w:val="20"/>
        </w:rPr>
      </w:pPr>
      <w:r w:rsidRPr="00066B5E">
        <w:rPr>
          <w:sz w:val="20"/>
          <w:szCs w:val="20"/>
        </w:rPr>
        <w:t>Sandra Bailey</w:t>
      </w:r>
      <w:r w:rsidRPr="00066B5E">
        <w:rPr>
          <w:sz w:val="20"/>
          <w:szCs w:val="20"/>
        </w:rPr>
        <w:tab/>
      </w:r>
      <w:r w:rsidRPr="00066B5E">
        <w:rPr>
          <w:sz w:val="20"/>
          <w:szCs w:val="20"/>
        </w:rPr>
        <w:tab/>
      </w:r>
      <w:r w:rsidRPr="00066B5E">
        <w:rPr>
          <w:sz w:val="20"/>
          <w:szCs w:val="20"/>
        </w:rPr>
        <w:tab/>
      </w:r>
      <w:r w:rsidRPr="00066B5E">
        <w:rPr>
          <w:sz w:val="20"/>
          <w:szCs w:val="20"/>
        </w:rPr>
        <w:tab/>
      </w:r>
      <w:r w:rsidRPr="00066B5E">
        <w:rPr>
          <w:rFonts w:cs="Calibri"/>
          <w:color w:val="000000"/>
          <w:sz w:val="20"/>
          <w:szCs w:val="20"/>
        </w:rPr>
        <w:t>Aboriginal Health and Medical Research Council NSW</w:t>
      </w:r>
    </w:p>
    <w:p w14:paraId="08B812CC" w14:textId="13469544" w:rsidR="00066B5E" w:rsidRPr="00066B5E" w:rsidRDefault="00066B5E" w:rsidP="00F4178D">
      <w:pPr>
        <w:spacing w:before="0" w:after="120" w:line="240" w:lineRule="auto"/>
        <w:rPr>
          <w:rFonts w:cs="Calibri"/>
          <w:color w:val="000000"/>
          <w:sz w:val="20"/>
          <w:szCs w:val="20"/>
        </w:rPr>
      </w:pPr>
      <w:r w:rsidRPr="00066B5E">
        <w:rPr>
          <w:rFonts w:cs="Calibri"/>
          <w:color w:val="000000"/>
          <w:sz w:val="20"/>
          <w:szCs w:val="20"/>
        </w:rPr>
        <w:t xml:space="preserve">Anna </w:t>
      </w:r>
      <w:proofErr w:type="spellStart"/>
      <w:r w:rsidRPr="00066B5E">
        <w:rPr>
          <w:rFonts w:cs="Calibri"/>
          <w:color w:val="000000"/>
          <w:sz w:val="20"/>
          <w:szCs w:val="20"/>
        </w:rPr>
        <w:t>Feiss</w:t>
      </w:r>
      <w:proofErr w:type="spellEnd"/>
      <w:r w:rsidRPr="00066B5E">
        <w:rPr>
          <w:rFonts w:cs="Calibri"/>
          <w:color w:val="000000"/>
          <w:sz w:val="20"/>
          <w:szCs w:val="20"/>
        </w:rPr>
        <w:tab/>
      </w:r>
      <w:r w:rsidRPr="00066B5E">
        <w:rPr>
          <w:rFonts w:cs="Calibri"/>
          <w:color w:val="000000"/>
          <w:sz w:val="20"/>
          <w:szCs w:val="20"/>
        </w:rPr>
        <w:tab/>
      </w:r>
      <w:r w:rsidRPr="00066B5E">
        <w:rPr>
          <w:rFonts w:cs="Calibri"/>
          <w:color w:val="000000"/>
          <w:sz w:val="20"/>
          <w:szCs w:val="20"/>
        </w:rPr>
        <w:tab/>
      </w:r>
      <w:r w:rsidRPr="00066B5E">
        <w:rPr>
          <w:rFonts w:cs="Calibri"/>
          <w:color w:val="000000"/>
          <w:sz w:val="20"/>
          <w:szCs w:val="20"/>
        </w:rPr>
        <w:tab/>
        <w:t xml:space="preserve">Murray Primary Health Network </w:t>
      </w:r>
    </w:p>
    <w:p w14:paraId="15D8FCB7" w14:textId="089B44A5" w:rsidR="00066B5E" w:rsidRDefault="00066B5E" w:rsidP="00F4178D">
      <w:pPr>
        <w:spacing w:before="0" w:after="120" w:line="240" w:lineRule="auto"/>
        <w:rPr>
          <w:rFonts w:cs="Calibri"/>
          <w:color w:val="000000"/>
          <w:sz w:val="20"/>
          <w:szCs w:val="20"/>
        </w:rPr>
      </w:pPr>
      <w:r w:rsidRPr="00066B5E">
        <w:rPr>
          <w:rFonts w:cs="Calibri"/>
          <w:color w:val="000000"/>
          <w:sz w:val="20"/>
          <w:szCs w:val="20"/>
        </w:rPr>
        <w:lastRenderedPageBreak/>
        <w:t>Janine Jackman</w:t>
      </w:r>
      <w:r w:rsidRPr="00066B5E">
        <w:rPr>
          <w:rFonts w:cs="Calibri"/>
          <w:color w:val="000000"/>
          <w:sz w:val="20"/>
          <w:szCs w:val="20"/>
        </w:rPr>
        <w:tab/>
      </w:r>
      <w:r w:rsidRPr="00066B5E">
        <w:rPr>
          <w:rFonts w:cs="Calibri"/>
          <w:color w:val="000000"/>
          <w:sz w:val="20"/>
          <w:szCs w:val="20"/>
        </w:rPr>
        <w:tab/>
      </w:r>
      <w:r w:rsidRPr="00066B5E">
        <w:rPr>
          <w:rFonts w:cs="Calibri"/>
          <w:color w:val="000000"/>
          <w:sz w:val="20"/>
          <w:szCs w:val="20"/>
        </w:rPr>
        <w:tab/>
      </w:r>
      <w:r w:rsidRPr="00066B5E">
        <w:rPr>
          <w:rFonts w:cs="Calibri"/>
          <w:color w:val="000000"/>
          <w:sz w:val="20"/>
          <w:szCs w:val="20"/>
        </w:rPr>
        <w:tab/>
        <w:t>Department of Human Services</w:t>
      </w:r>
    </w:p>
    <w:p w14:paraId="47A5253D" w14:textId="0688792C" w:rsidR="00F4178D" w:rsidRDefault="00F4178D" w:rsidP="00F4178D">
      <w:pPr>
        <w:spacing w:before="0" w:after="120" w:line="240" w:lineRule="auto"/>
        <w:rPr>
          <w:rFonts w:cs="Calibri"/>
          <w:color w:val="000000"/>
          <w:sz w:val="20"/>
          <w:szCs w:val="20"/>
        </w:rPr>
      </w:pPr>
      <w:r>
        <w:rPr>
          <w:rFonts w:cs="Calibri"/>
          <w:color w:val="000000"/>
          <w:sz w:val="20"/>
          <w:szCs w:val="20"/>
        </w:rPr>
        <w:t>Kath Duggan</w:t>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t>Primary Health Network</w:t>
      </w:r>
    </w:p>
    <w:p w14:paraId="3C9D4FE5" w14:textId="35AB84D4" w:rsidR="00F4178D" w:rsidRDefault="00F4178D" w:rsidP="00F4178D">
      <w:pPr>
        <w:spacing w:before="0" w:after="120" w:line="240" w:lineRule="auto"/>
        <w:rPr>
          <w:rFonts w:cs="Calibri"/>
          <w:color w:val="000000"/>
          <w:sz w:val="20"/>
          <w:szCs w:val="20"/>
        </w:rPr>
      </w:pPr>
      <w:r>
        <w:rPr>
          <w:rFonts w:cs="Calibri"/>
          <w:color w:val="000000"/>
          <w:sz w:val="20"/>
          <w:szCs w:val="20"/>
        </w:rPr>
        <w:t>Peter O’Mara</w:t>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t>RACGP representative</w:t>
      </w:r>
    </w:p>
    <w:p w14:paraId="57DC79D3" w14:textId="69E8F423" w:rsidR="00F4178D" w:rsidRDefault="00F4178D" w:rsidP="00F4178D">
      <w:pPr>
        <w:spacing w:before="0" w:after="120" w:line="240" w:lineRule="auto"/>
        <w:rPr>
          <w:rFonts w:cs="Calibri"/>
          <w:color w:val="000000"/>
          <w:sz w:val="20"/>
          <w:szCs w:val="20"/>
        </w:rPr>
      </w:pPr>
      <w:r>
        <w:rPr>
          <w:rFonts w:cs="Calibri"/>
          <w:color w:val="000000"/>
          <w:sz w:val="20"/>
          <w:szCs w:val="20"/>
        </w:rPr>
        <w:t>Dr Tim Senior</w:t>
      </w:r>
      <w:r>
        <w:rPr>
          <w:rFonts w:cs="Calibri"/>
          <w:color w:val="000000"/>
          <w:sz w:val="20"/>
          <w:szCs w:val="20"/>
        </w:rPr>
        <w:tab/>
      </w:r>
      <w:r>
        <w:rPr>
          <w:rFonts w:cs="Calibri"/>
          <w:color w:val="000000"/>
          <w:sz w:val="20"/>
          <w:szCs w:val="20"/>
        </w:rPr>
        <w:tab/>
      </w:r>
      <w:r>
        <w:rPr>
          <w:rFonts w:cs="Calibri"/>
          <w:color w:val="000000"/>
          <w:sz w:val="20"/>
          <w:szCs w:val="20"/>
        </w:rPr>
        <w:tab/>
      </w:r>
      <w:r>
        <w:rPr>
          <w:rFonts w:cs="Calibri"/>
          <w:color w:val="000000"/>
          <w:sz w:val="20"/>
          <w:szCs w:val="20"/>
        </w:rPr>
        <w:tab/>
      </w:r>
      <w:proofErr w:type="spellStart"/>
      <w:r>
        <w:rPr>
          <w:rFonts w:cs="Calibri"/>
          <w:color w:val="000000"/>
          <w:sz w:val="20"/>
          <w:szCs w:val="20"/>
        </w:rPr>
        <w:t>Tharawal</w:t>
      </w:r>
      <w:proofErr w:type="spellEnd"/>
      <w:r>
        <w:rPr>
          <w:rFonts w:cs="Calibri"/>
          <w:color w:val="000000"/>
          <w:sz w:val="20"/>
          <w:szCs w:val="20"/>
        </w:rPr>
        <w:t xml:space="preserve"> Health Service</w:t>
      </w:r>
    </w:p>
    <w:p w14:paraId="38E2A537" w14:textId="77777777" w:rsidR="00F4178D" w:rsidRDefault="00F4178D" w:rsidP="00F4178D">
      <w:pPr>
        <w:spacing w:before="0" w:after="120" w:line="240" w:lineRule="auto"/>
        <w:rPr>
          <w:rFonts w:cs="Calibri"/>
          <w:b/>
          <w:bCs/>
          <w:color w:val="000000"/>
          <w:sz w:val="20"/>
          <w:szCs w:val="20"/>
        </w:rPr>
      </w:pPr>
    </w:p>
    <w:p w14:paraId="71C6808F" w14:textId="0D3156FB" w:rsidR="00F4178D" w:rsidRPr="00F4178D" w:rsidRDefault="00F4178D" w:rsidP="00F4178D">
      <w:pPr>
        <w:spacing w:before="0" w:after="120" w:line="240" w:lineRule="auto"/>
        <w:rPr>
          <w:rFonts w:cs="Calibri"/>
          <w:b/>
          <w:bCs/>
          <w:color w:val="000000"/>
          <w:sz w:val="20"/>
          <w:szCs w:val="20"/>
        </w:rPr>
      </w:pPr>
      <w:r w:rsidRPr="00F4178D">
        <w:rPr>
          <w:rFonts w:cs="Calibri"/>
          <w:b/>
          <w:bCs/>
          <w:color w:val="000000"/>
          <w:sz w:val="20"/>
          <w:szCs w:val="20"/>
        </w:rPr>
        <w:t>Education and Training Reference Group</w:t>
      </w:r>
    </w:p>
    <w:p w14:paraId="549E8CFC" w14:textId="47345E27" w:rsidR="00F4178D" w:rsidRDefault="00F4178D" w:rsidP="00F4178D">
      <w:pPr>
        <w:spacing w:before="0" w:after="120" w:line="240" w:lineRule="auto"/>
        <w:rPr>
          <w:sz w:val="20"/>
          <w:szCs w:val="20"/>
        </w:rPr>
      </w:pPr>
      <w:r w:rsidRPr="0098448F">
        <w:rPr>
          <w:sz w:val="20"/>
          <w:szCs w:val="20"/>
        </w:rPr>
        <w:t>Carmel McNamara</w:t>
      </w:r>
      <w:r>
        <w:rPr>
          <w:sz w:val="20"/>
          <w:szCs w:val="20"/>
        </w:rPr>
        <w:tab/>
      </w:r>
      <w:r>
        <w:rPr>
          <w:sz w:val="20"/>
          <w:szCs w:val="20"/>
        </w:rPr>
        <w:tab/>
      </w:r>
      <w:r>
        <w:rPr>
          <w:sz w:val="20"/>
          <w:szCs w:val="20"/>
        </w:rPr>
        <w:tab/>
        <w:t>Cancer Council South Australia</w:t>
      </w:r>
    </w:p>
    <w:p w14:paraId="3F0CD35D" w14:textId="03B9D005" w:rsidR="00F4178D" w:rsidRDefault="00F4178D" w:rsidP="00F4178D">
      <w:pPr>
        <w:spacing w:before="0" w:after="120" w:line="240" w:lineRule="auto"/>
        <w:rPr>
          <w:sz w:val="20"/>
          <w:szCs w:val="20"/>
        </w:rPr>
      </w:pPr>
      <w:r>
        <w:rPr>
          <w:sz w:val="20"/>
          <w:szCs w:val="20"/>
        </w:rPr>
        <w:t>Anne-Marie Dewar</w:t>
      </w:r>
      <w:r>
        <w:rPr>
          <w:sz w:val="20"/>
          <w:szCs w:val="20"/>
        </w:rPr>
        <w:tab/>
      </w:r>
      <w:r>
        <w:rPr>
          <w:sz w:val="20"/>
          <w:szCs w:val="20"/>
        </w:rPr>
        <w:tab/>
      </w:r>
      <w:r>
        <w:rPr>
          <w:sz w:val="20"/>
          <w:szCs w:val="20"/>
        </w:rPr>
        <w:tab/>
        <w:t>Cancer Council Queensland</w:t>
      </w:r>
    </w:p>
    <w:p w14:paraId="0A6DF80E" w14:textId="46C76DD9" w:rsidR="00F4178D" w:rsidRDefault="00F4178D" w:rsidP="00F4178D">
      <w:pPr>
        <w:spacing w:before="0" w:after="120" w:line="240" w:lineRule="auto"/>
        <w:rPr>
          <w:sz w:val="20"/>
          <w:szCs w:val="20"/>
        </w:rPr>
      </w:pPr>
      <w:r>
        <w:rPr>
          <w:sz w:val="20"/>
          <w:szCs w:val="20"/>
        </w:rPr>
        <w:t>Melissa Ledger</w:t>
      </w:r>
      <w:r>
        <w:rPr>
          <w:sz w:val="20"/>
          <w:szCs w:val="20"/>
        </w:rPr>
        <w:tab/>
      </w:r>
      <w:r>
        <w:rPr>
          <w:sz w:val="20"/>
          <w:szCs w:val="20"/>
        </w:rPr>
        <w:tab/>
      </w:r>
      <w:r>
        <w:rPr>
          <w:sz w:val="20"/>
          <w:szCs w:val="20"/>
        </w:rPr>
        <w:tab/>
      </w:r>
      <w:r>
        <w:rPr>
          <w:sz w:val="20"/>
          <w:szCs w:val="20"/>
        </w:rPr>
        <w:tab/>
        <w:t>Cancer Council Western Australia</w:t>
      </w:r>
    </w:p>
    <w:p w14:paraId="6BCE0348" w14:textId="4F3843CA" w:rsidR="00F4178D" w:rsidRDefault="00F4178D" w:rsidP="00F4178D">
      <w:pPr>
        <w:spacing w:before="0" w:after="120" w:line="240" w:lineRule="auto"/>
        <w:rPr>
          <w:sz w:val="20"/>
          <w:szCs w:val="20"/>
        </w:rPr>
      </w:pPr>
      <w:r>
        <w:rPr>
          <w:sz w:val="20"/>
          <w:szCs w:val="20"/>
        </w:rPr>
        <w:t>Christopher Horn</w:t>
      </w:r>
      <w:r>
        <w:rPr>
          <w:sz w:val="20"/>
          <w:szCs w:val="20"/>
        </w:rPr>
        <w:tab/>
      </w:r>
      <w:r>
        <w:rPr>
          <w:sz w:val="20"/>
          <w:szCs w:val="20"/>
        </w:rPr>
        <w:tab/>
      </w:r>
      <w:r>
        <w:rPr>
          <w:sz w:val="20"/>
          <w:szCs w:val="20"/>
        </w:rPr>
        <w:tab/>
      </w:r>
      <w:r>
        <w:rPr>
          <w:sz w:val="20"/>
          <w:szCs w:val="20"/>
        </w:rPr>
        <w:tab/>
        <w:t>Cancer Institute NSW</w:t>
      </w:r>
    </w:p>
    <w:p w14:paraId="3C8D7FD0" w14:textId="403A83D2" w:rsidR="00F4178D" w:rsidRDefault="00F4178D" w:rsidP="00F4178D">
      <w:pPr>
        <w:spacing w:before="0" w:after="120" w:line="240" w:lineRule="auto"/>
        <w:rPr>
          <w:sz w:val="20"/>
          <w:szCs w:val="20"/>
        </w:rPr>
      </w:pPr>
      <w:r>
        <w:rPr>
          <w:sz w:val="20"/>
          <w:szCs w:val="20"/>
        </w:rPr>
        <w:t>Blanche Marchant</w:t>
      </w:r>
      <w:r>
        <w:rPr>
          <w:sz w:val="20"/>
          <w:szCs w:val="20"/>
        </w:rPr>
        <w:tab/>
      </w:r>
      <w:r>
        <w:rPr>
          <w:sz w:val="20"/>
          <w:szCs w:val="20"/>
        </w:rPr>
        <w:tab/>
      </w:r>
      <w:r>
        <w:rPr>
          <w:sz w:val="20"/>
          <w:szCs w:val="20"/>
        </w:rPr>
        <w:tab/>
        <w:t>Cancer Institute NSW</w:t>
      </w:r>
    </w:p>
    <w:p w14:paraId="1FDFE5E9" w14:textId="60D95423" w:rsidR="00F4178D" w:rsidRDefault="00F4178D" w:rsidP="00F4178D">
      <w:pPr>
        <w:spacing w:before="0" w:after="120" w:line="240" w:lineRule="auto"/>
        <w:rPr>
          <w:sz w:val="20"/>
          <w:szCs w:val="20"/>
        </w:rPr>
      </w:pPr>
      <w:r>
        <w:rPr>
          <w:sz w:val="20"/>
          <w:szCs w:val="20"/>
        </w:rPr>
        <w:t>Justine Holmes</w:t>
      </w:r>
      <w:r>
        <w:rPr>
          <w:sz w:val="20"/>
          <w:szCs w:val="20"/>
        </w:rPr>
        <w:tab/>
      </w:r>
      <w:r>
        <w:rPr>
          <w:sz w:val="20"/>
          <w:szCs w:val="20"/>
        </w:rPr>
        <w:tab/>
      </w:r>
      <w:r>
        <w:rPr>
          <w:sz w:val="20"/>
          <w:szCs w:val="20"/>
        </w:rPr>
        <w:tab/>
      </w:r>
      <w:r>
        <w:rPr>
          <w:sz w:val="20"/>
          <w:szCs w:val="20"/>
        </w:rPr>
        <w:tab/>
        <w:t>Cancer Council Victoria</w:t>
      </w:r>
    </w:p>
    <w:p w14:paraId="19024005" w14:textId="3F3B0E6D" w:rsidR="00F4178D" w:rsidRDefault="00F4178D" w:rsidP="00F4178D">
      <w:pPr>
        <w:spacing w:before="0" w:after="120" w:line="240" w:lineRule="auto"/>
        <w:rPr>
          <w:sz w:val="20"/>
          <w:szCs w:val="20"/>
        </w:rPr>
      </w:pPr>
      <w:r>
        <w:rPr>
          <w:sz w:val="20"/>
          <w:szCs w:val="20"/>
        </w:rPr>
        <w:t>Brad Brown</w:t>
      </w:r>
      <w:r>
        <w:rPr>
          <w:sz w:val="20"/>
          <w:szCs w:val="20"/>
        </w:rPr>
        <w:tab/>
      </w:r>
      <w:r>
        <w:rPr>
          <w:sz w:val="20"/>
          <w:szCs w:val="20"/>
        </w:rPr>
        <w:tab/>
      </w:r>
      <w:r>
        <w:rPr>
          <w:sz w:val="20"/>
          <w:szCs w:val="20"/>
        </w:rPr>
        <w:tab/>
      </w:r>
      <w:r>
        <w:rPr>
          <w:sz w:val="20"/>
          <w:szCs w:val="20"/>
        </w:rPr>
        <w:tab/>
        <w:t>Cancer Council Victoria</w:t>
      </w:r>
    </w:p>
    <w:p w14:paraId="57A542AA" w14:textId="5F6E5233" w:rsidR="00F4178D" w:rsidRDefault="00F4178D" w:rsidP="00F4178D">
      <w:pPr>
        <w:spacing w:before="0" w:after="120" w:line="240" w:lineRule="auto"/>
        <w:rPr>
          <w:sz w:val="20"/>
          <w:szCs w:val="20"/>
        </w:rPr>
      </w:pPr>
      <w:r>
        <w:rPr>
          <w:sz w:val="20"/>
          <w:szCs w:val="20"/>
        </w:rPr>
        <w:t xml:space="preserve">Dr Laurie </w:t>
      </w:r>
      <w:proofErr w:type="spellStart"/>
      <w:r>
        <w:rPr>
          <w:sz w:val="20"/>
          <w:szCs w:val="20"/>
        </w:rPr>
        <w:t>Barrand</w:t>
      </w:r>
      <w:proofErr w:type="spellEnd"/>
      <w:r>
        <w:rPr>
          <w:sz w:val="20"/>
          <w:szCs w:val="20"/>
        </w:rPr>
        <w:tab/>
      </w:r>
      <w:r>
        <w:rPr>
          <w:sz w:val="20"/>
          <w:szCs w:val="20"/>
        </w:rPr>
        <w:tab/>
      </w:r>
      <w:r>
        <w:rPr>
          <w:sz w:val="20"/>
          <w:szCs w:val="20"/>
        </w:rPr>
        <w:tab/>
      </w:r>
      <w:r>
        <w:rPr>
          <w:sz w:val="20"/>
          <w:szCs w:val="20"/>
        </w:rPr>
        <w:tab/>
        <w:t>Department of Health, NT</w:t>
      </w:r>
    </w:p>
    <w:p w14:paraId="265469F0" w14:textId="4D77734F" w:rsidR="00F4178D" w:rsidRDefault="00F4178D" w:rsidP="00F4178D">
      <w:pPr>
        <w:spacing w:before="0" w:after="120" w:line="240" w:lineRule="auto"/>
        <w:rPr>
          <w:sz w:val="20"/>
          <w:szCs w:val="20"/>
        </w:rPr>
      </w:pPr>
      <w:r>
        <w:rPr>
          <w:sz w:val="20"/>
          <w:szCs w:val="20"/>
        </w:rPr>
        <w:t>Ian Watson</w:t>
      </w:r>
      <w:r>
        <w:rPr>
          <w:sz w:val="20"/>
          <w:szCs w:val="20"/>
        </w:rPr>
        <w:tab/>
      </w:r>
      <w:r>
        <w:rPr>
          <w:sz w:val="20"/>
          <w:szCs w:val="20"/>
        </w:rPr>
        <w:tab/>
      </w:r>
      <w:r>
        <w:rPr>
          <w:sz w:val="20"/>
          <w:szCs w:val="20"/>
        </w:rPr>
        <w:tab/>
      </w:r>
      <w:r>
        <w:rPr>
          <w:sz w:val="20"/>
          <w:szCs w:val="20"/>
        </w:rPr>
        <w:tab/>
        <w:t>26 Letters/</w:t>
      </w:r>
      <w:proofErr w:type="spellStart"/>
      <w:r>
        <w:rPr>
          <w:sz w:val="20"/>
          <w:szCs w:val="20"/>
        </w:rPr>
        <w:t>Giliimba</w:t>
      </w:r>
      <w:proofErr w:type="spellEnd"/>
    </w:p>
    <w:p w14:paraId="7A8F718A" w14:textId="75BEF933" w:rsidR="00F4178D" w:rsidRDefault="00F4178D" w:rsidP="00F4178D">
      <w:pPr>
        <w:spacing w:before="0" w:after="120" w:line="240" w:lineRule="auto"/>
        <w:rPr>
          <w:sz w:val="20"/>
          <w:szCs w:val="20"/>
        </w:rPr>
      </w:pPr>
      <w:r>
        <w:rPr>
          <w:sz w:val="20"/>
          <w:szCs w:val="20"/>
        </w:rPr>
        <w:t>Louise de Busch</w:t>
      </w:r>
      <w:r>
        <w:rPr>
          <w:sz w:val="20"/>
          <w:szCs w:val="20"/>
        </w:rPr>
        <w:tab/>
      </w:r>
      <w:r>
        <w:rPr>
          <w:sz w:val="20"/>
          <w:szCs w:val="20"/>
        </w:rPr>
        <w:tab/>
      </w:r>
      <w:r>
        <w:rPr>
          <w:sz w:val="20"/>
          <w:szCs w:val="20"/>
        </w:rPr>
        <w:tab/>
      </w:r>
      <w:r>
        <w:rPr>
          <w:sz w:val="20"/>
          <w:szCs w:val="20"/>
        </w:rPr>
        <w:tab/>
        <w:t xml:space="preserve">Cancer Council Western Australia </w:t>
      </w:r>
    </w:p>
    <w:p w14:paraId="3A6B1E4D" w14:textId="3A7644B8" w:rsidR="00F4178D" w:rsidRDefault="00F4178D" w:rsidP="00F4178D">
      <w:pPr>
        <w:spacing w:before="0" w:after="120" w:line="240" w:lineRule="auto"/>
        <w:rPr>
          <w:sz w:val="20"/>
          <w:szCs w:val="20"/>
        </w:rPr>
      </w:pPr>
    </w:p>
    <w:p w14:paraId="1B4944EF" w14:textId="6159A5FC" w:rsidR="00F4178D" w:rsidRPr="00066B5E" w:rsidRDefault="00F4178D" w:rsidP="00F4178D">
      <w:pPr>
        <w:spacing w:before="0" w:after="0" w:line="240" w:lineRule="auto"/>
        <w:rPr>
          <w:sz w:val="20"/>
          <w:szCs w:val="20"/>
        </w:rPr>
      </w:pPr>
      <w:r>
        <w:rPr>
          <w:sz w:val="20"/>
          <w:szCs w:val="20"/>
        </w:rPr>
        <w:br w:type="page"/>
      </w:r>
    </w:p>
    <w:p w14:paraId="63E2874F" w14:textId="61878E1F" w:rsidR="00065308" w:rsidRPr="00874345" w:rsidRDefault="00EC7BAC" w:rsidP="00510A67">
      <w:pPr>
        <w:pStyle w:val="Heading1"/>
      </w:pPr>
      <w:bookmarkStart w:id="295" w:name="_Toc44339251"/>
      <w:bookmarkStart w:id="296" w:name="_Toc45539283"/>
      <w:bookmarkStart w:id="297" w:name="_Toc54954869"/>
      <w:r>
        <w:lastRenderedPageBreak/>
        <w:t>Appendix B</w:t>
      </w:r>
      <w:bookmarkEnd w:id="295"/>
      <w:bookmarkEnd w:id="296"/>
      <w:bookmarkEnd w:id="297"/>
    </w:p>
    <w:p w14:paraId="4B6BEAC1" w14:textId="0680B3FE" w:rsidR="00F57A2C" w:rsidRPr="0058563E" w:rsidRDefault="00F57A2C" w:rsidP="00366EAB">
      <w:pPr>
        <w:pStyle w:val="Heading3"/>
      </w:pPr>
      <w:bookmarkStart w:id="298" w:name="_Toc45539284"/>
      <w:bookmarkStart w:id="299" w:name="_Toc54954870"/>
      <w:bookmarkStart w:id="300" w:name="_Toc44339252"/>
      <w:r w:rsidRPr="00FC48E0">
        <w:rPr>
          <w:rStyle w:val="Heading2Char"/>
          <w:b/>
          <w:bCs w:val="0"/>
        </w:rPr>
        <w:t>Evaluation questions</w:t>
      </w:r>
      <w:bookmarkEnd w:id="298"/>
      <w:bookmarkEnd w:id="299"/>
      <w:r w:rsidRPr="00187C09">
        <w:rPr>
          <w:rStyle w:val="FootnoteReference"/>
          <w:color w:val="ED7D31" w:themeColor="accent2"/>
        </w:rPr>
        <w:footnoteReference w:id="48"/>
      </w:r>
      <w:bookmarkEnd w:id="300"/>
    </w:p>
    <w:p w14:paraId="0619BB71" w14:textId="77777777" w:rsidR="00F57A2C" w:rsidRPr="00E17DAA" w:rsidRDefault="00F57A2C" w:rsidP="004257B1">
      <w:pPr>
        <w:pStyle w:val="Heading4"/>
      </w:pPr>
      <w:r w:rsidRPr="00135F72">
        <w:t xml:space="preserve">How well were </w:t>
      </w:r>
      <w:r w:rsidRPr="003E0090">
        <w:t>IPHCCs</w:t>
      </w:r>
      <w:r w:rsidRPr="00135F72">
        <w:t xml:space="preserve"> supported</w:t>
      </w:r>
      <w:r w:rsidRPr="00AD3203">
        <w:t xml:space="preserve"> to implement the Alternat</w:t>
      </w:r>
      <w:r w:rsidRPr="00E17DAA">
        <w:t>ive Pathway?</w:t>
      </w:r>
    </w:p>
    <w:p w14:paraId="2438A2E9" w14:textId="77777777" w:rsidR="00F57A2C" w:rsidRPr="004C0D5F" w:rsidRDefault="00F57A2C" w:rsidP="00402F9A">
      <w:pPr>
        <w:pStyle w:val="ListParagraph"/>
        <w:numPr>
          <w:ilvl w:val="0"/>
          <w:numId w:val="11"/>
        </w:numPr>
        <w:rPr>
          <w:rFonts w:cstheme="minorHAnsi"/>
          <w:lang w:eastAsia="en-AU"/>
        </w:rPr>
      </w:pPr>
      <w:r w:rsidRPr="00621A50">
        <w:rPr>
          <w:rFonts w:cstheme="minorHAnsi"/>
          <w:lang w:eastAsia="en-AU"/>
        </w:rPr>
        <w:t xml:space="preserve">What implementation support (including training opportunities) was made available to </w:t>
      </w:r>
      <w:r w:rsidRPr="003E0090">
        <w:rPr>
          <w:rFonts w:cstheme="minorHAnsi"/>
          <w:bCs/>
          <w:lang w:eastAsia="en-AU"/>
        </w:rPr>
        <w:t>IPHCCs</w:t>
      </w:r>
      <w:r w:rsidRPr="00621A50">
        <w:rPr>
          <w:rFonts w:cstheme="minorHAnsi"/>
          <w:bCs/>
          <w:lang w:eastAsia="en-AU"/>
        </w:rPr>
        <w:t xml:space="preserve"> taking</w:t>
      </w:r>
      <w:r w:rsidRPr="00621A50">
        <w:rPr>
          <w:rFonts w:cstheme="minorHAnsi"/>
          <w:lang w:eastAsia="en-AU"/>
        </w:rPr>
        <w:t xml:space="preserve"> part in the Pilot? Was the implementation support provided as planned? If not, why, and how did it differ?</w:t>
      </w:r>
    </w:p>
    <w:p w14:paraId="2BCE9BB6" w14:textId="77777777" w:rsidR="00F57A2C" w:rsidRPr="00874345" w:rsidRDefault="00F57A2C" w:rsidP="00402F9A">
      <w:pPr>
        <w:pStyle w:val="ListParagraph"/>
        <w:numPr>
          <w:ilvl w:val="0"/>
          <w:numId w:val="11"/>
        </w:numPr>
        <w:rPr>
          <w:rFonts w:cstheme="minorHAnsi"/>
          <w:lang w:eastAsia="en-AU"/>
        </w:rPr>
      </w:pPr>
      <w:r w:rsidRPr="00874345">
        <w:rPr>
          <w:rFonts w:cstheme="minorHAnsi"/>
          <w:lang w:eastAsia="en-AU"/>
        </w:rPr>
        <w:t>What were the key barriers and enablers to providing implementation support for the Alternative Pathway?</w:t>
      </w:r>
    </w:p>
    <w:p w14:paraId="30387181" w14:textId="77777777" w:rsidR="00F57A2C" w:rsidRPr="00874345" w:rsidRDefault="00F57A2C" w:rsidP="00402F9A">
      <w:pPr>
        <w:pStyle w:val="ListParagraph"/>
        <w:numPr>
          <w:ilvl w:val="0"/>
          <w:numId w:val="11"/>
        </w:numPr>
        <w:rPr>
          <w:rFonts w:cstheme="minorHAnsi"/>
          <w:lang w:eastAsia="en-AU"/>
        </w:rPr>
      </w:pPr>
      <w:r w:rsidRPr="00874345">
        <w:rPr>
          <w:rFonts w:cstheme="minorHAnsi"/>
          <w:lang w:eastAsia="en-AU"/>
        </w:rPr>
        <w:t>How effective and fit-for-purpose were the training opportunities, resources and supporting materials?</w:t>
      </w:r>
    </w:p>
    <w:p w14:paraId="00673A48" w14:textId="77777777" w:rsidR="00F57A2C" w:rsidRPr="00874345" w:rsidRDefault="00F57A2C" w:rsidP="00402F9A">
      <w:pPr>
        <w:pStyle w:val="ListParagraph"/>
        <w:numPr>
          <w:ilvl w:val="0"/>
          <w:numId w:val="11"/>
        </w:numPr>
        <w:rPr>
          <w:rFonts w:cstheme="minorHAnsi"/>
          <w:lang w:eastAsia="en-AU"/>
        </w:rPr>
      </w:pPr>
      <w:r w:rsidRPr="00874345">
        <w:rPr>
          <w:rFonts w:cstheme="minorHAnsi"/>
          <w:lang w:eastAsia="en-AU"/>
        </w:rPr>
        <w:t>What activities or programs related to the Pilot aims were carried out by Supporting Agencies during the 12-month Pilot period? Were any of these activities or programs provided directly to Pilot health centres?</w:t>
      </w:r>
    </w:p>
    <w:p w14:paraId="13339C86" w14:textId="39319E49" w:rsidR="00F57A2C" w:rsidRPr="004C0D5F" w:rsidRDefault="00F57A2C" w:rsidP="00402F9A">
      <w:pPr>
        <w:pStyle w:val="ListParagraph"/>
        <w:numPr>
          <w:ilvl w:val="0"/>
          <w:numId w:val="11"/>
        </w:numPr>
        <w:rPr>
          <w:rFonts w:cstheme="minorHAnsi"/>
          <w:lang w:eastAsia="en-AU"/>
        </w:rPr>
      </w:pPr>
      <w:r w:rsidRPr="00621A50">
        <w:rPr>
          <w:rFonts w:cstheme="minorHAnsi"/>
          <w:lang w:eastAsia="en-AU"/>
        </w:rPr>
        <w:t xml:space="preserve">What support was provided to </w:t>
      </w:r>
      <w:r w:rsidRPr="003E0090">
        <w:rPr>
          <w:rFonts w:cstheme="minorHAnsi"/>
          <w:lang w:eastAsia="en-AU"/>
        </w:rPr>
        <w:t>IPHCCs</w:t>
      </w:r>
      <w:r w:rsidRPr="00621A50">
        <w:rPr>
          <w:rFonts w:cstheme="minorHAnsi"/>
          <w:lang w:eastAsia="en-AU"/>
        </w:rPr>
        <w:t xml:space="preserve"> taking part in the Alternative Pathway by the NBCSP pathology provider (</w:t>
      </w:r>
      <w:r w:rsidR="00C67CA1">
        <w:rPr>
          <w:rFonts w:cstheme="minorHAnsi"/>
          <w:lang w:eastAsia="en-AU"/>
        </w:rPr>
        <w:t xml:space="preserve">Sonic </w:t>
      </w:r>
      <w:r w:rsidRPr="00621A50">
        <w:rPr>
          <w:rFonts w:cstheme="minorHAnsi"/>
          <w:lang w:eastAsia="en-AU"/>
        </w:rPr>
        <w:t>Healthcare) and</w:t>
      </w:r>
      <w:r w:rsidRPr="004C0D5F">
        <w:rPr>
          <w:rFonts w:cstheme="minorHAnsi"/>
          <w:lang w:eastAsia="en-AU"/>
        </w:rPr>
        <w:t xml:space="preserve"> the Department of Human Services (during implementation and/or ongoing through the Pilot)? To what extent would this support be required, feasible or sustainable if an Alternative Pathway was rolled out more widely (with the new National Cancer Screening Register operational)?</w:t>
      </w:r>
    </w:p>
    <w:p w14:paraId="3E087548" w14:textId="77777777" w:rsidR="00F57A2C" w:rsidRPr="004C0D5F" w:rsidRDefault="00F57A2C" w:rsidP="00402F9A">
      <w:pPr>
        <w:pStyle w:val="ListParagraph"/>
        <w:numPr>
          <w:ilvl w:val="0"/>
          <w:numId w:val="11"/>
        </w:numPr>
        <w:rPr>
          <w:rFonts w:cstheme="minorHAnsi"/>
          <w:lang w:eastAsia="en-AU"/>
        </w:rPr>
      </w:pPr>
      <w:r w:rsidRPr="004C0D5F">
        <w:rPr>
          <w:rFonts w:cstheme="minorHAnsi"/>
          <w:lang w:eastAsia="en-AU"/>
        </w:rPr>
        <w:t>Did IPHCC staff report increased knowledge and skills about bowel screening, and increased confidence and capability to deliver the Alternative Pathway, as a result of the training and implementation support activities? Did IPHCC staff view the support provided as sufficient to prepare them to offer the Alternative Pathway?</w:t>
      </w:r>
    </w:p>
    <w:p w14:paraId="658820A1" w14:textId="77777777" w:rsidR="00F57A2C" w:rsidRPr="00AD3203" w:rsidRDefault="00F57A2C" w:rsidP="004257B1">
      <w:pPr>
        <w:pStyle w:val="Heading4"/>
      </w:pPr>
      <w:r w:rsidRPr="00135F72">
        <w:t>How</w:t>
      </w:r>
      <w:r w:rsidRPr="00AD3203">
        <w:t xml:space="preserve"> effectively was</w:t>
      </w:r>
      <w:r w:rsidRPr="00E17DAA">
        <w:t xml:space="preserve"> the Alternative Pathway delivered by </w:t>
      </w:r>
      <w:r w:rsidRPr="003E0090">
        <w:t>IPHCCs</w:t>
      </w:r>
      <w:r w:rsidRPr="00135F72">
        <w:t>?</w:t>
      </w:r>
    </w:p>
    <w:p w14:paraId="3258ABDD" w14:textId="77777777" w:rsidR="00F57A2C" w:rsidRPr="004C0D5F" w:rsidRDefault="00F57A2C" w:rsidP="00402F9A">
      <w:pPr>
        <w:pStyle w:val="ListParagraph"/>
        <w:numPr>
          <w:ilvl w:val="0"/>
          <w:numId w:val="12"/>
        </w:numPr>
        <w:rPr>
          <w:rFonts w:cstheme="minorHAnsi"/>
          <w:lang w:eastAsia="en-AU"/>
        </w:rPr>
      </w:pPr>
      <w:r w:rsidRPr="00621A50">
        <w:rPr>
          <w:rFonts w:cstheme="minorHAnsi"/>
          <w:lang w:eastAsia="en-AU"/>
        </w:rPr>
        <w:t xml:space="preserve">How did </w:t>
      </w:r>
      <w:r w:rsidRPr="003E0090">
        <w:rPr>
          <w:rFonts w:cstheme="minorHAnsi"/>
          <w:lang w:eastAsia="en-AU"/>
        </w:rPr>
        <w:t>IPHCCs</w:t>
      </w:r>
      <w:r w:rsidRPr="00621A50">
        <w:rPr>
          <w:rFonts w:cstheme="minorHAnsi"/>
          <w:lang w:eastAsia="en-AU"/>
        </w:rPr>
        <w:t xml:space="preserve"> incorporate bowel screening into their practice systems and processes? (i.e. how we</w:t>
      </w:r>
      <w:r w:rsidRPr="004C0D5F">
        <w:rPr>
          <w:rFonts w:cstheme="minorHAnsi"/>
          <w:lang w:eastAsia="en-AU"/>
        </w:rPr>
        <w:t xml:space="preserve">re eligible clients identified and offered screening, and how was follow-up provided?)  This includes: (1) how the Alternative Pathway was implemented at the health centre (the service model used); (2) health promotion or other activities carried out by health centre staff or others, with local community members, that occur outside the health centre itself.  </w:t>
      </w:r>
    </w:p>
    <w:p w14:paraId="0EC5FBEE" w14:textId="77777777" w:rsidR="00F57A2C" w:rsidRPr="004C0D5F" w:rsidRDefault="00F57A2C" w:rsidP="00402F9A">
      <w:pPr>
        <w:pStyle w:val="ListParagraph"/>
        <w:numPr>
          <w:ilvl w:val="0"/>
          <w:numId w:val="12"/>
        </w:numPr>
        <w:rPr>
          <w:rFonts w:cstheme="minorHAnsi"/>
          <w:lang w:eastAsia="en-AU"/>
        </w:rPr>
      </w:pPr>
      <w:r w:rsidRPr="004C0D5F">
        <w:rPr>
          <w:rFonts w:cstheme="minorHAnsi"/>
          <w:lang w:eastAsia="en-AU"/>
        </w:rPr>
        <w:t xml:space="preserve">What proportion of the eligible active client group of participating </w:t>
      </w:r>
      <w:r w:rsidRPr="003E0090">
        <w:rPr>
          <w:rFonts w:cstheme="minorHAnsi"/>
          <w:lang w:eastAsia="en-AU"/>
        </w:rPr>
        <w:t>IPHCCs</w:t>
      </w:r>
      <w:r w:rsidRPr="00621A50">
        <w:rPr>
          <w:rFonts w:cstheme="minorHAnsi"/>
          <w:lang w:eastAsia="en-AU"/>
        </w:rPr>
        <w:t xml:space="preserve"> were invited to screen?</w:t>
      </w:r>
    </w:p>
    <w:p w14:paraId="5C5E873E" w14:textId="77777777" w:rsidR="00F57A2C" w:rsidRPr="004C0D5F" w:rsidRDefault="00F57A2C" w:rsidP="00402F9A">
      <w:pPr>
        <w:pStyle w:val="ListParagraph"/>
        <w:numPr>
          <w:ilvl w:val="0"/>
          <w:numId w:val="12"/>
        </w:numPr>
        <w:rPr>
          <w:rFonts w:cstheme="minorHAnsi"/>
          <w:lang w:eastAsia="en-AU"/>
        </w:rPr>
      </w:pPr>
      <w:r w:rsidRPr="004C0D5F">
        <w:rPr>
          <w:rFonts w:cstheme="minorHAnsi"/>
          <w:lang w:val="en-US"/>
        </w:rPr>
        <w:lastRenderedPageBreak/>
        <w:t>To what extent was the NBCSP as delivered through the Alternative Pathway manageable for IPHCC staff and managers? Were some elements of the NBCSP more/less manageable than others?</w:t>
      </w:r>
    </w:p>
    <w:p w14:paraId="31772EB0" w14:textId="77777777" w:rsidR="00F57A2C" w:rsidRPr="004C0D5F" w:rsidRDefault="00F57A2C" w:rsidP="00402F9A">
      <w:pPr>
        <w:pStyle w:val="ListParagraph"/>
        <w:numPr>
          <w:ilvl w:val="0"/>
          <w:numId w:val="12"/>
        </w:numPr>
        <w:rPr>
          <w:rFonts w:cstheme="minorHAnsi"/>
          <w:lang w:eastAsia="en-AU"/>
        </w:rPr>
      </w:pPr>
      <w:r w:rsidRPr="004C0D5F">
        <w:rPr>
          <w:rFonts w:cstheme="minorHAnsi"/>
          <w:lang w:val="en-US"/>
        </w:rPr>
        <w:t xml:space="preserve">What were the barriers and enablers for </w:t>
      </w:r>
      <w:r w:rsidRPr="003E0090">
        <w:rPr>
          <w:rFonts w:cstheme="minorHAnsi"/>
          <w:lang w:val="en-US"/>
        </w:rPr>
        <w:t>IPHCCs</w:t>
      </w:r>
      <w:r w:rsidRPr="00621A50">
        <w:rPr>
          <w:rFonts w:cstheme="minorHAnsi"/>
          <w:lang w:val="en-US"/>
        </w:rPr>
        <w:t xml:space="preserve"> in delivering the Alternative Pathway?</w:t>
      </w:r>
    </w:p>
    <w:p w14:paraId="2393FF02" w14:textId="77777777" w:rsidR="00F57A2C" w:rsidRPr="00AD3203" w:rsidRDefault="00F57A2C" w:rsidP="004257B1">
      <w:pPr>
        <w:pStyle w:val="Heading4"/>
      </w:pPr>
      <w:r w:rsidRPr="00135F72">
        <w:t>How cost-effective are the two variants of the Alternative Pathway?</w:t>
      </w:r>
    </w:p>
    <w:p w14:paraId="7FAAA8F8" w14:textId="4FBF87EC" w:rsidR="00F57A2C" w:rsidRPr="004C0D5F" w:rsidRDefault="00F57A2C" w:rsidP="00402F9A">
      <w:pPr>
        <w:pStyle w:val="ListParagraph"/>
        <w:numPr>
          <w:ilvl w:val="0"/>
          <w:numId w:val="13"/>
        </w:numPr>
        <w:rPr>
          <w:rFonts w:cstheme="minorHAnsi"/>
          <w:lang w:eastAsia="en-AU"/>
        </w:rPr>
      </w:pPr>
      <w:r w:rsidRPr="00621A50">
        <w:rPr>
          <w:rFonts w:cstheme="minorHAnsi"/>
          <w:lang w:eastAsia="en-AU"/>
        </w:rPr>
        <w:t>Was there a difference in the per</w:t>
      </w:r>
      <w:r w:rsidR="00842FF9">
        <w:rPr>
          <w:rFonts w:cstheme="minorHAnsi"/>
          <w:lang w:eastAsia="en-AU"/>
        </w:rPr>
        <w:t>form</w:t>
      </w:r>
      <w:r w:rsidRPr="00621A50">
        <w:rPr>
          <w:rFonts w:cstheme="minorHAnsi"/>
          <w:lang w:eastAsia="en-AU"/>
        </w:rPr>
        <w:t xml:space="preserve">ance of </w:t>
      </w:r>
      <w:r w:rsidRPr="003E0090">
        <w:rPr>
          <w:rFonts w:cstheme="minorHAnsi"/>
          <w:lang w:eastAsia="en-AU"/>
        </w:rPr>
        <w:t>IPHCCs</w:t>
      </w:r>
      <w:r w:rsidRPr="00621A50">
        <w:rPr>
          <w:rFonts w:cstheme="minorHAnsi"/>
          <w:lang w:eastAsia="en-AU"/>
        </w:rPr>
        <w:t xml:space="preserve"> in Group A (low intensity support) compared to Group B (high</w:t>
      </w:r>
      <w:r w:rsidRPr="004C0D5F">
        <w:rPr>
          <w:rFonts w:cstheme="minorHAnsi"/>
          <w:lang w:eastAsia="en-AU"/>
        </w:rPr>
        <w:t xml:space="preserve"> intensity support) in terms of the following outcomes:</w:t>
      </w:r>
    </w:p>
    <w:p w14:paraId="5121299B" w14:textId="77777777" w:rsidR="00F57A2C" w:rsidRPr="004C0D5F" w:rsidRDefault="00F57A2C" w:rsidP="00402F9A">
      <w:pPr>
        <w:pStyle w:val="ListParagraph"/>
        <w:numPr>
          <w:ilvl w:val="0"/>
          <w:numId w:val="9"/>
        </w:numPr>
        <w:rPr>
          <w:rFonts w:cstheme="minorHAnsi"/>
          <w:lang w:eastAsia="en-AU"/>
        </w:rPr>
      </w:pPr>
      <w:r w:rsidRPr="004C0D5F">
        <w:rPr>
          <w:rFonts w:cstheme="minorHAnsi"/>
          <w:lang w:eastAsia="en-AU"/>
        </w:rPr>
        <w:t>Screening participation rates</w:t>
      </w:r>
    </w:p>
    <w:p w14:paraId="0045EE5D" w14:textId="77777777" w:rsidR="00F57A2C" w:rsidRPr="004C0D5F" w:rsidRDefault="00F57A2C" w:rsidP="00402F9A">
      <w:pPr>
        <w:pStyle w:val="ListParagraph"/>
        <w:numPr>
          <w:ilvl w:val="0"/>
          <w:numId w:val="9"/>
        </w:numPr>
        <w:rPr>
          <w:rFonts w:cstheme="minorHAnsi"/>
          <w:lang w:eastAsia="en-AU"/>
        </w:rPr>
      </w:pPr>
      <w:r w:rsidRPr="004C0D5F">
        <w:rPr>
          <w:rFonts w:cstheme="minorHAnsi"/>
          <w:lang w:eastAsia="en-AU"/>
        </w:rPr>
        <w:t>Invitation rates</w:t>
      </w:r>
    </w:p>
    <w:p w14:paraId="15D60B1A" w14:textId="77777777" w:rsidR="00F57A2C" w:rsidRPr="004C0D5F" w:rsidRDefault="00F57A2C" w:rsidP="00402F9A">
      <w:pPr>
        <w:pStyle w:val="ListParagraph"/>
        <w:numPr>
          <w:ilvl w:val="0"/>
          <w:numId w:val="9"/>
        </w:numPr>
        <w:rPr>
          <w:rFonts w:cstheme="minorHAnsi"/>
          <w:lang w:eastAsia="en-AU"/>
        </w:rPr>
      </w:pPr>
      <w:r w:rsidRPr="004C0D5F">
        <w:rPr>
          <w:rFonts w:cstheme="minorHAnsi"/>
          <w:lang w:eastAsia="en-AU"/>
        </w:rPr>
        <w:t xml:space="preserve">Measures of quality (adherence to Hot Zone restrictions by </w:t>
      </w:r>
      <w:r w:rsidRPr="003E0090">
        <w:rPr>
          <w:rFonts w:cstheme="minorHAnsi"/>
          <w:lang w:eastAsia="en-AU"/>
        </w:rPr>
        <w:t>IPHCCs</w:t>
      </w:r>
      <w:r w:rsidRPr="00621A50">
        <w:rPr>
          <w:rFonts w:cstheme="minorHAnsi"/>
          <w:lang w:eastAsia="en-AU"/>
        </w:rPr>
        <w:t>; sample viability; proportion of invitees with a positive result who progressed to diag</w:t>
      </w:r>
      <w:r w:rsidRPr="004C0D5F">
        <w:rPr>
          <w:rFonts w:cstheme="minorHAnsi"/>
          <w:lang w:eastAsia="en-AU"/>
        </w:rPr>
        <w:t>nostic assessment (colonoscopy)/timely diagnostic assessment.)</w:t>
      </w:r>
    </w:p>
    <w:p w14:paraId="4F74A975" w14:textId="601F1B9C" w:rsidR="00F57A2C" w:rsidRPr="004C0D5F" w:rsidRDefault="00F57A2C" w:rsidP="00402F9A">
      <w:pPr>
        <w:pStyle w:val="ListParagraph"/>
        <w:numPr>
          <w:ilvl w:val="0"/>
          <w:numId w:val="13"/>
        </w:numPr>
        <w:rPr>
          <w:rFonts w:cstheme="minorHAnsi"/>
          <w:lang w:eastAsia="en-AU"/>
        </w:rPr>
      </w:pPr>
      <w:r w:rsidRPr="004C0D5F">
        <w:rPr>
          <w:rFonts w:cstheme="minorHAnsi"/>
          <w:lang w:eastAsia="en-AU"/>
        </w:rPr>
        <w:t>What was the extent of variation in per</w:t>
      </w:r>
      <w:r w:rsidR="00842FF9">
        <w:rPr>
          <w:rFonts w:cstheme="minorHAnsi"/>
          <w:lang w:eastAsia="en-AU"/>
        </w:rPr>
        <w:t>form</w:t>
      </w:r>
      <w:r w:rsidRPr="004C0D5F">
        <w:rPr>
          <w:rFonts w:cstheme="minorHAnsi"/>
          <w:lang w:eastAsia="en-AU"/>
        </w:rPr>
        <w:t xml:space="preserve">ance between </w:t>
      </w:r>
      <w:r w:rsidRPr="003E0090">
        <w:rPr>
          <w:rFonts w:cstheme="minorHAnsi"/>
          <w:lang w:eastAsia="en-AU"/>
        </w:rPr>
        <w:t>IPHCCs</w:t>
      </w:r>
      <w:r w:rsidRPr="00621A50">
        <w:rPr>
          <w:rFonts w:cstheme="minorHAnsi"/>
          <w:lang w:eastAsia="en-AU"/>
        </w:rPr>
        <w:t xml:space="preserve"> within either Group A or Group B? Were there common characteristics shared by </w:t>
      </w:r>
      <w:r w:rsidRPr="003E0090">
        <w:rPr>
          <w:rFonts w:cstheme="minorHAnsi"/>
          <w:lang w:eastAsia="en-AU"/>
        </w:rPr>
        <w:t>IPHCCs</w:t>
      </w:r>
      <w:r w:rsidRPr="00621A50">
        <w:rPr>
          <w:rFonts w:cstheme="minorHAnsi"/>
          <w:lang w:eastAsia="en-AU"/>
        </w:rPr>
        <w:t xml:space="preserve"> that attained particularly high or low partic</w:t>
      </w:r>
      <w:r w:rsidRPr="004C0D5F">
        <w:rPr>
          <w:rFonts w:cstheme="minorHAnsi"/>
          <w:lang w:eastAsia="en-AU"/>
        </w:rPr>
        <w:t xml:space="preserve">ipation or quality outcomes, and if so, to what extent might these factors have implications for the feasibility of wider rollout of an Alternative Pathway model?  </w:t>
      </w:r>
    </w:p>
    <w:p w14:paraId="4995BA83" w14:textId="77777777" w:rsidR="00F57A2C" w:rsidRPr="004C0D5F" w:rsidRDefault="00F57A2C" w:rsidP="00402F9A">
      <w:pPr>
        <w:pStyle w:val="ListParagraph"/>
        <w:numPr>
          <w:ilvl w:val="0"/>
          <w:numId w:val="13"/>
        </w:numPr>
        <w:rPr>
          <w:rFonts w:cstheme="minorHAnsi"/>
          <w:lang w:eastAsia="en-AU"/>
        </w:rPr>
      </w:pPr>
      <w:r w:rsidRPr="004C0D5F">
        <w:rPr>
          <w:rFonts w:cstheme="minorHAnsi"/>
          <w:lang w:eastAsia="en-AU"/>
        </w:rPr>
        <w:t xml:space="preserve">What was the difference in the cost of providing the low intensity compared to the high intensity level of support for </w:t>
      </w:r>
      <w:r w:rsidRPr="003E0090">
        <w:rPr>
          <w:rFonts w:cstheme="minorHAnsi"/>
          <w:lang w:eastAsia="en-AU"/>
        </w:rPr>
        <w:t>IPHCCs</w:t>
      </w:r>
      <w:r w:rsidRPr="00621A50">
        <w:rPr>
          <w:rFonts w:cstheme="minorHAnsi"/>
          <w:lang w:eastAsia="en-AU"/>
        </w:rPr>
        <w:t xml:space="preserve"> to implement the Alternative</w:t>
      </w:r>
      <w:r w:rsidRPr="004C0D5F">
        <w:rPr>
          <w:rFonts w:cstheme="minorHAnsi"/>
          <w:lang w:eastAsia="en-AU"/>
        </w:rPr>
        <w:t xml:space="preserve"> Pathway? (These costs will not include those of setting up or evaluating the Pilot but will include the cost of establishment and ongoing support for each option, including the Quality and Safety Checklist process and any difference in use of Helplines or email contact to Menzies.)</w:t>
      </w:r>
    </w:p>
    <w:p w14:paraId="10210ACF" w14:textId="77777777" w:rsidR="00F57A2C" w:rsidRPr="00E17DAA" w:rsidRDefault="00F57A2C" w:rsidP="004257B1">
      <w:pPr>
        <w:pStyle w:val="Heading4"/>
      </w:pPr>
      <w:r w:rsidRPr="00135F72">
        <w:t>Based on the findings from questions 1-4, is the Alte</w:t>
      </w:r>
      <w:r w:rsidRPr="00AD3203">
        <w:t>rnative Pathway feasible to be rolled out further?</w:t>
      </w:r>
    </w:p>
    <w:p w14:paraId="5EA86B28" w14:textId="77777777" w:rsidR="00F57A2C" w:rsidRPr="004C0D5F" w:rsidRDefault="00F57A2C" w:rsidP="00402F9A">
      <w:pPr>
        <w:pStyle w:val="ListParagraph"/>
        <w:numPr>
          <w:ilvl w:val="0"/>
          <w:numId w:val="14"/>
        </w:numPr>
        <w:rPr>
          <w:rFonts w:cstheme="minorHAnsi"/>
          <w:lang w:eastAsia="en-AU"/>
        </w:rPr>
      </w:pPr>
      <w:r w:rsidRPr="00621A50">
        <w:rPr>
          <w:rFonts w:cstheme="minorHAnsi"/>
          <w:lang w:eastAsia="en-AU"/>
        </w:rPr>
        <w:t xml:space="preserve">What level of implementation support for </w:t>
      </w:r>
      <w:r w:rsidRPr="003E0090">
        <w:rPr>
          <w:rFonts w:cstheme="minorHAnsi"/>
          <w:lang w:eastAsia="en-AU"/>
        </w:rPr>
        <w:t>IPHCCS</w:t>
      </w:r>
      <w:r w:rsidRPr="00621A50">
        <w:rPr>
          <w:rFonts w:cstheme="minorHAnsi"/>
          <w:lang w:eastAsia="en-AU"/>
        </w:rPr>
        <w:t xml:space="preserve"> is required f</w:t>
      </w:r>
      <w:r w:rsidRPr="004C0D5F">
        <w:rPr>
          <w:rFonts w:cstheme="minorHAnsi"/>
          <w:lang w:eastAsia="en-AU"/>
        </w:rPr>
        <w:t>or the Alternative Pathway to maximize screening participation rates (initial setup and ongoing delivery)? Does the level of implementation support required vary according to health centre or environmental characteristics?</w:t>
      </w:r>
    </w:p>
    <w:p w14:paraId="7E23D410" w14:textId="77777777" w:rsidR="00F57A2C" w:rsidRPr="004C0D5F" w:rsidRDefault="00F57A2C" w:rsidP="00402F9A">
      <w:pPr>
        <w:pStyle w:val="ListParagraph"/>
        <w:numPr>
          <w:ilvl w:val="0"/>
          <w:numId w:val="14"/>
        </w:numPr>
        <w:rPr>
          <w:rFonts w:cstheme="minorHAnsi"/>
          <w:lang w:eastAsia="en-AU"/>
        </w:rPr>
      </w:pPr>
      <w:r w:rsidRPr="004C0D5F">
        <w:rPr>
          <w:rFonts w:cstheme="minorHAnsi"/>
          <w:lang w:eastAsia="en-AU"/>
        </w:rPr>
        <w:t xml:space="preserve">Do </w:t>
      </w:r>
      <w:r w:rsidRPr="003E0090">
        <w:rPr>
          <w:rFonts w:cstheme="minorHAnsi"/>
          <w:lang w:eastAsia="en-AU"/>
        </w:rPr>
        <w:t>IPHCCs</w:t>
      </w:r>
      <w:r w:rsidRPr="00621A50">
        <w:rPr>
          <w:rFonts w:cstheme="minorHAnsi"/>
          <w:lang w:eastAsia="en-AU"/>
        </w:rPr>
        <w:t xml:space="preserve"> participa</w:t>
      </w:r>
      <w:r w:rsidRPr="004C0D5F">
        <w:rPr>
          <w:rFonts w:cstheme="minorHAnsi"/>
          <w:lang w:eastAsia="en-AU"/>
        </w:rPr>
        <w:t xml:space="preserve">ting in the Alternative Pilot differ from other </w:t>
      </w:r>
      <w:r w:rsidRPr="003E0090">
        <w:rPr>
          <w:rFonts w:cstheme="minorHAnsi"/>
          <w:lang w:eastAsia="en-AU"/>
        </w:rPr>
        <w:t>IPHCCs</w:t>
      </w:r>
      <w:r w:rsidRPr="00621A50">
        <w:rPr>
          <w:rFonts w:cstheme="minorHAnsi"/>
          <w:lang w:eastAsia="en-AU"/>
        </w:rPr>
        <w:t>?</w:t>
      </w:r>
    </w:p>
    <w:p w14:paraId="3F8B77A7" w14:textId="77777777" w:rsidR="00F57A2C" w:rsidRPr="00874345" w:rsidRDefault="00F57A2C" w:rsidP="00402F9A">
      <w:pPr>
        <w:pStyle w:val="ListParagraph"/>
        <w:numPr>
          <w:ilvl w:val="0"/>
          <w:numId w:val="14"/>
        </w:numPr>
        <w:rPr>
          <w:rFonts w:cstheme="minorHAnsi"/>
          <w:lang w:eastAsia="en-AU"/>
        </w:rPr>
      </w:pPr>
      <w:r w:rsidRPr="00874345">
        <w:rPr>
          <w:rFonts w:cstheme="minorHAnsi"/>
          <w:lang w:eastAsia="en-AU"/>
        </w:rPr>
        <w:t>What other considerations (including opportunities and risks) are there for a potential further roll-out?</w:t>
      </w:r>
    </w:p>
    <w:p w14:paraId="18312645" w14:textId="77777777" w:rsidR="00AE3C41" w:rsidRDefault="00AE3C41">
      <w:pPr>
        <w:spacing w:before="0" w:after="0" w:line="240" w:lineRule="auto"/>
        <w:rPr>
          <w:rFonts w:cstheme="minorHAnsi"/>
        </w:rPr>
      </w:pPr>
      <w:r>
        <w:rPr>
          <w:rFonts w:cstheme="minorHAnsi"/>
        </w:rPr>
        <w:br w:type="page"/>
      </w:r>
    </w:p>
    <w:p w14:paraId="25725CB4" w14:textId="4779ADCF" w:rsidR="00AE3C41" w:rsidRDefault="00AE3C41" w:rsidP="00510A67">
      <w:pPr>
        <w:pStyle w:val="Heading1"/>
      </w:pPr>
      <w:bookmarkStart w:id="301" w:name="_Toc44339253"/>
      <w:bookmarkStart w:id="302" w:name="_Toc45539285"/>
      <w:bookmarkStart w:id="303" w:name="_Toc54954871"/>
      <w:r>
        <w:lastRenderedPageBreak/>
        <w:t>Appendix C</w:t>
      </w:r>
      <w:bookmarkEnd w:id="301"/>
      <w:bookmarkEnd w:id="302"/>
      <w:bookmarkEnd w:id="303"/>
    </w:p>
    <w:p w14:paraId="2412C21B" w14:textId="19D905E4" w:rsidR="00AE3C41" w:rsidRPr="00AE3C41" w:rsidRDefault="00AE3C41" w:rsidP="00070C12">
      <w:pPr>
        <w:pStyle w:val="Heading2"/>
      </w:pPr>
      <w:bookmarkStart w:id="304" w:name="_Toc442692915"/>
      <w:bookmarkStart w:id="305" w:name="_Toc44339254"/>
      <w:bookmarkStart w:id="306" w:name="_Toc45539286"/>
      <w:bookmarkStart w:id="307" w:name="_Toc54954872"/>
      <w:r w:rsidRPr="00AE3C41">
        <w:t xml:space="preserve">Training needs </w:t>
      </w:r>
      <w:r w:rsidR="00336B20">
        <w:t xml:space="preserve">analysis: </w:t>
      </w:r>
      <w:bookmarkEnd w:id="304"/>
      <w:r w:rsidR="002C3688">
        <w:t>I</w:t>
      </w:r>
      <w:r w:rsidR="008743EB">
        <w:t>ndigenous Health Workers</w:t>
      </w:r>
      <w:bookmarkEnd w:id="305"/>
      <w:bookmarkEnd w:id="306"/>
      <w:bookmarkEnd w:id="307"/>
      <w:r w:rsidR="00336B20">
        <w:t xml:space="preserve"> </w:t>
      </w:r>
    </w:p>
    <w:p w14:paraId="7EAD4DE3" w14:textId="416897CA" w:rsidR="00AE3C41" w:rsidRPr="00520EA2" w:rsidRDefault="00AE3C41" w:rsidP="00AE3C41">
      <w:pPr>
        <w:rPr>
          <w:color w:val="000000" w:themeColor="text1"/>
        </w:rPr>
      </w:pPr>
      <w:r>
        <w:rPr>
          <w:color w:val="000000" w:themeColor="text1"/>
        </w:rPr>
        <w:t xml:space="preserve">The consultations in Phase One identified the skills and knowledge that </w:t>
      </w:r>
      <w:r w:rsidR="002C3688">
        <w:rPr>
          <w:color w:val="000000" w:themeColor="text1"/>
        </w:rPr>
        <w:t>Indigenous Health Worker</w:t>
      </w:r>
      <w:r>
        <w:rPr>
          <w:color w:val="000000" w:themeColor="text1"/>
        </w:rPr>
        <w:t>s</w:t>
      </w:r>
      <w:r w:rsidR="00A141EA">
        <w:rPr>
          <w:color w:val="000000" w:themeColor="text1"/>
        </w:rPr>
        <w:t xml:space="preserve"> (IHW)</w:t>
      </w:r>
      <w:r>
        <w:rPr>
          <w:color w:val="000000" w:themeColor="text1"/>
        </w:rPr>
        <w:t xml:space="preserve"> feel they require to confidently </w:t>
      </w:r>
      <w:r w:rsidRPr="00520EA2">
        <w:rPr>
          <w:color w:val="000000" w:themeColor="text1"/>
        </w:rPr>
        <w:t xml:space="preserve">encourage </w:t>
      </w:r>
      <w:r w:rsidR="00BD6BDC">
        <w:rPr>
          <w:color w:val="000000" w:themeColor="text1"/>
        </w:rPr>
        <w:t>patient</w:t>
      </w:r>
      <w:r w:rsidRPr="00520EA2">
        <w:rPr>
          <w:color w:val="000000" w:themeColor="text1"/>
        </w:rPr>
        <w:t xml:space="preserve"> participation in bowel screening. </w:t>
      </w:r>
      <w:r w:rsidRPr="00901B73">
        <w:rPr>
          <w:color w:val="000000" w:themeColor="text1"/>
        </w:rPr>
        <w:t xml:space="preserve">IHWs also indicated the need for </w:t>
      </w:r>
      <w:r>
        <w:rPr>
          <w:color w:val="000000" w:themeColor="text1"/>
        </w:rPr>
        <w:t xml:space="preserve">ongoing </w:t>
      </w:r>
      <w:r w:rsidRPr="00901B73">
        <w:rPr>
          <w:color w:val="000000" w:themeColor="text1"/>
        </w:rPr>
        <w:t>professional development as necessary and empowering.</w:t>
      </w:r>
    </w:p>
    <w:p w14:paraId="5991F3A0" w14:textId="37372F05" w:rsidR="00AE3C41" w:rsidRDefault="00AE3C41" w:rsidP="00AE3C41">
      <w:pPr>
        <w:rPr>
          <w:color w:val="000000" w:themeColor="text1"/>
        </w:rPr>
      </w:pPr>
      <w:r>
        <w:rPr>
          <w:color w:val="000000" w:themeColor="text1"/>
        </w:rPr>
        <w:t>The priority skill or knowledge needs</w:t>
      </w:r>
      <w:r w:rsidRPr="00520EA2">
        <w:rPr>
          <w:color w:val="000000" w:themeColor="text1"/>
        </w:rPr>
        <w:t xml:space="preserve"> identified</w:t>
      </w:r>
      <w:r>
        <w:rPr>
          <w:color w:val="000000" w:themeColor="text1"/>
        </w:rPr>
        <w:t xml:space="preserve"> by IHWs</w:t>
      </w:r>
      <w:r w:rsidR="000857EF">
        <w:rPr>
          <w:color w:val="000000" w:themeColor="text1"/>
        </w:rPr>
        <w:t xml:space="preserve"> were:</w:t>
      </w:r>
    </w:p>
    <w:p w14:paraId="3FBABAE0" w14:textId="77777777" w:rsidR="000857EF" w:rsidRPr="000857EF" w:rsidRDefault="000857EF" w:rsidP="000857EF">
      <w:pPr>
        <w:pStyle w:val="ListParagraph"/>
      </w:pPr>
      <w:r w:rsidRPr="000857EF">
        <w:t xml:space="preserve">Knowledge about bowel cancer screening and early detection – risks and benefits and the signs and symptoms of bowel cancer. </w:t>
      </w:r>
    </w:p>
    <w:p w14:paraId="799FFD70" w14:textId="77777777" w:rsidR="000857EF" w:rsidRPr="000857EF" w:rsidRDefault="000857EF" w:rsidP="000857EF">
      <w:pPr>
        <w:pStyle w:val="ListParagraph"/>
      </w:pPr>
      <w:r w:rsidRPr="000857EF">
        <w:t>Techniques for talking about bowel screening – take the shame out!</w:t>
      </w:r>
    </w:p>
    <w:p w14:paraId="09CA9845" w14:textId="77777777" w:rsidR="000857EF" w:rsidRPr="000857EF" w:rsidRDefault="000857EF" w:rsidP="000857EF">
      <w:pPr>
        <w:pStyle w:val="ListParagraph"/>
      </w:pPr>
      <w:r w:rsidRPr="000857EF">
        <w:t xml:space="preserve">Knowledge of the technical aspects of performing the test and of the NBCSP.  </w:t>
      </w:r>
    </w:p>
    <w:p w14:paraId="3C4035CE" w14:textId="2B4354C6" w:rsidR="000857EF" w:rsidRPr="000857EF" w:rsidRDefault="000857EF" w:rsidP="000857EF">
      <w:pPr>
        <w:pStyle w:val="ListParagraph"/>
      </w:pPr>
      <w:r w:rsidRPr="000857EF">
        <w:t>Knowledge a</w:t>
      </w:r>
      <w:r w:rsidR="00BD6BDC">
        <w:t>bout</w:t>
      </w:r>
      <w:r w:rsidRPr="000857EF">
        <w:t xml:space="preserve"> what happens after a positive test is returned – the pathways to colonoscopy.</w:t>
      </w:r>
    </w:p>
    <w:p w14:paraId="5B13A04A" w14:textId="552D61DB" w:rsidR="000857EF" w:rsidRDefault="000857EF" w:rsidP="000857EF">
      <w:pPr>
        <w:pStyle w:val="ListParagraph"/>
        <w:rPr>
          <w:color w:val="000000" w:themeColor="text1"/>
        </w:rPr>
      </w:pPr>
      <w:r w:rsidRPr="0099113D">
        <w:t xml:space="preserve">Managing cultural issues and protocols that might affect IHWs engaging with </w:t>
      </w:r>
      <w:r>
        <w:t>patient</w:t>
      </w:r>
      <w:r w:rsidRPr="0099113D">
        <w:t>s</w:t>
      </w:r>
      <w:r>
        <w:t xml:space="preserve"> about bowel screening</w:t>
      </w:r>
      <w:r w:rsidRPr="0099113D">
        <w:t>, e.g. keeping men’s and women’s business separate.</w:t>
      </w:r>
    </w:p>
    <w:p w14:paraId="061ED1D4" w14:textId="01C71556" w:rsidR="00AE3C41" w:rsidRPr="004C2AFB" w:rsidRDefault="000857EF" w:rsidP="002E74E6">
      <w:pPr>
        <w:pStyle w:val="FigureCaptions"/>
      </w:pPr>
      <w:r w:rsidRPr="004C2AFB">
        <w:t xml:space="preserve">Each of these training needs are described </w:t>
      </w:r>
      <w:r w:rsidR="0063027B" w:rsidRPr="004C2AFB">
        <w:t xml:space="preserve">and discussed in more detail </w:t>
      </w:r>
      <w:r w:rsidRPr="004C2AFB">
        <w:t>below.</w:t>
      </w:r>
    </w:p>
    <w:p w14:paraId="67645933" w14:textId="7B33035A" w:rsidR="00AE3C41" w:rsidRPr="009072D3" w:rsidRDefault="00AE3C41" w:rsidP="00366EAB">
      <w:pPr>
        <w:pStyle w:val="Heading3"/>
      </w:pPr>
      <w:bookmarkStart w:id="308" w:name="_Toc44279137"/>
      <w:bookmarkStart w:id="309" w:name="_Toc44339255"/>
      <w:r w:rsidRPr="009072D3">
        <w:t xml:space="preserve">Knowledge about bowel cancer screening and early detection </w:t>
      </w:r>
      <w:bookmarkEnd w:id="308"/>
      <w:bookmarkEnd w:id="309"/>
    </w:p>
    <w:p w14:paraId="0FBEF9A8" w14:textId="3EE76E42" w:rsidR="00AE3C41" w:rsidRPr="00520EA2" w:rsidRDefault="00AE3C41" w:rsidP="00AE3C41">
      <w:pPr>
        <w:rPr>
          <w:color w:val="000000" w:themeColor="text1"/>
        </w:rPr>
      </w:pPr>
      <w:r w:rsidRPr="00520EA2">
        <w:rPr>
          <w:color w:val="000000" w:themeColor="text1"/>
        </w:rPr>
        <w:t xml:space="preserve">This was the </w:t>
      </w:r>
      <w:r>
        <w:rPr>
          <w:color w:val="000000" w:themeColor="text1"/>
        </w:rPr>
        <w:t xml:space="preserve">knowledge </w:t>
      </w:r>
      <w:r w:rsidR="00BD6BDC">
        <w:rPr>
          <w:color w:val="000000" w:themeColor="text1"/>
        </w:rPr>
        <w:t>requirement</w:t>
      </w:r>
      <w:r>
        <w:rPr>
          <w:color w:val="000000" w:themeColor="text1"/>
        </w:rPr>
        <w:t xml:space="preserve"> most </w:t>
      </w:r>
      <w:r w:rsidR="007A3618">
        <w:rPr>
          <w:color w:val="000000" w:themeColor="text1"/>
        </w:rPr>
        <w:t>often</w:t>
      </w:r>
      <w:r>
        <w:rPr>
          <w:color w:val="000000" w:themeColor="text1"/>
        </w:rPr>
        <w:t xml:space="preserve"> </w:t>
      </w:r>
      <w:r w:rsidRPr="00520EA2">
        <w:rPr>
          <w:color w:val="000000" w:themeColor="text1"/>
        </w:rPr>
        <w:t>highlighted by participants in the survey and face</w:t>
      </w:r>
      <w:r w:rsidR="00BD6BDC">
        <w:rPr>
          <w:color w:val="000000" w:themeColor="text1"/>
        </w:rPr>
        <w:t>-</w:t>
      </w:r>
      <w:r w:rsidRPr="00520EA2">
        <w:rPr>
          <w:color w:val="000000" w:themeColor="text1"/>
        </w:rPr>
        <w:t>to</w:t>
      </w:r>
      <w:r w:rsidR="00BD6BDC">
        <w:rPr>
          <w:color w:val="000000" w:themeColor="text1"/>
        </w:rPr>
        <w:t>-</w:t>
      </w:r>
      <w:r w:rsidRPr="00520EA2">
        <w:rPr>
          <w:color w:val="000000" w:themeColor="text1"/>
        </w:rPr>
        <w:t xml:space="preserve">face workshops. IHWs </w:t>
      </w:r>
      <w:r>
        <w:rPr>
          <w:color w:val="000000" w:themeColor="text1"/>
        </w:rPr>
        <w:t>commented</w:t>
      </w:r>
      <w:r w:rsidRPr="00520EA2">
        <w:rPr>
          <w:color w:val="000000" w:themeColor="text1"/>
        </w:rPr>
        <w:t xml:space="preserve"> that they lacked confidence in their knowledge a</w:t>
      </w:r>
      <w:r w:rsidR="00BD6BDC">
        <w:rPr>
          <w:color w:val="000000" w:themeColor="text1"/>
        </w:rPr>
        <w:t xml:space="preserve">bout </w:t>
      </w:r>
      <w:r w:rsidRPr="00520EA2">
        <w:rPr>
          <w:color w:val="000000" w:themeColor="text1"/>
        </w:rPr>
        <w:t xml:space="preserve">bowel screening and bowel cancer in general and were less likely to raise the subject of bowel screening with </w:t>
      </w:r>
      <w:r w:rsidR="007A3618">
        <w:rPr>
          <w:color w:val="000000" w:themeColor="text1"/>
        </w:rPr>
        <w:t>patients</w:t>
      </w:r>
      <w:r>
        <w:rPr>
          <w:color w:val="000000" w:themeColor="text1"/>
        </w:rPr>
        <w:t xml:space="preserve"> </w:t>
      </w:r>
      <w:r w:rsidRPr="00520EA2">
        <w:rPr>
          <w:color w:val="000000" w:themeColor="text1"/>
        </w:rPr>
        <w:t xml:space="preserve">because they were not sure what questions may be </w:t>
      </w:r>
      <w:r w:rsidR="00315D5B" w:rsidRPr="00520EA2">
        <w:rPr>
          <w:color w:val="000000" w:themeColor="text1"/>
        </w:rPr>
        <w:t>asked and</w:t>
      </w:r>
      <w:r w:rsidRPr="00520EA2">
        <w:rPr>
          <w:color w:val="000000" w:themeColor="text1"/>
        </w:rPr>
        <w:t xml:space="preserve"> doubted their ability to be able to provide accurate information. </w:t>
      </w:r>
      <w:r>
        <w:rPr>
          <w:color w:val="000000" w:themeColor="text1"/>
        </w:rPr>
        <w:t>For example:</w:t>
      </w:r>
    </w:p>
    <w:p w14:paraId="2C7C6CBC" w14:textId="7774E0D7" w:rsidR="00AE3C41" w:rsidRPr="00520EA2" w:rsidRDefault="00BD6BDC" w:rsidP="000920C7">
      <w:pPr>
        <w:pStyle w:val="Quote"/>
      </w:pPr>
      <w:r>
        <w:t>‘</w:t>
      </w:r>
      <w:r w:rsidR="00AE3C41" w:rsidRPr="008C5C1D">
        <w:t>(We need)</w:t>
      </w:r>
      <w:r w:rsidR="00AE3C41">
        <w:t xml:space="preserve"> </w:t>
      </w:r>
      <w:r w:rsidR="00AE3C41" w:rsidRPr="008C5C1D">
        <w:t xml:space="preserve">a </w:t>
      </w:r>
      <w:r w:rsidR="00AE3C41" w:rsidRPr="00520EA2">
        <w:t>great</w:t>
      </w:r>
      <w:r w:rsidR="00AE3C41">
        <w:t>er</w:t>
      </w:r>
      <w:r w:rsidR="00AE3C41" w:rsidRPr="00520EA2">
        <w:t xml:space="preserve"> awareness and understanding of the importance of bowel cancer screening, about cancer in general and the importance of early detection</w:t>
      </w:r>
      <w:r w:rsidR="00AE3C41">
        <w:t>.</w:t>
      </w:r>
      <w:r w:rsidRPr="00BD6BDC">
        <w:t>’</w:t>
      </w:r>
    </w:p>
    <w:p w14:paraId="3C6445CF" w14:textId="2F99E715" w:rsidR="00AE3C41" w:rsidRDefault="00AE3C41" w:rsidP="00366EAB">
      <w:pPr>
        <w:pStyle w:val="Heading3"/>
      </w:pPr>
      <w:bookmarkStart w:id="310" w:name="_Toc44279138"/>
      <w:bookmarkStart w:id="311" w:name="_Toc44339256"/>
      <w:r w:rsidRPr="00443CD2">
        <w:t xml:space="preserve">Techniques for talking about bowel screening </w:t>
      </w:r>
      <w:bookmarkEnd w:id="310"/>
      <w:bookmarkEnd w:id="311"/>
    </w:p>
    <w:p w14:paraId="6DD6E40C" w14:textId="62793FB1" w:rsidR="00AE3C41" w:rsidRDefault="00AE3C41" w:rsidP="00AE3C41">
      <w:r>
        <w:t xml:space="preserve">The concept of ‘shame job’ was mentioned often in relation to bowel screening, both in terms of collecting a sample </w:t>
      </w:r>
      <w:r w:rsidR="00BD6BDC">
        <w:t>from</w:t>
      </w:r>
      <w:r>
        <w:t xml:space="preserve"> the patient or having to discuss it with the patient as the health care worker.</w:t>
      </w:r>
      <w:r w:rsidRPr="0000761D">
        <w:t xml:space="preserve"> </w:t>
      </w:r>
      <w:r>
        <w:t xml:space="preserve">Many </w:t>
      </w:r>
      <w:r w:rsidR="00BD6BDC">
        <w:t>Indigenous</w:t>
      </w:r>
      <w:r>
        <w:t xml:space="preserve"> people involved in the consultations said they would prefer to talk with a non-Indigenous health professional about bowel screening, as it would take some of the shame</w:t>
      </w:r>
      <w:r w:rsidR="00BD6BDC">
        <w:t xml:space="preserve"> away</w:t>
      </w:r>
      <w:r>
        <w:t>.</w:t>
      </w:r>
    </w:p>
    <w:p w14:paraId="67F795FF" w14:textId="77777777" w:rsidR="00AE3C41" w:rsidRDefault="00AE3C41" w:rsidP="00AE3C41">
      <w:r>
        <w:t>For IHWs, this sense of shame can be a major barrier to promoting bowel screening.</w:t>
      </w:r>
    </w:p>
    <w:p w14:paraId="2042385F" w14:textId="4B38DC42" w:rsidR="00AE3C41" w:rsidRDefault="00AE3C41" w:rsidP="000920C7">
      <w:pPr>
        <w:pStyle w:val="Quote"/>
      </w:pPr>
      <w:r>
        <w:t xml:space="preserve"> </w:t>
      </w:r>
      <w:r w:rsidR="00BD6BDC">
        <w:t>‘</w:t>
      </w:r>
      <w:r w:rsidRPr="0056057A">
        <w:t>I don't want to be identified as the person who talks about bowel cancer</w:t>
      </w:r>
      <w:r w:rsidR="00E54FAC">
        <w:t xml:space="preserve"> – </w:t>
      </w:r>
      <w:r w:rsidRPr="0056057A">
        <w:t>too shaming</w:t>
      </w:r>
      <w:r w:rsidR="00BD6BDC">
        <w:t>’</w:t>
      </w:r>
      <w:r>
        <w:t xml:space="preserve"> </w:t>
      </w:r>
    </w:p>
    <w:p w14:paraId="27795B19" w14:textId="07DC7C7D" w:rsidR="00AE3C41" w:rsidRDefault="00AE3C41" w:rsidP="000920C7">
      <w:pPr>
        <w:pStyle w:val="Quote"/>
      </w:pPr>
      <w:r>
        <w:t xml:space="preserve"> </w:t>
      </w:r>
      <w:r w:rsidR="00BD6BDC">
        <w:t>‘</w:t>
      </w:r>
      <w:r>
        <w:t>… (We need) s</w:t>
      </w:r>
      <w:r w:rsidRPr="0084572C">
        <w:t>trategies for approaching the subject</w:t>
      </w:r>
      <w:r>
        <w:t>.</w:t>
      </w:r>
      <w:r w:rsidR="00BD6BDC">
        <w:t>’</w:t>
      </w:r>
      <w:r>
        <w:t xml:space="preserve"> </w:t>
      </w:r>
    </w:p>
    <w:p w14:paraId="75A8859A" w14:textId="4FCE1918" w:rsidR="00AE3C41" w:rsidRDefault="00AE3C41" w:rsidP="00AE3C41">
      <w:r>
        <w:lastRenderedPageBreak/>
        <w:t xml:space="preserve">Many IHWs and other clinical staff indicated they would like </w:t>
      </w:r>
      <w:r w:rsidR="003E5E9A">
        <w:t>learn more about how</w:t>
      </w:r>
      <w:r>
        <w:t xml:space="preserve"> to</w:t>
      </w:r>
      <w:r w:rsidRPr="0000761D">
        <w:t xml:space="preserve"> </w:t>
      </w:r>
      <w:r>
        <w:t>discuss</w:t>
      </w:r>
      <w:r w:rsidRPr="0000761D">
        <w:t xml:space="preserve"> </w:t>
      </w:r>
      <w:r>
        <w:t>bowel screening</w:t>
      </w:r>
      <w:r w:rsidR="003E5E9A">
        <w:t xml:space="preserve"> with patients</w:t>
      </w:r>
      <w:r>
        <w:t xml:space="preserve">, </w:t>
      </w:r>
      <w:r w:rsidRPr="0000761D">
        <w:t xml:space="preserve">including </w:t>
      </w:r>
      <w:r>
        <w:t>‘</w:t>
      </w:r>
      <w:r w:rsidRPr="0000761D">
        <w:t>scripts</w:t>
      </w:r>
      <w:r>
        <w:t xml:space="preserve">’ that they could use. There was also interest in learning more about the specific barriers </w:t>
      </w:r>
      <w:r w:rsidR="003E5E9A">
        <w:t>Indigenous</w:t>
      </w:r>
      <w:r>
        <w:t xml:space="preserve"> people experience in relation to bowel </w:t>
      </w:r>
      <w:r w:rsidR="007A3618">
        <w:t>screening and</w:t>
      </w:r>
      <w:r>
        <w:t xml:space="preserve"> having the skills and knowledge to address these when talking with </w:t>
      </w:r>
      <w:r w:rsidR="003E5E9A">
        <w:t>patients</w:t>
      </w:r>
      <w:r>
        <w:t xml:space="preserve"> (motivational interviewing).</w:t>
      </w:r>
    </w:p>
    <w:p w14:paraId="5D1A55A3" w14:textId="448842F7" w:rsidR="00AE3C41" w:rsidRDefault="00AE3C41" w:rsidP="00AE3C41">
      <w:pPr>
        <w:rPr>
          <w:i/>
        </w:rPr>
      </w:pPr>
      <w:r>
        <w:t>Cancer remains a subject that has been largely unspoken of in many Aboriginal and Torres Strait Islander communities (</w:t>
      </w:r>
      <w:r>
        <w:rPr>
          <w:color w:val="000000" w:themeColor="text1"/>
        </w:rPr>
        <w:t xml:space="preserve">Treloar </w:t>
      </w:r>
      <w:r w:rsidRPr="00520EA2">
        <w:rPr>
          <w:color w:val="000000" w:themeColor="text1"/>
        </w:rPr>
        <w:t>2013)</w:t>
      </w:r>
      <w:r>
        <w:t xml:space="preserve">. This is changing to some degree, but in many areas and among many groups it continues to be off-limits. </w:t>
      </w:r>
      <w:r w:rsidR="002838BE">
        <w:t xml:space="preserve">The consultations </w:t>
      </w:r>
      <w:r>
        <w:t>heard frequently</w:t>
      </w:r>
      <w:r w:rsidR="003E5E9A">
        <w:t>,</w:t>
      </w:r>
      <w:r>
        <w:t xml:space="preserve"> for example</w:t>
      </w:r>
      <w:r w:rsidR="003E5E9A">
        <w:t>,</w:t>
      </w:r>
      <w:r>
        <w:t xml:space="preserve"> that it would be better not to use the word cancer on the bowel screening test kit box. </w:t>
      </w:r>
    </w:p>
    <w:p w14:paraId="56542F3F" w14:textId="178C6FB9" w:rsidR="00AE3C41" w:rsidRDefault="00AE3C41" w:rsidP="00AE3C41">
      <w:pPr>
        <w:rPr>
          <w:sz w:val="21"/>
          <w:szCs w:val="21"/>
        </w:rPr>
      </w:pPr>
      <w:bookmarkStart w:id="312" w:name="_Toc44279139"/>
      <w:bookmarkStart w:id="313" w:name="_Toc44339257"/>
      <w:r w:rsidRPr="00864E86">
        <w:rPr>
          <w:rStyle w:val="Heading3Char"/>
        </w:rPr>
        <w:t>Knowledge of the technical aspects of performing the test and of the NBCSP</w:t>
      </w:r>
      <w:bookmarkEnd w:id="312"/>
      <w:bookmarkEnd w:id="313"/>
    </w:p>
    <w:p w14:paraId="76A56657" w14:textId="414A4306" w:rsidR="00AE3C41" w:rsidRPr="00520EA2" w:rsidRDefault="00AE3C41" w:rsidP="00AE3C41">
      <w:pPr>
        <w:rPr>
          <w:color w:val="000000" w:themeColor="text1"/>
        </w:rPr>
      </w:pPr>
      <w:r>
        <w:rPr>
          <w:color w:val="000000" w:themeColor="text1"/>
        </w:rPr>
        <w:t xml:space="preserve">Many IHWs </w:t>
      </w:r>
      <w:r w:rsidRPr="00520EA2">
        <w:rPr>
          <w:color w:val="000000" w:themeColor="text1"/>
        </w:rPr>
        <w:t>s</w:t>
      </w:r>
      <w:r w:rsidR="003E5E9A">
        <w:rPr>
          <w:color w:val="000000" w:themeColor="text1"/>
        </w:rPr>
        <w:t>aid</w:t>
      </w:r>
      <w:r w:rsidRPr="00520EA2">
        <w:rPr>
          <w:color w:val="000000" w:themeColor="text1"/>
        </w:rPr>
        <w:t xml:space="preserve"> they were not familiar with the kits </w:t>
      </w:r>
      <w:r>
        <w:rPr>
          <w:color w:val="000000" w:themeColor="text1"/>
        </w:rPr>
        <w:t xml:space="preserve">(in common with other PHC professionals) or </w:t>
      </w:r>
      <w:r w:rsidRPr="00520EA2">
        <w:rPr>
          <w:color w:val="000000" w:themeColor="text1"/>
        </w:rPr>
        <w:t xml:space="preserve">the technical aspects of doing the test themselves, making it difficult to confidently provide instruction to a patient. </w:t>
      </w:r>
      <w:r w:rsidR="003E5E9A">
        <w:rPr>
          <w:color w:val="000000" w:themeColor="text1"/>
        </w:rPr>
        <w:t xml:space="preserve">It was suggested </w:t>
      </w:r>
      <w:r w:rsidRPr="00520EA2">
        <w:rPr>
          <w:color w:val="000000" w:themeColor="text1"/>
        </w:rPr>
        <w:t>that health worker</w:t>
      </w:r>
      <w:r w:rsidR="003E5E9A">
        <w:rPr>
          <w:color w:val="000000" w:themeColor="text1"/>
        </w:rPr>
        <w:t>s</w:t>
      </w:r>
      <w:r w:rsidRPr="00520EA2">
        <w:rPr>
          <w:color w:val="000000" w:themeColor="text1"/>
        </w:rPr>
        <w:t xml:space="preserve"> use the kit </w:t>
      </w:r>
      <w:r w:rsidR="003E5E9A">
        <w:rPr>
          <w:color w:val="000000" w:themeColor="text1"/>
        </w:rPr>
        <w:t xml:space="preserve">to make it easier to </w:t>
      </w:r>
      <w:r w:rsidRPr="00520EA2">
        <w:rPr>
          <w:color w:val="000000" w:themeColor="text1"/>
        </w:rPr>
        <w:t xml:space="preserve">explain to </w:t>
      </w:r>
      <w:r w:rsidR="003E5E9A">
        <w:rPr>
          <w:color w:val="000000" w:themeColor="text1"/>
        </w:rPr>
        <w:t>patients</w:t>
      </w:r>
      <w:r w:rsidRPr="00520EA2">
        <w:rPr>
          <w:color w:val="000000" w:themeColor="text1"/>
        </w:rPr>
        <w:t xml:space="preserve"> and encourage them to do the test. </w:t>
      </w:r>
    </w:p>
    <w:p w14:paraId="42540B5F" w14:textId="42365C55" w:rsidR="00AE3C41" w:rsidRPr="00520EA2" w:rsidRDefault="003E5E9A" w:rsidP="000920C7">
      <w:pPr>
        <w:pStyle w:val="Quote"/>
      </w:pPr>
      <w:r>
        <w:t>‘</w:t>
      </w:r>
      <w:r w:rsidR="00AE3C41" w:rsidRPr="00520EA2">
        <w:t xml:space="preserve">A thorough knowledge about technical aspects of screening e.g. collection of samples, safe return of samples for analysis as well as a clear understanding </w:t>
      </w:r>
      <w:r w:rsidR="00AE3C41">
        <w:t>of the principles of screening.</w:t>
      </w:r>
      <w:r>
        <w:t>’</w:t>
      </w:r>
    </w:p>
    <w:p w14:paraId="2D45076A" w14:textId="74F88199" w:rsidR="00AE3C41" w:rsidRPr="009F108B" w:rsidRDefault="00AE3C41" w:rsidP="00AE3C41">
      <w:pPr>
        <w:spacing w:line="240" w:lineRule="auto"/>
        <w:rPr>
          <w:sz w:val="21"/>
          <w:szCs w:val="21"/>
        </w:rPr>
      </w:pPr>
      <w:bookmarkStart w:id="314" w:name="_Toc44279140"/>
      <w:bookmarkStart w:id="315" w:name="_Toc44339258"/>
      <w:r w:rsidRPr="009F108B">
        <w:rPr>
          <w:rStyle w:val="Heading3Char"/>
        </w:rPr>
        <w:t>Knowledge around what happens after a positive test is returned – the pathways to colonoscopy</w:t>
      </w:r>
      <w:bookmarkEnd w:id="314"/>
      <w:bookmarkEnd w:id="315"/>
      <w:r w:rsidRPr="009F108B">
        <w:rPr>
          <w:sz w:val="21"/>
          <w:szCs w:val="21"/>
        </w:rPr>
        <w:t xml:space="preserve"> </w:t>
      </w:r>
    </w:p>
    <w:p w14:paraId="02275EE5" w14:textId="77777777" w:rsidR="003E5E9A" w:rsidRDefault="00AE3C41" w:rsidP="00AE3C41">
      <w:pPr>
        <w:rPr>
          <w:color w:val="000000" w:themeColor="text1"/>
        </w:rPr>
      </w:pPr>
      <w:r>
        <w:rPr>
          <w:color w:val="000000" w:themeColor="text1"/>
        </w:rPr>
        <w:t xml:space="preserve">IHWs were </w:t>
      </w:r>
      <w:r w:rsidR="003E5E9A">
        <w:rPr>
          <w:color w:val="000000" w:themeColor="text1"/>
        </w:rPr>
        <w:t xml:space="preserve">also </w:t>
      </w:r>
      <w:r>
        <w:rPr>
          <w:color w:val="000000" w:themeColor="text1"/>
        </w:rPr>
        <w:t>concerned about being able to provide accurate information about wha</w:t>
      </w:r>
      <w:r w:rsidR="003E5E9A">
        <w:rPr>
          <w:color w:val="000000" w:themeColor="text1"/>
        </w:rPr>
        <w:t>t would</w:t>
      </w:r>
      <w:r>
        <w:rPr>
          <w:color w:val="000000" w:themeColor="text1"/>
        </w:rPr>
        <w:t xml:space="preserve"> happen </w:t>
      </w:r>
      <w:r w:rsidR="003E5E9A">
        <w:rPr>
          <w:color w:val="000000" w:themeColor="text1"/>
        </w:rPr>
        <w:t>following a</w:t>
      </w:r>
      <w:r>
        <w:rPr>
          <w:color w:val="000000" w:themeColor="text1"/>
        </w:rPr>
        <w:t xml:space="preserve"> positive test result. While the focus of this project is to increase screening participation, the pathways to colonoscopy were frequently raised in the consultations, particularly around the ethics of screening if follow </w:t>
      </w:r>
      <w:r w:rsidR="003E5E9A">
        <w:rPr>
          <w:color w:val="000000" w:themeColor="text1"/>
        </w:rPr>
        <w:t>was</w:t>
      </w:r>
      <w:r>
        <w:rPr>
          <w:color w:val="000000" w:themeColor="text1"/>
        </w:rPr>
        <w:t xml:space="preserve"> difficult to access. </w:t>
      </w:r>
    </w:p>
    <w:p w14:paraId="4C3A476C" w14:textId="57026C3D" w:rsidR="00AE3C41" w:rsidRDefault="00AE3C41" w:rsidP="00AE3C41">
      <w:pPr>
        <w:rPr>
          <w:color w:val="000000" w:themeColor="text1"/>
        </w:rPr>
      </w:pPr>
      <w:r>
        <w:rPr>
          <w:color w:val="000000" w:themeColor="text1"/>
        </w:rPr>
        <w:t>In rural and remote areas</w:t>
      </w:r>
      <w:r w:rsidR="003E5E9A">
        <w:rPr>
          <w:color w:val="000000" w:themeColor="text1"/>
        </w:rPr>
        <w:t>,</w:t>
      </w:r>
      <w:r>
        <w:rPr>
          <w:color w:val="000000" w:themeColor="text1"/>
        </w:rPr>
        <w:t xml:space="preserve"> it may be costly and complicated to</w:t>
      </w:r>
      <w:r w:rsidR="003E5E9A">
        <w:rPr>
          <w:color w:val="000000" w:themeColor="text1"/>
        </w:rPr>
        <w:t xml:space="preserve"> travel</w:t>
      </w:r>
      <w:r>
        <w:rPr>
          <w:color w:val="000000" w:themeColor="text1"/>
        </w:rPr>
        <w:t xml:space="preserve"> to a</w:t>
      </w:r>
      <w:r w:rsidR="003E5E9A">
        <w:rPr>
          <w:color w:val="000000" w:themeColor="text1"/>
        </w:rPr>
        <w:t xml:space="preserve"> location</w:t>
      </w:r>
      <w:r>
        <w:rPr>
          <w:color w:val="000000" w:themeColor="text1"/>
        </w:rPr>
        <w:t xml:space="preserve"> where </w:t>
      </w:r>
      <w:r w:rsidR="003E5E9A">
        <w:rPr>
          <w:color w:val="000000" w:themeColor="text1"/>
        </w:rPr>
        <w:t xml:space="preserve">a </w:t>
      </w:r>
      <w:r>
        <w:rPr>
          <w:color w:val="000000" w:themeColor="text1"/>
        </w:rPr>
        <w:t xml:space="preserve">colonoscopy can be </w:t>
      </w:r>
      <w:r w:rsidR="003E5E9A">
        <w:rPr>
          <w:color w:val="000000" w:themeColor="text1"/>
        </w:rPr>
        <w:t>performed</w:t>
      </w:r>
      <w:r>
        <w:rPr>
          <w:color w:val="000000" w:themeColor="text1"/>
        </w:rPr>
        <w:t xml:space="preserve">, and </w:t>
      </w:r>
      <w:r w:rsidR="003E5E9A">
        <w:rPr>
          <w:color w:val="000000" w:themeColor="text1"/>
        </w:rPr>
        <w:t>Indigenous patients</w:t>
      </w:r>
      <w:r>
        <w:rPr>
          <w:color w:val="000000" w:themeColor="text1"/>
        </w:rPr>
        <w:t xml:space="preserve"> may be fearful of goi</w:t>
      </w:r>
      <w:r w:rsidR="003E5E9A">
        <w:rPr>
          <w:color w:val="000000" w:themeColor="text1"/>
        </w:rPr>
        <w:t>ng</w:t>
      </w:r>
      <w:r>
        <w:rPr>
          <w:color w:val="000000" w:themeColor="text1"/>
        </w:rPr>
        <w:t xml:space="preserve"> to a far-off hospital, particularly for a treatment related to cancer. </w:t>
      </w:r>
    </w:p>
    <w:p w14:paraId="72D2D2DF" w14:textId="0F334A49" w:rsidR="00AE3C41" w:rsidRPr="00520EA2" w:rsidRDefault="003E5E9A" w:rsidP="000920C7">
      <w:pPr>
        <w:pStyle w:val="Quote"/>
      </w:pPr>
      <w:r>
        <w:t>‘</w:t>
      </w:r>
      <w:r w:rsidR="00AE3C41" w:rsidRPr="00520EA2">
        <w:t>IH</w:t>
      </w:r>
      <w:r w:rsidR="00AE3C41">
        <w:t>Ws need</w:t>
      </w:r>
      <w:r w:rsidR="00AE3C41" w:rsidRPr="00520EA2">
        <w:t xml:space="preserve"> to understand the procedures </w:t>
      </w:r>
      <w:r w:rsidR="00315D5B" w:rsidRPr="00520EA2">
        <w:t>and</w:t>
      </w:r>
      <w:r w:rsidR="00AE3C41" w:rsidRPr="00520EA2">
        <w:t xml:space="preserve"> how a (</w:t>
      </w:r>
      <w:r w:rsidR="00AE3C41">
        <w:t>colonoscopy)</w:t>
      </w:r>
      <w:r w:rsidR="00AE3C41" w:rsidRPr="00520EA2">
        <w:t xml:space="preserve"> is performed at the hospital </w:t>
      </w:r>
      <w:r w:rsidR="00AE3C41">
        <w:t>if there is a positive finding.</w:t>
      </w:r>
      <w:r>
        <w:t>’</w:t>
      </w:r>
    </w:p>
    <w:p w14:paraId="1CF0B0A5" w14:textId="025D55DC" w:rsidR="00AE3C41" w:rsidRPr="00520EA2" w:rsidRDefault="003E5E9A" w:rsidP="000920C7">
      <w:pPr>
        <w:pStyle w:val="Quote"/>
      </w:pPr>
      <w:r>
        <w:t>‘</w:t>
      </w:r>
      <w:r w:rsidR="00AE3C41">
        <w:t>H</w:t>
      </w:r>
      <w:r w:rsidR="00AE3C41" w:rsidRPr="00520EA2">
        <w:t xml:space="preserve">ealth services need training </w:t>
      </w:r>
      <w:r w:rsidR="00AE3C41">
        <w:t>and</w:t>
      </w:r>
      <w:r w:rsidR="00AE3C41" w:rsidRPr="00520EA2">
        <w:t xml:space="preserve"> support around follow-up</w:t>
      </w:r>
      <w:r w:rsidR="00E54FAC">
        <w:t xml:space="preserve"> – </w:t>
      </w:r>
      <w:r w:rsidR="00AE3C41" w:rsidRPr="00520EA2">
        <w:t>what happens if further investigation is needed, what happens if someone is diagnosed, what systems</w:t>
      </w:r>
      <w:r w:rsidR="00E54FAC">
        <w:t xml:space="preserve"> – </w:t>
      </w:r>
      <w:r w:rsidR="00AE3C41" w:rsidRPr="00520EA2">
        <w:t xml:space="preserve">and support </w:t>
      </w:r>
      <w:r w:rsidR="00AE3C41">
        <w:t>are</w:t>
      </w:r>
      <w:r w:rsidR="00AE3C41" w:rsidRPr="00520EA2">
        <w:t xml:space="preserve"> in place</w:t>
      </w:r>
      <w:r w:rsidR="00AE3C41">
        <w:t>?</w:t>
      </w:r>
      <w:r>
        <w:t>’</w:t>
      </w:r>
    </w:p>
    <w:p w14:paraId="58B578B1" w14:textId="41493156" w:rsidR="00AE3C41" w:rsidRPr="009F108B" w:rsidRDefault="00AE3C41" w:rsidP="00AE3C41">
      <w:r>
        <w:t xml:space="preserve">Some of these procedural issues are likely to be specific to a region or individual service and may depend on pathways identified and agreed by a range of organisations. Training in relation to those aspects of a national </w:t>
      </w:r>
      <w:r w:rsidR="003E5E9A">
        <w:t>P</w:t>
      </w:r>
      <w:r>
        <w:t>ilot may be better delivered at the organisational level than through training of individual health professionals.</w:t>
      </w:r>
    </w:p>
    <w:p w14:paraId="44E3F478" w14:textId="5A4716E6" w:rsidR="00AE3C41" w:rsidRDefault="00AE3C41" w:rsidP="00366EAB">
      <w:pPr>
        <w:pStyle w:val="Heading3"/>
      </w:pPr>
      <w:bookmarkStart w:id="316" w:name="_Toc44279141"/>
      <w:bookmarkStart w:id="317" w:name="_Toc44339259"/>
      <w:r>
        <w:t xml:space="preserve">Managing cultural issues and protocols that might affect the engagement of IHWs or other clinical staff with clients, e.g. </w:t>
      </w:r>
      <w:r w:rsidRPr="006C23B0">
        <w:t>keeping men’s and women’s business separate</w:t>
      </w:r>
      <w:bookmarkEnd w:id="316"/>
      <w:bookmarkEnd w:id="317"/>
    </w:p>
    <w:p w14:paraId="78267515" w14:textId="2FF68D3B" w:rsidR="00AE3C41" w:rsidRDefault="00AE3C41" w:rsidP="00AE3C41">
      <w:pPr>
        <w:rPr>
          <w:color w:val="000000" w:themeColor="text1"/>
        </w:rPr>
      </w:pPr>
      <w:r>
        <w:rPr>
          <w:color w:val="000000" w:themeColor="text1"/>
        </w:rPr>
        <w:t xml:space="preserve">The sensitivities around discussing bowel screening are heightened when cultural protocols apply, for example in relation to men’s and women’s business, or in particular regions where faeces are associated with black magic. </w:t>
      </w:r>
    </w:p>
    <w:p w14:paraId="7666B07E" w14:textId="6A15AB71" w:rsidR="00AE3C41" w:rsidRPr="00520EA2" w:rsidRDefault="003E5E9A" w:rsidP="000920C7">
      <w:pPr>
        <w:pStyle w:val="Quote"/>
      </w:pPr>
      <w:r>
        <w:lastRenderedPageBreak/>
        <w:t>‘</w:t>
      </w:r>
      <w:r w:rsidR="00AE3C41" w:rsidRPr="00520EA2">
        <w:t>Ensure total privacy when spe</w:t>
      </w:r>
      <w:r w:rsidR="00AE3C41">
        <w:t>aking about topic, to decrease ‘shame’</w:t>
      </w:r>
      <w:r w:rsidR="00AE3C41" w:rsidRPr="00520EA2">
        <w:t xml:space="preserve"> </w:t>
      </w:r>
      <w:r>
        <w:t>i</w:t>
      </w:r>
      <w:r w:rsidR="00AE3C41" w:rsidRPr="00520EA2">
        <w:t>n our community, females teaching females /</w:t>
      </w:r>
      <w:r w:rsidR="00AE3C41">
        <w:t>males teaching males decreases ‘shame’</w:t>
      </w:r>
      <w:r w:rsidR="00AE3C41" w:rsidRPr="00520EA2">
        <w:t xml:space="preserve"> factor</w:t>
      </w:r>
      <w:r>
        <w:t>’</w:t>
      </w:r>
    </w:p>
    <w:p w14:paraId="5C8DDA5E" w14:textId="73BAB8E1" w:rsidR="00AE3C41" w:rsidRDefault="00AE3C41" w:rsidP="00AE3C41">
      <w:pPr>
        <w:rPr>
          <w:color w:val="000000" w:themeColor="text1"/>
        </w:rPr>
      </w:pPr>
      <w:r>
        <w:rPr>
          <w:color w:val="000000" w:themeColor="text1"/>
        </w:rPr>
        <w:t>These too are issues that may be best addressed at the operational level, as it is at the health service level that such barriers will need to be managed. For example, in the Top End of the Northern Territory, the issue around black magic – which might otherwise seem insurmountable</w:t>
      </w:r>
      <w:r w:rsidR="00E54FAC">
        <w:rPr>
          <w:color w:val="000000" w:themeColor="text1"/>
        </w:rPr>
        <w:t xml:space="preserve"> – </w:t>
      </w:r>
      <w:r>
        <w:rPr>
          <w:color w:val="000000" w:themeColor="text1"/>
        </w:rPr>
        <w:t>could be addressed if a non-Indigenous man was given the sample and could assure its safe delivery to the pathology service.</w:t>
      </w:r>
    </w:p>
    <w:p w14:paraId="48FF2715" w14:textId="6292801C" w:rsidR="00AE3C41" w:rsidRPr="005E66AE" w:rsidRDefault="007A3618" w:rsidP="000920C7">
      <w:pPr>
        <w:pStyle w:val="Quote"/>
      </w:pPr>
      <w:r>
        <w:t>‘</w:t>
      </w:r>
      <w:r w:rsidR="00AE3C41" w:rsidRPr="005E66AE">
        <w:t xml:space="preserve">I as a white man </w:t>
      </w:r>
      <w:r w:rsidR="00315D5B" w:rsidRPr="005E66AE">
        <w:t>could</w:t>
      </w:r>
      <w:r w:rsidR="00AE3C41" w:rsidRPr="005E66AE">
        <w:t xml:space="preserve"> take the sample of poo and store it because I’m not a member of a clan. I’m not going to use it in black magic. So I got a lot of samples that way and they knew that I would protect them and not pass them around</w:t>
      </w:r>
      <w:r>
        <w:t>’</w:t>
      </w:r>
    </w:p>
    <w:p w14:paraId="5A844989" w14:textId="77777777" w:rsidR="007A3618" w:rsidRDefault="00AE3C41" w:rsidP="00AE3C41">
      <w:pPr>
        <w:rPr>
          <w:color w:val="000000" w:themeColor="text1"/>
        </w:rPr>
      </w:pPr>
      <w:r>
        <w:rPr>
          <w:color w:val="000000" w:themeColor="text1"/>
        </w:rPr>
        <w:t xml:space="preserve">Nonetheless, managing cultural sensitivities is an issue that confronts individual IHWs, particularly given that many smaller clinics may have only female IHWs. </w:t>
      </w:r>
      <w:r w:rsidR="007A3618">
        <w:rPr>
          <w:color w:val="000000" w:themeColor="text1"/>
        </w:rPr>
        <w:t>Many</w:t>
      </w:r>
      <w:r>
        <w:rPr>
          <w:color w:val="000000" w:themeColor="text1"/>
        </w:rPr>
        <w:t xml:space="preserve"> younger female IHWs expressed discomfort at the prospect of talk</w:t>
      </w:r>
      <w:r w:rsidR="007A3618">
        <w:rPr>
          <w:color w:val="000000" w:themeColor="text1"/>
        </w:rPr>
        <w:t>ing</w:t>
      </w:r>
      <w:r>
        <w:rPr>
          <w:color w:val="000000" w:themeColor="text1"/>
        </w:rPr>
        <w:t xml:space="preserve"> to older men about a subject like bowel screening. </w:t>
      </w:r>
    </w:p>
    <w:p w14:paraId="7F8B2FC9" w14:textId="26870DE4" w:rsidR="00AE3C41" w:rsidRPr="00520EA2" w:rsidRDefault="00AE3C41" w:rsidP="00AE3C41">
      <w:pPr>
        <w:rPr>
          <w:color w:val="000000" w:themeColor="text1"/>
        </w:rPr>
      </w:pPr>
      <w:r>
        <w:rPr>
          <w:color w:val="000000" w:themeColor="text1"/>
        </w:rPr>
        <w:t xml:space="preserve">In one workshop this prompted a discussion with an older woman responding that </w:t>
      </w:r>
      <w:r w:rsidR="00A70F84">
        <w:rPr>
          <w:color w:val="000000" w:themeColor="text1"/>
        </w:rPr>
        <w:t>‘</w:t>
      </w:r>
      <w:r>
        <w:rPr>
          <w:color w:val="000000" w:themeColor="text1"/>
        </w:rPr>
        <w:t>as an IHW your role is to do what is necessary to make sure your clients receive good care</w:t>
      </w:r>
      <w:r w:rsidR="00A70F84">
        <w:rPr>
          <w:color w:val="000000" w:themeColor="text1"/>
        </w:rPr>
        <w:t>’</w:t>
      </w:r>
      <w:r>
        <w:rPr>
          <w:color w:val="000000" w:themeColor="text1"/>
        </w:rPr>
        <w:t>.</w:t>
      </w:r>
      <w:r w:rsidR="007A3618">
        <w:rPr>
          <w:color w:val="000000" w:themeColor="text1"/>
        </w:rPr>
        <w:t xml:space="preserve"> </w:t>
      </w:r>
      <w:r>
        <w:rPr>
          <w:color w:val="000000" w:themeColor="text1"/>
        </w:rPr>
        <w:t>These complex issues are not going to be resolved through training – but they are issues that deserve space in the preparation of IHWs to take a greater role in promoting bowel screening</w:t>
      </w:r>
      <w:r w:rsidRPr="00520EA2">
        <w:rPr>
          <w:color w:val="000000" w:themeColor="text1"/>
        </w:rPr>
        <w:t xml:space="preserve">. </w:t>
      </w:r>
    </w:p>
    <w:p w14:paraId="19B52616" w14:textId="03C843A9" w:rsidR="00AE3C41" w:rsidRDefault="007A3618" w:rsidP="000920C7">
      <w:pPr>
        <w:pStyle w:val="Quote"/>
      </w:pPr>
      <w:r>
        <w:t>‘</w:t>
      </w:r>
      <w:r w:rsidR="00AE3C41">
        <w:t xml:space="preserve">… I </w:t>
      </w:r>
      <w:r w:rsidR="00AE3C41" w:rsidRPr="00520EA2">
        <w:t xml:space="preserve">know that it is the </w:t>
      </w:r>
      <w:r w:rsidR="00AE3C41">
        <w:t>third</w:t>
      </w:r>
      <w:r w:rsidR="00AE3C41" w:rsidRPr="00520EA2">
        <w:t xml:space="preserve"> most common </w:t>
      </w:r>
      <w:r w:rsidR="00AE3C41">
        <w:t>c</w:t>
      </w:r>
      <w:r w:rsidR="00AE3C41" w:rsidRPr="00520EA2">
        <w:t xml:space="preserve">ancer in Australia but it is not culturally appropriate for me to talk to </w:t>
      </w:r>
      <w:r w:rsidR="00AE3C41">
        <w:t>m</w:t>
      </w:r>
      <w:r w:rsidR="00AE3C41" w:rsidRPr="00520EA2">
        <w:t xml:space="preserve">en about this, in particular </w:t>
      </w:r>
      <w:r w:rsidR="00A70F84">
        <w:t>t</w:t>
      </w:r>
      <w:r w:rsidR="00AE3C41" w:rsidRPr="00520EA2">
        <w:t>raditional men w</w:t>
      </w:r>
      <w:r w:rsidR="00AE3C41">
        <w:t>ho have been through ceremony</w:t>
      </w:r>
      <w:r w:rsidR="00912775">
        <w:t>.</w:t>
      </w:r>
      <w:r>
        <w:t>’</w:t>
      </w:r>
    </w:p>
    <w:p w14:paraId="77941540" w14:textId="23DE6A99" w:rsidR="00912775" w:rsidRPr="00187C09" w:rsidRDefault="00912775" w:rsidP="00366EAB">
      <w:pPr>
        <w:pStyle w:val="Heading3"/>
      </w:pPr>
      <w:bookmarkStart w:id="318" w:name="_Toc44339260"/>
      <w:r>
        <w:t>T</w:t>
      </w:r>
      <w:r w:rsidRPr="00187C09">
        <w:t>raining modes</w:t>
      </w:r>
      <w:bookmarkEnd w:id="318"/>
    </w:p>
    <w:p w14:paraId="3CDE5145" w14:textId="77777777" w:rsidR="00887B92" w:rsidRDefault="00912775" w:rsidP="00912775">
      <w:pPr>
        <w:rPr>
          <w:rFonts w:eastAsia="Times New Roman" w:cs="Arial"/>
          <w:bCs/>
          <w:color w:val="000000" w:themeColor="text1"/>
        </w:rPr>
      </w:pPr>
      <w:r>
        <w:t>S</w:t>
      </w:r>
      <w:r w:rsidRPr="007A00A0">
        <w:t xml:space="preserve">urvey respondents were asked about training modes they had experienced as effective. A number of modes </w:t>
      </w:r>
      <w:r>
        <w:t xml:space="preserve">and types of training </w:t>
      </w:r>
      <w:r w:rsidRPr="007A00A0">
        <w:t xml:space="preserve">had been suggested throughout the consultations as potentially useful, and survey respondents </w:t>
      </w:r>
      <w:r w:rsidRPr="007A00A0">
        <w:rPr>
          <w:rFonts w:eastAsia="Times New Roman" w:cs="Arial"/>
          <w:bCs/>
          <w:color w:val="000000" w:themeColor="text1"/>
        </w:rPr>
        <w:t xml:space="preserve">were asked to rate these in terms of their usefulness in helping PHC staff take on a greater role in promoting the participation of Aboriginal and Torres Strait Islander people in bowel screening.  </w:t>
      </w:r>
    </w:p>
    <w:p w14:paraId="07003C81" w14:textId="5A1FDE24" w:rsidR="00912775" w:rsidRDefault="00912775" w:rsidP="00912775">
      <w:pPr>
        <w:rPr>
          <w:rFonts w:eastAsia="Times New Roman" w:cs="Arial"/>
          <w:bCs/>
          <w:color w:val="000000" w:themeColor="text1"/>
        </w:rPr>
      </w:pPr>
      <w:r>
        <w:rPr>
          <w:rFonts w:eastAsia="Times New Roman" w:cs="Arial"/>
          <w:bCs/>
          <w:color w:val="000000" w:themeColor="text1"/>
        </w:rPr>
        <w:t xml:space="preserve">Table </w:t>
      </w:r>
      <w:r w:rsidR="00F354AA">
        <w:rPr>
          <w:rFonts w:eastAsia="Times New Roman" w:cs="Arial"/>
          <w:bCs/>
          <w:color w:val="000000" w:themeColor="text1"/>
        </w:rPr>
        <w:t>C-1</w:t>
      </w:r>
      <w:r>
        <w:rPr>
          <w:rFonts w:eastAsia="Times New Roman" w:cs="Arial"/>
          <w:bCs/>
          <w:color w:val="000000" w:themeColor="text1"/>
        </w:rPr>
        <w:t xml:space="preserve"> shows there was a strong preference for ‘training’ embedded into workplace practice, </w:t>
      </w:r>
      <w:r w:rsidR="00887B92">
        <w:rPr>
          <w:rFonts w:eastAsia="Times New Roman" w:cs="Arial"/>
          <w:bCs/>
          <w:color w:val="000000" w:themeColor="text1"/>
        </w:rPr>
        <w:t>i.e.</w:t>
      </w:r>
      <w:r>
        <w:rPr>
          <w:rFonts w:eastAsia="Times New Roman" w:cs="Arial"/>
          <w:bCs/>
          <w:color w:val="000000" w:themeColor="text1"/>
        </w:rPr>
        <w:t xml:space="preserve"> so workplace systems and information resources provid</w:t>
      </w:r>
      <w:r w:rsidR="00287378">
        <w:rPr>
          <w:rFonts w:eastAsia="Times New Roman" w:cs="Arial"/>
          <w:bCs/>
          <w:color w:val="000000" w:themeColor="text1"/>
        </w:rPr>
        <w:t>ed</w:t>
      </w:r>
      <w:r>
        <w:rPr>
          <w:rFonts w:eastAsia="Times New Roman" w:cs="Arial"/>
          <w:bCs/>
          <w:color w:val="000000" w:themeColor="text1"/>
        </w:rPr>
        <w:t xml:space="preserve"> ready access to reinforce both knowledge and behaviours.</w:t>
      </w:r>
    </w:p>
    <w:p w14:paraId="2F1DC4E8" w14:textId="3A1E08BA" w:rsidR="00912775" w:rsidRPr="00912775" w:rsidRDefault="00912775" w:rsidP="002E74E6">
      <w:pPr>
        <w:pStyle w:val="Caption"/>
      </w:pPr>
      <w:r>
        <w:t>Table C</w:t>
      </w:r>
      <w:r w:rsidR="00315D5B">
        <w:t>-1</w:t>
      </w:r>
      <w:r>
        <w:t xml:space="preserve">: </w:t>
      </w:r>
      <w:r w:rsidRPr="006C1233">
        <w:t>Usefulness of types and modes of training</w:t>
      </w:r>
    </w:p>
    <w:tbl>
      <w:tblPr>
        <w:tblW w:w="9323" w:type="dxa"/>
        <w:tblLook w:val="04A0" w:firstRow="1" w:lastRow="0" w:firstColumn="1" w:lastColumn="0" w:noHBand="0" w:noVBand="1"/>
      </w:tblPr>
      <w:tblGrid>
        <w:gridCol w:w="7054"/>
        <w:gridCol w:w="1277"/>
        <w:gridCol w:w="992"/>
      </w:tblGrid>
      <w:tr w:rsidR="00912775" w:rsidRPr="007A00A0" w14:paraId="21105CB7" w14:textId="77777777" w:rsidTr="003B7D5B">
        <w:tc>
          <w:tcPr>
            <w:tcW w:w="7054" w:type="dxa"/>
            <w:tcBorders>
              <w:top w:val="single" w:sz="4" w:space="0" w:color="auto"/>
            </w:tcBorders>
          </w:tcPr>
          <w:p w14:paraId="2417B9EC" w14:textId="77777777" w:rsidR="00912775" w:rsidRPr="007A00A0" w:rsidRDefault="00912775" w:rsidP="003B7D5B">
            <w:pPr>
              <w:spacing w:before="60" w:after="60"/>
              <w:rPr>
                <w:rFonts w:eastAsia="Times New Roman" w:cs="Arial"/>
                <w:b/>
                <w:bCs/>
                <w:color w:val="000000" w:themeColor="text1"/>
                <w:sz w:val="21"/>
                <w:szCs w:val="21"/>
              </w:rPr>
            </w:pPr>
            <w:r w:rsidRPr="007A00A0">
              <w:rPr>
                <w:rFonts w:eastAsia="Times New Roman" w:cs="Arial"/>
                <w:b/>
                <w:bCs/>
                <w:color w:val="000000" w:themeColor="text1"/>
                <w:sz w:val="21"/>
                <w:szCs w:val="21"/>
              </w:rPr>
              <w:t>Training</w:t>
            </w:r>
          </w:p>
        </w:tc>
        <w:tc>
          <w:tcPr>
            <w:tcW w:w="1277" w:type="dxa"/>
            <w:tcBorders>
              <w:top w:val="single" w:sz="4" w:space="0" w:color="auto"/>
            </w:tcBorders>
          </w:tcPr>
          <w:p w14:paraId="3D444AB5" w14:textId="77777777" w:rsidR="00912775" w:rsidRPr="007A00A0" w:rsidRDefault="00912775" w:rsidP="003B7D5B">
            <w:pPr>
              <w:spacing w:before="60" w:after="60"/>
              <w:jc w:val="center"/>
              <w:rPr>
                <w:rFonts w:eastAsia="Times New Roman" w:cs="Arial"/>
                <w:b/>
                <w:bCs/>
                <w:color w:val="000000" w:themeColor="text1"/>
                <w:sz w:val="21"/>
                <w:szCs w:val="21"/>
              </w:rPr>
            </w:pPr>
            <w:r w:rsidRPr="007A00A0">
              <w:rPr>
                <w:rFonts w:eastAsia="Times New Roman" w:cs="Arial"/>
                <w:b/>
                <w:bCs/>
                <w:color w:val="000000" w:themeColor="text1"/>
                <w:sz w:val="21"/>
                <w:szCs w:val="21"/>
              </w:rPr>
              <w:t>Very useful</w:t>
            </w:r>
          </w:p>
        </w:tc>
        <w:tc>
          <w:tcPr>
            <w:tcW w:w="992" w:type="dxa"/>
            <w:tcBorders>
              <w:top w:val="single" w:sz="4" w:space="0" w:color="auto"/>
            </w:tcBorders>
          </w:tcPr>
          <w:p w14:paraId="7FF2CF87" w14:textId="77777777" w:rsidR="00912775" w:rsidRPr="007A00A0" w:rsidRDefault="00912775" w:rsidP="003B7D5B">
            <w:pPr>
              <w:spacing w:before="60" w:after="60"/>
              <w:jc w:val="center"/>
              <w:rPr>
                <w:rFonts w:eastAsia="Times New Roman" w:cs="Arial"/>
                <w:b/>
                <w:bCs/>
                <w:color w:val="000000" w:themeColor="text1"/>
                <w:sz w:val="21"/>
                <w:szCs w:val="21"/>
              </w:rPr>
            </w:pPr>
            <w:r w:rsidRPr="007A00A0">
              <w:rPr>
                <w:rFonts w:eastAsia="Times New Roman" w:cs="Arial"/>
                <w:b/>
                <w:bCs/>
                <w:color w:val="000000" w:themeColor="text1"/>
                <w:sz w:val="21"/>
                <w:szCs w:val="21"/>
              </w:rPr>
              <w:t>Useful</w:t>
            </w:r>
          </w:p>
        </w:tc>
      </w:tr>
      <w:tr w:rsidR="00912775" w:rsidRPr="007A00A0" w14:paraId="7EC11CFC" w14:textId="77777777" w:rsidTr="003B7D5B">
        <w:tc>
          <w:tcPr>
            <w:tcW w:w="7054" w:type="dxa"/>
            <w:tcBorders>
              <w:bottom w:val="single" w:sz="4" w:space="0" w:color="auto"/>
            </w:tcBorders>
          </w:tcPr>
          <w:p w14:paraId="0BC196E6" w14:textId="77777777" w:rsidR="00912775" w:rsidRPr="007A00A0" w:rsidRDefault="00912775" w:rsidP="003B7D5B">
            <w:pPr>
              <w:spacing w:before="60" w:after="60"/>
              <w:rPr>
                <w:rFonts w:eastAsia="Times New Roman" w:cs="Arial"/>
                <w:bCs/>
                <w:color w:val="000000" w:themeColor="text1"/>
                <w:sz w:val="21"/>
                <w:szCs w:val="21"/>
              </w:rPr>
            </w:pPr>
          </w:p>
        </w:tc>
        <w:tc>
          <w:tcPr>
            <w:tcW w:w="1277" w:type="dxa"/>
            <w:tcBorders>
              <w:bottom w:val="single" w:sz="4" w:space="0" w:color="auto"/>
            </w:tcBorders>
          </w:tcPr>
          <w:p w14:paraId="1CC6B4CC"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w:t>
            </w:r>
          </w:p>
        </w:tc>
        <w:tc>
          <w:tcPr>
            <w:tcW w:w="992" w:type="dxa"/>
            <w:tcBorders>
              <w:bottom w:val="single" w:sz="4" w:space="0" w:color="auto"/>
            </w:tcBorders>
          </w:tcPr>
          <w:p w14:paraId="0E12B547"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w:t>
            </w:r>
          </w:p>
        </w:tc>
      </w:tr>
      <w:tr w:rsidR="00912775" w:rsidRPr="007A00A0" w14:paraId="7FB84C2B" w14:textId="77777777" w:rsidTr="003B7D5B">
        <w:tc>
          <w:tcPr>
            <w:tcW w:w="7054" w:type="dxa"/>
            <w:tcBorders>
              <w:top w:val="single" w:sz="4" w:space="0" w:color="auto"/>
            </w:tcBorders>
          </w:tcPr>
          <w:p w14:paraId="5181F897"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Changes to the information system your organisation uses for patient records so that it provides prompts and reminders about bowel screening</w:t>
            </w:r>
          </w:p>
        </w:tc>
        <w:tc>
          <w:tcPr>
            <w:tcW w:w="1277" w:type="dxa"/>
            <w:tcBorders>
              <w:top w:val="single" w:sz="4" w:space="0" w:color="auto"/>
            </w:tcBorders>
          </w:tcPr>
          <w:p w14:paraId="022A9B3E"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67</w:t>
            </w:r>
          </w:p>
        </w:tc>
        <w:tc>
          <w:tcPr>
            <w:tcW w:w="992" w:type="dxa"/>
            <w:tcBorders>
              <w:top w:val="single" w:sz="4" w:space="0" w:color="auto"/>
            </w:tcBorders>
          </w:tcPr>
          <w:p w14:paraId="37923998"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23</w:t>
            </w:r>
          </w:p>
        </w:tc>
      </w:tr>
      <w:tr w:rsidR="00912775" w:rsidRPr="007A00A0" w14:paraId="39AE2561" w14:textId="77777777" w:rsidTr="003B7D5B">
        <w:tc>
          <w:tcPr>
            <w:tcW w:w="7054" w:type="dxa"/>
          </w:tcPr>
          <w:p w14:paraId="5C4EF732"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Training in community engagement / health promotion skills</w:t>
            </w:r>
          </w:p>
        </w:tc>
        <w:tc>
          <w:tcPr>
            <w:tcW w:w="1277" w:type="dxa"/>
          </w:tcPr>
          <w:p w14:paraId="5C6E1074"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62</w:t>
            </w:r>
          </w:p>
        </w:tc>
        <w:tc>
          <w:tcPr>
            <w:tcW w:w="992" w:type="dxa"/>
          </w:tcPr>
          <w:p w14:paraId="057A2370"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35</w:t>
            </w:r>
          </w:p>
        </w:tc>
      </w:tr>
      <w:tr w:rsidR="00912775" w:rsidRPr="007A00A0" w14:paraId="74C72E17" w14:textId="77777777" w:rsidTr="003B7D5B">
        <w:tc>
          <w:tcPr>
            <w:tcW w:w="7054" w:type="dxa"/>
          </w:tcPr>
          <w:p w14:paraId="68DCBBB9"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Content about bowel screening included in formal clinical training</w:t>
            </w:r>
          </w:p>
        </w:tc>
        <w:tc>
          <w:tcPr>
            <w:tcW w:w="1277" w:type="dxa"/>
          </w:tcPr>
          <w:p w14:paraId="771A9EF7"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57</w:t>
            </w:r>
          </w:p>
        </w:tc>
        <w:tc>
          <w:tcPr>
            <w:tcW w:w="992" w:type="dxa"/>
          </w:tcPr>
          <w:p w14:paraId="5351661C"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41</w:t>
            </w:r>
          </w:p>
        </w:tc>
      </w:tr>
      <w:tr w:rsidR="00912775" w:rsidRPr="007A00A0" w14:paraId="69260AF8" w14:textId="77777777" w:rsidTr="003B7D5B">
        <w:tc>
          <w:tcPr>
            <w:tcW w:w="7054" w:type="dxa"/>
          </w:tcPr>
          <w:p w14:paraId="1840141B"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lastRenderedPageBreak/>
              <w:t>User friendly guidelines and referral pathways for bowel screening (can be stuck on the wall in consulting room)</w:t>
            </w:r>
          </w:p>
        </w:tc>
        <w:tc>
          <w:tcPr>
            <w:tcW w:w="1277" w:type="dxa"/>
          </w:tcPr>
          <w:p w14:paraId="6D500B13"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54</w:t>
            </w:r>
          </w:p>
        </w:tc>
        <w:tc>
          <w:tcPr>
            <w:tcW w:w="992" w:type="dxa"/>
          </w:tcPr>
          <w:p w14:paraId="32C5CBBE"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40</w:t>
            </w:r>
          </w:p>
        </w:tc>
      </w:tr>
      <w:tr w:rsidR="00912775" w:rsidRPr="007A00A0" w14:paraId="49EE490C" w14:textId="77777777" w:rsidTr="003B7D5B">
        <w:tc>
          <w:tcPr>
            <w:tcW w:w="7054" w:type="dxa"/>
          </w:tcPr>
          <w:p w14:paraId="737FA8DA"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On the job training specific to organisational needs</w:t>
            </w:r>
          </w:p>
        </w:tc>
        <w:tc>
          <w:tcPr>
            <w:tcW w:w="1277" w:type="dxa"/>
          </w:tcPr>
          <w:p w14:paraId="037DAE75"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52</w:t>
            </w:r>
          </w:p>
        </w:tc>
        <w:tc>
          <w:tcPr>
            <w:tcW w:w="992" w:type="dxa"/>
          </w:tcPr>
          <w:p w14:paraId="079A6A57"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42</w:t>
            </w:r>
          </w:p>
        </w:tc>
      </w:tr>
      <w:tr w:rsidR="00912775" w:rsidRPr="007A00A0" w14:paraId="2DE725EC" w14:textId="77777777" w:rsidTr="003B7D5B">
        <w:tc>
          <w:tcPr>
            <w:tcW w:w="7054" w:type="dxa"/>
          </w:tcPr>
          <w:p w14:paraId="55752919"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A 'script' that gives examples of how to talk about bowel screening with Aboriginal and Torres Strait Islander people</w:t>
            </w:r>
          </w:p>
        </w:tc>
        <w:tc>
          <w:tcPr>
            <w:tcW w:w="1277" w:type="dxa"/>
          </w:tcPr>
          <w:p w14:paraId="0AB698D3"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46</w:t>
            </w:r>
          </w:p>
        </w:tc>
        <w:tc>
          <w:tcPr>
            <w:tcW w:w="992" w:type="dxa"/>
          </w:tcPr>
          <w:p w14:paraId="1A1189FB"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36</w:t>
            </w:r>
          </w:p>
        </w:tc>
      </w:tr>
      <w:tr w:rsidR="00912775" w:rsidRPr="007A00A0" w14:paraId="13AA8BD2" w14:textId="77777777" w:rsidTr="003B7D5B">
        <w:tc>
          <w:tcPr>
            <w:tcW w:w="7054" w:type="dxa"/>
          </w:tcPr>
          <w:p w14:paraId="17A68A01"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Training in use of the health centre's patient information system</w:t>
            </w:r>
          </w:p>
        </w:tc>
        <w:tc>
          <w:tcPr>
            <w:tcW w:w="1277" w:type="dxa"/>
          </w:tcPr>
          <w:p w14:paraId="6B0915D6"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44</w:t>
            </w:r>
          </w:p>
        </w:tc>
        <w:tc>
          <w:tcPr>
            <w:tcW w:w="992" w:type="dxa"/>
          </w:tcPr>
          <w:p w14:paraId="5697ABE6"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43</w:t>
            </w:r>
          </w:p>
        </w:tc>
      </w:tr>
      <w:tr w:rsidR="00912775" w:rsidRPr="007A00A0" w14:paraId="72C69D34" w14:textId="77777777" w:rsidTr="003B7D5B">
        <w:tc>
          <w:tcPr>
            <w:tcW w:w="7054" w:type="dxa"/>
          </w:tcPr>
          <w:p w14:paraId="10C2B508"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Short course (1-2 days) at centralised location</w:t>
            </w:r>
          </w:p>
        </w:tc>
        <w:tc>
          <w:tcPr>
            <w:tcW w:w="1277" w:type="dxa"/>
          </w:tcPr>
          <w:p w14:paraId="18A7C129"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44</w:t>
            </w:r>
          </w:p>
        </w:tc>
        <w:tc>
          <w:tcPr>
            <w:tcW w:w="992" w:type="dxa"/>
          </w:tcPr>
          <w:p w14:paraId="76A9FFC8"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44</w:t>
            </w:r>
          </w:p>
        </w:tc>
      </w:tr>
      <w:tr w:rsidR="00912775" w:rsidRPr="007A00A0" w14:paraId="2F90F00B" w14:textId="77777777" w:rsidTr="003B7D5B">
        <w:tc>
          <w:tcPr>
            <w:tcW w:w="7054" w:type="dxa"/>
          </w:tcPr>
          <w:p w14:paraId="4889D657"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Training in how to use social media to promote health messages for Aboriginal and Torres Strait Islander people</w:t>
            </w:r>
          </w:p>
        </w:tc>
        <w:tc>
          <w:tcPr>
            <w:tcW w:w="1277" w:type="dxa"/>
          </w:tcPr>
          <w:p w14:paraId="6AF0AA95"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39</w:t>
            </w:r>
          </w:p>
        </w:tc>
        <w:tc>
          <w:tcPr>
            <w:tcW w:w="992" w:type="dxa"/>
          </w:tcPr>
          <w:p w14:paraId="2DCD144F"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46</w:t>
            </w:r>
          </w:p>
        </w:tc>
      </w:tr>
      <w:tr w:rsidR="00912775" w:rsidRPr="007A00A0" w14:paraId="009CFF3A" w14:textId="77777777" w:rsidTr="003B7D5B">
        <w:tc>
          <w:tcPr>
            <w:tcW w:w="7054" w:type="dxa"/>
            <w:tcBorders>
              <w:bottom w:val="single" w:sz="4" w:space="0" w:color="auto"/>
            </w:tcBorders>
          </w:tcPr>
          <w:p w14:paraId="6655AB90" w14:textId="77777777" w:rsidR="00912775" w:rsidRPr="007A00A0" w:rsidRDefault="00912775" w:rsidP="003B7D5B">
            <w:pPr>
              <w:spacing w:before="60" w:after="60"/>
              <w:rPr>
                <w:rFonts w:eastAsia="Times New Roman" w:cs="Arial"/>
                <w:bCs/>
                <w:color w:val="000000" w:themeColor="text1"/>
                <w:sz w:val="21"/>
                <w:szCs w:val="21"/>
              </w:rPr>
            </w:pPr>
            <w:r w:rsidRPr="007A00A0">
              <w:rPr>
                <w:rFonts w:eastAsia="Times New Roman" w:cs="Arial"/>
                <w:bCs/>
                <w:color w:val="000000" w:themeColor="text1"/>
                <w:sz w:val="21"/>
                <w:szCs w:val="21"/>
              </w:rPr>
              <w:t>Online module/s</w:t>
            </w:r>
          </w:p>
        </w:tc>
        <w:tc>
          <w:tcPr>
            <w:tcW w:w="1277" w:type="dxa"/>
            <w:tcBorders>
              <w:bottom w:val="single" w:sz="4" w:space="0" w:color="auto"/>
            </w:tcBorders>
          </w:tcPr>
          <w:p w14:paraId="7FA39DC8"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28</w:t>
            </w:r>
          </w:p>
        </w:tc>
        <w:tc>
          <w:tcPr>
            <w:tcW w:w="992" w:type="dxa"/>
            <w:tcBorders>
              <w:bottom w:val="single" w:sz="4" w:space="0" w:color="auto"/>
            </w:tcBorders>
          </w:tcPr>
          <w:p w14:paraId="42E90621" w14:textId="77777777" w:rsidR="00912775" w:rsidRPr="007A00A0" w:rsidRDefault="00912775" w:rsidP="003B7D5B">
            <w:pPr>
              <w:spacing w:before="60" w:after="60"/>
              <w:jc w:val="center"/>
              <w:rPr>
                <w:rFonts w:eastAsia="Times New Roman" w:cs="Arial"/>
                <w:bCs/>
                <w:color w:val="000000" w:themeColor="text1"/>
                <w:sz w:val="21"/>
                <w:szCs w:val="21"/>
              </w:rPr>
            </w:pPr>
            <w:r w:rsidRPr="007A00A0">
              <w:rPr>
                <w:rFonts w:eastAsia="Times New Roman" w:cs="Arial"/>
                <w:bCs/>
                <w:color w:val="000000" w:themeColor="text1"/>
                <w:sz w:val="21"/>
                <w:szCs w:val="21"/>
              </w:rPr>
              <w:t>46</w:t>
            </w:r>
          </w:p>
        </w:tc>
      </w:tr>
    </w:tbl>
    <w:p w14:paraId="21F80261" w14:textId="77777777" w:rsidR="00912775" w:rsidRPr="009076B4" w:rsidRDefault="00912775" w:rsidP="00912775">
      <w:pPr>
        <w:pStyle w:val="Tablenotes"/>
      </w:pPr>
      <w:r w:rsidRPr="009076B4">
        <w:t>Source: National survey conducted as part of the National Indigenous Bowel Screening Project</w:t>
      </w:r>
    </w:p>
    <w:p w14:paraId="42800075" w14:textId="07418E96" w:rsidR="00912775" w:rsidRPr="00777611" w:rsidRDefault="00912775" w:rsidP="00912775">
      <w:pPr>
        <w:rPr>
          <w:color w:val="000000" w:themeColor="text1"/>
        </w:rPr>
      </w:pPr>
      <w:r>
        <w:rPr>
          <w:color w:val="000000" w:themeColor="text1"/>
        </w:rPr>
        <w:t>There were some differences of opinion on the usefulness of distance learning (such as online modules) or social media. Survey respondents ranked these as among the least useful of the range of types or modes of training that had been proposed. However</w:t>
      </w:r>
      <w:r w:rsidR="00887B92">
        <w:rPr>
          <w:color w:val="000000" w:themeColor="text1"/>
        </w:rPr>
        <w:t>,</w:t>
      </w:r>
      <w:r>
        <w:rPr>
          <w:color w:val="000000" w:themeColor="text1"/>
        </w:rPr>
        <w:t xml:space="preserve"> others emphasised the importance of a range of flexible options for training, to suit the diverse needs and capacity of different regions, communities and learners.</w:t>
      </w:r>
    </w:p>
    <w:p w14:paraId="6B4ED1F9" w14:textId="77777777" w:rsidR="00912775" w:rsidRPr="00912775" w:rsidRDefault="00912775" w:rsidP="00912775">
      <w:pPr>
        <w:rPr>
          <w:lang w:val="en-GB"/>
        </w:rPr>
      </w:pPr>
    </w:p>
    <w:p w14:paraId="4462A1EE" w14:textId="77777777" w:rsidR="006168C2" w:rsidRDefault="006168C2">
      <w:pPr>
        <w:spacing w:before="0" w:after="0" w:line="240" w:lineRule="auto"/>
        <w:rPr>
          <w:rFonts w:asciiTheme="majorHAnsi" w:eastAsiaTheme="majorEastAsia" w:hAnsiTheme="majorHAnsi" w:cstheme="majorBidi"/>
          <w:b/>
          <w:color w:val="C45911" w:themeColor="accent2" w:themeShade="BF"/>
          <w:sz w:val="48"/>
          <w:szCs w:val="32"/>
          <w:lang w:eastAsia="en-AU"/>
        </w:rPr>
      </w:pPr>
      <w:r>
        <w:br w:type="page"/>
      </w:r>
    </w:p>
    <w:p w14:paraId="455FDC47" w14:textId="57A086DD" w:rsidR="00970511" w:rsidRDefault="00970511" w:rsidP="00510A67">
      <w:pPr>
        <w:pStyle w:val="Heading1"/>
      </w:pPr>
      <w:bookmarkStart w:id="319" w:name="_Toc44339261"/>
      <w:bookmarkStart w:id="320" w:name="_Toc45539287"/>
      <w:bookmarkStart w:id="321" w:name="_Toc54954873"/>
      <w:r>
        <w:lastRenderedPageBreak/>
        <w:t>Appendix D</w:t>
      </w:r>
      <w:bookmarkEnd w:id="319"/>
      <w:bookmarkEnd w:id="320"/>
      <w:bookmarkEnd w:id="321"/>
    </w:p>
    <w:p w14:paraId="2F323ECC" w14:textId="33647BCD" w:rsidR="00970511" w:rsidRDefault="00970511" w:rsidP="00070C12">
      <w:pPr>
        <w:pStyle w:val="Heading2"/>
      </w:pPr>
      <w:bookmarkStart w:id="322" w:name="_Toc44339262"/>
      <w:bookmarkStart w:id="323" w:name="_Toc45539288"/>
      <w:bookmarkStart w:id="324" w:name="_Toc54954874"/>
      <w:r>
        <w:t>Quality and Safety Checklist process</w:t>
      </w:r>
      <w:bookmarkEnd w:id="322"/>
      <w:bookmarkEnd w:id="323"/>
      <w:bookmarkEnd w:id="324"/>
    </w:p>
    <w:p w14:paraId="17AD2F8C" w14:textId="77777777" w:rsidR="00970511" w:rsidRDefault="00970511" w:rsidP="00970511">
      <w:pPr>
        <w:rPr>
          <w:rFonts w:cstheme="minorHAnsi"/>
        </w:rPr>
      </w:pPr>
      <w:r>
        <w:rPr>
          <w:bCs/>
        </w:rPr>
        <w:t xml:space="preserve">All health centres approved to participate in the Pilot were required to complete a </w:t>
      </w:r>
      <w:r w:rsidRPr="00C37DD0">
        <w:rPr>
          <w:rFonts w:cstheme="minorHAnsi"/>
        </w:rPr>
        <w:t>Quality and Safety Checklist (QSC) to a satisfactory standard</w:t>
      </w:r>
      <w:r>
        <w:rPr>
          <w:rFonts w:cstheme="minorHAnsi"/>
        </w:rPr>
        <w:t xml:space="preserve"> before being able to distribute </w:t>
      </w:r>
      <w:r w:rsidRPr="00C37DD0">
        <w:rPr>
          <w:rFonts w:cstheme="minorHAnsi"/>
        </w:rPr>
        <w:t xml:space="preserve">National Bowel Cancer Screening Program </w:t>
      </w:r>
      <w:r>
        <w:rPr>
          <w:rFonts w:cstheme="minorHAnsi"/>
        </w:rPr>
        <w:t>(NBCSP) kits</w:t>
      </w:r>
      <w:r w:rsidRPr="00B72A48">
        <w:rPr>
          <w:rFonts w:cstheme="minorHAnsi"/>
        </w:rPr>
        <w:t xml:space="preserve"> </w:t>
      </w:r>
      <w:r>
        <w:rPr>
          <w:rFonts w:cstheme="minorHAnsi"/>
        </w:rPr>
        <w:t>through</w:t>
      </w:r>
      <w:r w:rsidRPr="00C37DD0">
        <w:rPr>
          <w:rFonts w:cstheme="minorHAnsi"/>
        </w:rPr>
        <w:t xml:space="preserve"> </w:t>
      </w:r>
      <w:r>
        <w:rPr>
          <w:rFonts w:cstheme="minorHAnsi"/>
        </w:rPr>
        <w:t>the Alternative Pathway</w:t>
      </w:r>
      <w:r w:rsidRPr="00C37DD0">
        <w:rPr>
          <w:rFonts w:cstheme="minorHAnsi"/>
        </w:rPr>
        <w:t>.</w:t>
      </w:r>
      <w:r>
        <w:rPr>
          <w:rFonts w:cstheme="minorHAnsi"/>
        </w:rPr>
        <w:t xml:space="preserve"> </w:t>
      </w:r>
    </w:p>
    <w:p w14:paraId="6A05D976" w14:textId="77777777" w:rsidR="00970511" w:rsidRDefault="00970511" w:rsidP="00970511">
      <w:r>
        <w:rPr>
          <w:rFonts w:cstheme="minorHAnsi"/>
        </w:rPr>
        <w:t xml:space="preserve">The QSC was </w:t>
      </w:r>
      <w:r w:rsidRPr="00C37DD0">
        <w:rPr>
          <w:rFonts w:cstheme="minorHAnsi"/>
        </w:rPr>
        <w:t xml:space="preserve">designed </w:t>
      </w:r>
      <w:r w:rsidRPr="00E44339">
        <w:rPr>
          <w:rFonts w:cstheme="minorHAnsi"/>
        </w:rPr>
        <w:t xml:space="preserve">to assist </w:t>
      </w:r>
      <w:r>
        <w:rPr>
          <w:rFonts w:cstheme="minorHAnsi"/>
        </w:rPr>
        <w:t>s</w:t>
      </w:r>
      <w:r w:rsidRPr="00E44339">
        <w:rPr>
          <w:rFonts w:cstheme="minorHAnsi"/>
        </w:rPr>
        <w:t xml:space="preserve">ite </w:t>
      </w:r>
      <w:r>
        <w:rPr>
          <w:rFonts w:cstheme="minorHAnsi"/>
        </w:rPr>
        <w:t>c</w:t>
      </w:r>
      <w:r w:rsidRPr="00E44339">
        <w:rPr>
          <w:rFonts w:cstheme="minorHAnsi"/>
        </w:rPr>
        <w:t>oordinators understand the requirements of the NBCSP</w:t>
      </w:r>
      <w:r>
        <w:rPr>
          <w:rFonts w:cstheme="minorHAnsi"/>
        </w:rPr>
        <w:t xml:space="preserve"> </w:t>
      </w:r>
      <w:r w:rsidRPr="00E44339">
        <w:rPr>
          <w:rFonts w:cstheme="minorHAnsi"/>
        </w:rPr>
        <w:t xml:space="preserve">and to </w:t>
      </w:r>
      <w:r>
        <w:rPr>
          <w:rFonts w:cstheme="minorHAnsi"/>
        </w:rPr>
        <w:t xml:space="preserve">encourage </w:t>
      </w:r>
      <w:r w:rsidRPr="00E44339">
        <w:rPr>
          <w:rFonts w:cstheme="minorHAnsi"/>
        </w:rPr>
        <w:t>planning to introduce</w:t>
      </w:r>
      <w:r>
        <w:rPr>
          <w:rFonts w:cstheme="minorHAnsi"/>
        </w:rPr>
        <w:t xml:space="preserve">, deliver and manage risks around </w:t>
      </w:r>
      <w:r w:rsidRPr="00E44339">
        <w:rPr>
          <w:rFonts w:cstheme="minorHAnsi"/>
        </w:rPr>
        <w:t>the Alternative Pathway</w:t>
      </w:r>
      <w:r>
        <w:rPr>
          <w:rFonts w:cstheme="minorHAnsi"/>
        </w:rPr>
        <w:t xml:space="preserve"> at their health centre</w:t>
      </w:r>
      <w:r w:rsidRPr="00E44339">
        <w:rPr>
          <w:rFonts w:cstheme="minorHAnsi"/>
        </w:rPr>
        <w:t>.</w:t>
      </w:r>
      <w:r w:rsidRPr="001F539A">
        <w:t xml:space="preserve"> </w:t>
      </w:r>
    </w:p>
    <w:p w14:paraId="7D746845" w14:textId="77777777" w:rsidR="00970511" w:rsidRDefault="00970511" w:rsidP="00970511">
      <w:pPr>
        <w:rPr>
          <w:rFonts w:cstheme="minorHAnsi"/>
        </w:rPr>
      </w:pPr>
      <w:r w:rsidRPr="001F539A">
        <w:rPr>
          <w:rFonts w:cstheme="minorHAnsi"/>
        </w:rPr>
        <w:t xml:space="preserve">The QSC </w:t>
      </w:r>
      <w:r w:rsidRPr="00C37DD0">
        <w:rPr>
          <w:rFonts w:cstheme="minorHAnsi"/>
        </w:rPr>
        <w:t>cover</w:t>
      </w:r>
      <w:r>
        <w:rPr>
          <w:rFonts w:cstheme="minorHAnsi"/>
        </w:rPr>
        <w:t>ed</w:t>
      </w:r>
      <w:r w:rsidRPr="00C37DD0">
        <w:rPr>
          <w:rFonts w:cstheme="minorHAnsi"/>
        </w:rPr>
        <w:t xml:space="preserve"> </w:t>
      </w:r>
      <w:r>
        <w:rPr>
          <w:rFonts w:cstheme="minorHAnsi"/>
        </w:rPr>
        <w:t xml:space="preserve">six </w:t>
      </w:r>
      <w:r w:rsidRPr="00A86285">
        <w:rPr>
          <w:rFonts w:cstheme="minorHAnsi"/>
        </w:rPr>
        <w:t xml:space="preserve">critical quality and safety issues </w:t>
      </w:r>
      <w:r>
        <w:rPr>
          <w:rFonts w:cstheme="minorHAnsi"/>
        </w:rPr>
        <w:t xml:space="preserve">that might represent risks for primary </w:t>
      </w:r>
      <w:r w:rsidRPr="00A86285">
        <w:rPr>
          <w:rFonts w:cstheme="minorHAnsi"/>
        </w:rPr>
        <w:t xml:space="preserve">health </w:t>
      </w:r>
      <w:r>
        <w:rPr>
          <w:rFonts w:cstheme="minorHAnsi"/>
        </w:rPr>
        <w:t xml:space="preserve">care </w:t>
      </w:r>
      <w:r w:rsidRPr="00A86285">
        <w:rPr>
          <w:rFonts w:cstheme="minorHAnsi"/>
        </w:rPr>
        <w:t>centres, their staff and</w:t>
      </w:r>
      <w:r>
        <w:rPr>
          <w:rFonts w:cstheme="minorHAnsi"/>
        </w:rPr>
        <w:t>/or</w:t>
      </w:r>
      <w:r w:rsidRPr="00A86285">
        <w:rPr>
          <w:rFonts w:cstheme="minorHAnsi"/>
        </w:rPr>
        <w:t xml:space="preserve"> patients</w:t>
      </w:r>
      <w:r>
        <w:rPr>
          <w:rFonts w:cstheme="minorHAnsi"/>
        </w:rPr>
        <w:t xml:space="preserve"> arising from the delivery of the NBCSP through the Alternative Pathway. </w:t>
      </w:r>
    </w:p>
    <w:p w14:paraId="75D10830" w14:textId="77777777" w:rsidR="00970511" w:rsidRDefault="00970511" w:rsidP="00970511">
      <w:pPr>
        <w:rPr>
          <w:rFonts w:cstheme="minorHAnsi"/>
        </w:rPr>
      </w:pPr>
      <w:r>
        <w:rPr>
          <w:rFonts w:cstheme="minorHAnsi"/>
        </w:rPr>
        <w:t>The issues were identified from consultations prior to the Pilot (Stage One, 2015-16), informed by implementation science and health services research literature</w:t>
      </w:r>
      <w:r>
        <w:rPr>
          <w:rStyle w:val="FootnoteReference"/>
          <w:rFonts w:cstheme="minorHAnsi"/>
        </w:rPr>
        <w:footnoteReference w:id="49"/>
      </w:r>
      <w:r>
        <w:rPr>
          <w:rFonts w:cstheme="minorHAnsi"/>
        </w:rPr>
        <w:t xml:space="preserve">, and refined as the revised model of the Alternative Pathway was developed during 2018. </w:t>
      </w:r>
    </w:p>
    <w:p w14:paraId="6F3413A5" w14:textId="77777777" w:rsidR="00970511" w:rsidRDefault="00970511" w:rsidP="00970511">
      <w:pPr>
        <w:rPr>
          <w:rFonts w:cstheme="minorHAnsi"/>
        </w:rPr>
      </w:pPr>
      <w:r>
        <w:rPr>
          <w:rFonts w:cstheme="minorHAnsi"/>
        </w:rPr>
        <w:t>Major contributors to risk were the widespread lack of knowledge or misunderstanding about the NBCSP amongst primary health care staff identified during Stage One of the project, and an inconvenient workaround put in place to ensure health centre staff provided essential information about clients invited to screen and/or given kits to the National Bowel Cancer Screening Register (NBCSR).  The QSC was seen as a check that at least one person at each health centre understood what was required before the health centre was approved to give out kits.</w:t>
      </w:r>
    </w:p>
    <w:p w14:paraId="3BE284AC" w14:textId="77777777" w:rsidR="00970511" w:rsidRDefault="00970511" w:rsidP="00970511">
      <w:pPr>
        <w:rPr>
          <w:rFonts w:cstheme="minorHAnsi"/>
        </w:rPr>
      </w:pPr>
      <w:r>
        <w:rPr>
          <w:rFonts w:cstheme="minorHAnsi"/>
        </w:rPr>
        <w:t>Topics in the QSC included the management</w:t>
      </w:r>
      <w:r w:rsidRPr="00C37DD0">
        <w:rPr>
          <w:rFonts w:cstheme="minorHAnsi"/>
        </w:rPr>
        <w:t xml:space="preserve"> of kits</w:t>
      </w:r>
      <w:r>
        <w:rPr>
          <w:rFonts w:cstheme="minorHAnsi"/>
        </w:rPr>
        <w:t xml:space="preserve"> and samples; </w:t>
      </w:r>
      <w:r w:rsidRPr="00C37DD0">
        <w:rPr>
          <w:rFonts w:cstheme="minorHAnsi"/>
        </w:rPr>
        <w:t>staff skill</w:t>
      </w:r>
      <w:r>
        <w:rPr>
          <w:rFonts w:cstheme="minorHAnsi"/>
        </w:rPr>
        <w:t>s</w:t>
      </w:r>
      <w:r w:rsidRPr="00C37DD0">
        <w:rPr>
          <w:rFonts w:cstheme="minorHAnsi"/>
        </w:rPr>
        <w:t xml:space="preserve"> </w:t>
      </w:r>
      <w:r>
        <w:rPr>
          <w:rFonts w:cstheme="minorHAnsi"/>
        </w:rPr>
        <w:t xml:space="preserve">and managing capability in the face of staff turnover; barriers that clients may face in doing the test; recording patient invitations and participation; managing patient follow-up (i.e. </w:t>
      </w:r>
      <w:r w:rsidRPr="00C37DD0">
        <w:rPr>
          <w:rFonts w:cstheme="minorHAnsi"/>
        </w:rPr>
        <w:t>timely access to colonoscopy</w:t>
      </w:r>
      <w:r>
        <w:rPr>
          <w:rFonts w:cstheme="minorHAnsi"/>
        </w:rPr>
        <w:t>)</w:t>
      </w:r>
      <w:r w:rsidRPr="00C37DD0">
        <w:rPr>
          <w:rFonts w:cstheme="minorHAnsi"/>
        </w:rPr>
        <w:t xml:space="preserve">, </w:t>
      </w:r>
      <w:r>
        <w:rPr>
          <w:rFonts w:cstheme="minorHAnsi"/>
        </w:rPr>
        <w:t xml:space="preserve">and </w:t>
      </w:r>
      <w:r w:rsidRPr="00C37DD0">
        <w:rPr>
          <w:rFonts w:cstheme="minorHAnsi"/>
        </w:rPr>
        <w:t>privacy and confidentiality issues</w:t>
      </w:r>
      <w:r>
        <w:rPr>
          <w:rFonts w:cstheme="minorHAnsi"/>
        </w:rPr>
        <w:t xml:space="preserve">. </w:t>
      </w:r>
    </w:p>
    <w:p w14:paraId="7C088B54" w14:textId="77777777" w:rsidR="00970511" w:rsidRDefault="00970511" w:rsidP="00970511">
      <w:pPr>
        <w:rPr>
          <w:rFonts w:cstheme="minorHAnsi"/>
        </w:rPr>
      </w:pPr>
      <w:r>
        <w:rPr>
          <w:rFonts w:cstheme="minorHAnsi"/>
        </w:rPr>
        <w:t xml:space="preserve">The QSC went through several iterations during the first five months of the Pilot, increasingly directing health centre staff to where they could find the answers. The original version outlined potential risks, barriers and ‘things to consider’ that had been identified through the earlier stages of the project, and asked respondents to explain how they would address those risks that pertained to their health centre. </w:t>
      </w:r>
    </w:p>
    <w:p w14:paraId="6ED61557" w14:textId="77777777" w:rsidR="00970511" w:rsidRDefault="00970511" w:rsidP="00970511">
      <w:pPr>
        <w:rPr>
          <w:rFonts w:cstheme="minorHAnsi"/>
        </w:rPr>
      </w:pPr>
      <w:r>
        <w:rPr>
          <w:rFonts w:cstheme="minorHAnsi"/>
        </w:rPr>
        <w:t xml:space="preserve">A second version (8 November 2018) involved substantial changes, replacing ‘things to consider’ with specific questions about each topic. Respondents were required to answer every question or explain why the question was not applicable to their situation. Minor changes were made in two further versions of the </w:t>
      </w:r>
      <w:r>
        <w:rPr>
          <w:rFonts w:cstheme="minorHAnsi"/>
        </w:rPr>
        <w:lastRenderedPageBreak/>
        <w:t>QSC (26 November 2018 and 10 March 2019), in both cases to reinforce critical pieces of information and where these could be found in the Pilot implementation manual.</w:t>
      </w:r>
      <w:r>
        <w:rPr>
          <w:rStyle w:val="FootnoteReference"/>
          <w:rFonts w:cstheme="minorHAnsi"/>
        </w:rPr>
        <w:footnoteReference w:id="50"/>
      </w:r>
      <w:r>
        <w:rPr>
          <w:rFonts w:cstheme="minorHAnsi"/>
        </w:rPr>
        <w:t xml:space="preserve"> </w:t>
      </w:r>
    </w:p>
    <w:p w14:paraId="25FDA650" w14:textId="77777777" w:rsidR="00970511" w:rsidRDefault="00970511" w:rsidP="00970511">
      <w:pPr>
        <w:rPr>
          <w:rFonts w:cstheme="minorHAnsi"/>
        </w:rPr>
      </w:pPr>
      <w:r>
        <w:rPr>
          <w:rFonts w:cstheme="minorHAnsi"/>
        </w:rPr>
        <w:t xml:space="preserve">Health centres were provided with the QSC to complete once they were formally enrolled in the Pilot (i.e. all ethics and governance approvals were in place). </w:t>
      </w:r>
    </w:p>
    <w:p w14:paraId="0EE220B5" w14:textId="77777777" w:rsidR="00970511" w:rsidRDefault="00970511" w:rsidP="00970511">
      <w:pPr>
        <w:rPr>
          <w:rFonts w:cstheme="minorHAnsi"/>
        </w:rPr>
      </w:pPr>
      <w:r>
        <w:rPr>
          <w:rFonts w:cstheme="minorHAnsi"/>
        </w:rPr>
        <w:t xml:space="preserve">The QSC was both a part of the project administration (a hurdle to be completed before kits could be given out), but also a part of the training and implementation processes. Site coordinators were encouraged to contact </w:t>
      </w:r>
      <w:r w:rsidRPr="002D42CA">
        <w:rPr>
          <w:rFonts w:cstheme="minorHAnsi"/>
        </w:rPr>
        <w:t>Menzies Site Support for help in completing the QSC</w:t>
      </w:r>
      <w:r>
        <w:rPr>
          <w:rFonts w:cstheme="minorHAnsi"/>
        </w:rPr>
        <w:t xml:space="preserve"> at any time.</w:t>
      </w:r>
    </w:p>
    <w:p w14:paraId="140D8AD6" w14:textId="56899318" w:rsidR="00970511" w:rsidRDefault="00970511" w:rsidP="00970511">
      <w:pPr>
        <w:rPr>
          <w:rFonts w:cstheme="minorHAnsi"/>
        </w:rPr>
      </w:pPr>
      <w:r>
        <w:rPr>
          <w:rFonts w:cstheme="minorHAnsi"/>
        </w:rPr>
        <w:t xml:space="preserve">Once health centres completed their QSC they could email or fax it back to Menzies Site Support where it was de-identified and assessed by at least three members of the Menzies project team. If the QSC was found to be of a satisfactory standard – indicating that it’s author had understood and addressed the key risks and critical procedures for offering the Alternative Pathway – the health centre was notified and an email sent to </w:t>
      </w:r>
      <w:r w:rsidR="005E5297">
        <w:rPr>
          <w:rFonts w:cstheme="minorHAnsi"/>
        </w:rPr>
        <w:t xml:space="preserve">the </w:t>
      </w:r>
      <w:r w:rsidR="005E5297">
        <w:rPr>
          <w:rFonts w:eastAsiaTheme="majorEastAsia" w:cstheme="minorHAnsi"/>
        </w:rPr>
        <w:t>Department of Health</w:t>
      </w:r>
      <w:r>
        <w:rPr>
          <w:rFonts w:cstheme="minorHAnsi"/>
        </w:rPr>
        <w:t xml:space="preserve">, DHS and </w:t>
      </w:r>
      <w:r w:rsidR="00C67CA1">
        <w:rPr>
          <w:rFonts w:cstheme="minorHAnsi"/>
        </w:rPr>
        <w:t>Sonic Healthcare</w:t>
      </w:r>
      <w:r>
        <w:rPr>
          <w:rFonts w:cstheme="minorHAnsi"/>
        </w:rPr>
        <w:t xml:space="preserve"> to let them know that the health centre could be sent a bundle of kits. If the QSC was not assessed as of a satisfactory standard, feedback would be provided to the health centre and they were encouraged to re-submit. </w:t>
      </w:r>
    </w:p>
    <w:p w14:paraId="4ACEA0D8" w14:textId="31F56BB8" w:rsidR="008719FC" w:rsidRPr="00874345" w:rsidRDefault="008719FC" w:rsidP="00070C12">
      <w:pPr>
        <w:pStyle w:val="Heading2"/>
      </w:pPr>
      <w:r w:rsidRPr="00874345">
        <w:br w:type="page"/>
      </w:r>
    </w:p>
    <w:p w14:paraId="47691C85" w14:textId="7FD6546A" w:rsidR="00552061" w:rsidRPr="00552061" w:rsidRDefault="004E77C3" w:rsidP="00510A67">
      <w:pPr>
        <w:pStyle w:val="Heading1"/>
      </w:pPr>
      <w:bookmarkStart w:id="325" w:name="_Toc44339263"/>
      <w:bookmarkStart w:id="326" w:name="_Toc45539289"/>
      <w:bookmarkStart w:id="327" w:name="_Toc54954875"/>
      <w:r>
        <w:lastRenderedPageBreak/>
        <w:t>Appendix E</w:t>
      </w:r>
      <w:bookmarkEnd w:id="325"/>
      <w:bookmarkEnd w:id="326"/>
      <w:bookmarkEnd w:id="327"/>
    </w:p>
    <w:p w14:paraId="2677F3A2" w14:textId="0B4946CD" w:rsidR="00552061" w:rsidRPr="00552061" w:rsidRDefault="00552061" w:rsidP="00070C12">
      <w:pPr>
        <w:pStyle w:val="Heading2"/>
      </w:pPr>
      <w:bookmarkStart w:id="328" w:name="_Toc44339264"/>
      <w:bookmarkStart w:id="329" w:name="_Toc45539290"/>
      <w:bookmarkStart w:id="330" w:name="_Toc54954876"/>
      <w:r w:rsidRPr="00552061">
        <w:t>Methods for pre- and post-training survey development and analysis</w:t>
      </w:r>
      <w:bookmarkEnd w:id="328"/>
      <w:bookmarkEnd w:id="329"/>
      <w:bookmarkEnd w:id="330"/>
    </w:p>
    <w:p w14:paraId="62CA551B" w14:textId="079D99E7" w:rsidR="00552061" w:rsidRDefault="00552061" w:rsidP="00552061">
      <w:pPr>
        <w:rPr>
          <w:rFonts w:cstheme="minorHAnsi"/>
        </w:rPr>
      </w:pPr>
      <w:r>
        <w:rPr>
          <w:rFonts w:cstheme="minorHAnsi"/>
        </w:rPr>
        <w:t>A repeated measures research design was u</w:t>
      </w:r>
      <w:r w:rsidR="00A254EE">
        <w:rPr>
          <w:rFonts w:cstheme="minorHAnsi"/>
        </w:rPr>
        <w:t xml:space="preserve">sed to analyse pre-and post-training </w:t>
      </w:r>
      <w:r>
        <w:rPr>
          <w:rFonts w:cstheme="minorHAnsi"/>
        </w:rPr>
        <w:t xml:space="preserve">where an Attitudes Towards Indigenous Bowel Screening Questionnaire (ATIBSQ) was developed and administered to staff who </w:t>
      </w:r>
      <w:r w:rsidR="00A254EE">
        <w:rPr>
          <w:rFonts w:cstheme="minorHAnsi"/>
        </w:rPr>
        <w:t xml:space="preserve">would offer </w:t>
      </w:r>
      <w:r>
        <w:rPr>
          <w:rFonts w:cstheme="minorHAnsi"/>
        </w:rPr>
        <w:t xml:space="preserve">screening to Indigenous patients </w:t>
      </w:r>
      <w:r w:rsidR="00A254EE">
        <w:rPr>
          <w:rFonts w:cstheme="minorHAnsi"/>
        </w:rPr>
        <w:t>under</w:t>
      </w:r>
      <w:r>
        <w:rPr>
          <w:rFonts w:cstheme="minorHAnsi"/>
        </w:rPr>
        <w:t xml:space="preserve"> the Alternative Pathway.</w:t>
      </w:r>
    </w:p>
    <w:p w14:paraId="072FE30D" w14:textId="0BA3AEB5" w:rsidR="00552061" w:rsidRPr="00187C09" w:rsidRDefault="00552061" w:rsidP="00366EAB">
      <w:pPr>
        <w:pStyle w:val="Heading3"/>
      </w:pPr>
      <w:bookmarkStart w:id="331" w:name="_Toc44339265"/>
      <w:bookmarkStart w:id="332" w:name="_Hlk40957807"/>
      <w:r w:rsidRPr="00187C09">
        <w:t xml:space="preserve">Developing the </w:t>
      </w:r>
      <w:r w:rsidR="0023699C" w:rsidRPr="00187C09">
        <w:t>q</w:t>
      </w:r>
      <w:r w:rsidRPr="00187C09">
        <w:t>uestionnaire</w:t>
      </w:r>
      <w:bookmarkEnd w:id="331"/>
      <w:r w:rsidRPr="00187C09">
        <w:t xml:space="preserve"> </w:t>
      </w:r>
      <w:bookmarkEnd w:id="332"/>
    </w:p>
    <w:p w14:paraId="52109DF1" w14:textId="77777777" w:rsidR="006168C2" w:rsidRDefault="00552061" w:rsidP="00552061">
      <w:pPr>
        <w:spacing w:before="240" w:after="120" w:line="264" w:lineRule="auto"/>
        <w:rPr>
          <w:rFonts w:cstheme="minorHAnsi"/>
        </w:rPr>
      </w:pPr>
      <w:r w:rsidRPr="003B349C">
        <w:rPr>
          <w:rFonts w:cstheme="minorHAnsi"/>
        </w:rPr>
        <w:t xml:space="preserve">The </w:t>
      </w:r>
      <w:r>
        <w:rPr>
          <w:rFonts w:cstheme="minorHAnsi"/>
        </w:rPr>
        <w:t>ATIBSQ</w:t>
      </w:r>
      <w:r w:rsidRPr="003B349C">
        <w:rPr>
          <w:rFonts w:cstheme="minorHAnsi"/>
        </w:rPr>
        <w:t xml:space="preserve"> was </w:t>
      </w:r>
      <w:r>
        <w:rPr>
          <w:rFonts w:cstheme="minorHAnsi"/>
        </w:rPr>
        <w:t>developed</w:t>
      </w:r>
      <w:r w:rsidRPr="003B349C">
        <w:rPr>
          <w:rFonts w:cstheme="minorHAnsi"/>
        </w:rPr>
        <w:t xml:space="preserve"> to measure staff attitudes towards bowel screening as part of the pilot assessment. Three constructs were used to inform the items of the questionnaire: </w:t>
      </w:r>
    </w:p>
    <w:p w14:paraId="1A24443B" w14:textId="5B88B8F6" w:rsidR="006168C2" w:rsidRDefault="00552061" w:rsidP="006168C2">
      <w:pPr>
        <w:spacing w:before="240" w:after="120" w:line="264" w:lineRule="auto"/>
        <w:ind w:left="720"/>
        <w:rPr>
          <w:rFonts w:cstheme="minorHAnsi"/>
          <w:i/>
        </w:rPr>
      </w:pPr>
      <w:r w:rsidRPr="003B349C">
        <w:rPr>
          <w:rFonts w:cstheme="minorHAnsi"/>
        </w:rPr>
        <w:t>1</w:t>
      </w:r>
      <w:r w:rsidR="00A254EE">
        <w:rPr>
          <w:rFonts w:cstheme="minorHAnsi"/>
        </w:rPr>
        <w:t>.</w:t>
      </w:r>
      <w:r w:rsidRPr="003B349C">
        <w:rPr>
          <w:rFonts w:cstheme="minorHAnsi"/>
        </w:rPr>
        <w:t xml:space="preserve"> Perceptions that staff had about their role in the Alternative Pathway, an example of an item in the questionnaire related to this component is </w:t>
      </w:r>
      <w:r w:rsidR="00731EBA">
        <w:rPr>
          <w:rFonts w:cstheme="minorHAnsi"/>
          <w:iCs/>
        </w:rPr>
        <w:t>‘</w:t>
      </w:r>
      <w:r w:rsidRPr="006168C2">
        <w:rPr>
          <w:rFonts w:cstheme="minorHAnsi"/>
          <w:iCs/>
        </w:rPr>
        <w:t>Providing patients with information about bowel screening is part of my role</w:t>
      </w:r>
      <w:r w:rsidR="006168C2">
        <w:rPr>
          <w:rFonts w:cstheme="minorHAnsi"/>
          <w:iCs/>
        </w:rPr>
        <w:t>.</w:t>
      </w:r>
      <w:r w:rsidR="00731EBA">
        <w:rPr>
          <w:rFonts w:cstheme="minorHAnsi"/>
          <w:iCs/>
        </w:rPr>
        <w:t>’</w:t>
      </w:r>
      <w:r w:rsidRPr="006168C2">
        <w:rPr>
          <w:rFonts w:cstheme="minorHAnsi"/>
          <w:iCs/>
        </w:rPr>
        <w:t xml:space="preserve"> </w:t>
      </w:r>
    </w:p>
    <w:p w14:paraId="6FEAEB92" w14:textId="76A37DE4" w:rsidR="006168C2" w:rsidRDefault="00552061" w:rsidP="006168C2">
      <w:pPr>
        <w:spacing w:before="240" w:after="120" w:line="264" w:lineRule="auto"/>
        <w:ind w:left="720"/>
        <w:rPr>
          <w:rFonts w:cstheme="minorHAnsi"/>
        </w:rPr>
      </w:pPr>
      <w:r w:rsidRPr="003B349C">
        <w:rPr>
          <w:rFonts w:cstheme="minorHAnsi"/>
        </w:rPr>
        <w:t>2</w:t>
      </w:r>
      <w:r w:rsidR="00A254EE">
        <w:rPr>
          <w:rFonts w:cstheme="minorHAnsi"/>
        </w:rPr>
        <w:t>.</w:t>
      </w:r>
      <w:r w:rsidRPr="003B349C">
        <w:rPr>
          <w:rFonts w:cstheme="minorHAnsi"/>
        </w:rPr>
        <w:t xml:space="preserve"> Staff </w:t>
      </w:r>
      <w:r w:rsidR="006168C2">
        <w:rPr>
          <w:rFonts w:cstheme="minorHAnsi"/>
        </w:rPr>
        <w:t>m</w:t>
      </w:r>
      <w:r w:rsidRPr="003B349C">
        <w:rPr>
          <w:rFonts w:cstheme="minorHAnsi"/>
        </w:rPr>
        <w:t xml:space="preserve">otivation to invite patients to screen for bowel cancer, e.g. </w:t>
      </w:r>
      <w:r w:rsidR="00731EBA">
        <w:rPr>
          <w:rFonts w:cstheme="minorHAnsi"/>
        </w:rPr>
        <w:t>‘</w:t>
      </w:r>
      <w:r w:rsidRPr="006168C2">
        <w:rPr>
          <w:rFonts w:cstheme="minorHAnsi"/>
        </w:rPr>
        <w:t>There is little I can do to change a patient’s attitude towards bowel screening</w:t>
      </w:r>
      <w:r w:rsidR="006168C2">
        <w:rPr>
          <w:rFonts w:cstheme="minorHAnsi"/>
        </w:rPr>
        <w:t>.</w:t>
      </w:r>
      <w:r w:rsidR="00731EBA">
        <w:rPr>
          <w:rFonts w:cstheme="minorHAnsi"/>
        </w:rPr>
        <w:t>’</w:t>
      </w:r>
      <w:r w:rsidRPr="006168C2">
        <w:rPr>
          <w:rFonts w:cstheme="minorHAnsi"/>
        </w:rPr>
        <w:t xml:space="preserve"> </w:t>
      </w:r>
    </w:p>
    <w:p w14:paraId="472AC6EE" w14:textId="790E34DF" w:rsidR="006168C2" w:rsidRDefault="00552061" w:rsidP="006168C2">
      <w:pPr>
        <w:spacing w:before="240" w:after="120" w:line="264" w:lineRule="auto"/>
        <w:ind w:left="720"/>
        <w:rPr>
          <w:rFonts w:cstheme="minorHAnsi"/>
        </w:rPr>
      </w:pPr>
      <w:r w:rsidRPr="003B349C">
        <w:rPr>
          <w:rFonts w:cstheme="minorHAnsi"/>
        </w:rPr>
        <w:t>3</w:t>
      </w:r>
      <w:r w:rsidR="00A254EE">
        <w:rPr>
          <w:rFonts w:cstheme="minorHAnsi"/>
        </w:rPr>
        <w:t>.</w:t>
      </w:r>
      <w:r w:rsidRPr="003B349C">
        <w:rPr>
          <w:rFonts w:cstheme="minorHAnsi"/>
        </w:rPr>
        <w:t xml:space="preserve"> Staff </w:t>
      </w:r>
      <w:r w:rsidR="00A254EE">
        <w:rPr>
          <w:rFonts w:cstheme="minorHAnsi"/>
        </w:rPr>
        <w:t>c</w:t>
      </w:r>
      <w:r w:rsidRPr="003B349C">
        <w:rPr>
          <w:rFonts w:cstheme="minorHAnsi"/>
        </w:rPr>
        <w:t xml:space="preserve">onfidence to engage Indigenous patients in conversations about bowel screening, e.g. </w:t>
      </w:r>
      <w:r w:rsidR="00731EBA">
        <w:rPr>
          <w:rFonts w:cstheme="minorHAnsi"/>
          <w:iCs/>
        </w:rPr>
        <w:t>‘</w:t>
      </w:r>
      <w:r w:rsidRPr="006168C2">
        <w:rPr>
          <w:rFonts w:cstheme="minorHAnsi"/>
          <w:iCs/>
        </w:rPr>
        <w:t>I am confident I can encourage Aboriginal and Torres Strait Islander patients to do a bowel screening test.</w:t>
      </w:r>
      <w:r w:rsidRPr="003B349C">
        <w:rPr>
          <w:rFonts w:cstheme="minorHAnsi"/>
        </w:rPr>
        <w:t xml:space="preserve"> </w:t>
      </w:r>
    </w:p>
    <w:p w14:paraId="53260EF6" w14:textId="567F3EE3" w:rsidR="00552061" w:rsidRPr="003B349C" w:rsidRDefault="00552061" w:rsidP="00731EBA">
      <w:pPr>
        <w:spacing w:before="240" w:after="120" w:line="264" w:lineRule="auto"/>
        <w:rPr>
          <w:rFonts w:cstheme="minorHAnsi"/>
        </w:rPr>
      </w:pPr>
      <w:r w:rsidRPr="003B349C">
        <w:rPr>
          <w:rFonts w:cstheme="minorHAnsi"/>
        </w:rPr>
        <w:t>Sixteen</w:t>
      </w:r>
      <w:r w:rsidR="00731EBA">
        <w:rPr>
          <w:rFonts w:cstheme="minorHAnsi"/>
        </w:rPr>
        <w:t xml:space="preserve"> items were developed. </w:t>
      </w:r>
      <w:r w:rsidRPr="003B349C">
        <w:rPr>
          <w:rFonts w:cstheme="minorHAnsi"/>
        </w:rPr>
        <w:t xml:space="preserve">Ten items were attached to a 5-point Likert-scale where 1 = Strongly disagree, 2 = Disagree, 3 Neither agree nor disagree, 4 = Agree, and 5 = Strongly agree. </w:t>
      </w:r>
      <w:r w:rsidR="00731EBA">
        <w:rPr>
          <w:rFonts w:cstheme="minorHAnsi"/>
        </w:rPr>
        <w:t xml:space="preserve"> Six items </w:t>
      </w:r>
      <w:r w:rsidR="00315D5B">
        <w:rPr>
          <w:rFonts w:cstheme="minorHAnsi"/>
        </w:rPr>
        <w:t xml:space="preserve">were </w:t>
      </w:r>
      <w:r w:rsidR="00315D5B" w:rsidRPr="003B349C">
        <w:rPr>
          <w:rFonts w:cstheme="minorHAnsi"/>
        </w:rPr>
        <w:t>attached</w:t>
      </w:r>
      <w:r w:rsidRPr="003B349C">
        <w:rPr>
          <w:rFonts w:cstheme="minorHAnsi"/>
        </w:rPr>
        <w:t xml:space="preserve"> to a 5-point Likert-scale where 1 = Not Confident, 2 = Somewhat Confident, 3 = Moderately Confident, 4 = Confident, and 5 = Highly Confident. </w:t>
      </w:r>
      <w:r w:rsidR="00731EBA">
        <w:rPr>
          <w:rFonts w:cstheme="minorHAnsi"/>
        </w:rPr>
        <w:t>D</w:t>
      </w:r>
      <w:r w:rsidRPr="003B349C">
        <w:rPr>
          <w:rFonts w:cstheme="minorHAnsi"/>
        </w:rPr>
        <w:t>emographic questions were added</w:t>
      </w:r>
      <w:r w:rsidR="00731EBA">
        <w:rPr>
          <w:rFonts w:cstheme="minorHAnsi"/>
        </w:rPr>
        <w:t xml:space="preserve"> i</w:t>
      </w:r>
      <w:r w:rsidRPr="003B349C">
        <w:rPr>
          <w:rFonts w:cstheme="minorHAnsi"/>
        </w:rPr>
        <w:t xml:space="preserve">n order to describe the sample of participants.   </w:t>
      </w:r>
    </w:p>
    <w:p w14:paraId="321A89B1" w14:textId="77777777" w:rsidR="00552061" w:rsidRDefault="00552061" w:rsidP="00366EAB">
      <w:pPr>
        <w:pStyle w:val="Heading3"/>
      </w:pPr>
      <w:bookmarkStart w:id="333" w:name="_Toc44339266"/>
      <w:r>
        <w:t>Recruitment</w:t>
      </w:r>
      <w:bookmarkEnd w:id="333"/>
    </w:p>
    <w:p w14:paraId="3F211F25" w14:textId="1627AB1E" w:rsidR="00552061" w:rsidRPr="00BE500A" w:rsidRDefault="00552061" w:rsidP="00552061">
      <w:pPr>
        <w:rPr>
          <w:rFonts w:cstheme="minorHAnsi"/>
        </w:rPr>
      </w:pPr>
      <w:r>
        <w:rPr>
          <w:rFonts w:cstheme="minorHAnsi"/>
        </w:rPr>
        <w:t>The following</w:t>
      </w:r>
      <w:r w:rsidR="00EA56DB">
        <w:rPr>
          <w:rFonts w:cstheme="minorHAnsi"/>
        </w:rPr>
        <w:t xml:space="preserve"> describes the method</w:t>
      </w:r>
      <w:r>
        <w:rPr>
          <w:rFonts w:cstheme="minorHAnsi"/>
        </w:rPr>
        <w:t xml:space="preserve"> used to recruit </w:t>
      </w:r>
      <w:r w:rsidR="00EA56DB">
        <w:rPr>
          <w:rFonts w:cstheme="minorHAnsi"/>
        </w:rPr>
        <w:t xml:space="preserve">training </w:t>
      </w:r>
      <w:r>
        <w:rPr>
          <w:rFonts w:cstheme="minorHAnsi"/>
        </w:rPr>
        <w:t xml:space="preserve">participants </w:t>
      </w:r>
      <w:r w:rsidR="00EA56DB">
        <w:rPr>
          <w:rFonts w:cstheme="minorHAnsi"/>
        </w:rPr>
        <w:t>to the survey during administration of the Alternative Pathway training to health centre staff.</w:t>
      </w:r>
    </w:p>
    <w:p w14:paraId="74B4B218" w14:textId="77777777" w:rsidR="00552061" w:rsidRPr="0023699C" w:rsidRDefault="00552061" w:rsidP="004257B1">
      <w:pPr>
        <w:pStyle w:val="Heading4"/>
      </w:pPr>
      <w:bookmarkStart w:id="334" w:name="_Toc44339267"/>
      <w:r w:rsidRPr="0023699C">
        <w:t>Online training</w:t>
      </w:r>
      <w:bookmarkEnd w:id="334"/>
    </w:p>
    <w:p w14:paraId="7B40FB23" w14:textId="15B087F4" w:rsidR="00EA56DB" w:rsidRDefault="00552061" w:rsidP="00552061">
      <w:pPr>
        <w:rPr>
          <w:rFonts w:ascii="Calibri" w:hAnsi="Calibri" w:cs="Calibri"/>
        </w:rPr>
      </w:pPr>
      <w:r>
        <w:rPr>
          <w:rFonts w:cstheme="minorHAnsi"/>
          <w:szCs w:val="20"/>
        </w:rPr>
        <w:t xml:space="preserve">Health centre staff assigned to the </w:t>
      </w:r>
      <w:r w:rsidR="00EA56DB">
        <w:rPr>
          <w:rFonts w:cstheme="minorHAnsi"/>
          <w:szCs w:val="20"/>
        </w:rPr>
        <w:t>o</w:t>
      </w:r>
      <w:r w:rsidRPr="005B22A2">
        <w:rPr>
          <w:rFonts w:cstheme="minorHAnsi"/>
          <w:szCs w:val="20"/>
        </w:rPr>
        <w:t>nline training group</w:t>
      </w:r>
      <w:r w:rsidRPr="007031A8">
        <w:rPr>
          <w:rFonts w:cstheme="minorHAnsi"/>
          <w:szCs w:val="20"/>
        </w:rPr>
        <w:t xml:space="preserve"> </w:t>
      </w:r>
      <w:r>
        <w:rPr>
          <w:rFonts w:cstheme="minorHAnsi"/>
          <w:szCs w:val="20"/>
        </w:rPr>
        <w:t xml:space="preserve">were invited to </w:t>
      </w:r>
      <w:r w:rsidRPr="007031A8">
        <w:rPr>
          <w:rFonts w:cstheme="minorHAnsi"/>
          <w:szCs w:val="20"/>
        </w:rPr>
        <w:t xml:space="preserve">complete </w:t>
      </w:r>
      <w:r>
        <w:rPr>
          <w:rFonts w:cstheme="minorHAnsi"/>
          <w:szCs w:val="20"/>
        </w:rPr>
        <w:t xml:space="preserve">the </w:t>
      </w:r>
      <w:r>
        <w:rPr>
          <w:rFonts w:cstheme="minorHAnsi"/>
        </w:rPr>
        <w:t>ATIBSQ</w:t>
      </w:r>
      <w:r w:rsidRPr="007031A8">
        <w:rPr>
          <w:rFonts w:cstheme="minorHAnsi"/>
          <w:szCs w:val="20"/>
        </w:rPr>
        <w:t xml:space="preserve"> </w:t>
      </w:r>
      <w:r>
        <w:rPr>
          <w:rFonts w:cstheme="minorHAnsi"/>
          <w:szCs w:val="20"/>
        </w:rPr>
        <w:t>via the</w:t>
      </w:r>
      <w:r w:rsidRPr="007031A8">
        <w:rPr>
          <w:rFonts w:cstheme="minorHAnsi"/>
          <w:szCs w:val="20"/>
        </w:rPr>
        <w:t xml:space="preserve"> internet using the following method: </w:t>
      </w:r>
      <w:r w:rsidRPr="00F22F27">
        <w:rPr>
          <w:rFonts w:ascii="Calibri" w:hAnsi="Calibri" w:cs="Calibri"/>
        </w:rPr>
        <w:t xml:space="preserve">The National Bowel Screening Pilot </w:t>
      </w:r>
      <w:r w:rsidR="00EA56DB">
        <w:rPr>
          <w:rFonts w:ascii="Calibri" w:hAnsi="Calibri" w:cs="Calibri"/>
        </w:rPr>
        <w:t>w</w:t>
      </w:r>
      <w:r w:rsidRPr="00F22F27">
        <w:rPr>
          <w:rFonts w:ascii="Calibri" w:hAnsi="Calibri" w:cs="Calibri"/>
        </w:rPr>
        <w:t xml:space="preserve">ebpage contains information and a number of resources designed to assist staff at participating health centres implement the </w:t>
      </w:r>
      <w:r w:rsidR="00EA56DB">
        <w:rPr>
          <w:rFonts w:ascii="Calibri" w:hAnsi="Calibri" w:cs="Calibri"/>
        </w:rPr>
        <w:t>Alternative Pathway</w:t>
      </w:r>
      <w:r w:rsidRPr="00F22F27">
        <w:rPr>
          <w:rFonts w:ascii="Calibri" w:hAnsi="Calibri" w:cs="Calibri"/>
        </w:rPr>
        <w:t xml:space="preserve">. </w:t>
      </w:r>
    </w:p>
    <w:p w14:paraId="65BCE2AA" w14:textId="2F7D6E97" w:rsidR="00EA56DB" w:rsidRDefault="00552061" w:rsidP="00552061">
      <w:pPr>
        <w:rPr>
          <w:rFonts w:ascii="Calibri" w:hAnsi="Calibri" w:cs="Calibri"/>
        </w:rPr>
      </w:pPr>
      <w:r w:rsidRPr="00F22F27">
        <w:rPr>
          <w:rFonts w:ascii="Calibri" w:hAnsi="Calibri" w:cs="Calibri"/>
        </w:rPr>
        <w:t xml:space="preserve">A training resource link </w:t>
      </w:r>
      <w:r>
        <w:rPr>
          <w:rFonts w:ascii="Calibri" w:hAnsi="Calibri" w:cs="Calibri"/>
        </w:rPr>
        <w:t xml:space="preserve">and access description (e.g. username and password) </w:t>
      </w:r>
      <w:r w:rsidRPr="00F22F27">
        <w:rPr>
          <w:rFonts w:ascii="Calibri" w:hAnsi="Calibri" w:cs="Calibri"/>
        </w:rPr>
        <w:t>w</w:t>
      </w:r>
      <w:r w:rsidR="00EA56DB">
        <w:rPr>
          <w:rFonts w:ascii="Calibri" w:hAnsi="Calibri" w:cs="Calibri"/>
        </w:rPr>
        <w:t>ere</w:t>
      </w:r>
      <w:r w:rsidRPr="00F22F27">
        <w:rPr>
          <w:rFonts w:ascii="Calibri" w:hAnsi="Calibri" w:cs="Calibri"/>
        </w:rPr>
        <w:t xml:space="preserve"> </w:t>
      </w:r>
      <w:r>
        <w:rPr>
          <w:rFonts w:ascii="Calibri" w:hAnsi="Calibri" w:cs="Calibri"/>
        </w:rPr>
        <w:t>distributed to participating health centres through email. Th</w:t>
      </w:r>
      <w:r w:rsidR="00EA56DB">
        <w:rPr>
          <w:rFonts w:ascii="Calibri" w:hAnsi="Calibri" w:cs="Calibri"/>
        </w:rPr>
        <w:t>is</w:t>
      </w:r>
      <w:r>
        <w:rPr>
          <w:rFonts w:ascii="Calibri" w:hAnsi="Calibri" w:cs="Calibri"/>
        </w:rPr>
        <w:t xml:space="preserve"> email contained the ‘next steps letter’ and an Implementation Manual</w:t>
      </w:r>
      <w:r w:rsidR="00EA56DB">
        <w:rPr>
          <w:rFonts w:ascii="Calibri" w:hAnsi="Calibri" w:cs="Calibri"/>
        </w:rPr>
        <w:t xml:space="preserve">, </w:t>
      </w:r>
      <w:r>
        <w:rPr>
          <w:rFonts w:ascii="Calibri" w:hAnsi="Calibri" w:cs="Calibri"/>
        </w:rPr>
        <w:t xml:space="preserve">which contained information on how </w:t>
      </w:r>
      <w:r w:rsidRPr="00F22F27">
        <w:rPr>
          <w:rFonts w:ascii="Calibri" w:hAnsi="Calibri" w:cs="Calibri"/>
        </w:rPr>
        <w:t xml:space="preserve">to access the </w:t>
      </w:r>
      <w:r w:rsidR="00EA56DB">
        <w:rPr>
          <w:rFonts w:ascii="Calibri" w:hAnsi="Calibri" w:cs="Calibri"/>
        </w:rPr>
        <w:t>o</w:t>
      </w:r>
      <w:r w:rsidRPr="00F22F27">
        <w:rPr>
          <w:rFonts w:ascii="Calibri" w:hAnsi="Calibri" w:cs="Calibri"/>
        </w:rPr>
        <w:t>nline training module</w:t>
      </w:r>
      <w:r>
        <w:rPr>
          <w:rFonts w:ascii="Calibri" w:hAnsi="Calibri" w:cs="Calibri"/>
        </w:rPr>
        <w:t xml:space="preserve"> link</w:t>
      </w:r>
      <w:r w:rsidRPr="00F22F27">
        <w:rPr>
          <w:rFonts w:ascii="Calibri" w:hAnsi="Calibri" w:cs="Calibri"/>
        </w:rPr>
        <w:t xml:space="preserve">. </w:t>
      </w:r>
      <w:r w:rsidRPr="00F22F27">
        <w:rPr>
          <w:rFonts w:ascii="Calibri" w:hAnsi="Calibri" w:cs="Calibri"/>
        </w:rPr>
        <w:lastRenderedPageBreak/>
        <w:t xml:space="preserve">Selecting this link directed health centre staff to a log in page where </w:t>
      </w:r>
      <w:r w:rsidR="00A254EE">
        <w:rPr>
          <w:rFonts w:ascii="Calibri" w:hAnsi="Calibri" w:cs="Calibri"/>
        </w:rPr>
        <w:t>they</w:t>
      </w:r>
      <w:r w:rsidR="00EA56DB">
        <w:rPr>
          <w:rFonts w:ascii="Calibri" w:hAnsi="Calibri" w:cs="Calibri"/>
        </w:rPr>
        <w:t xml:space="preserve"> were required to register before they could use the resource. </w:t>
      </w:r>
    </w:p>
    <w:p w14:paraId="753B2D5B" w14:textId="12230F1C" w:rsidR="00695F40" w:rsidRDefault="00552061" w:rsidP="00552061">
      <w:pPr>
        <w:spacing w:after="120" w:line="264" w:lineRule="auto"/>
        <w:rPr>
          <w:rFonts w:cstheme="minorHAnsi"/>
          <w:szCs w:val="20"/>
        </w:rPr>
      </w:pPr>
      <w:r w:rsidRPr="0077225B">
        <w:rPr>
          <w:rFonts w:cstheme="minorHAnsi"/>
          <w:szCs w:val="20"/>
        </w:rPr>
        <w:t xml:space="preserve">Once </w:t>
      </w:r>
      <w:r>
        <w:rPr>
          <w:rFonts w:cstheme="minorHAnsi"/>
          <w:szCs w:val="20"/>
        </w:rPr>
        <w:t>logged in health centre staff</w:t>
      </w:r>
      <w:r w:rsidRPr="0077225B">
        <w:rPr>
          <w:rFonts w:cstheme="minorHAnsi"/>
          <w:szCs w:val="20"/>
        </w:rPr>
        <w:t xml:space="preserve"> were directed to a detailed information page </w:t>
      </w:r>
      <w:r>
        <w:rPr>
          <w:rFonts w:cstheme="minorHAnsi"/>
          <w:szCs w:val="20"/>
        </w:rPr>
        <w:t>containing</w:t>
      </w:r>
      <w:r w:rsidRPr="0077225B">
        <w:rPr>
          <w:rFonts w:cstheme="minorHAnsi"/>
          <w:szCs w:val="20"/>
        </w:rPr>
        <w:t xml:space="preserve"> research and participation</w:t>
      </w:r>
      <w:r>
        <w:rPr>
          <w:rFonts w:cstheme="minorHAnsi"/>
          <w:szCs w:val="20"/>
        </w:rPr>
        <w:t xml:space="preserve"> information</w:t>
      </w:r>
      <w:r w:rsidRPr="0077225B">
        <w:rPr>
          <w:rFonts w:cstheme="minorHAnsi"/>
          <w:szCs w:val="20"/>
        </w:rPr>
        <w:t xml:space="preserve">. </w:t>
      </w:r>
      <w:r>
        <w:rPr>
          <w:rFonts w:cstheme="minorHAnsi"/>
          <w:szCs w:val="20"/>
        </w:rPr>
        <w:t>The</w:t>
      </w:r>
      <w:r w:rsidRPr="0077225B">
        <w:rPr>
          <w:rFonts w:cstheme="minorHAnsi"/>
          <w:szCs w:val="20"/>
        </w:rPr>
        <w:t xml:space="preserve"> information page</w:t>
      </w:r>
      <w:r>
        <w:rPr>
          <w:rFonts w:cstheme="minorHAnsi"/>
          <w:szCs w:val="20"/>
        </w:rPr>
        <w:t xml:space="preserve"> included two active nomination buttons where </w:t>
      </w:r>
      <w:r w:rsidRPr="0077225B">
        <w:rPr>
          <w:rFonts w:cstheme="minorHAnsi"/>
          <w:szCs w:val="20"/>
        </w:rPr>
        <w:t>staff were asked to either accept or decline participation. The ‘I decline participation’</w:t>
      </w:r>
      <w:r>
        <w:rPr>
          <w:rFonts w:cstheme="minorHAnsi"/>
          <w:szCs w:val="20"/>
        </w:rPr>
        <w:t xml:space="preserve"> button </w:t>
      </w:r>
      <w:r w:rsidRPr="0077225B">
        <w:rPr>
          <w:rFonts w:cstheme="minorHAnsi"/>
          <w:szCs w:val="20"/>
        </w:rPr>
        <w:t xml:space="preserve">routed staff to the </w:t>
      </w:r>
      <w:r w:rsidR="00695F40">
        <w:rPr>
          <w:rFonts w:cstheme="minorHAnsi"/>
          <w:szCs w:val="20"/>
        </w:rPr>
        <w:t>o</w:t>
      </w:r>
      <w:r w:rsidRPr="0077225B">
        <w:rPr>
          <w:rFonts w:cstheme="minorHAnsi"/>
          <w:szCs w:val="20"/>
        </w:rPr>
        <w:t xml:space="preserve">nline training module where </w:t>
      </w:r>
      <w:r>
        <w:rPr>
          <w:rFonts w:cstheme="minorHAnsi"/>
          <w:szCs w:val="20"/>
        </w:rPr>
        <w:t>they</w:t>
      </w:r>
      <w:r w:rsidRPr="0077225B">
        <w:rPr>
          <w:rFonts w:cstheme="minorHAnsi"/>
          <w:szCs w:val="20"/>
        </w:rPr>
        <w:t xml:space="preserve"> could complete training without participating in the research.  </w:t>
      </w:r>
    </w:p>
    <w:p w14:paraId="3BAA0528" w14:textId="66076ED3" w:rsidR="00552061" w:rsidRPr="0077225B" w:rsidRDefault="00552061" w:rsidP="00552061">
      <w:pPr>
        <w:spacing w:after="120" w:line="264" w:lineRule="auto"/>
        <w:rPr>
          <w:rFonts w:cstheme="minorHAnsi"/>
          <w:szCs w:val="20"/>
        </w:rPr>
      </w:pPr>
      <w:r w:rsidRPr="0077225B">
        <w:rPr>
          <w:rFonts w:cstheme="minorHAnsi"/>
          <w:szCs w:val="20"/>
        </w:rPr>
        <w:t>The ‘I accept participation’</w:t>
      </w:r>
      <w:r>
        <w:rPr>
          <w:rFonts w:cstheme="minorHAnsi"/>
          <w:szCs w:val="20"/>
        </w:rPr>
        <w:t xml:space="preserve"> button</w:t>
      </w:r>
      <w:r w:rsidRPr="0077225B">
        <w:rPr>
          <w:rFonts w:cstheme="minorHAnsi"/>
          <w:szCs w:val="20"/>
        </w:rPr>
        <w:t xml:space="preserve"> routed participants to the </w:t>
      </w:r>
      <w:r w:rsidRPr="0077225B">
        <w:rPr>
          <w:rFonts w:cstheme="minorHAnsi"/>
        </w:rPr>
        <w:t>ATIBSQ</w:t>
      </w:r>
      <w:r w:rsidRPr="0077225B">
        <w:rPr>
          <w:rFonts w:cstheme="minorHAnsi"/>
          <w:szCs w:val="20"/>
        </w:rPr>
        <w:t xml:space="preserve"> hosted at Menzies School of Health Research. </w:t>
      </w:r>
      <w:r>
        <w:rPr>
          <w:rFonts w:cstheme="minorHAnsi"/>
          <w:szCs w:val="20"/>
        </w:rPr>
        <w:t>Submitting the</w:t>
      </w:r>
      <w:r w:rsidRPr="0077225B">
        <w:rPr>
          <w:rFonts w:cstheme="minorHAnsi"/>
          <w:szCs w:val="20"/>
        </w:rPr>
        <w:t xml:space="preserve"> questionnaire </w:t>
      </w:r>
      <w:r>
        <w:rPr>
          <w:rFonts w:cstheme="minorHAnsi"/>
          <w:szCs w:val="20"/>
        </w:rPr>
        <w:t xml:space="preserve">after completion </w:t>
      </w:r>
      <w:r w:rsidRPr="0077225B">
        <w:rPr>
          <w:rFonts w:cstheme="minorHAnsi"/>
          <w:szCs w:val="20"/>
        </w:rPr>
        <w:t xml:space="preserve">automatically routed participants to the </w:t>
      </w:r>
      <w:r w:rsidR="00695F40">
        <w:rPr>
          <w:rFonts w:cstheme="minorHAnsi"/>
          <w:szCs w:val="20"/>
        </w:rPr>
        <w:t>o</w:t>
      </w:r>
      <w:r w:rsidRPr="0077225B">
        <w:rPr>
          <w:rFonts w:cstheme="minorHAnsi"/>
          <w:szCs w:val="20"/>
        </w:rPr>
        <w:t xml:space="preserve">nline training. After completion of the training module, participants were automatically rerouted back to the </w:t>
      </w:r>
      <w:r w:rsidRPr="0077225B">
        <w:rPr>
          <w:rFonts w:cstheme="minorHAnsi"/>
        </w:rPr>
        <w:t>ATIBSQ</w:t>
      </w:r>
      <w:r>
        <w:rPr>
          <w:rFonts w:cstheme="minorHAnsi"/>
        </w:rPr>
        <w:t xml:space="preserve"> for a second time</w:t>
      </w:r>
      <w:r w:rsidRPr="0077225B">
        <w:rPr>
          <w:rFonts w:cstheme="minorHAnsi"/>
        </w:rPr>
        <w:t xml:space="preserve">. </w:t>
      </w:r>
      <w:r w:rsidRPr="0077225B">
        <w:rPr>
          <w:rFonts w:cstheme="minorHAnsi"/>
          <w:szCs w:val="20"/>
        </w:rPr>
        <w:t xml:space="preserve"> </w:t>
      </w:r>
    </w:p>
    <w:p w14:paraId="0494AF72" w14:textId="463383B2" w:rsidR="00552061" w:rsidRPr="0077225B" w:rsidRDefault="00552061" w:rsidP="004257B1">
      <w:pPr>
        <w:pStyle w:val="Heading4"/>
      </w:pPr>
      <w:r w:rsidRPr="0077225B">
        <w:t>Face-to-</w:t>
      </w:r>
      <w:r w:rsidR="00695F40">
        <w:t>f</w:t>
      </w:r>
      <w:r w:rsidRPr="0077225B">
        <w:t>ace training</w:t>
      </w:r>
    </w:p>
    <w:p w14:paraId="4CC12C9B" w14:textId="528E96E3" w:rsidR="00552061" w:rsidRPr="00552061" w:rsidRDefault="00552061" w:rsidP="00552061">
      <w:pPr>
        <w:rPr>
          <w:rFonts w:cstheme="minorHAnsi"/>
          <w:szCs w:val="20"/>
        </w:rPr>
      </w:pPr>
      <w:r w:rsidRPr="0077225B">
        <w:rPr>
          <w:rFonts w:cstheme="minorHAnsi"/>
          <w:szCs w:val="20"/>
        </w:rPr>
        <w:t xml:space="preserve">Health centre staff attending </w:t>
      </w:r>
      <w:r w:rsidR="00695F40">
        <w:rPr>
          <w:rFonts w:cstheme="minorHAnsi"/>
          <w:szCs w:val="20"/>
        </w:rPr>
        <w:t>f</w:t>
      </w:r>
      <w:r w:rsidRPr="0077225B">
        <w:rPr>
          <w:rFonts w:cstheme="minorHAnsi"/>
          <w:szCs w:val="20"/>
        </w:rPr>
        <w:t>ace</w:t>
      </w:r>
      <w:r w:rsidR="00695F40">
        <w:rPr>
          <w:rFonts w:cstheme="minorHAnsi"/>
          <w:szCs w:val="20"/>
        </w:rPr>
        <w:t>-</w:t>
      </w:r>
      <w:r w:rsidRPr="0077225B">
        <w:rPr>
          <w:rFonts w:cstheme="minorHAnsi"/>
          <w:szCs w:val="20"/>
        </w:rPr>
        <w:t>to</w:t>
      </w:r>
      <w:r w:rsidR="00695F40">
        <w:rPr>
          <w:rFonts w:cstheme="minorHAnsi"/>
          <w:szCs w:val="20"/>
        </w:rPr>
        <w:t>-f</w:t>
      </w:r>
      <w:r w:rsidRPr="0077225B">
        <w:rPr>
          <w:rFonts w:cstheme="minorHAnsi"/>
          <w:szCs w:val="20"/>
        </w:rPr>
        <w:t xml:space="preserve">ace training were presented with an information page containing detailed information about the training research, participation and informed consent. Staff were then invited to participate in the research. Consenting participants completed a paper version of the </w:t>
      </w:r>
      <w:r w:rsidRPr="0077225B">
        <w:rPr>
          <w:rFonts w:cstheme="minorHAnsi"/>
        </w:rPr>
        <w:t>ATIBSQ</w:t>
      </w:r>
      <w:r w:rsidRPr="0077225B">
        <w:rPr>
          <w:rFonts w:cstheme="minorHAnsi"/>
          <w:szCs w:val="20"/>
        </w:rPr>
        <w:t xml:space="preserve"> before commencing training. A second </w:t>
      </w:r>
      <w:r w:rsidRPr="0077225B">
        <w:rPr>
          <w:rFonts w:cstheme="minorHAnsi"/>
        </w:rPr>
        <w:t>ATIBSQ</w:t>
      </w:r>
      <w:r w:rsidRPr="0077225B">
        <w:rPr>
          <w:rFonts w:cstheme="minorHAnsi"/>
          <w:szCs w:val="20"/>
        </w:rPr>
        <w:t xml:space="preserve"> was administered to participants on completion of</w:t>
      </w:r>
      <w:r w:rsidR="00695F40">
        <w:rPr>
          <w:rFonts w:cstheme="minorHAnsi"/>
          <w:szCs w:val="20"/>
        </w:rPr>
        <w:t xml:space="preserve"> face-</w:t>
      </w:r>
      <w:r w:rsidRPr="0077225B">
        <w:rPr>
          <w:rFonts w:cstheme="minorHAnsi"/>
          <w:szCs w:val="20"/>
        </w:rPr>
        <w:t>to</w:t>
      </w:r>
      <w:r w:rsidR="00695F40">
        <w:rPr>
          <w:rFonts w:cstheme="minorHAnsi"/>
          <w:szCs w:val="20"/>
        </w:rPr>
        <w:t>-f</w:t>
      </w:r>
      <w:r w:rsidRPr="0077225B">
        <w:rPr>
          <w:rFonts w:cstheme="minorHAnsi"/>
          <w:szCs w:val="20"/>
        </w:rPr>
        <w:t>ace training.</w:t>
      </w:r>
    </w:p>
    <w:p w14:paraId="29D922E2" w14:textId="77777777" w:rsidR="00552061" w:rsidRPr="0077225B" w:rsidRDefault="00552061" w:rsidP="00366EAB">
      <w:pPr>
        <w:pStyle w:val="Heading3"/>
      </w:pPr>
      <w:bookmarkStart w:id="335" w:name="_Toc44339268"/>
      <w:r w:rsidRPr="0077225B">
        <w:t>Participants</w:t>
      </w:r>
      <w:bookmarkEnd w:id="335"/>
    </w:p>
    <w:p w14:paraId="0A1BF326" w14:textId="70CDAAA7" w:rsidR="00552061" w:rsidRPr="00461E49" w:rsidRDefault="00552061" w:rsidP="00552061">
      <w:pPr>
        <w:rPr>
          <w:rFonts w:cstheme="minorHAnsi"/>
        </w:rPr>
      </w:pPr>
      <w:r w:rsidRPr="0077225B">
        <w:rPr>
          <w:rFonts w:cstheme="minorHAnsi"/>
        </w:rPr>
        <w:t xml:space="preserve">A total of 316 health centre staff from both groups completed training. One hundred and fifteen registered for </w:t>
      </w:r>
      <w:r w:rsidR="00695F40">
        <w:rPr>
          <w:rFonts w:cstheme="minorHAnsi"/>
        </w:rPr>
        <w:t>o</w:t>
      </w:r>
      <w:r w:rsidRPr="0077225B">
        <w:rPr>
          <w:rFonts w:cstheme="minorHAnsi"/>
        </w:rPr>
        <w:t xml:space="preserve">nline training. Eighty-six health centre staff consented to participate in the </w:t>
      </w:r>
      <w:r w:rsidR="00695F40">
        <w:rPr>
          <w:rFonts w:cstheme="minorHAnsi"/>
        </w:rPr>
        <w:t>o</w:t>
      </w:r>
      <w:r w:rsidRPr="0077225B">
        <w:rPr>
          <w:rFonts w:cstheme="minorHAnsi"/>
        </w:rPr>
        <w:t xml:space="preserve">nline research, fifty-seven consenters completed both </w:t>
      </w:r>
      <w:r w:rsidR="00695F40" w:rsidRPr="0077225B">
        <w:rPr>
          <w:rFonts w:cstheme="minorHAnsi"/>
        </w:rPr>
        <w:t>pre-</w:t>
      </w:r>
      <w:r w:rsidRPr="0077225B">
        <w:rPr>
          <w:rFonts w:cstheme="minorHAnsi"/>
        </w:rPr>
        <w:t xml:space="preserve"> and post-questionnaires. Subsequently, fifty-seven participants were included in the </w:t>
      </w:r>
      <w:r w:rsidR="00695F40">
        <w:rPr>
          <w:rFonts w:cstheme="minorHAnsi"/>
        </w:rPr>
        <w:t>o</w:t>
      </w:r>
      <w:r w:rsidRPr="0077225B">
        <w:rPr>
          <w:rFonts w:cstheme="minorHAnsi"/>
        </w:rPr>
        <w:t>nline final analysis</w:t>
      </w:r>
      <w:r w:rsidRPr="00461E49">
        <w:rPr>
          <w:rFonts w:cstheme="minorHAnsi"/>
        </w:rPr>
        <w:t xml:space="preserve">. </w:t>
      </w:r>
    </w:p>
    <w:p w14:paraId="6D4BB160" w14:textId="2E3090A3" w:rsidR="00552061" w:rsidRPr="0077225B" w:rsidRDefault="00552061" w:rsidP="00552061">
      <w:pPr>
        <w:rPr>
          <w:rFonts w:cstheme="minorHAnsi"/>
        </w:rPr>
      </w:pPr>
      <w:r w:rsidRPr="0077225B">
        <w:rPr>
          <w:rFonts w:cstheme="minorHAnsi"/>
          <w:szCs w:val="20"/>
        </w:rPr>
        <w:t xml:space="preserve">Two hundred and one health centre </w:t>
      </w:r>
      <w:r w:rsidRPr="0077225B">
        <w:rPr>
          <w:rFonts w:cstheme="minorHAnsi"/>
        </w:rPr>
        <w:t xml:space="preserve">staff attended </w:t>
      </w:r>
      <w:r w:rsidR="00695F40">
        <w:rPr>
          <w:rFonts w:cstheme="minorHAnsi"/>
        </w:rPr>
        <w:t xml:space="preserve">face-to-face </w:t>
      </w:r>
      <w:r w:rsidRPr="0077225B">
        <w:rPr>
          <w:rFonts w:cstheme="minorHAnsi"/>
        </w:rPr>
        <w:t xml:space="preserve">training: One hundred and fifty-four consented to participate in this research component. Thirteen consenters did not complete the questionnaire. One participant requested to withdraw after completing the first questionnaire. One participant was later discovered to have completed the </w:t>
      </w:r>
      <w:r w:rsidR="00695F40">
        <w:rPr>
          <w:rFonts w:cstheme="minorHAnsi"/>
        </w:rPr>
        <w:t>o</w:t>
      </w:r>
      <w:r w:rsidRPr="0077225B">
        <w:rPr>
          <w:rFonts w:cstheme="minorHAnsi"/>
        </w:rPr>
        <w:t xml:space="preserve">nline training method before the </w:t>
      </w:r>
      <w:r w:rsidR="00695F40">
        <w:rPr>
          <w:rFonts w:cstheme="minorHAnsi"/>
        </w:rPr>
        <w:t xml:space="preserve">face-to-face </w:t>
      </w:r>
      <w:r w:rsidRPr="0077225B">
        <w:rPr>
          <w:rFonts w:cstheme="minorHAnsi"/>
        </w:rPr>
        <w:t xml:space="preserve">presentation and was removed from the </w:t>
      </w:r>
      <w:r w:rsidR="00695F40">
        <w:rPr>
          <w:rFonts w:cstheme="minorHAnsi"/>
        </w:rPr>
        <w:t>face-to-face</w:t>
      </w:r>
      <w:r w:rsidRPr="0077225B">
        <w:rPr>
          <w:rFonts w:cstheme="minorHAnsi"/>
        </w:rPr>
        <w:t xml:space="preserve"> data set. Subsequently, a total of one hundred and thirty-nine participants were included in the </w:t>
      </w:r>
      <w:r w:rsidR="00695F40">
        <w:rPr>
          <w:rFonts w:cstheme="minorHAnsi"/>
        </w:rPr>
        <w:t>face-to-face</w:t>
      </w:r>
      <w:r w:rsidRPr="0077225B">
        <w:rPr>
          <w:rFonts w:cstheme="minorHAnsi"/>
        </w:rPr>
        <w:t xml:space="preserve"> data set.</w:t>
      </w:r>
    </w:p>
    <w:p w14:paraId="40DC1A1F" w14:textId="4999AC18" w:rsidR="00552061" w:rsidRPr="00552061" w:rsidRDefault="00552061" w:rsidP="00552061">
      <w:pPr>
        <w:spacing w:after="120" w:line="264" w:lineRule="auto"/>
        <w:rPr>
          <w:rFonts w:cstheme="minorHAnsi"/>
        </w:rPr>
      </w:pPr>
      <w:r w:rsidRPr="0077225B">
        <w:rPr>
          <w:rFonts w:cstheme="minorHAnsi"/>
        </w:rPr>
        <w:t xml:space="preserve">Staff training attendance and participant recruitment are presented in </w:t>
      </w:r>
      <w:r w:rsidRPr="00552061">
        <w:rPr>
          <w:rFonts w:cstheme="minorHAnsi"/>
        </w:rPr>
        <w:t xml:space="preserve">Table </w:t>
      </w:r>
      <w:r>
        <w:rPr>
          <w:rFonts w:cstheme="minorHAnsi"/>
        </w:rPr>
        <w:t>E-</w:t>
      </w:r>
      <w:r w:rsidRPr="00552061">
        <w:rPr>
          <w:rFonts w:cstheme="minorHAnsi"/>
        </w:rPr>
        <w:t>1</w:t>
      </w:r>
      <w:r w:rsidRPr="0077225B">
        <w:rPr>
          <w:rFonts w:cstheme="minorHAnsi"/>
        </w:rPr>
        <w:t xml:space="preserve">. </w:t>
      </w:r>
    </w:p>
    <w:p w14:paraId="56E2E689" w14:textId="33C83330" w:rsidR="00552061" w:rsidRPr="0077225B" w:rsidRDefault="00552061" w:rsidP="00366EAB">
      <w:pPr>
        <w:pStyle w:val="Heading3"/>
      </w:pPr>
      <w:bookmarkStart w:id="336" w:name="_Toc44339269"/>
      <w:r w:rsidRPr="0077225B">
        <w:t xml:space="preserve">Data </w:t>
      </w:r>
      <w:r>
        <w:t>c</w:t>
      </w:r>
      <w:r w:rsidRPr="0077225B">
        <w:t>leaning</w:t>
      </w:r>
      <w:r>
        <w:t xml:space="preserve"> and validating the questionnaire</w:t>
      </w:r>
      <w:bookmarkEnd w:id="336"/>
      <w:r>
        <w:t xml:space="preserve"> </w:t>
      </w:r>
    </w:p>
    <w:p w14:paraId="1FE04531" w14:textId="576A31F0" w:rsidR="00695F40" w:rsidRDefault="00552061" w:rsidP="00552061">
      <w:pPr>
        <w:spacing w:after="120" w:line="264" w:lineRule="auto"/>
        <w:rPr>
          <w:rFonts w:cstheme="minorHAnsi"/>
          <w:szCs w:val="20"/>
        </w:rPr>
      </w:pPr>
      <w:r w:rsidRPr="0077225B">
        <w:rPr>
          <w:rFonts w:cstheme="minorHAnsi"/>
          <w:szCs w:val="20"/>
        </w:rPr>
        <w:t>Raw data was cleaned, de</w:t>
      </w:r>
      <w:r w:rsidR="00463DF2">
        <w:rPr>
          <w:rFonts w:cstheme="minorHAnsi"/>
          <w:szCs w:val="20"/>
        </w:rPr>
        <w:t>-</w:t>
      </w:r>
      <w:r w:rsidRPr="0077225B">
        <w:rPr>
          <w:rFonts w:cstheme="minorHAnsi"/>
          <w:szCs w:val="20"/>
        </w:rPr>
        <w:t>identified and entered into SPSS for analysis. T</w:t>
      </w:r>
      <w:r>
        <w:rPr>
          <w:rFonts w:cstheme="minorHAnsi"/>
          <w:szCs w:val="20"/>
        </w:rPr>
        <w:t>en</w:t>
      </w:r>
      <w:r w:rsidRPr="0077225B">
        <w:rPr>
          <w:rFonts w:cstheme="minorHAnsi"/>
          <w:szCs w:val="20"/>
        </w:rPr>
        <w:t xml:space="preserve"> items of the </w:t>
      </w:r>
      <w:r w:rsidRPr="0077225B">
        <w:rPr>
          <w:rFonts w:cstheme="minorHAnsi"/>
        </w:rPr>
        <w:t>ATIBSQ</w:t>
      </w:r>
      <w:r w:rsidRPr="0077225B">
        <w:rPr>
          <w:rFonts w:cstheme="minorHAnsi"/>
          <w:szCs w:val="20"/>
        </w:rPr>
        <w:t xml:space="preserve"> </w:t>
      </w:r>
      <w:r>
        <w:rPr>
          <w:rFonts w:cstheme="minorHAnsi"/>
          <w:szCs w:val="20"/>
        </w:rPr>
        <w:t xml:space="preserve">administered using a neutral reference point (neither agree nor disagree) on the Likert scale </w:t>
      </w:r>
      <w:r w:rsidRPr="0077225B">
        <w:rPr>
          <w:rFonts w:cstheme="minorHAnsi"/>
          <w:szCs w:val="20"/>
        </w:rPr>
        <w:t xml:space="preserve">were subjected to Principal Axis Factoring (PAF) to </w:t>
      </w:r>
      <w:r>
        <w:rPr>
          <w:rFonts w:cstheme="minorHAnsi"/>
          <w:szCs w:val="20"/>
        </w:rPr>
        <w:t>statistically identify factors that grouped together and</w:t>
      </w:r>
      <w:r>
        <w:rPr>
          <w:rFonts w:cstheme="minorHAnsi"/>
        </w:rPr>
        <w:t xml:space="preserve"> </w:t>
      </w:r>
      <w:r w:rsidRPr="0077225B">
        <w:rPr>
          <w:rFonts w:cstheme="minorHAnsi"/>
          <w:szCs w:val="20"/>
        </w:rPr>
        <w:t xml:space="preserve">to </w:t>
      </w:r>
      <w:r>
        <w:rPr>
          <w:rFonts w:cstheme="minorHAnsi"/>
          <w:szCs w:val="20"/>
        </w:rPr>
        <w:t>provide evidence of</w:t>
      </w:r>
      <w:r w:rsidRPr="0077225B">
        <w:rPr>
          <w:rFonts w:cstheme="minorHAnsi"/>
          <w:szCs w:val="20"/>
        </w:rPr>
        <w:t xml:space="preserve"> construct validity</w:t>
      </w:r>
      <w:r>
        <w:rPr>
          <w:rFonts w:cstheme="minorHAnsi"/>
          <w:szCs w:val="20"/>
        </w:rPr>
        <w:t xml:space="preserve"> (</w:t>
      </w:r>
      <w:r w:rsidR="00695F40">
        <w:rPr>
          <w:rFonts w:cstheme="minorHAnsi"/>
          <w:szCs w:val="20"/>
        </w:rPr>
        <w:t>c</w:t>
      </w:r>
      <w:r w:rsidRPr="0077225B">
        <w:rPr>
          <w:rFonts w:cstheme="minorHAnsi"/>
          <w:szCs w:val="20"/>
        </w:rPr>
        <w:t xml:space="preserve">onstruct validity </w:t>
      </w:r>
      <w:r>
        <w:rPr>
          <w:rFonts w:cstheme="minorHAnsi"/>
          <w:szCs w:val="20"/>
        </w:rPr>
        <w:t>provides evidence to support that all items within a factor are</w:t>
      </w:r>
      <w:r w:rsidRPr="0077225B">
        <w:rPr>
          <w:rFonts w:cstheme="minorHAnsi"/>
          <w:szCs w:val="20"/>
        </w:rPr>
        <w:t xml:space="preserve"> measuring </w:t>
      </w:r>
      <w:r>
        <w:rPr>
          <w:rFonts w:cstheme="minorHAnsi"/>
          <w:szCs w:val="20"/>
        </w:rPr>
        <w:t>the same thing)</w:t>
      </w:r>
      <w:r w:rsidRPr="0077225B">
        <w:rPr>
          <w:rFonts w:cstheme="minorHAnsi"/>
          <w:szCs w:val="20"/>
        </w:rPr>
        <w:t xml:space="preserve">. </w:t>
      </w:r>
    </w:p>
    <w:p w14:paraId="588B4F1E" w14:textId="77777777" w:rsidR="002A20BB" w:rsidRDefault="002A20BB" w:rsidP="00552061">
      <w:pPr>
        <w:spacing w:after="120" w:line="264" w:lineRule="auto"/>
        <w:rPr>
          <w:rFonts w:cstheme="minorHAnsi"/>
          <w:szCs w:val="20"/>
        </w:rPr>
      </w:pPr>
    </w:p>
    <w:p w14:paraId="2DF58017" w14:textId="0AD8C00C" w:rsidR="002A20BB" w:rsidRDefault="002A20BB" w:rsidP="00552061">
      <w:pPr>
        <w:spacing w:after="120" w:line="264" w:lineRule="auto"/>
        <w:rPr>
          <w:rFonts w:cs="Times New Roman"/>
        </w:rPr>
        <w:sectPr w:rsidR="002A20BB" w:rsidSect="00261040">
          <w:headerReference w:type="default" r:id="rId41"/>
          <w:footerReference w:type="even" r:id="rId42"/>
          <w:footerReference w:type="default" r:id="rId43"/>
          <w:pgSz w:w="11900" w:h="16820"/>
          <w:pgMar w:top="1440" w:right="1080" w:bottom="1440" w:left="1080" w:header="708" w:footer="708" w:gutter="0"/>
          <w:cols w:space="708"/>
          <w:titlePg/>
          <w:docGrid w:linePitch="360"/>
        </w:sectPr>
      </w:pPr>
    </w:p>
    <w:p w14:paraId="06C1B75E" w14:textId="413AF096" w:rsidR="002A20BB" w:rsidRDefault="002A20BB" w:rsidP="002E74E6">
      <w:pPr>
        <w:pStyle w:val="Caption"/>
      </w:pPr>
      <w:r>
        <w:lastRenderedPageBreak/>
        <w:t>Table E-</w:t>
      </w:r>
      <w:r w:rsidR="00B7221C">
        <w:fldChar w:fldCharType="begin"/>
      </w:r>
      <w:r w:rsidR="00B7221C">
        <w:instrText xml:space="preserve"> SEQ Table</w:instrText>
      </w:r>
      <w:r w:rsidR="00B7221C">
        <w:instrText xml:space="preserve">_E- \* ARABIC </w:instrText>
      </w:r>
      <w:r w:rsidR="00B7221C">
        <w:fldChar w:fldCharType="separate"/>
      </w:r>
      <w:r w:rsidR="00C47D05">
        <w:rPr>
          <w:noProof/>
        </w:rPr>
        <w:t>1</w:t>
      </w:r>
      <w:r w:rsidR="00B7221C">
        <w:rPr>
          <w:noProof/>
        </w:rPr>
        <w:fldChar w:fldCharType="end"/>
      </w:r>
      <w:r w:rsidR="00695F40">
        <w:t>:</w:t>
      </w:r>
      <w:r>
        <w:t xml:space="preserve"> Training attendees</w:t>
      </w:r>
      <w:r w:rsidR="00515600">
        <w:t xml:space="preserve"> and recruitment of research participants</w:t>
      </w:r>
    </w:p>
    <w:tbl>
      <w:tblPr>
        <w:tblW w:w="13467" w:type="dxa"/>
        <w:tblBorders>
          <w:top w:val="single" w:sz="6" w:space="0" w:color="auto"/>
          <w:bottom w:val="single" w:sz="6" w:space="0" w:color="auto"/>
        </w:tblBorders>
        <w:tblCellMar>
          <w:top w:w="15" w:type="dxa"/>
          <w:left w:w="15" w:type="dxa"/>
          <w:bottom w:w="15" w:type="dxa"/>
          <w:right w:w="15" w:type="dxa"/>
        </w:tblCellMar>
        <w:tblLook w:val="04A0" w:firstRow="1" w:lastRow="0" w:firstColumn="1" w:lastColumn="0" w:noHBand="0" w:noVBand="1"/>
      </w:tblPr>
      <w:tblGrid>
        <w:gridCol w:w="840"/>
        <w:gridCol w:w="1006"/>
        <w:gridCol w:w="1273"/>
        <w:gridCol w:w="1276"/>
        <w:gridCol w:w="2126"/>
        <w:gridCol w:w="4111"/>
        <w:gridCol w:w="2835"/>
      </w:tblGrid>
      <w:tr w:rsidR="00552061" w:rsidRPr="00DA4263" w14:paraId="733F10FD" w14:textId="77777777" w:rsidTr="00FA575E">
        <w:tc>
          <w:tcPr>
            <w:tcW w:w="840" w:type="dxa"/>
            <w:tcBorders>
              <w:top w:val="single" w:sz="6" w:space="0" w:color="auto"/>
              <w:bottom w:val="single" w:sz="6" w:space="0" w:color="auto"/>
            </w:tcBorders>
            <w:shd w:val="clear" w:color="auto" w:fill="auto"/>
            <w:hideMark/>
          </w:tcPr>
          <w:p w14:paraId="252518C5" w14:textId="77777777" w:rsidR="00552061" w:rsidRPr="00786AF9" w:rsidRDefault="00552061" w:rsidP="00FA575E">
            <w:pPr>
              <w:spacing w:before="100" w:beforeAutospacing="1" w:after="100" w:afterAutospacing="1" w:line="240" w:lineRule="auto"/>
              <w:contextualSpacing/>
              <w:textAlignment w:val="baseline"/>
              <w:rPr>
                <w:rFonts w:eastAsia="Times New Roman" w:cs="Times New Roman"/>
                <w:b/>
                <w:sz w:val="20"/>
                <w:szCs w:val="20"/>
                <w:lang w:eastAsia="en-AU"/>
              </w:rPr>
            </w:pPr>
            <w:r w:rsidRPr="00786AF9">
              <w:rPr>
                <w:rFonts w:eastAsia="Times New Roman" w:cs="Times New Roman"/>
                <w:b/>
                <w:sz w:val="20"/>
                <w:szCs w:val="20"/>
                <w:lang w:eastAsia="en-AU"/>
              </w:rPr>
              <w:t xml:space="preserve">Training </w:t>
            </w:r>
            <w:r>
              <w:rPr>
                <w:rFonts w:eastAsia="Times New Roman" w:cs="Times New Roman"/>
                <w:b/>
                <w:sz w:val="20"/>
                <w:szCs w:val="20"/>
                <w:lang w:eastAsia="en-AU"/>
              </w:rPr>
              <w:t>m</w:t>
            </w:r>
            <w:r w:rsidRPr="00786AF9">
              <w:rPr>
                <w:rFonts w:eastAsia="Times New Roman" w:cs="Times New Roman"/>
                <w:b/>
                <w:sz w:val="20"/>
                <w:szCs w:val="20"/>
                <w:lang w:eastAsia="en-AU"/>
              </w:rPr>
              <w:t>ethod</w:t>
            </w:r>
          </w:p>
        </w:tc>
        <w:tc>
          <w:tcPr>
            <w:tcW w:w="1006" w:type="dxa"/>
            <w:tcBorders>
              <w:top w:val="single" w:sz="6" w:space="0" w:color="auto"/>
              <w:bottom w:val="single" w:sz="6" w:space="0" w:color="auto"/>
            </w:tcBorders>
            <w:shd w:val="clear" w:color="auto" w:fill="auto"/>
            <w:hideMark/>
          </w:tcPr>
          <w:p w14:paraId="1B33FEC2" w14:textId="10C84441" w:rsidR="00552061" w:rsidRPr="00786AF9" w:rsidRDefault="00FA575E" w:rsidP="00FA575E">
            <w:pPr>
              <w:spacing w:before="100" w:beforeAutospacing="1" w:after="100" w:afterAutospacing="1" w:line="240" w:lineRule="auto"/>
              <w:contextualSpacing/>
              <w:textAlignment w:val="baseline"/>
              <w:rPr>
                <w:rFonts w:eastAsia="Times New Roman" w:cs="Times New Roman"/>
                <w:b/>
                <w:sz w:val="20"/>
                <w:szCs w:val="20"/>
                <w:lang w:eastAsia="en-AU"/>
              </w:rPr>
            </w:pPr>
            <w:r>
              <w:rPr>
                <w:rFonts w:eastAsia="Times New Roman" w:cs="Times New Roman"/>
                <w:b/>
                <w:sz w:val="20"/>
                <w:szCs w:val="20"/>
                <w:lang w:eastAsia="en-AU"/>
              </w:rPr>
              <w:t>Training attendees</w:t>
            </w:r>
            <w:r w:rsidR="00552061" w:rsidRPr="00786AF9">
              <w:rPr>
                <w:rFonts w:eastAsia="Times New Roman" w:cs="Times New Roman"/>
                <w:b/>
                <w:sz w:val="20"/>
                <w:szCs w:val="20"/>
                <w:lang w:eastAsia="en-AU"/>
              </w:rPr>
              <w:t> </w:t>
            </w:r>
          </w:p>
        </w:tc>
        <w:tc>
          <w:tcPr>
            <w:tcW w:w="1273" w:type="dxa"/>
            <w:tcBorders>
              <w:top w:val="single" w:sz="6" w:space="0" w:color="auto"/>
              <w:bottom w:val="single" w:sz="6" w:space="0" w:color="auto"/>
            </w:tcBorders>
            <w:shd w:val="clear" w:color="auto" w:fill="auto"/>
            <w:hideMark/>
          </w:tcPr>
          <w:p w14:paraId="34C10D01" w14:textId="77777777" w:rsidR="00552061" w:rsidRPr="00786AF9" w:rsidRDefault="00552061" w:rsidP="00FA575E">
            <w:pPr>
              <w:spacing w:after="100" w:afterAutospacing="1" w:line="240" w:lineRule="auto"/>
              <w:contextualSpacing/>
              <w:textAlignment w:val="baseline"/>
              <w:rPr>
                <w:rFonts w:eastAsia="Times New Roman" w:cs="Times New Roman"/>
                <w:b/>
                <w:sz w:val="20"/>
                <w:szCs w:val="20"/>
                <w:lang w:eastAsia="en-AU"/>
              </w:rPr>
            </w:pPr>
            <w:r>
              <w:rPr>
                <w:rFonts w:eastAsia="Times New Roman" w:cs="Times New Roman"/>
                <w:b/>
                <w:sz w:val="20"/>
                <w:szCs w:val="20"/>
                <w:lang w:eastAsia="en-AU"/>
              </w:rPr>
              <w:t>Staff c</w:t>
            </w:r>
            <w:r w:rsidRPr="00786AF9">
              <w:rPr>
                <w:rFonts w:eastAsia="Times New Roman" w:cs="Times New Roman"/>
                <w:b/>
                <w:sz w:val="20"/>
                <w:szCs w:val="20"/>
                <w:lang w:eastAsia="en-AU"/>
              </w:rPr>
              <w:t>onsent</w:t>
            </w:r>
            <w:r>
              <w:rPr>
                <w:rFonts w:eastAsia="Times New Roman" w:cs="Times New Roman"/>
                <w:b/>
                <w:sz w:val="20"/>
                <w:szCs w:val="20"/>
                <w:lang w:eastAsia="en-AU"/>
              </w:rPr>
              <w:t xml:space="preserve"> to participate</w:t>
            </w:r>
            <w:r w:rsidRPr="00786AF9">
              <w:rPr>
                <w:rFonts w:eastAsia="Times New Roman" w:cs="Times New Roman"/>
                <w:b/>
                <w:sz w:val="20"/>
                <w:szCs w:val="20"/>
                <w:lang w:eastAsia="en-AU"/>
              </w:rPr>
              <w:t xml:space="preserve"> </w:t>
            </w:r>
          </w:p>
        </w:tc>
        <w:tc>
          <w:tcPr>
            <w:tcW w:w="1276" w:type="dxa"/>
            <w:tcBorders>
              <w:top w:val="single" w:sz="6" w:space="0" w:color="auto"/>
              <w:bottom w:val="single" w:sz="6" w:space="0" w:color="auto"/>
            </w:tcBorders>
            <w:shd w:val="clear" w:color="auto" w:fill="auto"/>
            <w:hideMark/>
          </w:tcPr>
          <w:p w14:paraId="6D1C9F80" w14:textId="77777777" w:rsidR="00552061" w:rsidRPr="00786AF9" w:rsidRDefault="00552061" w:rsidP="00FA575E">
            <w:pPr>
              <w:spacing w:before="100" w:beforeAutospacing="1" w:after="100" w:afterAutospacing="1" w:line="240" w:lineRule="auto"/>
              <w:contextualSpacing/>
              <w:textAlignment w:val="baseline"/>
              <w:rPr>
                <w:rFonts w:eastAsia="Times New Roman" w:cs="Times New Roman"/>
                <w:b/>
                <w:sz w:val="20"/>
                <w:szCs w:val="20"/>
                <w:lang w:eastAsia="en-AU"/>
              </w:rPr>
            </w:pPr>
            <w:r>
              <w:rPr>
                <w:rFonts w:eastAsia="Times New Roman" w:cs="Times New Roman"/>
                <w:b/>
                <w:sz w:val="20"/>
                <w:szCs w:val="20"/>
                <w:lang w:eastAsia="en-AU"/>
              </w:rPr>
              <w:t>Participants completing pre &amp; post</w:t>
            </w:r>
            <w:r w:rsidRPr="00786AF9">
              <w:rPr>
                <w:rFonts w:eastAsia="Times New Roman" w:cs="Times New Roman"/>
                <w:b/>
                <w:sz w:val="20"/>
                <w:szCs w:val="20"/>
                <w:lang w:eastAsia="en-AU"/>
              </w:rPr>
              <w:t> </w:t>
            </w:r>
          </w:p>
        </w:tc>
        <w:tc>
          <w:tcPr>
            <w:tcW w:w="2126" w:type="dxa"/>
            <w:tcBorders>
              <w:top w:val="single" w:sz="6" w:space="0" w:color="auto"/>
              <w:bottom w:val="single" w:sz="6" w:space="0" w:color="auto"/>
            </w:tcBorders>
          </w:tcPr>
          <w:p w14:paraId="7E1FDDEB" w14:textId="77777777" w:rsidR="00552061" w:rsidRPr="00786AF9" w:rsidRDefault="00552061" w:rsidP="00FA575E">
            <w:pPr>
              <w:spacing w:before="100" w:beforeAutospacing="1" w:after="0" w:line="240" w:lineRule="auto"/>
              <w:contextualSpacing/>
              <w:textAlignment w:val="baseline"/>
              <w:rPr>
                <w:rFonts w:eastAsia="Times New Roman" w:cs="Times New Roman"/>
                <w:b/>
                <w:sz w:val="20"/>
                <w:szCs w:val="20"/>
                <w:lang w:eastAsia="en-AU"/>
              </w:rPr>
            </w:pPr>
            <w:r>
              <w:rPr>
                <w:rFonts w:eastAsia="Times New Roman" w:cs="Times New Roman"/>
                <w:b/>
                <w:sz w:val="20"/>
                <w:szCs w:val="20"/>
                <w:lang w:eastAsia="en-AU"/>
              </w:rPr>
              <w:t>P</w:t>
            </w:r>
            <w:r w:rsidRPr="00786AF9">
              <w:rPr>
                <w:rFonts w:eastAsia="Times New Roman" w:cs="Times New Roman"/>
                <w:b/>
                <w:sz w:val="20"/>
                <w:szCs w:val="20"/>
                <w:lang w:eastAsia="en-AU"/>
              </w:rPr>
              <w:t xml:space="preserve">articipants </w:t>
            </w:r>
            <w:r>
              <w:rPr>
                <w:rFonts w:eastAsia="Times New Roman" w:cs="Times New Roman"/>
                <w:b/>
                <w:sz w:val="20"/>
                <w:szCs w:val="20"/>
                <w:lang w:eastAsia="en-AU"/>
              </w:rPr>
              <w:t>per g</w:t>
            </w:r>
            <w:r w:rsidRPr="00786AF9">
              <w:rPr>
                <w:rFonts w:eastAsia="Times New Roman" w:cs="Times New Roman"/>
                <w:b/>
                <w:sz w:val="20"/>
                <w:szCs w:val="20"/>
                <w:lang w:eastAsia="en-AU"/>
              </w:rPr>
              <w:t xml:space="preserve">eographic </w:t>
            </w:r>
            <w:r>
              <w:rPr>
                <w:rFonts w:eastAsia="Times New Roman" w:cs="Times New Roman"/>
                <w:b/>
                <w:sz w:val="20"/>
                <w:szCs w:val="20"/>
                <w:lang w:eastAsia="en-AU"/>
              </w:rPr>
              <w:t>l</w:t>
            </w:r>
            <w:r w:rsidRPr="00786AF9">
              <w:rPr>
                <w:rFonts w:eastAsia="Times New Roman" w:cs="Times New Roman"/>
                <w:b/>
                <w:sz w:val="20"/>
                <w:szCs w:val="20"/>
                <w:lang w:eastAsia="en-AU"/>
              </w:rPr>
              <w:t>ocation </w:t>
            </w:r>
          </w:p>
        </w:tc>
        <w:tc>
          <w:tcPr>
            <w:tcW w:w="4111" w:type="dxa"/>
            <w:tcBorders>
              <w:top w:val="single" w:sz="6" w:space="0" w:color="auto"/>
              <w:bottom w:val="single" w:sz="6" w:space="0" w:color="auto"/>
            </w:tcBorders>
            <w:shd w:val="clear" w:color="auto" w:fill="auto"/>
          </w:tcPr>
          <w:p w14:paraId="27917A48" w14:textId="77777777" w:rsidR="00552061" w:rsidRDefault="00552061" w:rsidP="00FA575E">
            <w:pPr>
              <w:spacing w:after="0" w:line="240" w:lineRule="auto"/>
              <w:contextualSpacing/>
              <w:textAlignment w:val="baseline"/>
              <w:rPr>
                <w:rFonts w:eastAsia="Times New Roman" w:cs="Times New Roman"/>
                <w:b/>
                <w:sz w:val="20"/>
                <w:szCs w:val="20"/>
                <w:lang w:eastAsia="en-AU"/>
              </w:rPr>
            </w:pPr>
            <w:r>
              <w:rPr>
                <w:rFonts w:eastAsia="Times New Roman" w:cs="Times New Roman"/>
                <w:b/>
                <w:sz w:val="20"/>
                <w:szCs w:val="20"/>
                <w:lang w:eastAsia="en-AU"/>
              </w:rPr>
              <w:t xml:space="preserve">Participants per </w:t>
            </w:r>
          </w:p>
          <w:p w14:paraId="130CE404" w14:textId="361E37F0" w:rsidR="00552061" w:rsidRPr="00786AF9" w:rsidRDefault="00552061" w:rsidP="00FA575E">
            <w:pPr>
              <w:spacing w:after="0" w:line="240" w:lineRule="auto"/>
              <w:contextualSpacing/>
              <w:textAlignment w:val="baseline"/>
              <w:rPr>
                <w:rFonts w:eastAsia="Times New Roman" w:cs="Times New Roman"/>
                <w:b/>
                <w:sz w:val="20"/>
                <w:szCs w:val="20"/>
                <w:lang w:eastAsia="en-AU"/>
              </w:rPr>
            </w:pPr>
            <w:r>
              <w:rPr>
                <w:rFonts w:eastAsia="Times New Roman" w:cs="Times New Roman"/>
                <w:b/>
                <w:sz w:val="20"/>
                <w:szCs w:val="20"/>
                <w:lang w:eastAsia="en-AU"/>
              </w:rPr>
              <w:t>p</w:t>
            </w:r>
            <w:r w:rsidRPr="00786AF9">
              <w:rPr>
                <w:rFonts w:eastAsia="Times New Roman" w:cs="Times New Roman"/>
                <w:b/>
                <w:sz w:val="20"/>
                <w:szCs w:val="20"/>
                <w:lang w:eastAsia="en-AU"/>
              </w:rPr>
              <w:t xml:space="preserve">rofessional </w:t>
            </w:r>
            <w:r w:rsidR="00695F40">
              <w:rPr>
                <w:rFonts w:eastAsia="Times New Roman" w:cs="Times New Roman"/>
                <w:b/>
                <w:sz w:val="20"/>
                <w:szCs w:val="20"/>
                <w:lang w:eastAsia="en-AU"/>
              </w:rPr>
              <w:t>r</w:t>
            </w:r>
            <w:r w:rsidRPr="00786AF9">
              <w:rPr>
                <w:rFonts w:eastAsia="Times New Roman" w:cs="Times New Roman"/>
                <w:b/>
                <w:sz w:val="20"/>
                <w:szCs w:val="20"/>
                <w:lang w:eastAsia="en-AU"/>
              </w:rPr>
              <w:t xml:space="preserve">ole </w:t>
            </w:r>
          </w:p>
        </w:tc>
        <w:tc>
          <w:tcPr>
            <w:tcW w:w="2835" w:type="dxa"/>
            <w:tcBorders>
              <w:top w:val="single" w:sz="6" w:space="0" w:color="auto"/>
              <w:bottom w:val="single" w:sz="6" w:space="0" w:color="auto"/>
            </w:tcBorders>
            <w:shd w:val="clear" w:color="auto" w:fill="auto"/>
            <w:hideMark/>
          </w:tcPr>
          <w:p w14:paraId="70942858" w14:textId="77777777" w:rsidR="00552061" w:rsidRDefault="00552061" w:rsidP="002A20BB">
            <w:pPr>
              <w:spacing w:after="0" w:line="240" w:lineRule="auto"/>
              <w:textAlignment w:val="baseline"/>
              <w:rPr>
                <w:rFonts w:eastAsia="Times New Roman" w:cs="Times New Roman"/>
                <w:b/>
                <w:sz w:val="20"/>
                <w:szCs w:val="20"/>
                <w:lang w:eastAsia="en-AU"/>
              </w:rPr>
            </w:pPr>
            <w:r>
              <w:rPr>
                <w:rFonts w:eastAsia="Times New Roman" w:cs="Times New Roman"/>
                <w:b/>
                <w:sz w:val="20"/>
                <w:szCs w:val="20"/>
                <w:lang w:eastAsia="en-AU"/>
              </w:rPr>
              <w:t xml:space="preserve">Participants per </w:t>
            </w:r>
            <w:r w:rsidRPr="00786AF9">
              <w:rPr>
                <w:rFonts w:eastAsia="Times New Roman" w:cs="Times New Roman"/>
                <w:b/>
                <w:sz w:val="20"/>
                <w:szCs w:val="20"/>
                <w:lang w:eastAsia="en-AU"/>
              </w:rPr>
              <w:t xml:space="preserve"> </w:t>
            </w:r>
          </w:p>
          <w:p w14:paraId="7EDCAF53" w14:textId="77777777" w:rsidR="00552061" w:rsidRPr="00786AF9" w:rsidRDefault="00552061" w:rsidP="002A20BB">
            <w:pPr>
              <w:spacing w:after="0" w:line="240" w:lineRule="auto"/>
              <w:textAlignment w:val="baseline"/>
              <w:rPr>
                <w:rFonts w:eastAsia="Times New Roman" w:cs="Times New Roman"/>
                <w:b/>
                <w:sz w:val="20"/>
                <w:szCs w:val="20"/>
                <w:lang w:eastAsia="en-AU"/>
              </w:rPr>
            </w:pPr>
            <w:r>
              <w:rPr>
                <w:rFonts w:eastAsia="Times New Roman" w:cs="Times New Roman"/>
                <w:b/>
                <w:sz w:val="20"/>
                <w:szCs w:val="20"/>
                <w:lang w:eastAsia="en-AU"/>
              </w:rPr>
              <w:t xml:space="preserve">professional group </w:t>
            </w:r>
          </w:p>
        </w:tc>
      </w:tr>
      <w:tr w:rsidR="00552061" w:rsidRPr="00DA4263" w14:paraId="1F6622CE" w14:textId="77777777" w:rsidTr="0023438C">
        <w:trPr>
          <w:cantSplit/>
          <w:trHeight w:val="20"/>
        </w:trPr>
        <w:tc>
          <w:tcPr>
            <w:tcW w:w="840" w:type="dxa"/>
            <w:vMerge w:val="restart"/>
            <w:tcBorders>
              <w:top w:val="single" w:sz="6" w:space="0" w:color="auto"/>
            </w:tcBorders>
            <w:shd w:val="clear" w:color="auto" w:fill="auto"/>
          </w:tcPr>
          <w:p w14:paraId="557BB444" w14:textId="77777777" w:rsidR="00552061" w:rsidRPr="0077225B" w:rsidRDefault="00552061" w:rsidP="0023438C">
            <w:pPr>
              <w:spacing w:before="100" w:beforeAutospacing="1" w:after="100" w:afterAutospacing="1" w:line="240" w:lineRule="auto"/>
              <w:contextualSpacing/>
              <w:textAlignment w:val="baseline"/>
              <w:rPr>
                <w:rFonts w:eastAsia="Times New Roman" w:cstheme="minorHAnsi"/>
                <w:b/>
                <w:sz w:val="20"/>
                <w:szCs w:val="20"/>
                <w:lang w:eastAsia="en-AU"/>
              </w:rPr>
            </w:pPr>
            <w:r w:rsidRPr="0077225B">
              <w:rPr>
                <w:rFonts w:eastAsia="Times New Roman" w:cstheme="minorHAnsi"/>
                <w:b/>
                <w:sz w:val="20"/>
                <w:szCs w:val="20"/>
                <w:lang w:eastAsia="en-AU"/>
              </w:rPr>
              <w:t>Online</w:t>
            </w:r>
          </w:p>
        </w:tc>
        <w:tc>
          <w:tcPr>
            <w:tcW w:w="1006" w:type="dxa"/>
            <w:vMerge w:val="restart"/>
            <w:tcBorders>
              <w:top w:val="single" w:sz="6" w:space="0" w:color="auto"/>
            </w:tcBorders>
            <w:shd w:val="clear" w:color="auto" w:fill="auto"/>
          </w:tcPr>
          <w:p w14:paraId="05BF8660"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115 </w:t>
            </w:r>
          </w:p>
        </w:tc>
        <w:tc>
          <w:tcPr>
            <w:tcW w:w="1273" w:type="dxa"/>
            <w:vMerge w:val="restart"/>
            <w:tcBorders>
              <w:top w:val="single" w:sz="6" w:space="0" w:color="auto"/>
            </w:tcBorders>
            <w:shd w:val="clear" w:color="auto" w:fill="auto"/>
          </w:tcPr>
          <w:p w14:paraId="1F92B30B"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86 (75%) </w:t>
            </w:r>
          </w:p>
        </w:tc>
        <w:tc>
          <w:tcPr>
            <w:tcW w:w="1276" w:type="dxa"/>
            <w:vMerge w:val="restart"/>
            <w:tcBorders>
              <w:top w:val="single" w:sz="6" w:space="0" w:color="auto"/>
            </w:tcBorders>
            <w:shd w:val="clear" w:color="auto" w:fill="auto"/>
          </w:tcPr>
          <w:p w14:paraId="59EB803D"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57 (66%) </w:t>
            </w:r>
          </w:p>
        </w:tc>
        <w:tc>
          <w:tcPr>
            <w:tcW w:w="2126" w:type="dxa"/>
            <w:vMerge w:val="restart"/>
            <w:tcBorders>
              <w:top w:val="single" w:sz="6" w:space="0" w:color="auto"/>
            </w:tcBorders>
          </w:tcPr>
          <w:p w14:paraId="3AA39CCC"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Urban: 13 </w:t>
            </w:r>
          </w:p>
          <w:p w14:paraId="31C30285"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Regional: 20 </w:t>
            </w:r>
          </w:p>
          <w:p w14:paraId="21447BF0"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Remote: 24 </w:t>
            </w:r>
          </w:p>
        </w:tc>
        <w:tc>
          <w:tcPr>
            <w:tcW w:w="4111" w:type="dxa"/>
            <w:tcBorders>
              <w:top w:val="single" w:sz="6" w:space="0" w:color="auto"/>
            </w:tcBorders>
            <w:shd w:val="clear" w:color="auto" w:fill="auto"/>
          </w:tcPr>
          <w:p w14:paraId="5B5374F0"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 xml:space="preserve">Nurse: </w:t>
            </w:r>
            <w:r>
              <w:rPr>
                <w:rFonts w:eastAsia="Times New Roman" w:cstheme="minorHAnsi"/>
                <w:sz w:val="20"/>
                <w:szCs w:val="20"/>
                <w:lang w:eastAsia="en-AU"/>
              </w:rPr>
              <w:t>(</w:t>
            </w:r>
            <w:r w:rsidRPr="002E0FBE">
              <w:rPr>
                <w:rFonts w:eastAsia="Times New Roman" w:cstheme="minorHAnsi"/>
                <w:sz w:val="20"/>
                <w:szCs w:val="20"/>
                <w:lang w:eastAsia="en-AU"/>
              </w:rPr>
              <w:t>20</w:t>
            </w:r>
            <w:r>
              <w:rPr>
                <w:rFonts w:eastAsia="Times New Roman" w:cstheme="minorHAnsi"/>
                <w:sz w:val="20"/>
                <w:szCs w:val="20"/>
                <w:lang w:eastAsia="en-AU"/>
              </w:rPr>
              <w:t>)</w:t>
            </w:r>
            <w:r w:rsidRPr="002E0FBE">
              <w:rPr>
                <w:rFonts w:eastAsia="Times New Roman" w:cstheme="minorHAnsi"/>
                <w:sz w:val="20"/>
                <w:szCs w:val="20"/>
                <w:lang w:eastAsia="en-AU"/>
              </w:rPr>
              <w:t> </w:t>
            </w:r>
          </w:p>
          <w:p w14:paraId="2BB9F15B" w14:textId="77777777" w:rsidR="00552061" w:rsidRPr="003C2BD9" w:rsidRDefault="00552061" w:rsidP="0023438C">
            <w:pPr>
              <w:spacing w:after="0" w:line="240" w:lineRule="auto"/>
              <w:ind w:left="2"/>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Nurse Support/Community Care</w:t>
            </w:r>
            <w:r>
              <w:rPr>
                <w:rFonts w:eastAsia="Times New Roman" w:cstheme="minorHAnsi"/>
                <w:sz w:val="20"/>
                <w:szCs w:val="20"/>
                <w:lang w:eastAsia="en-AU"/>
              </w:rPr>
              <w:t xml:space="preserve"> (</w:t>
            </w:r>
            <w:r w:rsidRPr="002E0FBE">
              <w:rPr>
                <w:rFonts w:eastAsia="Times New Roman" w:cstheme="minorHAnsi"/>
                <w:sz w:val="20"/>
                <w:szCs w:val="20"/>
                <w:lang w:eastAsia="en-AU"/>
              </w:rPr>
              <w:t>4</w:t>
            </w:r>
            <w:r>
              <w:rPr>
                <w:rFonts w:eastAsia="Times New Roman" w:cstheme="minorHAnsi"/>
                <w:sz w:val="20"/>
                <w:szCs w:val="20"/>
                <w:lang w:eastAsia="en-AU"/>
              </w:rPr>
              <w:t>)</w:t>
            </w:r>
            <w:r w:rsidRPr="002E0FBE">
              <w:rPr>
                <w:rFonts w:eastAsia="Times New Roman" w:cstheme="minorHAnsi"/>
                <w:sz w:val="20"/>
                <w:szCs w:val="20"/>
                <w:lang w:eastAsia="en-AU"/>
              </w:rPr>
              <w:t> </w:t>
            </w:r>
          </w:p>
        </w:tc>
        <w:tc>
          <w:tcPr>
            <w:tcW w:w="2835" w:type="dxa"/>
            <w:tcBorders>
              <w:top w:val="single" w:sz="6" w:space="0" w:color="auto"/>
            </w:tcBorders>
            <w:shd w:val="clear" w:color="auto" w:fill="auto"/>
          </w:tcPr>
          <w:p w14:paraId="4C7AD5BA" w14:textId="1EEDC83C" w:rsidR="00552061" w:rsidRPr="003C2BD9"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Nurse</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24 </w:t>
            </w:r>
          </w:p>
        </w:tc>
      </w:tr>
      <w:tr w:rsidR="00552061" w:rsidRPr="00DA4263" w14:paraId="0F7D7310" w14:textId="77777777" w:rsidTr="0023438C">
        <w:trPr>
          <w:cantSplit/>
          <w:trHeight w:val="20"/>
        </w:trPr>
        <w:tc>
          <w:tcPr>
            <w:tcW w:w="840" w:type="dxa"/>
            <w:vMerge/>
            <w:shd w:val="clear" w:color="auto" w:fill="auto"/>
            <w:hideMark/>
          </w:tcPr>
          <w:p w14:paraId="2C51F155"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b/>
                <w:i/>
                <w:iCs/>
                <w:sz w:val="20"/>
                <w:szCs w:val="20"/>
                <w:lang w:eastAsia="en-AU"/>
              </w:rPr>
            </w:pPr>
          </w:p>
        </w:tc>
        <w:tc>
          <w:tcPr>
            <w:tcW w:w="1006" w:type="dxa"/>
            <w:vMerge/>
            <w:shd w:val="clear" w:color="auto" w:fill="auto"/>
            <w:hideMark/>
          </w:tcPr>
          <w:p w14:paraId="5EA42211"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p>
        </w:tc>
        <w:tc>
          <w:tcPr>
            <w:tcW w:w="1273" w:type="dxa"/>
            <w:vMerge/>
            <w:shd w:val="clear" w:color="auto" w:fill="auto"/>
            <w:hideMark/>
          </w:tcPr>
          <w:p w14:paraId="59BBDE5C"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p>
        </w:tc>
        <w:tc>
          <w:tcPr>
            <w:tcW w:w="1276" w:type="dxa"/>
            <w:vMerge/>
            <w:shd w:val="clear" w:color="auto" w:fill="auto"/>
            <w:hideMark/>
          </w:tcPr>
          <w:p w14:paraId="174E56C0" w14:textId="77777777" w:rsidR="00552061" w:rsidRPr="003C2BD9"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p>
        </w:tc>
        <w:tc>
          <w:tcPr>
            <w:tcW w:w="2126" w:type="dxa"/>
            <w:vMerge/>
          </w:tcPr>
          <w:p w14:paraId="3362C9BC" w14:textId="77777777" w:rsidR="00552061" w:rsidRPr="003C2BD9" w:rsidRDefault="00552061" w:rsidP="0023438C">
            <w:pPr>
              <w:spacing w:after="0" w:line="240" w:lineRule="auto"/>
              <w:ind w:left="2"/>
              <w:contextualSpacing/>
              <w:textAlignment w:val="baseline"/>
              <w:rPr>
                <w:rFonts w:eastAsia="Times New Roman" w:cstheme="minorHAnsi"/>
                <w:sz w:val="20"/>
                <w:szCs w:val="20"/>
                <w:lang w:eastAsia="en-AU"/>
              </w:rPr>
            </w:pPr>
          </w:p>
        </w:tc>
        <w:tc>
          <w:tcPr>
            <w:tcW w:w="4111" w:type="dxa"/>
            <w:shd w:val="clear" w:color="auto" w:fill="auto"/>
          </w:tcPr>
          <w:p w14:paraId="6FE1FDCC" w14:textId="77777777" w:rsidR="00552061" w:rsidRDefault="00552061" w:rsidP="0023438C">
            <w:pPr>
              <w:spacing w:after="0" w:line="240" w:lineRule="auto"/>
              <w:ind w:left="2"/>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Indigenous Health Worker</w:t>
            </w:r>
            <w:r>
              <w:rPr>
                <w:rFonts w:eastAsia="Times New Roman" w:cstheme="minorHAnsi"/>
                <w:sz w:val="20"/>
                <w:szCs w:val="20"/>
                <w:lang w:eastAsia="en-AU"/>
              </w:rPr>
              <w:t xml:space="preserve"> (</w:t>
            </w:r>
            <w:r w:rsidRPr="003C2BD9">
              <w:rPr>
                <w:rFonts w:eastAsia="Times New Roman" w:cstheme="minorHAnsi"/>
                <w:sz w:val="20"/>
                <w:szCs w:val="20"/>
                <w:lang w:eastAsia="en-AU"/>
              </w:rPr>
              <w:t>11</w:t>
            </w:r>
            <w:r>
              <w:rPr>
                <w:rFonts w:eastAsia="Times New Roman" w:cstheme="minorHAnsi"/>
                <w:sz w:val="20"/>
                <w:szCs w:val="20"/>
                <w:lang w:eastAsia="en-AU"/>
              </w:rPr>
              <w:t>)</w:t>
            </w:r>
            <w:r w:rsidRPr="003C2BD9">
              <w:rPr>
                <w:rFonts w:eastAsia="Times New Roman" w:cstheme="minorHAnsi"/>
                <w:sz w:val="20"/>
                <w:szCs w:val="20"/>
                <w:lang w:eastAsia="en-AU"/>
              </w:rPr>
              <w:t> </w:t>
            </w:r>
          </w:p>
          <w:p w14:paraId="4BD26668" w14:textId="77777777" w:rsidR="00552061" w:rsidRDefault="00552061" w:rsidP="0023438C">
            <w:pPr>
              <w:spacing w:after="0" w:line="240" w:lineRule="auto"/>
              <w:ind w:left="2"/>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Indigenous Health Practitioner</w:t>
            </w:r>
            <w:r>
              <w:rPr>
                <w:rFonts w:eastAsia="Times New Roman" w:cstheme="minorHAnsi"/>
                <w:sz w:val="20"/>
                <w:szCs w:val="20"/>
                <w:lang w:eastAsia="en-AU"/>
              </w:rPr>
              <w:t xml:space="preserve"> (0)</w:t>
            </w:r>
          </w:p>
          <w:p w14:paraId="61AF81D1" w14:textId="77777777" w:rsidR="00552061" w:rsidRPr="003C2BD9" w:rsidRDefault="00552061" w:rsidP="0023438C">
            <w:pPr>
              <w:spacing w:after="0" w:line="240" w:lineRule="auto"/>
              <w:ind w:left="2"/>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Indigenous Liaison Officer</w:t>
            </w:r>
            <w:r>
              <w:rPr>
                <w:rFonts w:eastAsia="Times New Roman" w:cstheme="minorHAnsi"/>
                <w:sz w:val="20"/>
                <w:szCs w:val="20"/>
                <w:lang w:eastAsia="en-AU"/>
              </w:rPr>
              <w:t xml:space="preserve"> (0)</w:t>
            </w:r>
          </w:p>
        </w:tc>
        <w:tc>
          <w:tcPr>
            <w:tcW w:w="2835" w:type="dxa"/>
            <w:shd w:val="clear" w:color="auto" w:fill="auto"/>
            <w:hideMark/>
          </w:tcPr>
          <w:p w14:paraId="0C64BB98" w14:textId="3EEE6077" w:rsidR="00552061" w:rsidRPr="003C2BD9" w:rsidRDefault="00552061" w:rsidP="0023438C">
            <w:pPr>
              <w:spacing w:after="0" w:line="240" w:lineRule="auto"/>
              <w:contextualSpacing/>
              <w:textAlignment w:val="baseline"/>
              <w:rPr>
                <w:rFonts w:eastAsia="Times New Roman" w:cstheme="minorHAnsi"/>
                <w:sz w:val="20"/>
                <w:szCs w:val="20"/>
                <w:lang w:eastAsia="en-AU"/>
              </w:rPr>
            </w:pPr>
            <w:r w:rsidRPr="003C2BD9">
              <w:rPr>
                <w:rFonts w:eastAsia="Times New Roman" w:cstheme="minorHAnsi"/>
                <w:sz w:val="20"/>
                <w:szCs w:val="20"/>
                <w:lang w:eastAsia="en-AU"/>
              </w:rPr>
              <w:t>Indigenous Health</w:t>
            </w:r>
            <w:r w:rsidR="00AF53F7">
              <w:rPr>
                <w:rFonts w:eastAsia="Times New Roman" w:cstheme="minorHAnsi"/>
                <w:sz w:val="20"/>
                <w:szCs w:val="20"/>
                <w:lang w:eastAsia="en-AU"/>
              </w:rPr>
              <w:t xml:space="preserve"> Worker </w:t>
            </w:r>
            <w:r>
              <w:rPr>
                <w:rFonts w:eastAsia="Times New Roman" w:cstheme="minorHAnsi"/>
                <w:sz w:val="20"/>
                <w:szCs w:val="20"/>
                <w:lang w:eastAsia="en-AU"/>
              </w:rPr>
              <w:t>n=</w:t>
            </w:r>
            <w:r w:rsidRPr="003C2BD9">
              <w:rPr>
                <w:rFonts w:eastAsia="Times New Roman" w:cstheme="minorHAnsi"/>
                <w:sz w:val="20"/>
                <w:szCs w:val="20"/>
                <w:lang w:eastAsia="en-AU"/>
              </w:rPr>
              <w:t>11 </w:t>
            </w:r>
          </w:p>
        </w:tc>
      </w:tr>
      <w:tr w:rsidR="00552061" w:rsidRPr="00DA4263" w14:paraId="299857E3" w14:textId="77777777" w:rsidTr="0023438C">
        <w:trPr>
          <w:cantSplit/>
          <w:trHeight w:val="20"/>
        </w:trPr>
        <w:tc>
          <w:tcPr>
            <w:tcW w:w="840" w:type="dxa"/>
            <w:vMerge/>
            <w:shd w:val="clear" w:color="auto" w:fill="C5E0B3" w:themeFill="accent6" w:themeFillTint="66"/>
            <w:hideMark/>
          </w:tcPr>
          <w:p w14:paraId="5AB3F32B"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C5E0B3" w:themeFill="accent6" w:themeFillTint="66"/>
            <w:hideMark/>
          </w:tcPr>
          <w:p w14:paraId="4484A7F7"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C5E0B3" w:themeFill="accent6" w:themeFillTint="66"/>
            <w:hideMark/>
          </w:tcPr>
          <w:p w14:paraId="302C856C"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C5E0B3" w:themeFill="accent6" w:themeFillTint="66"/>
            <w:hideMark/>
          </w:tcPr>
          <w:p w14:paraId="37076025"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3100321A" w14:textId="77777777" w:rsidR="00552061"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4111" w:type="dxa"/>
            <w:shd w:val="clear" w:color="auto" w:fill="auto"/>
          </w:tcPr>
          <w:p w14:paraId="6F8ECDEF"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Pr>
                <w:rFonts w:eastAsia="Times New Roman" w:cstheme="minorHAnsi"/>
                <w:sz w:val="20"/>
                <w:szCs w:val="20"/>
                <w:lang w:eastAsia="en-AU"/>
              </w:rPr>
              <w:t xml:space="preserve">General </w:t>
            </w:r>
            <w:r w:rsidRPr="002E0FBE">
              <w:rPr>
                <w:rFonts w:eastAsia="Times New Roman" w:cstheme="minorHAnsi"/>
                <w:sz w:val="20"/>
                <w:szCs w:val="20"/>
                <w:lang w:eastAsia="en-AU"/>
              </w:rPr>
              <w:t>Practitioner</w:t>
            </w:r>
            <w:r>
              <w:rPr>
                <w:rFonts w:eastAsia="Times New Roman" w:cstheme="minorHAnsi"/>
                <w:sz w:val="20"/>
                <w:szCs w:val="20"/>
                <w:lang w:eastAsia="en-AU"/>
              </w:rPr>
              <w:t xml:space="preserve"> (</w:t>
            </w:r>
            <w:r w:rsidRPr="002E0FBE">
              <w:rPr>
                <w:rFonts w:eastAsia="Times New Roman" w:cstheme="minorHAnsi"/>
                <w:sz w:val="20"/>
                <w:szCs w:val="20"/>
                <w:lang w:eastAsia="en-AU"/>
              </w:rPr>
              <w:t>10</w:t>
            </w:r>
            <w:r>
              <w:rPr>
                <w:rFonts w:eastAsia="Times New Roman" w:cstheme="minorHAnsi"/>
                <w:sz w:val="20"/>
                <w:szCs w:val="20"/>
                <w:lang w:eastAsia="en-AU"/>
              </w:rPr>
              <w:t>)</w:t>
            </w:r>
            <w:r w:rsidRPr="002E0FBE">
              <w:rPr>
                <w:rFonts w:eastAsia="Times New Roman" w:cstheme="minorHAnsi"/>
                <w:sz w:val="20"/>
                <w:szCs w:val="20"/>
                <w:lang w:eastAsia="en-AU"/>
              </w:rPr>
              <w:t> </w:t>
            </w:r>
          </w:p>
        </w:tc>
        <w:tc>
          <w:tcPr>
            <w:tcW w:w="2835" w:type="dxa"/>
            <w:shd w:val="clear" w:color="auto" w:fill="auto"/>
            <w:hideMark/>
          </w:tcPr>
          <w:p w14:paraId="2F56A22D" w14:textId="6AD55AB6"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GP</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10 </w:t>
            </w:r>
          </w:p>
        </w:tc>
      </w:tr>
      <w:tr w:rsidR="00552061" w:rsidRPr="00DA4263" w14:paraId="78BB6785" w14:textId="77777777" w:rsidTr="0023438C">
        <w:trPr>
          <w:cantSplit/>
          <w:trHeight w:val="20"/>
        </w:trPr>
        <w:tc>
          <w:tcPr>
            <w:tcW w:w="840" w:type="dxa"/>
            <w:vMerge/>
            <w:shd w:val="clear" w:color="auto" w:fill="C5E0B3" w:themeFill="accent6" w:themeFillTint="66"/>
            <w:hideMark/>
          </w:tcPr>
          <w:p w14:paraId="54707A80"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C5E0B3" w:themeFill="accent6" w:themeFillTint="66"/>
            <w:hideMark/>
          </w:tcPr>
          <w:p w14:paraId="7A1874EF"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C5E0B3" w:themeFill="accent6" w:themeFillTint="66"/>
            <w:hideMark/>
          </w:tcPr>
          <w:p w14:paraId="174AFF5F"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C5E0B3" w:themeFill="accent6" w:themeFillTint="66"/>
            <w:hideMark/>
          </w:tcPr>
          <w:p w14:paraId="33338D72"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5BC60F27"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4111" w:type="dxa"/>
            <w:shd w:val="clear" w:color="auto" w:fill="auto"/>
          </w:tcPr>
          <w:p w14:paraId="5840229C" w14:textId="77777777" w:rsidR="00552061"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Health Promotion/Project Officer</w:t>
            </w:r>
            <w:r>
              <w:rPr>
                <w:rFonts w:eastAsia="Times New Roman" w:cstheme="minorHAnsi"/>
                <w:sz w:val="20"/>
                <w:szCs w:val="20"/>
                <w:lang w:eastAsia="en-AU"/>
              </w:rPr>
              <w:t xml:space="preserve"> (</w:t>
            </w:r>
            <w:r w:rsidRPr="002E0FBE">
              <w:rPr>
                <w:rFonts w:eastAsia="Times New Roman" w:cstheme="minorHAnsi"/>
                <w:sz w:val="20"/>
                <w:szCs w:val="20"/>
                <w:lang w:eastAsia="en-AU"/>
              </w:rPr>
              <w:t>2</w:t>
            </w:r>
            <w:r>
              <w:rPr>
                <w:rFonts w:eastAsia="Times New Roman" w:cstheme="minorHAnsi"/>
                <w:sz w:val="20"/>
                <w:szCs w:val="20"/>
                <w:lang w:eastAsia="en-AU"/>
              </w:rPr>
              <w:t>)</w:t>
            </w:r>
            <w:r w:rsidRPr="002E0FBE">
              <w:rPr>
                <w:rFonts w:eastAsia="Times New Roman" w:cstheme="minorHAnsi"/>
                <w:sz w:val="20"/>
                <w:szCs w:val="20"/>
                <w:lang w:eastAsia="en-AU"/>
              </w:rPr>
              <w:t> </w:t>
            </w:r>
          </w:p>
          <w:p w14:paraId="2F7C938A"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2835" w:type="dxa"/>
            <w:shd w:val="clear" w:color="auto" w:fill="auto"/>
            <w:hideMark/>
          </w:tcPr>
          <w:p w14:paraId="5B737E26" w14:textId="094CC48E"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Health &amp; Education</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2 </w:t>
            </w:r>
          </w:p>
        </w:tc>
      </w:tr>
      <w:tr w:rsidR="00552061" w:rsidRPr="00DA4263" w14:paraId="0648C03D" w14:textId="77777777" w:rsidTr="0023438C">
        <w:trPr>
          <w:cantSplit/>
          <w:trHeight w:val="20"/>
        </w:trPr>
        <w:tc>
          <w:tcPr>
            <w:tcW w:w="840" w:type="dxa"/>
            <w:vMerge/>
            <w:shd w:val="clear" w:color="auto" w:fill="C5E0B3" w:themeFill="accent6" w:themeFillTint="66"/>
            <w:hideMark/>
          </w:tcPr>
          <w:p w14:paraId="487F52DA"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C5E0B3" w:themeFill="accent6" w:themeFillTint="66"/>
            <w:hideMark/>
          </w:tcPr>
          <w:p w14:paraId="579A40A6"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C5E0B3" w:themeFill="accent6" w:themeFillTint="66"/>
            <w:hideMark/>
          </w:tcPr>
          <w:p w14:paraId="53AEF6C5"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C5E0B3" w:themeFill="accent6" w:themeFillTint="66"/>
            <w:hideMark/>
          </w:tcPr>
          <w:p w14:paraId="7A3DD4EE"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311EA7D9"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4111" w:type="dxa"/>
            <w:shd w:val="clear" w:color="auto" w:fill="auto"/>
          </w:tcPr>
          <w:p w14:paraId="0019ED34"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 xml:space="preserve">Health Service Manager </w:t>
            </w:r>
            <w:r>
              <w:rPr>
                <w:rFonts w:eastAsia="Times New Roman" w:cstheme="minorHAnsi"/>
                <w:sz w:val="20"/>
                <w:szCs w:val="20"/>
                <w:lang w:eastAsia="en-AU"/>
              </w:rPr>
              <w:t>(</w:t>
            </w:r>
            <w:r w:rsidRPr="002E0FBE">
              <w:rPr>
                <w:rFonts w:eastAsia="Times New Roman" w:cstheme="minorHAnsi"/>
                <w:sz w:val="20"/>
                <w:szCs w:val="20"/>
                <w:lang w:eastAsia="en-AU"/>
              </w:rPr>
              <w:t>3</w:t>
            </w:r>
            <w:r>
              <w:rPr>
                <w:rFonts w:eastAsia="Times New Roman" w:cstheme="minorHAnsi"/>
                <w:sz w:val="20"/>
                <w:szCs w:val="20"/>
                <w:lang w:eastAsia="en-AU"/>
              </w:rPr>
              <w:t>)</w:t>
            </w:r>
            <w:r w:rsidRPr="002E0FBE">
              <w:rPr>
                <w:rFonts w:eastAsia="Times New Roman" w:cstheme="minorHAnsi"/>
                <w:sz w:val="20"/>
                <w:szCs w:val="20"/>
                <w:lang w:eastAsia="en-AU"/>
              </w:rPr>
              <w:t> </w:t>
            </w:r>
          </w:p>
          <w:p w14:paraId="7DAD8E4C"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Administration/Coordinator</w:t>
            </w:r>
            <w:r>
              <w:rPr>
                <w:rFonts w:eastAsia="Times New Roman" w:cstheme="minorHAnsi"/>
                <w:sz w:val="20"/>
                <w:szCs w:val="20"/>
                <w:lang w:eastAsia="en-AU"/>
              </w:rPr>
              <w:t xml:space="preserve"> (</w:t>
            </w:r>
            <w:r w:rsidRPr="002E0FBE">
              <w:rPr>
                <w:rFonts w:eastAsia="Times New Roman" w:cstheme="minorHAnsi"/>
                <w:sz w:val="20"/>
                <w:szCs w:val="20"/>
                <w:lang w:eastAsia="en-AU"/>
              </w:rPr>
              <w:t>2</w:t>
            </w:r>
            <w:r>
              <w:rPr>
                <w:rFonts w:eastAsia="Times New Roman" w:cstheme="minorHAnsi"/>
                <w:sz w:val="20"/>
                <w:szCs w:val="20"/>
                <w:lang w:eastAsia="en-AU"/>
              </w:rPr>
              <w:t>)</w:t>
            </w:r>
            <w:r w:rsidRPr="002E0FBE">
              <w:rPr>
                <w:rFonts w:eastAsia="Times New Roman" w:cstheme="minorHAnsi"/>
                <w:sz w:val="20"/>
                <w:szCs w:val="20"/>
                <w:lang w:eastAsia="en-AU"/>
              </w:rPr>
              <w:t> </w:t>
            </w:r>
          </w:p>
        </w:tc>
        <w:tc>
          <w:tcPr>
            <w:tcW w:w="2835" w:type="dxa"/>
            <w:shd w:val="clear" w:color="auto" w:fill="auto"/>
            <w:hideMark/>
          </w:tcPr>
          <w:p w14:paraId="51BACC9F" w14:textId="37053199"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Management &amp; Admin</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5 </w:t>
            </w:r>
          </w:p>
        </w:tc>
      </w:tr>
      <w:tr w:rsidR="00552061" w:rsidRPr="00DA4263" w14:paraId="2D38B33C" w14:textId="77777777" w:rsidTr="0023438C">
        <w:trPr>
          <w:cantSplit/>
          <w:trHeight w:val="20"/>
        </w:trPr>
        <w:tc>
          <w:tcPr>
            <w:tcW w:w="840" w:type="dxa"/>
            <w:vMerge/>
            <w:shd w:val="clear" w:color="auto" w:fill="C5E0B3" w:themeFill="accent6" w:themeFillTint="66"/>
            <w:hideMark/>
          </w:tcPr>
          <w:p w14:paraId="30039AC9"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C5E0B3" w:themeFill="accent6" w:themeFillTint="66"/>
            <w:hideMark/>
          </w:tcPr>
          <w:p w14:paraId="1555D475"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C5E0B3" w:themeFill="accent6" w:themeFillTint="66"/>
            <w:hideMark/>
          </w:tcPr>
          <w:p w14:paraId="18C45244"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C5E0B3" w:themeFill="accent6" w:themeFillTint="66"/>
            <w:hideMark/>
          </w:tcPr>
          <w:p w14:paraId="3E94B24D"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69890545"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4111" w:type="dxa"/>
            <w:shd w:val="clear" w:color="auto" w:fill="auto"/>
          </w:tcPr>
          <w:p w14:paraId="489C04FA" w14:textId="77777777" w:rsidR="00552061"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Social &amp; Emotional Well-being Officer</w:t>
            </w:r>
            <w:r>
              <w:rPr>
                <w:rFonts w:eastAsia="Times New Roman" w:cstheme="minorHAnsi"/>
                <w:sz w:val="20"/>
                <w:szCs w:val="20"/>
                <w:lang w:eastAsia="en-AU"/>
              </w:rPr>
              <w:t xml:space="preserve"> (0)</w:t>
            </w:r>
          </w:p>
          <w:p w14:paraId="2477CDA7"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Other</w:t>
            </w:r>
            <w:r>
              <w:rPr>
                <w:rFonts w:eastAsia="Times New Roman" w:cstheme="minorHAnsi"/>
                <w:sz w:val="20"/>
                <w:szCs w:val="20"/>
                <w:lang w:eastAsia="en-AU"/>
              </w:rPr>
              <w:t xml:space="preserve"> (5)</w:t>
            </w:r>
            <w:r w:rsidRPr="002E0FBE">
              <w:rPr>
                <w:rFonts w:eastAsia="Times New Roman" w:cstheme="minorHAnsi"/>
                <w:sz w:val="20"/>
                <w:szCs w:val="20"/>
                <w:lang w:eastAsia="en-AU"/>
              </w:rPr>
              <w:t> </w:t>
            </w:r>
          </w:p>
        </w:tc>
        <w:tc>
          <w:tcPr>
            <w:tcW w:w="2835" w:type="dxa"/>
            <w:shd w:val="clear" w:color="auto" w:fill="auto"/>
            <w:hideMark/>
          </w:tcPr>
          <w:p w14:paraId="1C275D73" w14:textId="5D4E6BC2" w:rsidR="00552061" w:rsidRPr="002E0FBE" w:rsidRDefault="00552061" w:rsidP="0023438C">
            <w:pPr>
              <w:spacing w:after="0" w:line="240" w:lineRule="auto"/>
              <w:contextualSpacing/>
              <w:textAlignment w:val="baseline"/>
              <w:rPr>
                <w:rFonts w:eastAsia="Times New Roman" w:cstheme="minorHAnsi"/>
                <w:sz w:val="20"/>
                <w:szCs w:val="20"/>
                <w:lang w:eastAsia="en-AU"/>
              </w:rPr>
            </w:pPr>
            <w:r>
              <w:rPr>
                <w:rFonts w:eastAsia="Times New Roman" w:cstheme="minorHAnsi"/>
                <w:sz w:val="20"/>
                <w:szCs w:val="20"/>
                <w:lang w:eastAsia="en-AU"/>
              </w:rPr>
              <w:t>Other</w:t>
            </w:r>
            <w:r w:rsidR="00AF53F7">
              <w:rPr>
                <w:rFonts w:eastAsia="Times New Roman" w:cstheme="minorHAnsi"/>
                <w:sz w:val="20"/>
                <w:szCs w:val="20"/>
                <w:lang w:eastAsia="en-AU"/>
              </w:rPr>
              <w:t xml:space="preserve"> </w:t>
            </w:r>
            <w:r>
              <w:rPr>
                <w:rFonts w:eastAsia="Times New Roman" w:cstheme="minorHAnsi"/>
                <w:sz w:val="20"/>
                <w:szCs w:val="20"/>
                <w:lang w:eastAsia="en-AU"/>
              </w:rPr>
              <w:t>n=5</w:t>
            </w:r>
            <w:r w:rsidRPr="002E0FBE">
              <w:rPr>
                <w:rFonts w:eastAsia="Times New Roman" w:cstheme="minorHAnsi"/>
                <w:sz w:val="20"/>
                <w:szCs w:val="20"/>
                <w:lang w:eastAsia="en-AU"/>
              </w:rPr>
              <w:t> </w:t>
            </w:r>
          </w:p>
        </w:tc>
      </w:tr>
      <w:tr w:rsidR="00552061" w:rsidRPr="00DA4263" w14:paraId="0154EDA0" w14:textId="77777777" w:rsidTr="0023438C">
        <w:trPr>
          <w:cantSplit/>
          <w:trHeight w:val="20"/>
        </w:trPr>
        <w:tc>
          <w:tcPr>
            <w:tcW w:w="840" w:type="dxa"/>
            <w:vMerge w:val="restart"/>
            <w:shd w:val="clear" w:color="auto" w:fill="auto"/>
          </w:tcPr>
          <w:p w14:paraId="7340CFF2" w14:textId="50A957A1" w:rsidR="00552061" w:rsidRPr="0077225B" w:rsidRDefault="00552061" w:rsidP="0023438C">
            <w:pPr>
              <w:spacing w:before="100" w:beforeAutospacing="1" w:after="100" w:afterAutospacing="1" w:line="240" w:lineRule="auto"/>
              <w:contextualSpacing/>
              <w:textAlignment w:val="baseline"/>
              <w:rPr>
                <w:rFonts w:eastAsia="Times New Roman" w:cstheme="minorHAnsi"/>
                <w:b/>
                <w:sz w:val="20"/>
                <w:szCs w:val="20"/>
                <w:lang w:eastAsia="en-AU"/>
              </w:rPr>
            </w:pPr>
            <w:r w:rsidRPr="0077225B">
              <w:rPr>
                <w:rFonts w:eastAsia="Times New Roman" w:cstheme="minorHAnsi"/>
                <w:b/>
                <w:sz w:val="20"/>
                <w:szCs w:val="20"/>
                <w:lang w:eastAsia="en-AU"/>
              </w:rPr>
              <w:t>Face</w:t>
            </w:r>
            <w:r w:rsidR="00695F40">
              <w:rPr>
                <w:rFonts w:eastAsia="Times New Roman" w:cstheme="minorHAnsi"/>
                <w:b/>
                <w:sz w:val="20"/>
                <w:szCs w:val="20"/>
                <w:lang w:eastAsia="en-AU"/>
              </w:rPr>
              <w:t>-</w:t>
            </w:r>
            <w:r w:rsidRPr="0077225B">
              <w:rPr>
                <w:rFonts w:eastAsia="Times New Roman" w:cstheme="minorHAnsi"/>
                <w:b/>
                <w:sz w:val="20"/>
                <w:szCs w:val="20"/>
                <w:lang w:eastAsia="en-AU"/>
              </w:rPr>
              <w:t>to</w:t>
            </w:r>
            <w:r w:rsidR="00695F40">
              <w:rPr>
                <w:rFonts w:eastAsia="Times New Roman" w:cstheme="minorHAnsi"/>
                <w:b/>
                <w:sz w:val="20"/>
                <w:szCs w:val="20"/>
                <w:lang w:eastAsia="en-AU"/>
              </w:rPr>
              <w:t>-</w:t>
            </w:r>
            <w:r w:rsidRPr="0077225B">
              <w:rPr>
                <w:rFonts w:eastAsia="Times New Roman" w:cstheme="minorHAnsi"/>
                <w:b/>
                <w:sz w:val="20"/>
                <w:szCs w:val="20"/>
                <w:lang w:eastAsia="en-AU"/>
              </w:rPr>
              <w:t xml:space="preserve"> </w:t>
            </w:r>
            <w:r w:rsidR="00695F40">
              <w:rPr>
                <w:rFonts w:eastAsia="Times New Roman" w:cstheme="minorHAnsi"/>
                <w:b/>
                <w:sz w:val="20"/>
                <w:szCs w:val="20"/>
                <w:lang w:eastAsia="en-AU"/>
              </w:rPr>
              <w:t>f</w:t>
            </w:r>
            <w:r w:rsidRPr="0077225B">
              <w:rPr>
                <w:rFonts w:eastAsia="Times New Roman" w:cstheme="minorHAnsi"/>
                <w:b/>
                <w:sz w:val="20"/>
                <w:szCs w:val="20"/>
                <w:lang w:eastAsia="en-AU"/>
              </w:rPr>
              <w:t>ace  </w:t>
            </w:r>
          </w:p>
        </w:tc>
        <w:tc>
          <w:tcPr>
            <w:tcW w:w="1006" w:type="dxa"/>
            <w:vMerge w:val="restart"/>
            <w:shd w:val="clear" w:color="auto" w:fill="auto"/>
          </w:tcPr>
          <w:p w14:paraId="18767E3D"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201 </w:t>
            </w:r>
          </w:p>
          <w:p w14:paraId="14D59F70" w14:textId="77777777" w:rsidR="00552061" w:rsidRPr="002E0FBE" w:rsidRDefault="00552061" w:rsidP="0023438C">
            <w:pPr>
              <w:spacing w:after="0" w:line="240" w:lineRule="auto"/>
              <w:contextualSpacing/>
              <w:rPr>
                <w:rFonts w:eastAsia="Times New Roman" w:cstheme="minorHAnsi"/>
                <w:sz w:val="20"/>
                <w:szCs w:val="20"/>
                <w:lang w:eastAsia="en-AU"/>
              </w:rPr>
            </w:pPr>
            <w:r w:rsidRPr="002E0FBE">
              <w:rPr>
                <w:rFonts w:eastAsia="Times New Roman" w:cstheme="minorHAnsi"/>
                <w:b/>
                <w:sz w:val="20"/>
                <w:szCs w:val="20"/>
                <w:lang w:eastAsia="en-AU"/>
              </w:rPr>
              <w:t> </w:t>
            </w:r>
          </w:p>
        </w:tc>
        <w:tc>
          <w:tcPr>
            <w:tcW w:w="1273" w:type="dxa"/>
            <w:vMerge w:val="restart"/>
            <w:shd w:val="clear" w:color="auto" w:fill="auto"/>
          </w:tcPr>
          <w:p w14:paraId="625244C8"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154 (77%)  </w:t>
            </w:r>
          </w:p>
        </w:tc>
        <w:tc>
          <w:tcPr>
            <w:tcW w:w="1276" w:type="dxa"/>
            <w:vMerge w:val="restart"/>
            <w:shd w:val="clear" w:color="auto" w:fill="auto"/>
          </w:tcPr>
          <w:p w14:paraId="0925963C"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139 (90%) </w:t>
            </w:r>
          </w:p>
        </w:tc>
        <w:tc>
          <w:tcPr>
            <w:tcW w:w="2126" w:type="dxa"/>
            <w:vMerge w:val="restart"/>
          </w:tcPr>
          <w:p w14:paraId="02012CA7"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Urban: 50 </w:t>
            </w:r>
          </w:p>
          <w:p w14:paraId="021AC6A2"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Regional: 62 </w:t>
            </w:r>
          </w:p>
          <w:p w14:paraId="5842DEAA"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Remote: 27 </w:t>
            </w:r>
          </w:p>
        </w:tc>
        <w:tc>
          <w:tcPr>
            <w:tcW w:w="4111" w:type="dxa"/>
            <w:shd w:val="clear" w:color="auto" w:fill="auto"/>
          </w:tcPr>
          <w:p w14:paraId="1864F7DF"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Nurse</w:t>
            </w:r>
            <w:r>
              <w:rPr>
                <w:rFonts w:eastAsia="Times New Roman" w:cstheme="minorHAnsi"/>
                <w:sz w:val="20"/>
                <w:szCs w:val="20"/>
                <w:lang w:eastAsia="en-AU"/>
              </w:rPr>
              <w:t xml:space="preserve"> (</w:t>
            </w:r>
            <w:r w:rsidRPr="002E0FBE">
              <w:rPr>
                <w:rFonts w:eastAsia="Times New Roman" w:cstheme="minorHAnsi"/>
                <w:sz w:val="20"/>
                <w:szCs w:val="20"/>
                <w:lang w:eastAsia="en-AU"/>
              </w:rPr>
              <w:t>38</w:t>
            </w:r>
            <w:r>
              <w:rPr>
                <w:rFonts w:eastAsia="Times New Roman" w:cstheme="minorHAnsi"/>
                <w:sz w:val="20"/>
                <w:szCs w:val="20"/>
                <w:lang w:eastAsia="en-AU"/>
              </w:rPr>
              <w:t>)</w:t>
            </w:r>
            <w:r w:rsidRPr="002E0FBE">
              <w:rPr>
                <w:rFonts w:eastAsia="Times New Roman" w:cstheme="minorHAnsi"/>
                <w:sz w:val="20"/>
                <w:szCs w:val="20"/>
                <w:lang w:eastAsia="en-AU"/>
              </w:rPr>
              <w:t> </w:t>
            </w:r>
          </w:p>
          <w:p w14:paraId="7485E938"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Nurse Support/Community Care</w:t>
            </w:r>
            <w:r>
              <w:rPr>
                <w:rFonts w:eastAsia="Times New Roman" w:cstheme="minorHAnsi"/>
                <w:sz w:val="20"/>
                <w:szCs w:val="20"/>
                <w:lang w:eastAsia="en-AU"/>
              </w:rPr>
              <w:t xml:space="preserve"> (</w:t>
            </w:r>
            <w:r w:rsidRPr="002E0FBE">
              <w:rPr>
                <w:rFonts w:eastAsia="Times New Roman" w:cstheme="minorHAnsi"/>
                <w:sz w:val="20"/>
                <w:szCs w:val="20"/>
                <w:lang w:eastAsia="en-AU"/>
              </w:rPr>
              <w:t>1</w:t>
            </w:r>
            <w:r>
              <w:rPr>
                <w:rFonts w:eastAsia="Times New Roman" w:cstheme="minorHAnsi"/>
                <w:sz w:val="20"/>
                <w:szCs w:val="20"/>
                <w:lang w:eastAsia="en-AU"/>
              </w:rPr>
              <w:t>)</w:t>
            </w:r>
            <w:r w:rsidRPr="002E0FBE">
              <w:rPr>
                <w:rFonts w:eastAsia="Times New Roman" w:cstheme="minorHAnsi"/>
                <w:sz w:val="20"/>
                <w:szCs w:val="20"/>
                <w:lang w:eastAsia="en-AU"/>
              </w:rPr>
              <w:t> </w:t>
            </w:r>
          </w:p>
        </w:tc>
        <w:tc>
          <w:tcPr>
            <w:tcW w:w="2835" w:type="dxa"/>
            <w:shd w:val="clear" w:color="auto" w:fill="auto"/>
          </w:tcPr>
          <w:p w14:paraId="4F83760F" w14:textId="32D7E6F7"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Nurse</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39 </w:t>
            </w:r>
          </w:p>
        </w:tc>
      </w:tr>
      <w:tr w:rsidR="00552061" w:rsidRPr="00DA4263" w14:paraId="58039998" w14:textId="77777777" w:rsidTr="0023438C">
        <w:trPr>
          <w:cantSplit/>
          <w:trHeight w:val="20"/>
        </w:trPr>
        <w:tc>
          <w:tcPr>
            <w:tcW w:w="840" w:type="dxa"/>
            <w:vMerge/>
            <w:shd w:val="clear" w:color="auto" w:fill="auto"/>
            <w:hideMark/>
          </w:tcPr>
          <w:p w14:paraId="322CD43D"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b/>
                <w:i/>
                <w:iCs/>
                <w:sz w:val="20"/>
                <w:szCs w:val="20"/>
                <w:lang w:eastAsia="en-AU"/>
              </w:rPr>
            </w:pPr>
          </w:p>
        </w:tc>
        <w:tc>
          <w:tcPr>
            <w:tcW w:w="1006" w:type="dxa"/>
            <w:vMerge/>
            <w:shd w:val="clear" w:color="auto" w:fill="auto"/>
            <w:hideMark/>
          </w:tcPr>
          <w:p w14:paraId="7CD6FC14"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auto"/>
            <w:hideMark/>
          </w:tcPr>
          <w:p w14:paraId="5E918163"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p>
        </w:tc>
        <w:tc>
          <w:tcPr>
            <w:tcW w:w="1276" w:type="dxa"/>
            <w:vMerge/>
            <w:shd w:val="clear" w:color="auto" w:fill="auto"/>
            <w:hideMark/>
          </w:tcPr>
          <w:p w14:paraId="0F1DADC7" w14:textId="77777777" w:rsidR="00552061" w:rsidRPr="002E0FBE" w:rsidRDefault="00552061" w:rsidP="0023438C">
            <w:pPr>
              <w:spacing w:before="100" w:beforeAutospacing="1" w:after="100" w:afterAutospacing="1" w:line="240" w:lineRule="auto"/>
              <w:contextualSpacing/>
              <w:textAlignment w:val="baseline"/>
              <w:rPr>
                <w:rFonts w:eastAsia="Times New Roman" w:cstheme="minorHAnsi"/>
                <w:sz w:val="20"/>
                <w:szCs w:val="20"/>
                <w:lang w:eastAsia="en-AU"/>
              </w:rPr>
            </w:pPr>
          </w:p>
        </w:tc>
        <w:tc>
          <w:tcPr>
            <w:tcW w:w="2126" w:type="dxa"/>
            <w:vMerge/>
          </w:tcPr>
          <w:p w14:paraId="00A0539C"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p>
        </w:tc>
        <w:tc>
          <w:tcPr>
            <w:tcW w:w="4111" w:type="dxa"/>
            <w:shd w:val="clear" w:color="auto" w:fill="auto"/>
          </w:tcPr>
          <w:p w14:paraId="21B43083"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 xml:space="preserve">Indigenous Health Worker </w:t>
            </w:r>
            <w:r>
              <w:rPr>
                <w:rFonts w:eastAsia="Times New Roman" w:cstheme="minorHAnsi"/>
                <w:sz w:val="20"/>
                <w:szCs w:val="20"/>
                <w:lang w:eastAsia="en-AU"/>
              </w:rPr>
              <w:t>(</w:t>
            </w:r>
            <w:r w:rsidRPr="002E0FBE">
              <w:rPr>
                <w:rFonts w:eastAsia="Times New Roman" w:cstheme="minorHAnsi"/>
                <w:sz w:val="20"/>
                <w:szCs w:val="20"/>
                <w:lang w:eastAsia="en-AU"/>
              </w:rPr>
              <w:t>7</w:t>
            </w:r>
            <w:r>
              <w:rPr>
                <w:rFonts w:eastAsia="Times New Roman" w:cstheme="minorHAnsi"/>
                <w:sz w:val="20"/>
                <w:szCs w:val="20"/>
                <w:lang w:eastAsia="en-AU"/>
              </w:rPr>
              <w:t>)</w:t>
            </w:r>
            <w:r w:rsidRPr="002E0FBE">
              <w:rPr>
                <w:rFonts w:eastAsia="Times New Roman" w:cstheme="minorHAnsi"/>
                <w:sz w:val="20"/>
                <w:szCs w:val="20"/>
                <w:lang w:eastAsia="en-AU"/>
              </w:rPr>
              <w:t> </w:t>
            </w:r>
          </w:p>
          <w:p w14:paraId="18B5C4D8"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Indigenous Health Practitioner</w:t>
            </w:r>
            <w:r>
              <w:rPr>
                <w:rFonts w:eastAsia="Times New Roman" w:cstheme="minorHAnsi"/>
                <w:sz w:val="20"/>
                <w:szCs w:val="20"/>
                <w:lang w:eastAsia="en-AU"/>
              </w:rPr>
              <w:t xml:space="preserve"> (</w:t>
            </w:r>
            <w:r w:rsidRPr="002E0FBE">
              <w:rPr>
                <w:rFonts w:eastAsia="Times New Roman" w:cstheme="minorHAnsi"/>
                <w:sz w:val="20"/>
                <w:szCs w:val="20"/>
                <w:lang w:eastAsia="en-AU"/>
              </w:rPr>
              <w:t>17</w:t>
            </w:r>
            <w:r>
              <w:rPr>
                <w:rFonts w:eastAsia="Times New Roman" w:cstheme="minorHAnsi"/>
                <w:sz w:val="20"/>
                <w:szCs w:val="20"/>
                <w:lang w:eastAsia="en-AU"/>
              </w:rPr>
              <w:t>)</w:t>
            </w:r>
            <w:r w:rsidRPr="002E0FBE">
              <w:rPr>
                <w:rFonts w:eastAsia="Times New Roman" w:cstheme="minorHAnsi"/>
                <w:sz w:val="20"/>
                <w:szCs w:val="20"/>
                <w:lang w:eastAsia="en-AU"/>
              </w:rPr>
              <w:t> </w:t>
            </w:r>
          </w:p>
          <w:p w14:paraId="104D5ABE"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Indigenous Liaison Officer</w:t>
            </w:r>
            <w:r>
              <w:rPr>
                <w:rFonts w:eastAsia="Times New Roman" w:cstheme="minorHAnsi"/>
                <w:sz w:val="20"/>
                <w:szCs w:val="20"/>
                <w:lang w:eastAsia="en-AU"/>
              </w:rPr>
              <w:t xml:space="preserve"> (</w:t>
            </w:r>
            <w:r w:rsidRPr="002E0FBE">
              <w:rPr>
                <w:rFonts w:eastAsia="Times New Roman" w:cstheme="minorHAnsi"/>
                <w:sz w:val="20"/>
                <w:szCs w:val="20"/>
                <w:lang w:eastAsia="en-AU"/>
              </w:rPr>
              <w:t>1</w:t>
            </w:r>
            <w:r>
              <w:rPr>
                <w:rFonts w:eastAsia="Times New Roman" w:cstheme="minorHAnsi"/>
                <w:sz w:val="20"/>
                <w:szCs w:val="20"/>
                <w:lang w:eastAsia="en-AU"/>
              </w:rPr>
              <w:t>)</w:t>
            </w:r>
            <w:r w:rsidRPr="002E0FBE">
              <w:rPr>
                <w:rFonts w:eastAsia="Times New Roman" w:cstheme="minorHAnsi"/>
                <w:sz w:val="20"/>
                <w:szCs w:val="20"/>
                <w:lang w:eastAsia="en-AU"/>
              </w:rPr>
              <w:t> </w:t>
            </w:r>
          </w:p>
        </w:tc>
        <w:tc>
          <w:tcPr>
            <w:tcW w:w="2835" w:type="dxa"/>
            <w:shd w:val="clear" w:color="auto" w:fill="auto"/>
            <w:hideMark/>
          </w:tcPr>
          <w:p w14:paraId="2205EA8B" w14:textId="1F1EA5AF"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Indigenous Health</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25</w:t>
            </w:r>
          </w:p>
        </w:tc>
      </w:tr>
      <w:tr w:rsidR="00552061" w:rsidRPr="00DA4263" w14:paraId="619B51DA" w14:textId="77777777" w:rsidTr="0023438C">
        <w:trPr>
          <w:cantSplit/>
          <w:trHeight w:val="20"/>
        </w:trPr>
        <w:tc>
          <w:tcPr>
            <w:tcW w:w="840" w:type="dxa"/>
            <w:vMerge/>
            <w:shd w:val="clear" w:color="auto" w:fill="FFE599" w:themeFill="accent4" w:themeFillTint="66"/>
            <w:hideMark/>
          </w:tcPr>
          <w:p w14:paraId="1D28532B"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FFE599" w:themeFill="accent4" w:themeFillTint="66"/>
            <w:hideMark/>
          </w:tcPr>
          <w:p w14:paraId="2F0B6CD8"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FFE599" w:themeFill="accent4" w:themeFillTint="66"/>
            <w:hideMark/>
          </w:tcPr>
          <w:p w14:paraId="645B543D"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FFE599" w:themeFill="accent4" w:themeFillTint="66"/>
            <w:hideMark/>
          </w:tcPr>
          <w:p w14:paraId="1EBB83BA"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1AB928B3" w14:textId="77777777" w:rsidR="00552061"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4111" w:type="dxa"/>
            <w:shd w:val="clear" w:color="auto" w:fill="auto"/>
          </w:tcPr>
          <w:p w14:paraId="4C5B225C"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Pr>
                <w:rFonts w:eastAsia="Times New Roman" w:cstheme="minorHAnsi"/>
                <w:sz w:val="20"/>
                <w:szCs w:val="20"/>
                <w:lang w:eastAsia="en-AU"/>
              </w:rPr>
              <w:t xml:space="preserve">General </w:t>
            </w:r>
            <w:r w:rsidRPr="002E0FBE">
              <w:rPr>
                <w:rFonts w:eastAsia="Times New Roman" w:cstheme="minorHAnsi"/>
                <w:sz w:val="20"/>
                <w:szCs w:val="20"/>
                <w:lang w:eastAsia="en-AU"/>
              </w:rPr>
              <w:t>Practitioner</w:t>
            </w:r>
            <w:r>
              <w:rPr>
                <w:rFonts w:eastAsia="Times New Roman" w:cstheme="minorHAnsi"/>
                <w:sz w:val="20"/>
                <w:szCs w:val="20"/>
                <w:lang w:eastAsia="en-AU"/>
              </w:rPr>
              <w:t xml:space="preserve"> (</w:t>
            </w:r>
            <w:r w:rsidRPr="002E0FBE">
              <w:rPr>
                <w:rFonts w:eastAsia="Times New Roman" w:cstheme="minorHAnsi"/>
                <w:sz w:val="20"/>
                <w:szCs w:val="20"/>
                <w:lang w:eastAsia="en-AU"/>
              </w:rPr>
              <w:t>34</w:t>
            </w:r>
            <w:r>
              <w:rPr>
                <w:rFonts w:eastAsia="Times New Roman" w:cstheme="minorHAnsi"/>
                <w:sz w:val="20"/>
                <w:szCs w:val="20"/>
                <w:lang w:eastAsia="en-AU"/>
              </w:rPr>
              <w:t>)</w:t>
            </w:r>
          </w:p>
        </w:tc>
        <w:tc>
          <w:tcPr>
            <w:tcW w:w="2835" w:type="dxa"/>
            <w:shd w:val="clear" w:color="auto" w:fill="auto"/>
            <w:hideMark/>
          </w:tcPr>
          <w:p w14:paraId="012ACA30" w14:textId="6CFE9F54"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GP</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34 </w:t>
            </w:r>
          </w:p>
        </w:tc>
      </w:tr>
      <w:tr w:rsidR="00552061" w:rsidRPr="00DA4263" w14:paraId="107658EF" w14:textId="77777777" w:rsidTr="0023438C">
        <w:trPr>
          <w:cantSplit/>
          <w:trHeight w:val="20"/>
        </w:trPr>
        <w:tc>
          <w:tcPr>
            <w:tcW w:w="840" w:type="dxa"/>
            <w:vMerge/>
            <w:shd w:val="clear" w:color="auto" w:fill="FFE599" w:themeFill="accent4" w:themeFillTint="66"/>
            <w:hideMark/>
          </w:tcPr>
          <w:p w14:paraId="1E9FFDCD"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FFE599" w:themeFill="accent4" w:themeFillTint="66"/>
            <w:hideMark/>
          </w:tcPr>
          <w:p w14:paraId="7AD86C19"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FFE599" w:themeFill="accent4" w:themeFillTint="66"/>
            <w:hideMark/>
          </w:tcPr>
          <w:p w14:paraId="5BB7F7FC"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FFE599" w:themeFill="accent4" w:themeFillTint="66"/>
            <w:hideMark/>
          </w:tcPr>
          <w:p w14:paraId="3BB176F5"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222D6AE0"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4111" w:type="dxa"/>
            <w:shd w:val="clear" w:color="auto" w:fill="auto"/>
          </w:tcPr>
          <w:p w14:paraId="4369CCFF"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Health Promotion/Project Officer</w:t>
            </w:r>
            <w:r>
              <w:rPr>
                <w:rFonts w:eastAsia="Times New Roman" w:cstheme="minorHAnsi"/>
                <w:sz w:val="20"/>
                <w:szCs w:val="20"/>
                <w:lang w:eastAsia="en-AU"/>
              </w:rPr>
              <w:t xml:space="preserve"> (</w:t>
            </w:r>
            <w:r w:rsidRPr="002E0FBE">
              <w:rPr>
                <w:rFonts w:eastAsia="Times New Roman" w:cstheme="minorHAnsi"/>
                <w:sz w:val="20"/>
                <w:szCs w:val="20"/>
                <w:lang w:eastAsia="en-AU"/>
              </w:rPr>
              <w:t>4</w:t>
            </w:r>
            <w:r>
              <w:rPr>
                <w:rFonts w:eastAsia="Times New Roman" w:cstheme="minorHAnsi"/>
                <w:sz w:val="20"/>
                <w:szCs w:val="20"/>
                <w:lang w:eastAsia="en-AU"/>
              </w:rPr>
              <w:t>)</w:t>
            </w:r>
            <w:r w:rsidRPr="002E0FBE">
              <w:rPr>
                <w:rFonts w:eastAsia="Times New Roman" w:cstheme="minorHAnsi"/>
                <w:sz w:val="20"/>
                <w:szCs w:val="20"/>
                <w:lang w:eastAsia="en-AU"/>
              </w:rPr>
              <w:t> </w:t>
            </w:r>
          </w:p>
          <w:p w14:paraId="4CEA2043"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2835" w:type="dxa"/>
            <w:shd w:val="clear" w:color="auto" w:fill="auto"/>
            <w:hideMark/>
          </w:tcPr>
          <w:p w14:paraId="76B81E7B" w14:textId="58A84206"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Health &amp; Education</w:t>
            </w:r>
            <w:r>
              <w:rPr>
                <w:rFonts w:eastAsia="Times New Roman" w:cstheme="minorHAnsi"/>
                <w:sz w:val="20"/>
                <w:szCs w:val="20"/>
                <w:lang w:eastAsia="en-AU"/>
              </w:rPr>
              <w:t xml:space="preserve"> n=</w:t>
            </w:r>
            <w:r w:rsidRPr="002E0FBE">
              <w:rPr>
                <w:rFonts w:eastAsia="Times New Roman" w:cstheme="minorHAnsi"/>
                <w:sz w:val="20"/>
                <w:szCs w:val="20"/>
                <w:lang w:eastAsia="en-AU"/>
              </w:rPr>
              <w:t xml:space="preserve"> 4 </w:t>
            </w:r>
          </w:p>
        </w:tc>
      </w:tr>
      <w:tr w:rsidR="00552061" w:rsidRPr="00DA4263" w14:paraId="0AD8FF46" w14:textId="77777777" w:rsidTr="0023438C">
        <w:trPr>
          <w:cantSplit/>
          <w:trHeight w:val="20"/>
        </w:trPr>
        <w:tc>
          <w:tcPr>
            <w:tcW w:w="840" w:type="dxa"/>
            <w:vMerge/>
            <w:shd w:val="clear" w:color="auto" w:fill="FFE599" w:themeFill="accent4" w:themeFillTint="66"/>
            <w:hideMark/>
          </w:tcPr>
          <w:p w14:paraId="273E933B"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FFE599" w:themeFill="accent4" w:themeFillTint="66"/>
            <w:hideMark/>
          </w:tcPr>
          <w:p w14:paraId="26A30013"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FFE599" w:themeFill="accent4" w:themeFillTint="66"/>
            <w:hideMark/>
          </w:tcPr>
          <w:p w14:paraId="564690DF"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FFE599" w:themeFill="accent4" w:themeFillTint="66"/>
            <w:hideMark/>
          </w:tcPr>
          <w:p w14:paraId="6C30AF26"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22BC337A"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p>
        </w:tc>
        <w:tc>
          <w:tcPr>
            <w:tcW w:w="4111" w:type="dxa"/>
            <w:shd w:val="clear" w:color="auto" w:fill="auto"/>
          </w:tcPr>
          <w:p w14:paraId="290F8DBD"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Health Service Manager</w:t>
            </w:r>
            <w:r>
              <w:rPr>
                <w:rFonts w:eastAsia="Times New Roman" w:cstheme="minorHAnsi"/>
                <w:sz w:val="20"/>
                <w:szCs w:val="20"/>
                <w:lang w:eastAsia="en-AU"/>
              </w:rPr>
              <w:t xml:space="preserve"> (</w:t>
            </w:r>
            <w:r w:rsidRPr="002E0FBE">
              <w:rPr>
                <w:rFonts w:eastAsia="Times New Roman" w:cstheme="minorHAnsi"/>
                <w:sz w:val="20"/>
                <w:szCs w:val="20"/>
                <w:lang w:eastAsia="en-AU"/>
              </w:rPr>
              <w:t>5</w:t>
            </w:r>
            <w:r>
              <w:rPr>
                <w:rFonts w:eastAsia="Times New Roman" w:cstheme="minorHAnsi"/>
                <w:sz w:val="20"/>
                <w:szCs w:val="20"/>
                <w:lang w:eastAsia="en-AU"/>
              </w:rPr>
              <w:t>)</w:t>
            </w:r>
            <w:r w:rsidRPr="002E0FBE">
              <w:rPr>
                <w:rFonts w:eastAsia="Times New Roman" w:cstheme="minorHAnsi"/>
                <w:sz w:val="20"/>
                <w:szCs w:val="20"/>
                <w:lang w:eastAsia="en-AU"/>
              </w:rPr>
              <w:t> </w:t>
            </w:r>
          </w:p>
          <w:p w14:paraId="54BD4AE6" w14:textId="77777777" w:rsidR="00552061" w:rsidRPr="002E0FBE" w:rsidRDefault="00552061" w:rsidP="0023438C">
            <w:pPr>
              <w:spacing w:after="0" w:line="240" w:lineRule="auto"/>
              <w:ind w:left="1080" w:hanging="1080"/>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Administration/Coordinator</w:t>
            </w:r>
            <w:r>
              <w:rPr>
                <w:rFonts w:eastAsia="Times New Roman" w:cstheme="minorHAnsi"/>
                <w:sz w:val="20"/>
                <w:szCs w:val="20"/>
                <w:lang w:eastAsia="en-AU"/>
              </w:rPr>
              <w:t xml:space="preserve"> (</w:t>
            </w:r>
            <w:r w:rsidRPr="002E0FBE">
              <w:rPr>
                <w:rFonts w:eastAsia="Times New Roman" w:cstheme="minorHAnsi"/>
                <w:sz w:val="20"/>
                <w:szCs w:val="20"/>
                <w:lang w:eastAsia="en-AU"/>
              </w:rPr>
              <w:t>8</w:t>
            </w:r>
            <w:r>
              <w:rPr>
                <w:rFonts w:eastAsia="Times New Roman" w:cstheme="minorHAnsi"/>
                <w:sz w:val="20"/>
                <w:szCs w:val="20"/>
                <w:lang w:eastAsia="en-AU"/>
              </w:rPr>
              <w:t>)</w:t>
            </w:r>
            <w:r w:rsidRPr="002E0FBE">
              <w:rPr>
                <w:rFonts w:eastAsia="Times New Roman" w:cstheme="minorHAnsi"/>
                <w:sz w:val="20"/>
                <w:szCs w:val="20"/>
                <w:lang w:eastAsia="en-AU"/>
              </w:rPr>
              <w:t> </w:t>
            </w:r>
          </w:p>
        </w:tc>
        <w:tc>
          <w:tcPr>
            <w:tcW w:w="2835" w:type="dxa"/>
            <w:shd w:val="clear" w:color="auto" w:fill="auto"/>
            <w:hideMark/>
          </w:tcPr>
          <w:p w14:paraId="0153E731" w14:textId="0B9EAC49" w:rsidR="00552061" w:rsidRPr="002E0FBE" w:rsidRDefault="00552061" w:rsidP="0023438C">
            <w:pPr>
              <w:spacing w:after="0" w:line="240" w:lineRule="auto"/>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Management &amp; Admin</w:t>
            </w:r>
            <w:r w:rsidR="00AF53F7">
              <w:rPr>
                <w:rFonts w:eastAsia="Times New Roman" w:cstheme="minorHAnsi"/>
                <w:sz w:val="20"/>
                <w:szCs w:val="20"/>
                <w:lang w:eastAsia="en-AU"/>
              </w:rPr>
              <w:t xml:space="preserve"> </w:t>
            </w:r>
            <w:r>
              <w:rPr>
                <w:rFonts w:eastAsia="Times New Roman" w:cstheme="minorHAnsi"/>
                <w:sz w:val="20"/>
                <w:szCs w:val="20"/>
                <w:lang w:eastAsia="en-AU"/>
              </w:rPr>
              <w:t>n=</w:t>
            </w:r>
            <w:r w:rsidRPr="002E0FBE">
              <w:rPr>
                <w:rFonts w:eastAsia="Times New Roman" w:cstheme="minorHAnsi"/>
                <w:sz w:val="20"/>
                <w:szCs w:val="20"/>
                <w:lang w:eastAsia="en-AU"/>
              </w:rPr>
              <w:t>13 </w:t>
            </w:r>
          </w:p>
        </w:tc>
      </w:tr>
      <w:tr w:rsidR="00552061" w:rsidRPr="00DA4263" w14:paraId="3AB1DD68" w14:textId="77777777" w:rsidTr="0023438C">
        <w:trPr>
          <w:cantSplit/>
          <w:trHeight w:val="20"/>
        </w:trPr>
        <w:tc>
          <w:tcPr>
            <w:tcW w:w="840" w:type="dxa"/>
            <w:vMerge/>
            <w:shd w:val="clear" w:color="auto" w:fill="FFE599" w:themeFill="accent4" w:themeFillTint="66"/>
            <w:hideMark/>
          </w:tcPr>
          <w:p w14:paraId="41C5C3F2"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006" w:type="dxa"/>
            <w:vMerge/>
            <w:shd w:val="clear" w:color="auto" w:fill="FFE599" w:themeFill="accent4" w:themeFillTint="66"/>
            <w:hideMark/>
          </w:tcPr>
          <w:p w14:paraId="5AFB0400"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3" w:type="dxa"/>
            <w:vMerge/>
            <w:shd w:val="clear" w:color="auto" w:fill="FFE599" w:themeFill="accent4" w:themeFillTint="66"/>
            <w:hideMark/>
          </w:tcPr>
          <w:p w14:paraId="6AD55781"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1276" w:type="dxa"/>
            <w:vMerge/>
            <w:shd w:val="clear" w:color="auto" w:fill="FFE599" w:themeFill="accent4" w:themeFillTint="66"/>
            <w:hideMark/>
          </w:tcPr>
          <w:p w14:paraId="158AD219" w14:textId="77777777" w:rsidR="00552061" w:rsidRPr="002E0FBE" w:rsidRDefault="00552061" w:rsidP="0023438C">
            <w:pPr>
              <w:spacing w:after="0" w:line="240" w:lineRule="auto"/>
              <w:contextualSpacing/>
              <w:rPr>
                <w:rFonts w:eastAsia="Times New Roman" w:cstheme="minorHAnsi"/>
                <w:sz w:val="20"/>
                <w:szCs w:val="20"/>
                <w:lang w:eastAsia="en-AU"/>
              </w:rPr>
            </w:pPr>
          </w:p>
        </w:tc>
        <w:tc>
          <w:tcPr>
            <w:tcW w:w="2126" w:type="dxa"/>
            <w:vMerge/>
          </w:tcPr>
          <w:p w14:paraId="09AAC1A8"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p>
        </w:tc>
        <w:tc>
          <w:tcPr>
            <w:tcW w:w="4111" w:type="dxa"/>
            <w:shd w:val="clear" w:color="auto" w:fill="auto"/>
          </w:tcPr>
          <w:p w14:paraId="76D402D3"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Social &amp; Emotional Well-being Officer</w:t>
            </w:r>
            <w:r>
              <w:rPr>
                <w:rFonts w:eastAsia="Times New Roman" w:cstheme="minorHAnsi"/>
                <w:sz w:val="20"/>
                <w:szCs w:val="20"/>
                <w:lang w:eastAsia="en-AU"/>
              </w:rPr>
              <w:t xml:space="preserve"> (</w:t>
            </w:r>
            <w:r w:rsidRPr="002E0FBE">
              <w:rPr>
                <w:rFonts w:eastAsia="Times New Roman" w:cstheme="minorHAnsi"/>
                <w:sz w:val="20"/>
                <w:szCs w:val="20"/>
                <w:lang w:eastAsia="en-AU"/>
              </w:rPr>
              <w:t>2</w:t>
            </w:r>
            <w:r>
              <w:rPr>
                <w:rFonts w:eastAsia="Times New Roman" w:cstheme="minorHAnsi"/>
                <w:sz w:val="20"/>
                <w:szCs w:val="20"/>
                <w:lang w:eastAsia="en-AU"/>
              </w:rPr>
              <w:t>)</w:t>
            </w:r>
            <w:r w:rsidRPr="002E0FBE">
              <w:rPr>
                <w:rFonts w:eastAsia="Times New Roman" w:cstheme="minorHAnsi"/>
                <w:sz w:val="20"/>
                <w:szCs w:val="20"/>
                <w:lang w:eastAsia="en-AU"/>
              </w:rPr>
              <w:t> </w:t>
            </w:r>
          </w:p>
          <w:p w14:paraId="3E7D4CB7" w14:textId="77777777" w:rsidR="00552061" w:rsidRPr="002E0FBE" w:rsidRDefault="00552061" w:rsidP="0023438C">
            <w:pPr>
              <w:spacing w:after="0" w:line="240" w:lineRule="auto"/>
              <w:ind w:left="1080" w:hanging="1078"/>
              <w:contextualSpacing/>
              <w:textAlignment w:val="baseline"/>
              <w:rPr>
                <w:rFonts w:eastAsia="Times New Roman" w:cstheme="minorHAnsi"/>
                <w:sz w:val="20"/>
                <w:szCs w:val="20"/>
                <w:lang w:eastAsia="en-AU"/>
              </w:rPr>
            </w:pPr>
            <w:r w:rsidRPr="002E0FBE">
              <w:rPr>
                <w:rFonts w:eastAsia="Times New Roman" w:cstheme="minorHAnsi"/>
                <w:sz w:val="20"/>
                <w:szCs w:val="20"/>
                <w:lang w:eastAsia="en-AU"/>
              </w:rPr>
              <w:t xml:space="preserve">Other </w:t>
            </w:r>
            <w:r>
              <w:rPr>
                <w:rFonts w:eastAsia="Times New Roman" w:cstheme="minorHAnsi"/>
                <w:sz w:val="20"/>
                <w:szCs w:val="20"/>
                <w:lang w:eastAsia="en-AU"/>
              </w:rPr>
              <w:t>(</w:t>
            </w:r>
            <w:r w:rsidRPr="002E0FBE">
              <w:rPr>
                <w:rFonts w:eastAsia="Times New Roman" w:cstheme="minorHAnsi"/>
                <w:sz w:val="20"/>
                <w:szCs w:val="20"/>
                <w:lang w:eastAsia="en-AU"/>
              </w:rPr>
              <w:t>22</w:t>
            </w:r>
            <w:r>
              <w:rPr>
                <w:rFonts w:eastAsia="Times New Roman" w:cstheme="minorHAnsi"/>
                <w:sz w:val="20"/>
                <w:szCs w:val="20"/>
                <w:lang w:eastAsia="en-AU"/>
              </w:rPr>
              <w:t>)</w:t>
            </w:r>
            <w:r w:rsidRPr="002E0FBE">
              <w:rPr>
                <w:rFonts w:eastAsia="Times New Roman" w:cstheme="minorHAnsi"/>
                <w:sz w:val="20"/>
                <w:szCs w:val="20"/>
                <w:lang w:eastAsia="en-AU"/>
              </w:rPr>
              <w:t> </w:t>
            </w:r>
          </w:p>
        </w:tc>
        <w:tc>
          <w:tcPr>
            <w:tcW w:w="2835" w:type="dxa"/>
            <w:shd w:val="clear" w:color="auto" w:fill="auto"/>
            <w:hideMark/>
          </w:tcPr>
          <w:p w14:paraId="67F4F041" w14:textId="3DE1FA47" w:rsidR="00552061" w:rsidRPr="002E0FBE" w:rsidRDefault="00552061" w:rsidP="0023438C">
            <w:pPr>
              <w:keepNext/>
              <w:spacing w:before="100" w:beforeAutospacing="1" w:after="100" w:afterAutospacing="1" w:line="240" w:lineRule="auto"/>
              <w:contextualSpacing/>
              <w:textAlignment w:val="baseline"/>
              <w:rPr>
                <w:rFonts w:eastAsia="Times New Roman" w:cstheme="minorHAnsi"/>
                <w:sz w:val="20"/>
                <w:szCs w:val="20"/>
                <w:lang w:eastAsia="en-AU"/>
              </w:rPr>
            </w:pPr>
            <w:r>
              <w:rPr>
                <w:rFonts w:eastAsia="Times New Roman" w:cstheme="minorHAnsi"/>
                <w:sz w:val="20"/>
                <w:szCs w:val="20"/>
                <w:lang w:eastAsia="en-AU"/>
              </w:rPr>
              <w:t>Other</w:t>
            </w:r>
            <w:r w:rsidR="0023438C">
              <w:rPr>
                <w:rFonts w:eastAsia="Times New Roman" w:cstheme="minorHAnsi"/>
                <w:sz w:val="20"/>
                <w:szCs w:val="20"/>
                <w:lang w:eastAsia="en-AU"/>
              </w:rPr>
              <w:t xml:space="preserve"> n = </w:t>
            </w:r>
            <w:r w:rsidRPr="002E0FBE">
              <w:rPr>
                <w:rFonts w:eastAsia="Times New Roman" w:cstheme="minorHAnsi"/>
                <w:sz w:val="20"/>
                <w:szCs w:val="20"/>
                <w:lang w:eastAsia="en-AU"/>
              </w:rPr>
              <w:t>24 </w:t>
            </w:r>
          </w:p>
        </w:tc>
      </w:tr>
    </w:tbl>
    <w:p w14:paraId="3A462E91" w14:textId="77777777" w:rsidR="0023438C" w:rsidRDefault="0023438C" w:rsidP="00366EAB">
      <w:pPr>
        <w:pStyle w:val="Heading3"/>
        <w:sectPr w:rsidR="0023438C" w:rsidSect="002B40D0">
          <w:headerReference w:type="default" r:id="rId44"/>
          <w:pgSz w:w="16820" w:h="11900" w:orient="landscape"/>
          <w:pgMar w:top="1080" w:right="1440" w:bottom="1080" w:left="1440" w:header="708" w:footer="708" w:gutter="0"/>
          <w:cols w:space="708"/>
          <w:docGrid w:linePitch="360"/>
        </w:sectPr>
      </w:pPr>
    </w:p>
    <w:p w14:paraId="2294D730" w14:textId="77777777" w:rsidR="000F6501" w:rsidRDefault="000F6501" w:rsidP="000F6501">
      <w:pPr>
        <w:spacing w:after="120" w:line="264" w:lineRule="auto"/>
        <w:rPr>
          <w:rFonts w:cstheme="minorHAnsi"/>
          <w:szCs w:val="20"/>
        </w:rPr>
      </w:pPr>
      <w:bookmarkStart w:id="337" w:name="_Toc44339270"/>
      <w:r w:rsidRPr="0077225B">
        <w:rPr>
          <w:rFonts w:cstheme="minorHAnsi"/>
          <w:szCs w:val="20"/>
        </w:rPr>
        <w:lastRenderedPageBreak/>
        <w:t>T</w:t>
      </w:r>
      <w:r>
        <w:rPr>
          <w:rFonts w:cstheme="minorHAnsi"/>
          <w:szCs w:val="20"/>
        </w:rPr>
        <w:t>wo</w:t>
      </w:r>
      <w:r w:rsidRPr="0077225B">
        <w:rPr>
          <w:rFonts w:cstheme="minorHAnsi"/>
          <w:szCs w:val="20"/>
        </w:rPr>
        <w:t xml:space="preserve"> </w:t>
      </w:r>
      <w:r>
        <w:rPr>
          <w:rFonts w:cstheme="minorHAnsi"/>
          <w:szCs w:val="20"/>
        </w:rPr>
        <w:t>factors</w:t>
      </w:r>
      <w:r w:rsidRPr="0077225B">
        <w:rPr>
          <w:rFonts w:cstheme="minorHAnsi"/>
          <w:szCs w:val="20"/>
        </w:rPr>
        <w:t xml:space="preserve"> were validated</w:t>
      </w:r>
      <w:r>
        <w:rPr>
          <w:rFonts w:cstheme="minorHAnsi"/>
          <w:szCs w:val="20"/>
        </w:rPr>
        <w:t xml:space="preserve"> in the PAF</w:t>
      </w:r>
      <w:r w:rsidRPr="0077225B">
        <w:rPr>
          <w:rFonts w:cstheme="minorHAnsi"/>
          <w:szCs w:val="20"/>
        </w:rPr>
        <w:t xml:space="preserve">: Role </w:t>
      </w:r>
      <w:r>
        <w:rPr>
          <w:rFonts w:cstheme="minorHAnsi"/>
          <w:szCs w:val="20"/>
        </w:rPr>
        <w:t>p</w:t>
      </w:r>
      <w:r w:rsidRPr="0077225B">
        <w:rPr>
          <w:rFonts w:cstheme="minorHAnsi"/>
          <w:szCs w:val="20"/>
        </w:rPr>
        <w:t>erception</w:t>
      </w:r>
      <w:r>
        <w:rPr>
          <w:rFonts w:cstheme="minorHAnsi"/>
          <w:szCs w:val="20"/>
        </w:rPr>
        <w:t xml:space="preserve"> and</w:t>
      </w:r>
      <w:r w:rsidRPr="0077225B">
        <w:rPr>
          <w:rFonts w:cstheme="minorHAnsi"/>
          <w:szCs w:val="20"/>
        </w:rPr>
        <w:t xml:space="preserve"> </w:t>
      </w:r>
      <w:r>
        <w:rPr>
          <w:rFonts w:cstheme="minorHAnsi"/>
          <w:szCs w:val="20"/>
        </w:rPr>
        <w:t>m</w:t>
      </w:r>
      <w:r w:rsidRPr="0077225B">
        <w:rPr>
          <w:rFonts w:cstheme="minorHAnsi"/>
          <w:szCs w:val="20"/>
        </w:rPr>
        <w:t xml:space="preserve">otivation. </w:t>
      </w:r>
      <w:r>
        <w:rPr>
          <w:rFonts w:cstheme="minorHAnsi"/>
          <w:szCs w:val="20"/>
        </w:rPr>
        <w:t xml:space="preserve">Similarly, the remaining six items of the </w:t>
      </w:r>
      <w:r w:rsidRPr="0077225B">
        <w:rPr>
          <w:rFonts w:cstheme="minorHAnsi"/>
        </w:rPr>
        <w:t>ATIBSQ</w:t>
      </w:r>
      <w:r w:rsidRPr="0077225B">
        <w:rPr>
          <w:rFonts w:cstheme="minorHAnsi"/>
          <w:szCs w:val="20"/>
        </w:rPr>
        <w:t xml:space="preserve"> </w:t>
      </w:r>
      <w:r>
        <w:rPr>
          <w:rFonts w:cstheme="minorHAnsi"/>
          <w:szCs w:val="20"/>
        </w:rPr>
        <w:t xml:space="preserve">without a neutral reference point were also subjected to PAF where one item was discarded in the process leaving five remaining items, forming a unilateral scale that was validated as the confidence factor. </w:t>
      </w:r>
      <w:r w:rsidRPr="0077225B">
        <w:rPr>
          <w:rFonts w:cstheme="minorHAnsi"/>
          <w:szCs w:val="20"/>
        </w:rPr>
        <w:t xml:space="preserve">Total participant mean scores were calculated for the three </w:t>
      </w:r>
      <w:r>
        <w:rPr>
          <w:rFonts w:cstheme="minorHAnsi"/>
          <w:szCs w:val="20"/>
        </w:rPr>
        <w:t>factors</w:t>
      </w:r>
      <w:r w:rsidRPr="0077225B">
        <w:rPr>
          <w:rFonts w:cstheme="minorHAnsi"/>
          <w:szCs w:val="20"/>
        </w:rPr>
        <w:t xml:space="preserve"> in SPSS and included in further analysis. </w:t>
      </w:r>
      <w:r>
        <w:rPr>
          <w:rFonts w:cstheme="minorHAnsi"/>
          <w:szCs w:val="20"/>
        </w:rPr>
        <w:t xml:space="preserve"> </w:t>
      </w:r>
    </w:p>
    <w:p w14:paraId="6A43F118" w14:textId="2AE8A672" w:rsidR="0023438C" w:rsidRPr="0077225B" w:rsidRDefault="0023438C" w:rsidP="00366EAB">
      <w:pPr>
        <w:pStyle w:val="Heading3"/>
        <w:rPr>
          <w:szCs w:val="20"/>
        </w:rPr>
      </w:pPr>
      <w:r w:rsidRPr="0077225B">
        <w:t>Analysis</w:t>
      </w:r>
      <w:bookmarkEnd w:id="337"/>
      <w:r w:rsidRPr="0077225B">
        <w:t xml:space="preserve">  </w:t>
      </w:r>
    </w:p>
    <w:p w14:paraId="4B85259F" w14:textId="46C27281" w:rsidR="0023438C" w:rsidRDefault="0023438C" w:rsidP="0023438C">
      <w:pPr>
        <w:spacing w:after="120" w:line="264" w:lineRule="auto"/>
        <w:rPr>
          <w:rFonts w:cstheme="minorHAnsi"/>
          <w:szCs w:val="20"/>
        </w:rPr>
      </w:pPr>
      <w:r w:rsidRPr="0077225B">
        <w:rPr>
          <w:rFonts w:cstheme="minorHAnsi"/>
          <w:szCs w:val="20"/>
        </w:rPr>
        <w:t xml:space="preserve">A between subjects repeated measures ANOVA, was conducted </w:t>
      </w:r>
      <w:r>
        <w:rPr>
          <w:rFonts w:cstheme="minorHAnsi"/>
          <w:szCs w:val="20"/>
        </w:rPr>
        <w:t>on two training groups</w:t>
      </w:r>
      <w:r w:rsidR="00695F40">
        <w:rPr>
          <w:rFonts w:cstheme="minorHAnsi"/>
          <w:szCs w:val="20"/>
        </w:rPr>
        <w:t>,</w:t>
      </w:r>
      <w:r>
        <w:rPr>
          <w:rFonts w:cstheme="minorHAnsi"/>
          <w:szCs w:val="20"/>
        </w:rPr>
        <w:t xml:space="preserve"> </w:t>
      </w:r>
      <w:r w:rsidRPr="0077225B">
        <w:rPr>
          <w:rFonts w:cstheme="minorHAnsi"/>
          <w:szCs w:val="20"/>
        </w:rPr>
        <w:t xml:space="preserve">using </w:t>
      </w:r>
      <w:r>
        <w:rPr>
          <w:rFonts w:cstheme="minorHAnsi"/>
          <w:szCs w:val="20"/>
        </w:rPr>
        <w:t xml:space="preserve">before and after training mean scores </w:t>
      </w:r>
      <w:r w:rsidRPr="0077225B">
        <w:rPr>
          <w:rFonts w:cstheme="minorHAnsi"/>
          <w:szCs w:val="20"/>
        </w:rPr>
        <w:t xml:space="preserve">from </w:t>
      </w:r>
      <w:r>
        <w:rPr>
          <w:rFonts w:cstheme="minorHAnsi"/>
          <w:szCs w:val="20"/>
        </w:rPr>
        <w:t>three constructs. The three constructs were</w:t>
      </w:r>
      <w:r w:rsidRPr="0077225B">
        <w:rPr>
          <w:rFonts w:cstheme="minorHAnsi"/>
          <w:szCs w:val="20"/>
        </w:rPr>
        <w:t xml:space="preserve">: </w:t>
      </w:r>
      <w:r w:rsidR="00695F40">
        <w:rPr>
          <w:rFonts w:cstheme="minorHAnsi"/>
          <w:szCs w:val="20"/>
        </w:rPr>
        <w:t>1</w:t>
      </w:r>
      <w:r w:rsidRPr="0077225B">
        <w:rPr>
          <w:rFonts w:cstheme="minorHAnsi"/>
          <w:szCs w:val="20"/>
        </w:rPr>
        <w:t xml:space="preserve">) </w:t>
      </w:r>
      <w:r>
        <w:rPr>
          <w:rFonts w:cstheme="minorHAnsi"/>
          <w:szCs w:val="20"/>
        </w:rPr>
        <w:t>Perceived Role</w:t>
      </w:r>
      <w:r w:rsidRPr="0077225B">
        <w:rPr>
          <w:rFonts w:cstheme="minorHAnsi"/>
          <w:szCs w:val="20"/>
        </w:rPr>
        <w:t xml:space="preserve">; </w:t>
      </w:r>
      <w:r>
        <w:rPr>
          <w:rFonts w:cstheme="minorHAnsi"/>
          <w:szCs w:val="20"/>
        </w:rPr>
        <w:t>2) Motivation</w:t>
      </w:r>
      <w:r w:rsidRPr="0077225B">
        <w:rPr>
          <w:rFonts w:cstheme="minorHAnsi"/>
          <w:szCs w:val="20"/>
        </w:rPr>
        <w:t xml:space="preserve">; and </w:t>
      </w:r>
      <w:r>
        <w:rPr>
          <w:rFonts w:cstheme="minorHAnsi"/>
          <w:szCs w:val="20"/>
        </w:rPr>
        <w:t>3</w:t>
      </w:r>
      <w:r w:rsidRPr="0077225B">
        <w:rPr>
          <w:rFonts w:cstheme="minorHAnsi"/>
          <w:szCs w:val="20"/>
        </w:rPr>
        <w:t xml:space="preserve">) </w:t>
      </w:r>
      <w:r>
        <w:rPr>
          <w:rFonts w:cstheme="minorHAnsi"/>
          <w:szCs w:val="20"/>
        </w:rPr>
        <w:t>C</w:t>
      </w:r>
      <w:r w:rsidRPr="0077225B">
        <w:rPr>
          <w:rFonts w:cstheme="minorHAnsi"/>
          <w:szCs w:val="20"/>
        </w:rPr>
        <w:t xml:space="preserve">onfidence. </w:t>
      </w:r>
      <w:r>
        <w:rPr>
          <w:rFonts w:cstheme="minorHAnsi"/>
          <w:szCs w:val="20"/>
        </w:rPr>
        <w:t xml:space="preserve">The two training groups were </w:t>
      </w:r>
      <w:r w:rsidR="00695F40">
        <w:rPr>
          <w:rFonts w:cstheme="minorHAnsi"/>
          <w:szCs w:val="20"/>
        </w:rPr>
        <w:t>o</w:t>
      </w:r>
      <w:r>
        <w:rPr>
          <w:rFonts w:cstheme="minorHAnsi"/>
          <w:szCs w:val="20"/>
        </w:rPr>
        <w:t xml:space="preserve">nline training and </w:t>
      </w:r>
      <w:r w:rsidR="00695F40">
        <w:rPr>
          <w:rFonts w:cstheme="minorHAnsi"/>
          <w:szCs w:val="20"/>
        </w:rPr>
        <w:t>f</w:t>
      </w:r>
      <w:r>
        <w:rPr>
          <w:rFonts w:cstheme="minorHAnsi"/>
          <w:szCs w:val="20"/>
        </w:rPr>
        <w:t>ace</w:t>
      </w:r>
      <w:r w:rsidR="00695F40">
        <w:rPr>
          <w:rFonts w:cstheme="minorHAnsi"/>
          <w:szCs w:val="20"/>
        </w:rPr>
        <w:t>-</w:t>
      </w:r>
      <w:r>
        <w:rPr>
          <w:rFonts w:cstheme="minorHAnsi"/>
          <w:szCs w:val="20"/>
        </w:rPr>
        <w:t>to</w:t>
      </w:r>
      <w:r w:rsidR="00695F40">
        <w:rPr>
          <w:rFonts w:cstheme="minorHAnsi"/>
          <w:szCs w:val="20"/>
        </w:rPr>
        <w:t>-f</w:t>
      </w:r>
      <w:r>
        <w:rPr>
          <w:rFonts w:cstheme="minorHAnsi"/>
          <w:szCs w:val="20"/>
        </w:rPr>
        <w:t>ace training, findings are presented in</w:t>
      </w:r>
      <w:r w:rsidRPr="0077225B">
        <w:rPr>
          <w:rFonts w:cstheme="minorHAnsi"/>
          <w:szCs w:val="20"/>
        </w:rPr>
        <w:t xml:space="preserve"> </w:t>
      </w:r>
      <w:r w:rsidRPr="00552061">
        <w:rPr>
          <w:rFonts w:cstheme="minorHAnsi"/>
          <w:bCs/>
          <w:szCs w:val="20"/>
        </w:rPr>
        <w:t xml:space="preserve">Table </w:t>
      </w:r>
      <w:r>
        <w:rPr>
          <w:rFonts w:cstheme="minorHAnsi"/>
          <w:bCs/>
          <w:szCs w:val="20"/>
        </w:rPr>
        <w:t>E-</w:t>
      </w:r>
      <w:r w:rsidRPr="00552061">
        <w:rPr>
          <w:rFonts w:cstheme="minorHAnsi"/>
          <w:bCs/>
          <w:szCs w:val="20"/>
        </w:rPr>
        <w:t>2.</w:t>
      </w:r>
      <w:r w:rsidRPr="0077225B">
        <w:rPr>
          <w:rFonts w:cstheme="minorHAnsi"/>
          <w:szCs w:val="20"/>
        </w:rPr>
        <w:t xml:space="preserve"> </w:t>
      </w:r>
    </w:p>
    <w:p w14:paraId="1DB73D60" w14:textId="317551A2" w:rsidR="0023438C" w:rsidRPr="0023438C" w:rsidRDefault="00552061" w:rsidP="00366EAB">
      <w:pPr>
        <w:pStyle w:val="Heading3"/>
        <w:rPr>
          <w:color w:val="FF0000"/>
        </w:rPr>
      </w:pPr>
      <w:bookmarkStart w:id="338" w:name="_Toc44339271"/>
      <w:r w:rsidRPr="00BC6450">
        <w:t>Results</w:t>
      </w:r>
      <w:bookmarkEnd w:id="338"/>
      <w:r w:rsidRPr="00BC6450">
        <w:rPr>
          <w:color w:val="FF0000"/>
        </w:rPr>
        <w:t xml:space="preserve"> </w:t>
      </w:r>
    </w:p>
    <w:p w14:paraId="7A6C8C46" w14:textId="77777777" w:rsidR="00552061" w:rsidRPr="00BC6450" w:rsidRDefault="00552061" w:rsidP="00552061">
      <w:pPr>
        <w:spacing w:after="0" w:line="264" w:lineRule="auto"/>
        <w:rPr>
          <w:rFonts w:cstheme="minorHAnsi"/>
          <w:sz w:val="20"/>
          <w:szCs w:val="20"/>
        </w:rPr>
      </w:pPr>
    </w:p>
    <w:tbl>
      <w:tblPr>
        <w:tblW w:w="0" w:type="auto"/>
        <w:tblLook w:val="04A0" w:firstRow="1" w:lastRow="0" w:firstColumn="1" w:lastColumn="0" w:noHBand="0" w:noVBand="1"/>
      </w:tblPr>
      <w:tblGrid>
        <w:gridCol w:w="1575"/>
        <w:gridCol w:w="1896"/>
        <w:gridCol w:w="1719"/>
        <w:gridCol w:w="1830"/>
        <w:gridCol w:w="1996"/>
      </w:tblGrid>
      <w:tr w:rsidR="00552061" w:rsidRPr="00BC6450" w14:paraId="24503EEE" w14:textId="77777777" w:rsidTr="002A20BB">
        <w:tc>
          <w:tcPr>
            <w:tcW w:w="9016" w:type="dxa"/>
            <w:gridSpan w:val="5"/>
            <w:tcBorders>
              <w:bottom w:val="single" w:sz="4" w:space="0" w:color="auto"/>
            </w:tcBorders>
            <w:shd w:val="clear" w:color="auto" w:fill="FFFFFF" w:themeFill="background1"/>
          </w:tcPr>
          <w:p w14:paraId="314E4F98" w14:textId="67990207" w:rsidR="00552061" w:rsidRPr="0023699C" w:rsidRDefault="00552061" w:rsidP="002E74E6">
            <w:pPr>
              <w:pStyle w:val="Caption"/>
            </w:pPr>
            <w:r w:rsidRPr="0023699C">
              <w:t>Table</w:t>
            </w:r>
            <w:r w:rsidR="0023699C" w:rsidRPr="0023699C">
              <w:t xml:space="preserve"> </w:t>
            </w:r>
            <w:r w:rsidR="0023438C">
              <w:t>E</w:t>
            </w:r>
            <w:r w:rsidR="0023699C" w:rsidRPr="0023699C">
              <w:t>-</w:t>
            </w:r>
            <w:r w:rsidR="0023438C">
              <w:t>2</w:t>
            </w:r>
            <w:r w:rsidR="00695F40">
              <w:t>:</w:t>
            </w:r>
            <w:r w:rsidRPr="0023699C">
              <w:t xml:space="preserve"> Means and </w:t>
            </w:r>
            <w:r w:rsidR="00695F40">
              <w:t>s</w:t>
            </w:r>
            <w:r w:rsidRPr="0023699C">
              <w:t xml:space="preserve">tandard deviations for Role Perception, Motivation and Confidence. </w:t>
            </w:r>
          </w:p>
        </w:tc>
      </w:tr>
      <w:tr w:rsidR="00552061" w:rsidRPr="00BC6450" w14:paraId="06E6C228" w14:textId="77777777" w:rsidTr="002A20BB">
        <w:tc>
          <w:tcPr>
            <w:tcW w:w="1575" w:type="dxa"/>
            <w:tcBorders>
              <w:top w:val="single" w:sz="4" w:space="0" w:color="auto"/>
              <w:bottom w:val="single" w:sz="4" w:space="0" w:color="auto"/>
            </w:tcBorders>
            <w:shd w:val="clear" w:color="auto" w:fill="FFFFFF" w:themeFill="background1"/>
          </w:tcPr>
          <w:p w14:paraId="358AF998" w14:textId="77777777" w:rsidR="00552061" w:rsidRPr="004B5F94" w:rsidRDefault="00552061" w:rsidP="002A20BB">
            <w:pPr>
              <w:rPr>
                <w:rFonts w:cstheme="minorHAnsi"/>
                <w:bCs/>
                <w:sz w:val="20"/>
              </w:rPr>
            </w:pPr>
            <w:r w:rsidRPr="004B5F94">
              <w:rPr>
                <w:rFonts w:cstheme="minorHAnsi"/>
                <w:bCs/>
                <w:sz w:val="20"/>
              </w:rPr>
              <w:t>Training Method</w:t>
            </w:r>
          </w:p>
        </w:tc>
        <w:tc>
          <w:tcPr>
            <w:tcW w:w="1896" w:type="dxa"/>
            <w:tcBorders>
              <w:top w:val="single" w:sz="4" w:space="0" w:color="auto"/>
              <w:bottom w:val="single" w:sz="4" w:space="0" w:color="auto"/>
            </w:tcBorders>
            <w:shd w:val="clear" w:color="auto" w:fill="FFFFFF" w:themeFill="background1"/>
          </w:tcPr>
          <w:p w14:paraId="2F95FA7C" w14:textId="77777777" w:rsidR="00552061" w:rsidRPr="004B5F94" w:rsidRDefault="00552061" w:rsidP="002A20BB">
            <w:pPr>
              <w:rPr>
                <w:rFonts w:cstheme="minorHAnsi"/>
                <w:bCs/>
                <w:sz w:val="20"/>
              </w:rPr>
            </w:pPr>
          </w:p>
        </w:tc>
        <w:tc>
          <w:tcPr>
            <w:tcW w:w="1719" w:type="dxa"/>
            <w:tcBorders>
              <w:top w:val="single" w:sz="4" w:space="0" w:color="auto"/>
              <w:bottom w:val="single" w:sz="4" w:space="0" w:color="auto"/>
            </w:tcBorders>
            <w:shd w:val="clear" w:color="auto" w:fill="FFFFFF" w:themeFill="background1"/>
          </w:tcPr>
          <w:p w14:paraId="27B73EB7" w14:textId="77777777" w:rsidR="00552061" w:rsidRPr="004B5F94" w:rsidRDefault="00552061" w:rsidP="002A20BB">
            <w:pPr>
              <w:jc w:val="center"/>
              <w:rPr>
                <w:rFonts w:cstheme="minorHAnsi"/>
                <w:bCs/>
                <w:sz w:val="20"/>
              </w:rPr>
            </w:pPr>
            <w:r>
              <w:rPr>
                <w:rFonts w:cstheme="minorHAnsi"/>
                <w:bCs/>
                <w:sz w:val="20"/>
              </w:rPr>
              <w:t>n</w:t>
            </w:r>
          </w:p>
        </w:tc>
        <w:tc>
          <w:tcPr>
            <w:tcW w:w="1830" w:type="dxa"/>
            <w:tcBorders>
              <w:top w:val="single" w:sz="4" w:space="0" w:color="auto"/>
              <w:bottom w:val="single" w:sz="4" w:space="0" w:color="auto"/>
            </w:tcBorders>
            <w:shd w:val="clear" w:color="auto" w:fill="FFFFFF" w:themeFill="background1"/>
          </w:tcPr>
          <w:p w14:paraId="3BEDB9E3" w14:textId="77777777" w:rsidR="00552061" w:rsidRPr="004B5F94" w:rsidRDefault="00552061" w:rsidP="002A20BB">
            <w:pPr>
              <w:jc w:val="center"/>
              <w:rPr>
                <w:rFonts w:cstheme="minorHAnsi"/>
                <w:bCs/>
                <w:sz w:val="20"/>
              </w:rPr>
            </w:pPr>
            <w:r w:rsidRPr="004B5F94">
              <w:rPr>
                <w:rFonts w:cstheme="minorHAnsi"/>
                <w:bCs/>
                <w:sz w:val="20"/>
              </w:rPr>
              <w:t>Mean</w:t>
            </w:r>
          </w:p>
        </w:tc>
        <w:tc>
          <w:tcPr>
            <w:tcW w:w="1996" w:type="dxa"/>
            <w:tcBorders>
              <w:top w:val="single" w:sz="4" w:space="0" w:color="auto"/>
              <w:bottom w:val="single" w:sz="4" w:space="0" w:color="auto"/>
            </w:tcBorders>
            <w:shd w:val="clear" w:color="auto" w:fill="FFFFFF" w:themeFill="background1"/>
          </w:tcPr>
          <w:p w14:paraId="2A011747" w14:textId="73EFA553" w:rsidR="00552061" w:rsidRPr="004B5F94" w:rsidRDefault="00552061" w:rsidP="002A20BB">
            <w:pPr>
              <w:jc w:val="center"/>
              <w:rPr>
                <w:rFonts w:cstheme="minorHAnsi"/>
                <w:bCs/>
                <w:sz w:val="20"/>
              </w:rPr>
            </w:pPr>
            <w:r w:rsidRPr="004B5F94">
              <w:rPr>
                <w:rFonts w:cstheme="minorHAnsi"/>
                <w:bCs/>
                <w:sz w:val="20"/>
              </w:rPr>
              <w:t xml:space="preserve">Standard </w:t>
            </w:r>
            <w:r w:rsidR="00695F40">
              <w:rPr>
                <w:rFonts w:cstheme="minorHAnsi"/>
                <w:bCs/>
                <w:sz w:val="20"/>
              </w:rPr>
              <w:t>d</w:t>
            </w:r>
            <w:r w:rsidRPr="004B5F94">
              <w:rPr>
                <w:rFonts w:cstheme="minorHAnsi"/>
                <w:bCs/>
                <w:sz w:val="20"/>
              </w:rPr>
              <w:t>eviation</w:t>
            </w:r>
          </w:p>
        </w:tc>
      </w:tr>
      <w:tr w:rsidR="00552061" w:rsidRPr="00BC6450" w14:paraId="74B7F641" w14:textId="77777777" w:rsidTr="0023438C">
        <w:trPr>
          <w:cantSplit/>
        </w:trPr>
        <w:tc>
          <w:tcPr>
            <w:tcW w:w="1575" w:type="dxa"/>
            <w:tcBorders>
              <w:top w:val="single" w:sz="4" w:space="0" w:color="auto"/>
            </w:tcBorders>
          </w:tcPr>
          <w:p w14:paraId="5DB33752" w14:textId="77777777" w:rsidR="00552061" w:rsidRPr="00BC6450" w:rsidRDefault="00552061" w:rsidP="0023438C">
            <w:pPr>
              <w:spacing w:line="240" w:lineRule="auto"/>
              <w:contextualSpacing/>
              <w:rPr>
                <w:rFonts w:cstheme="minorHAnsi"/>
                <w:b/>
                <w:sz w:val="20"/>
              </w:rPr>
            </w:pPr>
          </w:p>
        </w:tc>
        <w:tc>
          <w:tcPr>
            <w:tcW w:w="7441" w:type="dxa"/>
            <w:gridSpan w:val="4"/>
            <w:tcBorders>
              <w:top w:val="single" w:sz="4" w:space="0" w:color="auto"/>
            </w:tcBorders>
          </w:tcPr>
          <w:p w14:paraId="3F5E26DF" w14:textId="77777777" w:rsidR="00552061" w:rsidRPr="004B5F94" w:rsidRDefault="00552061" w:rsidP="0023438C">
            <w:pPr>
              <w:spacing w:line="240" w:lineRule="auto"/>
              <w:contextualSpacing/>
              <w:rPr>
                <w:rFonts w:cstheme="minorHAnsi"/>
                <w:bCs/>
                <w:sz w:val="20"/>
              </w:rPr>
            </w:pPr>
            <w:r w:rsidRPr="004B5F94">
              <w:rPr>
                <w:rFonts w:cstheme="minorHAnsi"/>
                <w:bCs/>
                <w:sz w:val="20"/>
              </w:rPr>
              <w:t>Role Perception</w:t>
            </w:r>
          </w:p>
          <w:p w14:paraId="1A0609F0" w14:textId="77777777" w:rsidR="00552061" w:rsidRPr="00BC6450" w:rsidRDefault="00552061" w:rsidP="0023438C">
            <w:pPr>
              <w:spacing w:line="240" w:lineRule="auto"/>
              <w:contextualSpacing/>
              <w:rPr>
                <w:rFonts w:cstheme="minorHAnsi"/>
                <w:sz w:val="20"/>
              </w:rPr>
            </w:pPr>
          </w:p>
        </w:tc>
      </w:tr>
      <w:tr w:rsidR="00552061" w:rsidRPr="00BC6450" w14:paraId="5C3C2C0C" w14:textId="77777777" w:rsidTr="0023438C">
        <w:trPr>
          <w:cantSplit/>
        </w:trPr>
        <w:tc>
          <w:tcPr>
            <w:tcW w:w="1575" w:type="dxa"/>
            <w:vMerge w:val="restart"/>
            <w:shd w:val="clear" w:color="auto" w:fill="auto"/>
          </w:tcPr>
          <w:p w14:paraId="506F130C" w14:textId="77777777" w:rsidR="00552061" w:rsidRPr="0077225B" w:rsidRDefault="00552061" w:rsidP="0023438C">
            <w:pPr>
              <w:spacing w:line="240" w:lineRule="auto"/>
              <w:contextualSpacing/>
              <w:rPr>
                <w:rFonts w:cstheme="minorHAnsi"/>
                <w:sz w:val="20"/>
              </w:rPr>
            </w:pPr>
            <w:r w:rsidRPr="0077225B">
              <w:rPr>
                <w:rFonts w:cstheme="minorHAnsi"/>
                <w:sz w:val="20"/>
              </w:rPr>
              <w:t>Online</w:t>
            </w:r>
          </w:p>
        </w:tc>
        <w:tc>
          <w:tcPr>
            <w:tcW w:w="1896" w:type="dxa"/>
            <w:shd w:val="clear" w:color="auto" w:fill="auto"/>
          </w:tcPr>
          <w:p w14:paraId="503AA1E1" w14:textId="77777777" w:rsidR="00552061" w:rsidRPr="00BC6450" w:rsidRDefault="00552061" w:rsidP="0023438C">
            <w:pPr>
              <w:spacing w:line="240" w:lineRule="auto"/>
              <w:contextualSpacing/>
              <w:rPr>
                <w:rFonts w:cstheme="minorHAnsi"/>
                <w:sz w:val="20"/>
              </w:rPr>
            </w:pPr>
            <w:r w:rsidRPr="00BC6450">
              <w:rPr>
                <w:rFonts w:cstheme="minorHAnsi"/>
                <w:sz w:val="20"/>
              </w:rPr>
              <w:t>Pre</w:t>
            </w:r>
          </w:p>
        </w:tc>
        <w:tc>
          <w:tcPr>
            <w:tcW w:w="1719" w:type="dxa"/>
            <w:shd w:val="clear" w:color="auto" w:fill="auto"/>
          </w:tcPr>
          <w:p w14:paraId="74610B81"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53</w:t>
            </w:r>
          </w:p>
        </w:tc>
        <w:tc>
          <w:tcPr>
            <w:tcW w:w="1830" w:type="dxa"/>
            <w:shd w:val="clear" w:color="auto" w:fill="auto"/>
          </w:tcPr>
          <w:p w14:paraId="4A033ABD"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4.19</w:t>
            </w:r>
          </w:p>
        </w:tc>
        <w:tc>
          <w:tcPr>
            <w:tcW w:w="1996" w:type="dxa"/>
            <w:shd w:val="clear" w:color="auto" w:fill="auto"/>
          </w:tcPr>
          <w:p w14:paraId="78F14DA2"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.61</w:t>
            </w:r>
          </w:p>
        </w:tc>
      </w:tr>
      <w:tr w:rsidR="00552061" w:rsidRPr="00BC6450" w14:paraId="32624060" w14:textId="77777777" w:rsidTr="0023438C">
        <w:trPr>
          <w:cantSplit/>
        </w:trPr>
        <w:tc>
          <w:tcPr>
            <w:tcW w:w="1575" w:type="dxa"/>
            <w:vMerge/>
            <w:shd w:val="clear" w:color="auto" w:fill="auto"/>
          </w:tcPr>
          <w:p w14:paraId="0B72AD4B" w14:textId="77777777" w:rsidR="00552061" w:rsidRPr="00BC6450" w:rsidRDefault="00552061" w:rsidP="0023438C">
            <w:pPr>
              <w:spacing w:line="240" w:lineRule="auto"/>
              <w:contextualSpacing/>
              <w:rPr>
                <w:rFonts w:cstheme="minorHAnsi"/>
                <w:sz w:val="20"/>
              </w:rPr>
            </w:pPr>
          </w:p>
        </w:tc>
        <w:tc>
          <w:tcPr>
            <w:tcW w:w="1896" w:type="dxa"/>
            <w:shd w:val="clear" w:color="auto" w:fill="auto"/>
          </w:tcPr>
          <w:p w14:paraId="496EBD0F" w14:textId="77777777" w:rsidR="00552061" w:rsidRPr="00BC6450" w:rsidRDefault="00552061" w:rsidP="0023438C">
            <w:pPr>
              <w:spacing w:line="240" w:lineRule="auto"/>
              <w:contextualSpacing/>
              <w:rPr>
                <w:rFonts w:cstheme="minorHAnsi"/>
                <w:sz w:val="20"/>
              </w:rPr>
            </w:pPr>
            <w:r w:rsidRPr="00BC6450">
              <w:rPr>
                <w:rFonts w:cstheme="minorHAnsi"/>
                <w:sz w:val="20"/>
              </w:rPr>
              <w:t>Post</w:t>
            </w:r>
          </w:p>
        </w:tc>
        <w:tc>
          <w:tcPr>
            <w:tcW w:w="1719" w:type="dxa"/>
            <w:shd w:val="clear" w:color="auto" w:fill="auto"/>
          </w:tcPr>
          <w:p w14:paraId="3857C5BC"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53</w:t>
            </w:r>
          </w:p>
        </w:tc>
        <w:tc>
          <w:tcPr>
            <w:tcW w:w="1830" w:type="dxa"/>
            <w:shd w:val="clear" w:color="auto" w:fill="auto"/>
          </w:tcPr>
          <w:p w14:paraId="1A499C9C"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4.16</w:t>
            </w:r>
          </w:p>
        </w:tc>
        <w:tc>
          <w:tcPr>
            <w:tcW w:w="1996" w:type="dxa"/>
            <w:shd w:val="clear" w:color="auto" w:fill="auto"/>
          </w:tcPr>
          <w:p w14:paraId="1509C1F3"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.59</w:t>
            </w:r>
          </w:p>
        </w:tc>
      </w:tr>
      <w:tr w:rsidR="00552061" w:rsidRPr="00BC6450" w14:paraId="4880EC2E" w14:textId="77777777" w:rsidTr="0023438C">
        <w:trPr>
          <w:cantSplit/>
        </w:trPr>
        <w:tc>
          <w:tcPr>
            <w:tcW w:w="1575" w:type="dxa"/>
            <w:vMerge w:val="restart"/>
            <w:shd w:val="clear" w:color="auto" w:fill="auto"/>
          </w:tcPr>
          <w:p w14:paraId="7E4C6615" w14:textId="47A7209A" w:rsidR="00552061" w:rsidRPr="0077225B" w:rsidRDefault="00552061" w:rsidP="0023438C">
            <w:pPr>
              <w:spacing w:line="240" w:lineRule="auto"/>
              <w:contextualSpacing/>
              <w:rPr>
                <w:rFonts w:cstheme="minorHAnsi"/>
                <w:sz w:val="20"/>
              </w:rPr>
            </w:pPr>
            <w:r w:rsidRPr="0077225B">
              <w:rPr>
                <w:rFonts w:cstheme="minorHAnsi"/>
                <w:sz w:val="20"/>
              </w:rPr>
              <w:t>Face</w:t>
            </w:r>
            <w:r w:rsidR="00695F40">
              <w:rPr>
                <w:rFonts w:cstheme="minorHAnsi"/>
                <w:sz w:val="20"/>
              </w:rPr>
              <w:t>-</w:t>
            </w:r>
            <w:r w:rsidRPr="0077225B">
              <w:rPr>
                <w:rFonts w:cstheme="minorHAnsi"/>
                <w:sz w:val="20"/>
              </w:rPr>
              <w:t>to</w:t>
            </w:r>
            <w:r w:rsidR="00695F40">
              <w:rPr>
                <w:rFonts w:cstheme="minorHAnsi"/>
                <w:sz w:val="20"/>
              </w:rPr>
              <w:t>-f</w:t>
            </w:r>
            <w:r w:rsidRPr="0077225B">
              <w:rPr>
                <w:rFonts w:cstheme="minorHAnsi"/>
                <w:sz w:val="20"/>
              </w:rPr>
              <w:t>ace</w:t>
            </w:r>
          </w:p>
        </w:tc>
        <w:tc>
          <w:tcPr>
            <w:tcW w:w="1896" w:type="dxa"/>
            <w:shd w:val="clear" w:color="auto" w:fill="auto"/>
          </w:tcPr>
          <w:p w14:paraId="53F53135" w14:textId="77777777" w:rsidR="00552061" w:rsidRPr="00BC6450" w:rsidRDefault="00552061" w:rsidP="0023438C">
            <w:pPr>
              <w:spacing w:line="240" w:lineRule="auto"/>
              <w:contextualSpacing/>
              <w:rPr>
                <w:rFonts w:cstheme="minorHAnsi"/>
                <w:sz w:val="20"/>
              </w:rPr>
            </w:pPr>
            <w:r w:rsidRPr="00BC6450">
              <w:rPr>
                <w:rFonts w:cstheme="minorHAnsi"/>
                <w:sz w:val="20"/>
              </w:rPr>
              <w:t>Pre</w:t>
            </w:r>
          </w:p>
        </w:tc>
        <w:tc>
          <w:tcPr>
            <w:tcW w:w="1719" w:type="dxa"/>
            <w:shd w:val="clear" w:color="auto" w:fill="auto"/>
          </w:tcPr>
          <w:p w14:paraId="006DA895"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132</w:t>
            </w:r>
          </w:p>
        </w:tc>
        <w:tc>
          <w:tcPr>
            <w:tcW w:w="1830" w:type="dxa"/>
            <w:shd w:val="clear" w:color="auto" w:fill="auto"/>
          </w:tcPr>
          <w:p w14:paraId="09E905F1"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3.90</w:t>
            </w:r>
          </w:p>
        </w:tc>
        <w:tc>
          <w:tcPr>
            <w:tcW w:w="1996" w:type="dxa"/>
            <w:shd w:val="clear" w:color="auto" w:fill="auto"/>
          </w:tcPr>
          <w:p w14:paraId="4B95AFAA"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.68</w:t>
            </w:r>
          </w:p>
        </w:tc>
      </w:tr>
      <w:tr w:rsidR="00552061" w:rsidRPr="00BC6450" w14:paraId="6299A73D" w14:textId="77777777" w:rsidTr="0023438C">
        <w:trPr>
          <w:cantSplit/>
        </w:trPr>
        <w:tc>
          <w:tcPr>
            <w:tcW w:w="1575" w:type="dxa"/>
            <w:vMerge/>
            <w:shd w:val="clear" w:color="auto" w:fill="auto"/>
          </w:tcPr>
          <w:p w14:paraId="14F17396" w14:textId="77777777" w:rsidR="00552061" w:rsidRPr="00BC6450" w:rsidRDefault="00552061" w:rsidP="0023438C">
            <w:pPr>
              <w:spacing w:line="240" w:lineRule="auto"/>
              <w:contextualSpacing/>
              <w:rPr>
                <w:rFonts w:cstheme="minorHAnsi"/>
                <w:sz w:val="20"/>
              </w:rPr>
            </w:pPr>
          </w:p>
        </w:tc>
        <w:tc>
          <w:tcPr>
            <w:tcW w:w="1896" w:type="dxa"/>
            <w:shd w:val="clear" w:color="auto" w:fill="auto"/>
          </w:tcPr>
          <w:p w14:paraId="0DEBF0ED" w14:textId="77777777" w:rsidR="00552061" w:rsidRPr="00BC6450" w:rsidRDefault="00552061" w:rsidP="0023438C">
            <w:pPr>
              <w:spacing w:line="240" w:lineRule="auto"/>
              <w:contextualSpacing/>
              <w:rPr>
                <w:rFonts w:cstheme="minorHAnsi"/>
                <w:sz w:val="20"/>
              </w:rPr>
            </w:pPr>
            <w:r w:rsidRPr="00BC6450">
              <w:rPr>
                <w:rFonts w:cstheme="minorHAnsi"/>
                <w:sz w:val="20"/>
              </w:rPr>
              <w:t>Post</w:t>
            </w:r>
          </w:p>
        </w:tc>
        <w:tc>
          <w:tcPr>
            <w:tcW w:w="1719" w:type="dxa"/>
            <w:shd w:val="clear" w:color="auto" w:fill="auto"/>
          </w:tcPr>
          <w:p w14:paraId="2F8666C0"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132</w:t>
            </w:r>
          </w:p>
        </w:tc>
        <w:tc>
          <w:tcPr>
            <w:tcW w:w="1830" w:type="dxa"/>
            <w:shd w:val="clear" w:color="auto" w:fill="auto"/>
          </w:tcPr>
          <w:p w14:paraId="5220A57F" w14:textId="77777777" w:rsidR="00552061" w:rsidRPr="00BC6450" w:rsidRDefault="00552061" w:rsidP="0023438C">
            <w:pPr>
              <w:spacing w:line="240" w:lineRule="auto"/>
              <w:contextualSpacing/>
              <w:jc w:val="center"/>
              <w:rPr>
                <w:rFonts w:cstheme="minorHAnsi"/>
                <w:b/>
                <w:sz w:val="20"/>
              </w:rPr>
            </w:pPr>
            <w:r w:rsidRPr="00BC6450">
              <w:rPr>
                <w:rFonts w:cstheme="minorHAnsi"/>
                <w:b/>
                <w:sz w:val="20"/>
              </w:rPr>
              <w:t xml:space="preserve"> *4.15</w:t>
            </w:r>
          </w:p>
        </w:tc>
        <w:tc>
          <w:tcPr>
            <w:tcW w:w="1996" w:type="dxa"/>
            <w:shd w:val="clear" w:color="auto" w:fill="auto"/>
          </w:tcPr>
          <w:p w14:paraId="4979D97F"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.69</w:t>
            </w:r>
          </w:p>
        </w:tc>
      </w:tr>
      <w:tr w:rsidR="00552061" w:rsidRPr="00BC6450" w14:paraId="7C131018" w14:textId="77777777" w:rsidTr="0023438C">
        <w:trPr>
          <w:cantSplit/>
        </w:trPr>
        <w:tc>
          <w:tcPr>
            <w:tcW w:w="1575" w:type="dxa"/>
            <w:shd w:val="clear" w:color="auto" w:fill="auto"/>
          </w:tcPr>
          <w:p w14:paraId="3BB1C1A7" w14:textId="77777777" w:rsidR="00552061" w:rsidRPr="00BC6450" w:rsidRDefault="00552061" w:rsidP="0023438C">
            <w:pPr>
              <w:spacing w:line="240" w:lineRule="auto"/>
              <w:contextualSpacing/>
              <w:rPr>
                <w:rFonts w:cstheme="minorHAnsi"/>
                <w:b/>
                <w:sz w:val="20"/>
              </w:rPr>
            </w:pPr>
          </w:p>
        </w:tc>
        <w:tc>
          <w:tcPr>
            <w:tcW w:w="7441" w:type="dxa"/>
            <w:gridSpan w:val="4"/>
            <w:shd w:val="clear" w:color="auto" w:fill="auto"/>
          </w:tcPr>
          <w:p w14:paraId="2D5EEC20" w14:textId="77777777" w:rsidR="00552061" w:rsidRPr="00BC6450" w:rsidRDefault="00552061" w:rsidP="0023438C">
            <w:pPr>
              <w:spacing w:line="240" w:lineRule="auto"/>
              <w:contextualSpacing/>
              <w:rPr>
                <w:rFonts w:cstheme="minorHAnsi"/>
                <w:b/>
                <w:sz w:val="20"/>
              </w:rPr>
            </w:pPr>
          </w:p>
          <w:p w14:paraId="2D9553E7" w14:textId="77777777" w:rsidR="00552061" w:rsidRPr="004B5F94" w:rsidRDefault="00552061" w:rsidP="0023438C">
            <w:pPr>
              <w:spacing w:line="240" w:lineRule="auto"/>
              <w:contextualSpacing/>
              <w:rPr>
                <w:rFonts w:cstheme="minorHAnsi"/>
                <w:bCs/>
                <w:sz w:val="20"/>
              </w:rPr>
            </w:pPr>
            <w:r w:rsidRPr="004B5F94">
              <w:rPr>
                <w:rFonts w:cstheme="minorHAnsi"/>
                <w:bCs/>
                <w:sz w:val="20"/>
              </w:rPr>
              <w:t>Motivation</w:t>
            </w:r>
          </w:p>
          <w:p w14:paraId="54C09B4F" w14:textId="77777777" w:rsidR="00552061" w:rsidRPr="00BC6450" w:rsidRDefault="00552061" w:rsidP="0023438C">
            <w:pPr>
              <w:spacing w:line="240" w:lineRule="auto"/>
              <w:contextualSpacing/>
              <w:jc w:val="center"/>
              <w:rPr>
                <w:rFonts w:cstheme="minorHAnsi"/>
                <w:sz w:val="20"/>
              </w:rPr>
            </w:pPr>
          </w:p>
        </w:tc>
      </w:tr>
      <w:tr w:rsidR="00552061" w:rsidRPr="00BC6450" w14:paraId="79FBD2A8" w14:textId="77777777" w:rsidTr="0023438C">
        <w:trPr>
          <w:cantSplit/>
        </w:trPr>
        <w:tc>
          <w:tcPr>
            <w:tcW w:w="1575" w:type="dxa"/>
            <w:vMerge w:val="restart"/>
            <w:shd w:val="clear" w:color="auto" w:fill="auto"/>
          </w:tcPr>
          <w:p w14:paraId="025D663A" w14:textId="77777777" w:rsidR="00552061" w:rsidRPr="00BC6450" w:rsidRDefault="00552061" w:rsidP="0023438C">
            <w:pPr>
              <w:spacing w:line="240" w:lineRule="auto"/>
              <w:contextualSpacing/>
              <w:rPr>
                <w:rFonts w:cstheme="minorHAnsi"/>
                <w:sz w:val="20"/>
              </w:rPr>
            </w:pPr>
            <w:r w:rsidRPr="00BC6450">
              <w:rPr>
                <w:rFonts w:cstheme="minorHAnsi"/>
                <w:sz w:val="20"/>
              </w:rPr>
              <w:t>Online</w:t>
            </w:r>
          </w:p>
        </w:tc>
        <w:tc>
          <w:tcPr>
            <w:tcW w:w="1896" w:type="dxa"/>
            <w:shd w:val="clear" w:color="auto" w:fill="auto"/>
          </w:tcPr>
          <w:p w14:paraId="54277C23" w14:textId="77777777" w:rsidR="00552061" w:rsidRPr="00BC6450" w:rsidRDefault="00552061" w:rsidP="0023438C">
            <w:pPr>
              <w:spacing w:line="240" w:lineRule="auto"/>
              <w:contextualSpacing/>
              <w:rPr>
                <w:rFonts w:cstheme="minorHAnsi"/>
                <w:sz w:val="20"/>
              </w:rPr>
            </w:pPr>
            <w:r w:rsidRPr="00BC6450">
              <w:rPr>
                <w:rFonts w:cstheme="minorHAnsi"/>
                <w:sz w:val="20"/>
              </w:rPr>
              <w:t>Pre</w:t>
            </w:r>
          </w:p>
        </w:tc>
        <w:tc>
          <w:tcPr>
            <w:tcW w:w="1719" w:type="dxa"/>
            <w:shd w:val="clear" w:color="auto" w:fill="auto"/>
          </w:tcPr>
          <w:p w14:paraId="09D225FC"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56</w:t>
            </w:r>
          </w:p>
        </w:tc>
        <w:tc>
          <w:tcPr>
            <w:tcW w:w="1830" w:type="dxa"/>
            <w:shd w:val="clear" w:color="auto" w:fill="auto"/>
          </w:tcPr>
          <w:p w14:paraId="5E07E1CD"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3.79</w:t>
            </w:r>
          </w:p>
        </w:tc>
        <w:tc>
          <w:tcPr>
            <w:tcW w:w="1996" w:type="dxa"/>
            <w:shd w:val="clear" w:color="auto" w:fill="auto"/>
          </w:tcPr>
          <w:p w14:paraId="6F6E6A95"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.62</w:t>
            </w:r>
          </w:p>
        </w:tc>
      </w:tr>
      <w:tr w:rsidR="00552061" w:rsidRPr="00BC6450" w14:paraId="53E5685F" w14:textId="77777777" w:rsidTr="0023438C">
        <w:trPr>
          <w:cantSplit/>
        </w:trPr>
        <w:tc>
          <w:tcPr>
            <w:tcW w:w="1575" w:type="dxa"/>
            <w:vMerge/>
            <w:shd w:val="clear" w:color="auto" w:fill="auto"/>
          </w:tcPr>
          <w:p w14:paraId="4CCD730A" w14:textId="77777777" w:rsidR="00552061" w:rsidRPr="00BC6450" w:rsidRDefault="00552061" w:rsidP="0023438C">
            <w:pPr>
              <w:spacing w:line="240" w:lineRule="auto"/>
              <w:contextualSpacing/>
              <w:rPr>
                <w:rFonts w:cstheme="minorHAnsi"/>
                <w:sz w:val="20"/>
              </w:rPr>
            </w:pPr>
          </w:p>
        </w:tc>
        <w:tc>
          <w:tcPr>
            <w:tcW w:w="1896" w:type="dxa"/>
            <w:shd w:val="clear" w:color="auto" w:fill="auto"/>
          </w:tcPr>
          <w:p w14:paraId="00C311CA" w14:textId="77777777" w:rsidR="00552061" w:rsidRPr="00BC6450" w:rsidRDefault="00552061" w:rsidP="0023438C">
            <w:pPr>
              <w:spacing w:line="240" w:lineRule="auto"/>
              <w:contextualSpacing/>
              <w:rPr>
                <w:rFonts w:cstheme="minorHAnsi"/>
                <w:sz w:val="20"/>
              </w:rPr>
            </w:pPr>
            <w:r w:rsidRPr="00BC6450">
              <w:rPr>
                <w:rFonts w:cstheme="minorHAnsi"/>
                <w:sz w:val="20"/>
              </w:rPr>
              <w:t>Post</w:t>
            </w:r>
          </w:p>
        </w:tc>
        <w:tc>
          <w:tcPr>
            <w:tcW w:w="1719" w:type="dxa"/>
            <w:shd w:val="clear" w:color="auto" w:fill="auto"/>
          </w:tcPr>
          <w:p w14:paraId="568E2CFA"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56</w:t>
            </w:r>
          </w:p>
        </w:tc>
        <w:tc>
          <w:tcPr>
            <w:tcW w:w="1830" w:type="dxa"/>
            <w:shd w:val="clear" w:color="auto" w:fill="auto"/>
          </w:tcPr>
          <w:p w14:paraId="27604E50"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3.79</w:t>
            </w:r>
          </w:p>
        </w:tc>
        <w:tc>
          <w:tcPr>
            <w:tcW w:w="1996" w:type="dxa"/>
            <w:shd w:val="clear" w:color="auto" w:fill="auto"/>
          </w:tcPr>
          <w:p w14:paraId="34A909B0"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.59</w:t>
            </w:r>
          </w:p>
        </w:tc>
      </w:tr>
      <w:tr w:rsidR="00552061" w:rsidRPr="00BC6450" w14:paraId="0464AB80" w14:textId="77777777" w:rsidTr="0023438C">
        <w:trPr>
          <w:cantSplit/>
        </w:trPr>
        <w:tc>
          <w:tcPr>
            <w:tcW w:w="1575" w:type="dxa"/>
            <w:vMerge w:val="restart"/>
            <w:shd w:val="clear" w:color="auto" w:fill="auto"/>
          </w:tcPr>
          <w:p w14:paraId="22E1F0A3" w14:textId="719A9AE5" w:rsidR="00552061" w:rsidRPr="00BC6450" w:rsidRDefault="00695F40" w:rsidP="0023438C">
            <w:pPr>
              <w:spacing w:line="240" w:lineRule="auto"/>
              <w:contextualSpacing/>
              <w:rPr>
                <w:rFonts w:cstheme="minorHAnsi"/>
                <w:sz w:val="20"/>
              </w:rPr>
            </w:pPr>
            <w:r w:rsidRPr="0077225B">
              <w:rPr>
                <w:rFonts w:cstheme="minorHAnsi"/>
                <w:sz w:val="20"/>
              </w:rPr>
              <w:t>Face</w:t>
            </w:r>
            <w:r>
              <w:rPr>
                <w:rFonts w:cstheme="minorHAnsi"/>
                <w:sz w:val="20"/>
              </w:rPr>
              <w:t>-</w:t>
            </w:r>
            <w:r w:rsidRPr="0077225B">
              <w:rPr>
                <w:rFonts w:cstheme="minorHAnsi"/>
                <w:sz w:val="20"/>
              </w:rPr>
              <w:t>to</w:t>
            </w:r>
            <w:r>
              <w:rPr>
                <w:rFonts w:cstheme="minorHAnsi"/>
                <w:sz w:val="20"/>
              </w:rPr>
              <w:t>-f</w:t>
            </w:r>
            <w:r w:rsidRPr="0077225B">
              <w:rPr>
                <w:rFonts w:cstheme="minorHAnsi"/>
                <w:sz w:val="20"/>
              </w:rPr>
              <w:t>ace</w:t>
            </w:r>
          </w:p>
        </w:tc>
        <w:tc>
          <w:tcPr>
            <w:tcW w:w="1896" w:type="dxa"/>
            <w:shd w:val="clear" w:color="auto" w:fill="auto"/>
          </w:tcPr>
          <w:p w14:paraId="50D954D0" w14:textId="77777777" w:rsidR="00552061" w:rsidRPr="00BC6450" w:rsidRDefault="00552061" w:rsidP="0023438C">
            <w:pPr>
              <w:spacing w:line="240" w:lineRule="auto"/>
              <w:contextualSpacing/>
              <w:rPr>
                <w:rFonts w:cstheme="minorHAnsi"/>
                <w:sz w:val="20"/>
              </w:rPr>
            </w:pPr>
            <w:r w:rsidRPr="00BC6450">
              <w:rPr>
                <w:rFonts w:cstheme="minorHAnsi"/>
                <w:sz w:val="20"/>
              </w:rPr>
              <w:t>Pre</w:t>
            </w:r>
          </w:p>
        </w:tc>
        <w:tc>
          <w:tcPr>
            <w:tcW w:w="1719" w:type="dxa"/>
            <w:shd w:val="clear" w:color="auto" w:fill="auto"/>
          </w:tcPr>
          <w:p w14:paraId="3C9780DC"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131</w:t>
            </w:r>
          </w:p>
        </w:tc>
        <w:tc>
          <w:tcPr>
            <w:tcW w:w="1830" w:type="dxa"/>
            <w:shd w:val="clear" w:color="auto" w:fill="auto"/>
          </w:tcPr>
          <w:p w14:paraId="1B3754D6"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3.75</w:t>
            </w:r>
          </w:p>
        </w:tc>
        <w:tc>
          <w:tcPr>
            <w:tcW w:w="1996" w:type="dxa"/>
            <w:shd w:val="clear" w:color="auto" w:fill="auto"/>
          </w:tcPr>
          <w:p w14:paraId="34BE5236"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.64</w:t>
            </w:r>
          </w:p>
        </w:tc>
      </w:tr>
      <w:tr w:rsidR="00552061" w:rsidRPr="00BC6450" w14:paraId="297D85C6" w14:textId="77777777" w:rsidTr="0023438C">
        <w:trPr>
          <w:cantSplit/>
        </w:trPr>
        <w:tc>
          <w:tcPr>
            <w:tcW w:w="1575" w:type="dxa"/>
            <w:vMerge/>
            <w:shd w:val="clear" w:color="auto" w:fill="auto"/>
          </w:tcPr>
          <w:p w14:paraId="251404B9" w14:textId="77777777" w:rsidR="00552061" w:rsidRPr="00BC6450" w:rsidRDefault="00552061" w:rsidP="0023438C">
            <w:pPr>
              <w:spacing w:line="240" w:lineRule="auto"/>
              <w:contextualSpacing/>
              <w:rPr>
                <w:rFonts w:cstheme="minorHAnsi"/>
                <w:sz w:val="20"/>
              </w:rPr>
            </w:pPr>
          </w:p>
        </w:tc>
        <w:tc>
          <w:tcPr>
            <w:tcW w:w="1896" w:type="dxa"/>
            <w:shd w:val="clear" w:color="auto" w:fill="auto"/>
          </w:tcPr>
          <w:p w14:paraId="0C060208" w14:textId="77777777" w:rsidR="00552061" w:rsidRPr="00BC6450" w:rsidRDefault="00552061" w:rsidP="0023438C">
            <w:pPr>
              <w:spacing w:line="240" w:lineRule="auto"/>
              <w:contextualSpacing/>
              <w:rPr>
                <w:rFonts w:cstheme="minorHAnsi"/>
                <w:sz w:val="20"/>
              </w:rPr>
            </w:pPr>
            <w:r w:rsidRPr="00BC6450">
              <w:rPr>
                <w:rFonts w:cstheme="minorHAnsi"/>
                <w:sz w:val="20"/>
              </w:rPr>
              <w:t>Post</w:t>
            </w:r>
          </w:p>
        </w:tc>
        <w:tc>
          <w:tcPr>
            <w:tcW w:w="1719" w:type="dxa"/>
            <w:shd w:val="clear" w:color="auto" w:fill="auto"/>
          </w:tcPr>
          <w:p w14:paraId="5D8891B2"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131</w:t>
            </w:r>
          </w:p>
        </w:tc>
        <w:tc>
          <w:tcPr>
            <w:tcW w:w="1830" w:type="dxa"/>
            <w:shd w:val="clear" w:color="auto" w:fill="auto"/>
          </w:tcPr>
          <w:p w14:paraId="5B4A3A9F"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3.82</w:t>
            </w:r>
          </w:p>
        </w:tc>
        <w:tc>
          <w:tcPr>
            <w:tcW w:w="1996" w:type="dxa"/>
            <w:shd w:val="clear" w:color="auto" w:fill="auto"/>
          </w:tcPr>
          <w:p w14:paraId="49B7C140"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.70</w:t>
            </w:r>
          </w:p>
        </w:tc>
      </w:tr>
      <w:tr w:rsidR="00552061" w:rsidRPr="00BC6450" w14:paraId="013C61B0" w14:textId="77777777" w:rsidTr="0023438C">
        <w:trPr>
          <w:cantSplit/>
        </w:trPr>
        <w:tc>
          <w:tcPr>
            <w:tcW w:w="1575" w:type="dxa"/>
            <w:shd w:val="clear" w:color="auto" w:fill="auto"/>
          </w:tcPr>
          <w:p w14:paraId="4F81C862" w14:textId="77777777" w:rsidR="00552061" w:rsidRPr="00BC6450" w:rsidRDefault="00552061" w:rsidP="0023438C">
            <w:pPr>
              <w:spacing w:line="240" w:lineRule="auto"/>
              <w:contextualSpacing/>
              <w:rPr>
                <w:rFonts w:cstheme="minorHAnsi"/>
                <w:b/>
                <w:sz w:val="20"/>
              </w:rPr>
            </w:pPr>
          </w:p>
        </w:tc>
        <w:tc>
          <w:tcPr>
            <w:tcW w:w="7441" w:type="dxa"/>
            <w:gridSpan w:val="4"/>
            <w:shd w:val="clear" w:color="auto" w:fill="auto"/>
          </w:tcPr>
          <w:p w14:paraId="40F12E12" w14:textId="77777777" w:rsidR="00552061" w:rsidRPr="00BC6450" w:rsidRDefault="00552061" w:rsidP="0023438C">
            <w:pPr>
              <w:spacing w:line="240" w:lineRule="auto"/>
              <w:contextualSpacing/>
              <w:rPr>
                <w:rFonts w:cstheme="minorHAnsi"/>
                <w:b/>
                <w:sz w:val="20"/>
              </w:rPr>
            </w:pPr>
          </w:p>
          <w:p w14:paraId="7F81338A" w14:textId="77777777" w:rsidR="00552061" w:rsidRPr="004B5F94" w:rsidRDefault="00552061" w:rsidP="0023438C">
            <w:pPr>
              <w:spacing w:line="240" w:lineRule="auto"/>
              <w:contextualSpacing/>
              <w:rPr>
                <w:rFonts w:cstheme="minorHAnsi"/>
                <w:bCs/>
                <w:sz w:val="20"/>
              </w:rPr>
            </w:pPr>
            <w:r w:rsidRPr="004B5F94">
              <w:rPr>
                <w:rFonts w:cstheme="minorHAnsi"/>
                <w:bCs/>
                <w:sz w:val="20"/>
              </w:rPr>
              <w:t>Confidence</w:t>
            </w:r>
          </w:p>
          <w:p w14:paraId="1AA32E85" w14:textId="77777777" w:rsidR="00552061" w:rsidRPr="00BC6450" w:rsidRDefault="00552061" w:rsidP="0023438C">
            <w:pPr>
              <w:spacing w:line="240" w:lineRule="auto"/>
              <w:contextualSpacing/>
              <w:jc w:val="center"/>
              <w:rPr>
                <w:rFonts w:cstheme="minorHAnsi"/>
                <w:sz w:val="20"/>
              </w:rPr>
            </w:pPr>
          </w:p>
        </w:tc>
      </w:tr>
      <w:tr w:rsidR="00552061" w:rsidRPr="00BC6450" w14:paraId="6696BDAD" w14:textId="77777777" w:rsidTr="0023438C">
        <w:trPr>
          <w:cantSplit/>
        </w:trPr>
        <w:tc>
          <w:tcPr>
            <w:tcW w:w="1575" w:type="dxa"/>
            <w:vMerge w:val="restart"/>
            <w:shd w:val="clear" w:color="auto" w:fill="auto"/>
          </w:tcPr>
          <w:p w14:paraId="047C475A" w14:textId="77777777" w:rsidR="00552061" w:rsidRPr="00BC6450" w:rsidRDefault="00552061" w:rsidP="0023438C">
            <w:pPr>
              <w:spacing w:line="240" w:lineRule="auto"/>
              <w:contextualSpacing/>
              <w:rPr>
                <w:rFonts w:cstheme="minorHAnsi"/>
                <w:sz w:val="20"/>
              </w:rPr>
            </w:pPr>
            <w:r w:rsidRPr="00BC6450">
              <w:rPr>
                <w:rFonts w:cstheme="minorHAnsi"/>
                <w:sz w:val="20"/>
              </w:rPr>
              <w:t xml:space="preserve">Online </w:t>
            </w:r>
          </w:p>
        </w:tc>
        <w:tc>
          <w:tcPr>
            <w:tcW w:w="1896" w:type="dxa"/>
            <w:shd w:val="clear" w:color="auto" w:fill="auto"/>
          </w:tcPr>
          <w:p w14:paraId="2EC9F3D5" w14:textId="77777777" w:rsidR="00552061" w:rsidRPr="00BC6450" w:rsidRDefault="00552061" w:rsidP="0023438C">
            <w:pPr>
              <w:spacing w:line="240" w:lineRule="auto"/>
              <w:contextualSpacing/>
              <w:rPr>
                <w:rFonts w:cstheme="minorHAnsi"/>
                <w:sz w:val="20"/>
              </w:rPr>
            </w:pPr>
            <w:r w:rsidRPr="00BC6450">
              <w:rPr>
                <w:rFonts w:cstheme="minorHAnsi"/>
                <w:sz w:val="20"/>
              </w:rPr>
              <w:t>Pre</w:t>
            </w:r>
          </w:p>
        </w:tc>
        <w:tc>
          <w:tcPr>
            <w:tcW w:w="1719" w:type="dxa"/>
            <w:shd w:val="clear" w:color="auto" w:fill="auto"/>
          </w:tcPr>
          <w:p w14:paraId="149BF0D4"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57</w:t>
            </w:r>
          </w:p>
        </w:tc>
        <w:tc>
          <w:tcPr>
            <w:tcW w:w="1830" w:type="dxa"/>
            <w:shd w:val="clear" w:color="auto" w:fill="auto"/>
          </w:tcPr>
          <w:p w14:paraId="3D72C347"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2.74</w:t>
            </w:r>
          </w:p>
        </w:tc>
        <w:tc>
          <w:tcPr>
            <w:tcW w:w="1996" w:type="dxa"/>
            <w:shd w:val="clear" w:color="auto" w:fill="auto"/>
          </w:tcPr>
          <w:p w14:paraId="76BA5D35"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.99</w:t>
            </w:r>
          </w:p>
        </w:tc>
      </w:tr>
      <w:tr w:rsidR="00552061" w:rsidRPr="00BC6450" w14:paraId="001C1A21" w14:textId="77777777" w:rsidTr="0023438C">
        <w:trPr>
          <w:cantSplit/>
        </w:trPr>
        <w:tc>
          <w:tcPr>
            <w:tcW w:w="1575" w:type="dxa"/>
            <w:vMerge/>
            <w:shd w:val="clear" w:color="auto" w:fill="auto"/>
          </w:tcPr>
          <w:p w14:paraId="3FF786C4" w14:textId="77777777" w:rsidR="00552061" w:rsidRPr="00BC6450" w:rsidRDefault="00552061" w:rsidP="0023438C">
            <w:pPr>
              <w:spacing w:line="240" w:lineRule="auto"/>
              <w:contextualSpacing/>
              <w:rPr>
                <w:rFonts w:cstheme="minorHAnsi"/>
                <w:sz w:val="20"/>
              </w:rPr>
            </w:pPr>
          </w:p>
        </w:tc>
        <w:tc>
          <w:tcPr>
            <w:tcW w:w="1896" w:type="dxa"/>
            <w:shd w:val="clear" w:color="auto" w:fill="auto"/>
          </w:tcPr>
          <w:p w14:paraId="15F9DCC8" w14:textId="77777777" w:rsidR="00552061" w:rsidRPr="00BC6450" w:rsidRDefault="00552061" w:rsidP="0023438C">
            <w:pPr>
              <w:spacing w:line="240" w:lineRule="auto"/>
              <w:contextualSpacing/>
              <w:rPr>
                <w:rFonts w:cstheme="minorHAnsi"/>
                <w:sz w:val="20"/>
              </w:rPr>
            </w:pPr>
            <w:r w:rsidRPr="00BC6450">
              <w:rPr>
                <w:rFonts w:cstheme="minorHAnsi"/>
                <w:sz w:val="20"/>
              </w:rPr>
              <w:t>Post</w:t>
            </w:r>
          </w:p>
        </w:tc>
        <w:tc>
          <w:tcPr>
            <w:tcW w:w="1719" w:type="dxa"/>
            <w:shd w:val="clear" w:color="auto" w:fill="auto"/>
          </w:tcPr>
          <w:p w14:paraId="2D979463"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57</w:t>
            </w:r>
          </w:p>
        </w:tc>
        <w:tc>
          <w:tcPr>
            <w:tcW w:w="1830" w:type="dxa"/>
            <w:shd w:val="clear" w:color="auto" w:fill="auto"/>
          </w:tcPr>
          <w:p w14:paraId="2B24687E" w14:textId="77777777" w:rsidR="00552061" w:rsidRPr="00BC6450" w:rsidRDefault="00552061" w:rsidP="0023438C">
            <w:pPr>
              <w:spacing w:line="240" w:lineRule="auto"/>
              <w:contextualSpacing/>
              <w:jc w:val="center"/>
              <w:rPr>
                <w:rFonts w:cstheme="minorHAnsi"/>
                <w:b/>
                <w:sz w:val="20"/>
              </w:rPr>
            </w:pPr>
            <w:r w:rsidRPr="00BC6450">
              <w:rPr>
                <w:rFonts w:cstheme="minorHAnsi"/>
                <w:b/>
                <w:sz w:val="20"/>
              </w:rPr>
              <w:t>**3.54</w:t>
            </w:r>
          </w:p>
        </w:tc>
        <w:tc>
          <w:tcPr>
            <w:tcW w:w="1996" w:type="dxa"/>
            <w:shd w:val="clear" w:color="auto" w:fill="auto"/>
          </w:tcPr>
          <w:p w14:paraId="2EC96B0A"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.83</w:t>
            </w:r>
          </w:p>
        </w:tc>
      </w:tr>
      <w:tr w:rsidR="00552061" w:rsidRPr="00BC6450" w14:paraId="20BC0471" w14:textId="77777777" w:rsidTr="0023438C">
        <w:trPr>
          <w:cantSplit/>
        </w:trPr>
        <w:tc>
          <w:tcPr>
            <w:tcW w:w="1575" w:type="dxa"/>
            <w:vMerge w:val="restart"/>
            <w:shd w:val="clear" w:color="auto" w:fill="auto"/>
          </w:tcPr>
          <w:p w14:paraId="51232001" w14:textId="5335330F" w:rsidR="00552061" w:rsidRPr="00BC6450" w:rsidRDefault="00695F40" w:rsidP="0023438C">
            <w:pPr>
              <w:spacing w:line="240" w:lineRule="auto"/>
              <w:contextualSpacing/>
              <w:rPr>
                <w:rFonts w:cstheme="minorHAnsi"/>
                <w:sz w:val="20"/>
              </w:rPr>
            </w:pPr>
            <w:r w:rsidRPr="0077225B">
              <w:rPr>
                <w:rFonts w:cstheme="minorHAnsi"/>
                <w:sz w:val="20"/>
              </w:rPr>
              <w:t>Face</w:t>
            </w:r>
            <w:r>
              <w:rPr>
                <w:rFonts w:cstheme="minorHAnsi"/>
                <w:sz w:val="20"/>
              </w:rPr>
              <w:t>-</w:t>
            </w:r>
            <w:r w:rsidRPr="0077225B">
              <w:rPr>
                <w:rFonts w:cstheme="minorHAnsi"/>
                <w:sz w:val="20"/>
              </w:rPr>
              <w:t>to</w:t>
            </w:r>
            <w:r>
              <w:rPr>
                <w:rFonts w:cstheme="minorHAnsi"/>
                <w:sz w:val="20"/>
              </w:rPr>
              <w:t>-f</w:t>
            </w:r>
            <w:r w:rsidRPr="0077225B">
              <w:rPr>
                <w:rFonts w:cstheme="minorHAnsi"/>
                <w:sz w:val="20"/>
              </w:rPr>
              <w:t>ace</w:t>
            </w:r>
          </w:p>
        </w:tc>
        <w:tc>
          <w:tcPr>
            <w:tcW w:w="1896" w:type="dxa"/>
            <w:shd w:val="clear" w:color="auto" w:fill="auto"/>
          </w:tcPr>
          <w:p w14:paraId="4B8FB329" w14:textId="77777777" w:rsidR="00552061" w:rsidRPr="00BC6450" w:rsidRDefault="00552061" w:rsidP="0023438C">
            <w:pPr>
              <w:spacing w:line="240" w:lineRule="auto"/>
              <w:contextualSpacing/>
              <w:rPr>
                <w:rFonts w:cstheme="minorHAnsi"/>
                <w:sz w:val="20"/>
              </w:rPr>
            </w:pPr>
            <w:r w:rsidRPr="00BC6450">
              <w:rPr>
                <w:rFonts w:cstheme="minorHAnsi"/>
                <w:sz w:val="20"/>
              </w:rPr>
              <w:t>Pre</w:t>
            </w:r>
          </w:p>
        </w:tc>
        <w:tc>
          <w:tcPr>
            <w:tcW w:w="1719" w:type="dxa"/>
            <w:shd w:val="clear" w:color="auto" w:fill="auto"/>
          </w:tcPr>
          <w:p w14:paraId="62D90A3A"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135</w:t>
            </w:r>
          </w:p>
        </w:tc>
        <w:tc>
          <w:tcPr>
            <w:tcW w:w="1830" w:type="dxa"/>
            <w:shd w:val="clear" w:color="auto" w:fill="auto"/>
          </w:tcPr>
          <w:p w14:paraId="3B6A4736"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 xml:space="preserve">    3.05</w:t>
            </w:r>
          </w:p>
        </w:tc>
        <w:tc>
          <w:tcPr>
            <w:tcW w:w="1996" w:type="dxa"/>
            <w:shd w:val="clear" w:color="auto" w:fill="auto"/>
          </w:tcPr>
          <w:p w14:paraId="773AAAEC"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1.05</w:t>
            </w:r>
          </w:p>
        </w:tc>
      </w:tr>
      <w:tr w:rsidR="00552061" w:rsidRPr="00BC6450" w14:paraId="1D15AE00" w14:textId="77777777" w:rsidTr="0023438C">
        <w:trPr>
          <w:cantSplit/>
        </w:trPr>
        <w:tc>
          <w:tcPr>
            <w:tcW w:w="1575" w:type="dxa"/>
            <w:vMerge/>
            <w:tcBorders>
              <w:bottom w:val="single" w:sz="4" w:space="0" w:color="auto"/>
            </w:tcBorders>
            <w:shd w:val="clear" w:color="auto" w:fill="auto"/>
          </w:tcPr>
          <w:p w14:paraId="68031B52" w14:textId="77777777" w:rsidR="00552061" w:rsidRPr="00BC6450" w:rsidRDefault="00552061" w:rsidP="0023438C">
            <w:pPr>
              <w:spacing w:line="240" w:lineRule="auto"/>
              <w:contextualSpacing/>
              <w:rPr>
                <w:rFonts w:cstheme="minorHAnsi"/>
                <w:sz w:val="20"/>
              </w:rPr>
            </w:pPr>
          </w:p>
        </w:tc>
        <w:tc>
          <w:tcPr>
            <w:tcW w:w="1896" w:type="dxa"/>
            <w:tcBorders>
              <w:bottom w:val="single" w:sz="4" w:space="0" w:color="auto"/>
            </w:tcBorders>
            <w:shd w:val="clear" w:color="auto" w:fill="auto"/>
          </w:tcPr>
          <w:p w14:paraId="5A3C0270" w14:textId="77777777" w:rsidR="00552061" w:rsidRPr="00BC6450" w:rsidRDefault="00552061" w:rsidP="0023438C">
            <w:pPr>
              <w:spacing w:line="240" w:lineRule="auto"/>
              <w:contextualSpacing/>
              <w:rPr>
                <w:rFonts w:cstheme="minorHAnsi"/>
                <w:sz w:val="20"/>
              </w:rPr>
            </w:pPr>
            <w:r w:rsidRPr="00BC6450">
              <w:rPr>
                <w:rFonts w:cstheme="minorHAnsi"/>
                <w:sz w:val="20"/>
              </w:rPr>
              <w:t>Post</w:t>
            </w:r>
          </w:p>
        </w:tc>
        <w:tc>
          <w:tcPr>
            <w:tcW w:w="1719" w:type="dxa"/>
            <w:tcBorders>
              <w:bottom w:val="single" w:sz="4" w:space="0" w:color="auto"/>
            </w:tcBorders>
            <w:shd w:val="clear" w:color="auto" w:fill="auto"/>
          </w:tcPr>
          <w:p w14:paraId="4B3660DF"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135</w:t>
            </w:r>
          </w:p>
        </w:tc>
        <w:tc>
          <w:tcPr>
            <w:tcW w:w="1830" w:type="dxa"/>
            <w:tcBorders>
              <w:bottom w:val="single" w:sz="4" w:space="0" w:color="auto"/>
            </w:tcBorders>
            <w:shd w:val="clear" w:color="auto" w:fill="auto"/>
          </w:tcPr>
          <w:p w14:paraId="002F3138" w14:textId="77777777" w:rsidR="00552061" w:rsidRPr="00BC6450" w:rsidRDefault="00552061" w:rsidP="0023438C">
            <w:pPr>
              <w:spacing w:line="240" w:lineRule="auto"/>
              <w:contextualSpacing/>
              <w:jc w:val="center"/>
              <w:rPr>
                <w:rFonts w:cstheme="minorHAnsi"/>
                <w:b/>
                <w:sz w:val="20"/>
              </w:rPr>
            </w:pPr>
            <w:r w:rsidRPr="00BC6450">
              <w:rPr>
                <w:rFonts w:cstheme="minorHAnsi"/>
                <w:b/>
                <w:sz w:val="20"/>
              </w:rPr>
              <w:t>**3.87</w:t>
            </w:r>
          </w:p>
        </w:tc>
        <w:tc>
          <w:tcPr>
            <w:tcW w:w="1996" w:type="dxa"/>
            <w:tcBorders>
              <w:bottom w:val="single" w:sz="4" w:space="0" w:color="auto"/>
            </w:tcBorders>
            <w:shd w:val="clear" w:color="auto" w:fill="auto"/>
          </w:tcPr>
          <w:p w14:paraId="2D7FDB88" w14:textId="77777777" w:rsidR="00552061" w:rsidRPr="00BC6450" w:rsidRDefault="00552061" w:rsidP="0023438C">
            <w:pPr>
              <w:spacing w:line="240" w:lineRule="auto"/>
              <w:contextualSpacing/>
              <w:jc w:val="center"/>
              <w:rPr>
                <w:rFonts w:cstheme="minorHAnsi"/>
                <w:sz w:val="20"/>
              </w:rPr>
            </w:pPr>
            <w:r w:rsidRPr="00BC6450">
              <w:rPr>
                <w:rFonts w:cstheme="minorHAnsi"/>
                <w:sz w:val="20"/>
              </w:rPr>
              <w:t>.75</w:t>
            </w:r>
          </w:p>
        </w:tc>
      </w:tr>
    </w:tbl>
    <w:p w14:paraId="63C103B3" w14:textId="77777777" w:rsidR="00552061" w:rsidRPr="00BC6450" w:rsidRDefault="00552061" w:rsidP="00552061">
      <w:pPr>
        <w:spacing w:after="0" w:line="240" w:lineRule="auto"/>
        <w:rPr>
          <w:rFonts w:cstheme="minorHAnsi"/>
          <w:sz w:val="20"/>
          <w:szCs w:val="20"/>
        </w:rPr>
      </w:pPr>
      <w:r>
        <w:rPr>
          <w:rFonts w:cstheme="minorHAnsi"/>
          <w:sz w:val="20"/>
          <w:szCs w:val="20"/>
        </w:rPr>
        <w:t>Note</w:t>
      </w:r>
      <w:r w:rsidRPr="00F470F8">
        <w:rPr>
          <w:rFonts w:cstheme="minorHAnsi"/>
          <w:b/>
          <w:bCs/>
          <w:sz w:val="20"/>
          <w:szCs w:val="20"/>
        </w:rPr>
        <w:t>* &lt;.05, ** &lt;.001</w:t>
      </w:r>
    </w:p>
    <w:p w14:paraId="7EB7D1B9" w14:textId="77777777" w:rsidR="00552061" w:rsidRDefault="00552061" w:rsidP="00552061">
      <w:pPr>
        <w:rPr>
          <w:rFonts w:cstheme="minorHAnsi"/>
          <w:sz w:val="28"/>
          <w:szCs w:val="28"/>
        </w:rPr>
      </w:pPr>
    </w:p>
    <w:p w14:paraId="6CF5B565" w14:textId="78533E2C" w:rsidR="00552061" w:rsidRPr="003243CE" w:rsidRDefault="00552061" w:rsidP="00070C12">
      <w:pPr>
        <w:pStyle w:val="Heading2"/>
      </w:pPr>
      <w:bookmarkStart w:id="339" w:name="_Toc44339272"/>
      <w:bookmarkStart w:id="340" w:name="_Toc45539291"/>
      <w:bookmarkStart w:id="341" w:name="_Toc54954877"/>
      <w:r w:rsidRPr="003243CE">
        <w:lastRenderedPageBreak/>
        <w:t>Online v</w:t>
      </w:r>
      <w:r w:rsidR="003013FF" w:rsidRPr="003243CE">
        <w:t>s</w:t>
      </w:r>
      <w:r w:rsidRPr="003243CE">
        <w:t xml:space="preserve"> </w:t>
      </w:r>
      <w:r w:rsidR="00280B7A" w:rsidRPr="003243CE">
        <w:t>f</w:t>
      </w:r>
      <w:r w:rsidRPr="003243CE">
        <w:t>ace</w:t>
      </w:r>
      <w:r w:rsidR="00280B7A" w:rsidRPr="003243CE">
        <w:t>-</w:t>
      </w:r>
      <w:r w:rsidRPr="003243CE">
        <w:t>to</w:t>
      </w:r>
      <w:r w:rsidR="00280B7A" w:rsidRPr="003243CE">
        <w:t>-f</w:t>
      </w:r>
      <w:r w:rsidRPr="003243CE">
        <w:t>ace training</w:t>
      </w:r>
      <w:bookmarkEnd w:id="339"/>
      <w:bookmarkEnd w:id="340"/>
      <w:bookmarkEnd w:id="341"/>
    </w:p>
    <w:p w14:paraId="293CC207" w14:textId="56CFBBE1" w:rsidR="00552061" w:rsidRPr="009F4FE7" w:rsidRDefault="00552061" w:rsidP="00552061">
      <w:pPr>
        <w:rPr>
          <w:rFonts w:cstheme="minorHAnsi"/>
        </w:rPr>
      </w:pPr>
      <w:r w:rsidRPr="00063061">
        <w:rPr>
          <w:rFonts w:cstheme="minorHAnsi"/>
        </w:rPr>
        <w:t xml:space="preserve">Both </w:t>
      </w:r>
      <w:r w:rsidR="002D3612">
        <w:rPr>
          <w:rFonts w:cstheme="minorHAnsi"/>
        </w:rPr>
        <w:t>o</w:t>
      </w:r>
      <w:r w:rsidRPr="00063061">
        <w:rPr>
          <w:rFonts w:cstheme="minorHAnsi"/>
        </w:rPr>
        <w:t xml:space="preserve">nline and </w:t>
      </w:r>
      <w:r w:rsidR="002D3612">
        <w:rPr>
          <w:rFonts w:cstheme="minorHAnsi"/>
          <w:szCs w:val="22"/>
        </w:rPr>
        <w:t>f</w:t>
      </w:r>
      <w:r w:rsidR="002D3612" w:rsidRPr="0069783C">
        <w:rPr>
          <w:rFonts w:cstheme="minorHAnsi"/>
          <w:szCs w:val="22"/>
        </w:rPr>
        <w:t>ace-to-face</w:t>
      </w:r>
      <w:r w:rsidR="002D3612" w:rsidRPr="00063061" w:rsidDel="002D3612">
        <w:rPr>
          <w:rFonts w:cstheme="minorHAnsi"/>
        </w:rPr>
        <w:t xml:space="preserve"> </w:t>
      </w:r>
      <w:r w:rsidRPr="00063061">
        <w:rPr>
          <w:rFonts w:cstheme="minorHAnsi"/>
        </w:rPr>
        <w:t xml:space="preserve">participants recorded significant increases in confidence to engage Indigenous patients regarding bowel cancer screening after the training intervention. </w:t>
      </w:r>
      <w:r>
        <w:rPr>
          <w:rFonts w:cstheme="minorHAnsi"/>
        </w:rPr>
        <w:t>N</w:t>
      </w:r>
      <w:r w:rsidRPr="00063061">
        <w:rPr>
          <w:rFonts w:cstheme="minorHAnsi"/>
        </w:rPr>
        <w:t>o change in motivation post training</w:t>
      </w:r>
      <w:r>
        <w:rPr>
          <w:rFonts w:cstheme="minorHAnsi"/>
        </w:rPr>
        <w:t xml:space="preserve"> was reported for either training method</w:t>
      </w:r>
      <w:r w:rsidRPr="00063061">
        <w:rPr>
          <w:rFonts w:cstheme="minorHAnsi"/>
        </w:rPr>
        <w:t xml:space="preserve">. </w:t>
      </w:r>
    </w:p>
    <w:p w14:paraId="1AEC5465" w14:textId="7CF9FA17" w:rsidR="00552061" w:rsidRPr="00063061" w:rsidRDefault="00A254EE" w:rsidP="00366EAB">
      <w:pPr>
        <w:pStyle w:val="Heading3"/>
      </w:pPr>
      <w:bookmarkStart w:id="342" w:name="_Toc44339273"/>
      <w:r>
        <w:t>Differences b</w:t>
      </w:r>
      <w:r w:rsidR="00552061" w:rsidRPr="00063061">
        <w:t>etween groups</w:t>
      </w:r>
      <w:bookmarkEnd w:id="342"/>
    </w:p>
    <w:p w14:paraId="28D45FFF" w14:textId="492779C2" w:rsidR="002D3612" w:rsidRDefault="002D3612" w:rsidP="00552061">
      <w:pPr>
        <w:rPr>
          <w:rFonts w:cstheme="minorHAnsi"/>
        </w:rPr>
      </w:pPr>
      <w:r>
        <w:rPr>
          <w:rFonts w:cstheme="minorHAnsi"/>
        </w:rPr>
        <w:t>The</w:t>
      </w:r>
      <w:r w:rsidR="00552061" w:rsidRPr="00063061">
        <w:rPr>
          <w:rFonts w:cstheme="minorHAnsi"/>
        </w:rPr>
        <w:t xml:space="preserve"> </w:t>
      </w:r>
      <w:r>
        <w:rPr>
          <w:rFonts w:cstheme="minorHAnsi"/>
          <w:szCs w:val="22"/>
        </w:rPr>
        <w:t>f</w:t>
      </w:r>
      <w:r w:rsidRPr="00BC16AE">
        <w:rPr>
          <w:rFonts w:cstheme="minorHAnsi"/>
          <w:szCs w:val="22"/>
        </w:rPr>
        <w:t>ace-to-face</w:t>
      </w:r>
      <w:r w:rsidRPr="00063061" w:rsidDel="002D3612">
        <w:rPr>
          <w:rFonts w:cstheme="minorHAnsi"/>
        </w:rPr>
        <w:t xml:space="preserve"> </w:t>
      </w:r>
      <w:r w:rsidR="00552061">
        <w:rPr>
          <w:rFonts w:cstheme="minorHAnsi"/>
        </w:rPr>
        <w:t>group</w:t>
      </w:r>
      <w:r w:rsidR="00552061" w:rsidRPr="00063061">
        <w:rPr>
          <w:rFonts w:cstheme="minorHAnsi"/>
        </w:rPr>
        <w:t xml:space="preserve"> </w:t>
      </w:r>
      <w:r w:rsidR="00552061">
        <w:rPr>
          <w:rFonts w:cstheme="minorHAnsi"/>
        </w:rPr>
        <w:t xml:space="preserve">reported a </w:t>
      </w:r>
      <w:r w:rsidR="00552061" w:rsidRPr="00063061">
        <w:rPr>
          <w:rFonts w:cstheme="minorHAnsi"/>
        </w:rPr>
        <w:t>significant increase</w:t>
      </w:r>
      <w:r w:rsidR="00552061">
        <w:rPr>
          <w:rFonts w:cstheme="minorHAnsi"/>
        </w:rPr>
        <w:t xml:space="preserve"> in</w:t>
      </w:r>
      <w:r w:rsidR="00552061" w:rsidRPr="00063061">
        <w:rPr>
          <w:rFonts w:cstheme="minorHAnsi"/>
        </w:rPr>
        <w:t xml:space="preserve"> </w:t>
      </w:r>
      <w:r w:rsidR="00A254EE">
        <w:rPr>
          <w:rFonts w:cstheme="minorHAnsi"/>
        </w:rPr>
        <w:t>p</w:t>
      </w:r>
      <w:r w:rsidR="00552061">
        <w:rPr>
          <w:rFonts w:cstheme="minorHAnsi"/>
        </w:rPr>
        <w:t xml:space="preserve">erceived </w:t>
      </w:r>
      <w:r w:rsidR="00A254EE">
        <w:rPr>
          <w:rFonts w:cstheme="minorHAnsi"/>
        </w:rPr>
        <w:t>r</w:t>
      </w:r>
      <w:r w:rsidR="00552061">
        <w:rPr>
          <w:rFonts w:cstheme="minorHAnsi"/>
        </w:rPr>
        <w:t xml:space="preserve">ole suggesting, that </w:t>
      </w:r>
      <w:r>
        <w:rPr>
          <w:rFonts w:cstheme="minorHAnsi"/>
          <w:szCs w:val="22"/>
        </w:rPr>
        <w:t>f</w:t>
      </w:r>
      <w:r w:rsidRPr="00BC16AE">
        <w:rPr>
          <w:rFonts w:cstheme="minorHAnsi"/>
          <w:szCs w:val="22"/>
        </w:rPr>
        <w:t>ace-to-face</w:t>
      </w:r>
      <w:r w:rsidRPr="00063061" w:rsidDel="002D3612">
        <w:rPr>
          <w:rFonts w:cstheme="minorHAnsi"/>
        </w:rPr>
        <w:t xml:space="preserve"> </w:t>
      </w:r>
      <w:r w:rsidR="00552061">
        <w:rPr>
          <w:rFonts w:cstheme="minorHAnsi"/>
        </w:rPr>
        <w:t>training positively influenced participant perception of their</w:t>
      </w:r>
      <w:r w:rsidR="00552061" w:rsidRPr="00063061">
        <w:rPr>
          <w:rFonts w:cstheme="minorHAnsi"/>
        </w:rPr>
        <w:t xml:space="preserve"> role in the Alternative Pathway</w:t>
      </w:r>
      <w:r w:rsidR="00552061">
        <w:rPr>
          <w:rFonts w:cstheme="minorHAnsi"/>
        </w:rPr>
        <w:t>.</w:t>
      </w:r>
      <w:r w:rsidR="00552061" w:rsidRPr="00063061">
        <w:rPr>
          <w:rFonts w:cstheme="minorHAnsi"/>
        </w:rPr>
        <w:t xml:space="preserve"> </w:t>
      </w:r>
      <w:r w:rsidR="00552061">
        <w:rPr>
          <w:rFonts w:cstheme="minorHAnsi"/>
        </w:rPr>
        <w:t>In contrast, change</w:t>
      </w:r>
      <w:r w:rsidR="00552061" w:rsidRPr="00063061">
        <w:rPr>
          <w:rFonts w:cstheme="minorHAnsi"/>
        </w:rPr>
        <w:t xml:space="preserve"> was not evident </w:t>
      </w:r>
      <w:r w:rsidR="00552061">
        <w:rPr>
          <w:rFonts w:cstheme="minorHAnsi"/>
        </w:rPr>
        <w:t xml:space="preserve">for participants receiving </w:t>
      </w:r>
      <w:r>
        <w:rPr>
          <w:rFonts w:cstheme="minorHAnsi"/>
        </w:rPr>
        <w:t>o</w:t>
      </w:r>
      <w:r w:rsidR="00552061">
        <w:rPr>
          <w:rFonts w:cstheme="minorHAnsi"/>
        </w:rPr>
        <w:t xml:space="preserve">nline training. </w:t>
      </w:r>
      <w:r w:rsidR="00552061" w:rsidRPr="00063061">
        <w:rPr>
          <w:rFonts w:cstheme="minorHAnsi"/>
        </w:rPr>
        <w:t xml:space="preserve">One explanation for this may be </w:t>
      </w:r>
      <w:r>
        <w:rPr>
          <w:rFonts w:cstheme="minorHAnsi"/>
        </w:rPr>
        <w:t>that participants were</w:t>
      </w:r>
      <w:r w:rsidR="00552061" w:rsidRPr="00063061">
        <w:rPr>
          <w:rFonts w:cstheme="minorHAnsi"/>
        </w:rPr>
        <w:t xml:space="preserve"> encouraged to interact with team members and presenters during </w:t>
      </w:r>
      <w:r>
        <w:rPr>
          <w:rFonts w:cstheme="minorHAnsi"/>
          <w:szCs w:val="22"/>
        </w:rPr>
        <w:t>f</w:t>
      </w:r>
      <w:r w:rsidRPr="00BC16AE">
        <w:rPr>
          <w:rFonts w:cstheme="minorHAnsi"/>
          <w:szCs w:val="22"/>
        </w:rPr>
        <w:t>ace-to-face</w:t>
      </w:r>
      <w:r w:rsidRPr="00063061" w:rsidDel="002D3612">
        <w:rPr>
          <w:rFonts w:cstheme="minorHAnsi"/>
        </w:rPr>
        <w:t xml:space="preserve"> </w:t>
      </w:r>
      <w:r w:rsidR="00552061" w:rsidRPr="00063061">
        <w:rPr>
          <w:rFonts w:cstheme="minorHAnsi"/>
        </w:rPr>
        <w:t xml:space="preserve">sessions. </w:t>
      </w:r>
      <w:r w:rsidR="00A254EE">
        <w:rPr>
          <w:rFonts w:cstheme="minorHAnsi"/>
        </w:rPr>
        <w:t>I</w:t>
      </w:r>
      <w:r w:rsidR="00552061" w:rsidRPr="00063061">
        <w:rPr>
          <w:rFonts w:cstheme="minorHAnsi"/>
        </w:rPr>
        <w:t xml:space="preserve">nteraction with others and questioning </w:t>
      </w:r>
      <w:r w:rsidR="00552061">
        <w:rPr>
          <w:rFonts w:cstheme="minorHAnsi"/>
        </w:rPr>
        <w:t xml:space="preserve">and camaraderie </w:t>
      </w:r>
      <w:r w:rsidR="00552061" w:rsidRPr="00063061">
        <w:rPr>
          <w:rFonts w:cstheme="minorHAnsi"/>
        </w:rPr>
        <w:t xml:space="preserve">during </w:t>
      </w:r>
      <w:r>
        <w:rPr>
          <w:rFonts w:cstheme="minorHAnsi"/>
          <w:szCs w:val="22"/>
        </w:rPr>
        <w:t>f</w:t>
      </w:r>
      <w:r w:rsidRPr="00BC16AE">
        <w:rPr>
          <w:rFonts w:cstheme="minorHAnsi"/>
          <w:szCs w:val="22"/>
        </w:rPr>
        <w:t>ace-to-face</w:t>
      </w:r>
      <w:r w:rsidRPr="00063061" w:rsidDel="002D3612">
        <w:rPr>
          <w:rFonts w:cstheme="minorHAnsi"/>
        </w:rPr>
        <w:t xml:space="preserve"> </w:t>
      </w:r>
      <w:r w:rsidR="00552061" w:rsidRPr="00063061">
        <w:rPr>
          <w:rFonts w:cstheme="minorHAnsi"/>
        </w:rPr>
        <w:t>training</w:t>
      </w:r>
      <w:r w:rsidR="00552061">
        <w:rPr>
          <w:rFonts w:cstheme="minorHAnsi"/>
        </w:rPr>
        <w:t xml:space="preserve"> sessions</w:t>
      </w:r>
      <w:r w:rsidR="00552061" w:rsidRPr="00063061">
        <w:rPr>
          <w:rFonts w:cstheme="minorHAnsi"/>
        </w:rPr>
        <w:t xml:space="preserve"> could have influenced </w:t>
      </w:r>
      <w:r w:rsidR="00552061">
        <w:rPr>
          <w:rFonts w:cstheme="minorHAnsi"/>
        </w:rPr>
        <w:t>the</w:t>
      </w:r>
      <w:r w:rsidR="00552061" w:rsidRPr="00063061">
        <w:rPr>
          <w:rFonts w:cstheme="minorHAnsi"/>
        </w:rPr>
        <w:t xml:space="preserve"> clarity of the role </w:t>
      </w:r>
      <w:r w:rsidR="00552061">
        <w:rPr>
          <w:rFonts w:cstheme="minorHAnsi"/>
        </w:rPr>
        <w:t>individuals</w:t>
      </w:r>
      <w:r w:rsidR="00552061" w:rsidRPr="00063061">
        <w:rPr>
          <w:rFonts w:cstheme="minorHAnsi"/>
        </w:rPr>
        <w:t xml:space="preserve"> would play </w:t>
      </w:r>
      <w:r w:rsidR="00552061">
        <w:rPr>
          <w:rFonts w:cstheme="minorHAnsi"/>
        </w:rPr>
        <w:t xml:space="preserve">in </w:t>
      </w:r>
      <w:r w:rsidR="00552061" w:rsidRPr="00063061">
        <w:rPr>
          <w:rFonts w:cstheme="minorHAnsi"/>
        </w:rPr>
        <w:t xml:space="preserve">delivering the Alternative Pathway. </w:t>
      </w:r>
    </w:p>
    <w:p w14:paraId="776E75F6" w14:textId="166BF6F9" w:rsidR="00552061" w:rsidRPr="00063061" w:rsidRDefault="002D3612" w:rsidP="00552061">
      <w:pPr>
        <w:rPr>
          <w:rFonts w:cstheme="minorHAnsi"/>
        </w:rPr>
      </w:pPr>
      <w:r>
        <w:rPr>
          <w:rFonts w:cstheme="minorHAnsi"/>
        </w:rPr>
        <w:t>The</w:t>
      </w:r>
      <w:r w:rsidR="00552061">
        <w:rPr>
          <w:rFonts w:cstheme="minorHAnsi"/>
        </w:rPr>
        <w:t xml:space="preserve"> </w:t>
      </w:r>
      <w:r>
        <w:rPr>
          <w:rFonts w:cstheme="minorHAnsi"/>
        </w:rPr>
        <w:t>o</w:t>
      </w:r>
      <w:r w:rsidR="00552061" w:rsidRPr="00063061">
        <w:rPr>
          <w:rFonts w:cstheme="minorHAnsi"/>
        </w:rPr>
        <w:t xml:space="preserve">nline </w:t>
      </w:r>
      <w:r w:rsidR="00552061">
        <w:rPr>
          <w:rFonts w:cstheme="minorHAnsi"/>
        </w:rPr>
        <w:t>environment</w:t>
      </w:r>
      <w:r w:rsidR="00552061" w:rsidRPr="00063061">
        <w:rPr>
          <w:rFonts w:cstheme="minorHAnsi"/>
        </w:rPr>
        <w:t xml:space="preserve"> </w:t>
      </w:r>
      <w:r w:rsidR="00552061">
        <w:rPr>
          <w:rFonts w:cstheme="minorHAnsi"/>
        </w:rPr>
        <w:t>did not provide the same opportunities for team discussion and personal role enquiry with the facilitator</w:t>
      </w:r>
      <w:r>
        <w:rPr>
          <w:rFonts w:cstheme="minorHAnsi"/>
        </w:rPr>
        <w:t>,</w:t>
      </w:r>
      <w:r w:rsidR="00552061">
        <w:rPr>
          <w:rFonts w:cstheme="minorHAnsi"/>
        </w:rPr>
        <w:t xml:space="preserve"> and as such personal interaction and </w:t>
      </w:r>
      <w:r>
        <w:rPr>
          <w:rFonts w:cstheme="minorHAnsi"/>
        </w:rPr>
        <w:t>camaraderie</w:t>
      </w:r>
      <w:r w:rsidDel="002D3612">
        <w:rPr>
          <w:rFonts w:cstheme="minorHAnsi"/>
        </w:rPr>
        <w:t xml:space="preserve"> </w:t>
      </w:r>
      <w:r w:rsidR="00552061">
        <w:rPr>
          <w:rFonts w:cstheme="minorHAnsi"/>
        </w:rPr>
        <w:t xml:space="preserve">was </w:t>
      </w:r>
      <w:r w:rsidR="00A254EE">
        <w:rPr>
          <w:rFonts w:cstheme="minorHAnsi"/>
        </w:rPr>
        <w:t xml:space="preserve">unavailable </w:t>
      </w:r>
      <w:r w:rsidR="00552061">
        <w:rPr>
          <w:rFonts w:cstheme="minorHAnsi"/>
        </w:rPr>
        <w:t xml:space="preserve">in this method of training delivery. </w:t>
      </w:r>
      <w:r w:rsidR="00552061" w:rsidRPr="00063061">
        <w:rPr>
          <w:rFonts w:cstheme="minorHAnsi"/>
        </w:rPr>
        <w:t xml:space="preserve"> </w:t>
      </w:r>
    </w:p>
    <w:p w14:paraId="73F1C097" w14:textId="74E792E0" w:rsidR="00552061" w:rsidRPr="00BD3BF7" w:rsidRDefault="00552061" w:rsidP="00070C12">
      <w:pPr>
        <w:pStyle w:val="Heading2"/>
      </w:pPr>
      <w:bookmarkStart w:id="343" w:name="_Toc44339274"/>
      <w:bookmarkStart w:id="344" w:name="_Toc45539292"/>
      <w:bookmarkStart w:id="345" w:name="_Toc54954878"/>
      <w:r>
        <w:t>Training influence on</w:t>
      </w:r>
      <w:r w:rsidR="00515600">
        <w:t xml:space="preserve"> professional group </w:t>
      </w:r>
      <w:r>
        <w:t>attitudes towards promoting bowel screening</w:t>
      </w:r>
      <w:bookmarkEnd w:id="343"/>
      <w:bookmarkEnd w:id="344"/>
      <w:bookmarkEnd w:id="345"/>
    </w:p>
    <w:p w14:paraId="02A4A327" w14:textId="6997540B" w:rsidR="00552061" w:rsidRDefault="00552061" w:rsidP="00552061">
      <w:pPr>
        <w:rPr>
          <w:rFonts w:cstheme="minorHAnsi"/>
        </w:rPr>
      </w:pPr>
      <w:r>
        <w:rPr>
          <w:rFonts w:cstheme="minorHAnsi"/>
        </w:rPr>
        <w:t xml:space="preserve">Further analysis was conducted to see how each training method influenced professional groups. Six groups were investigated: Nurse; </w:t>
      </w:r>
      <w:r w:rsidR="002C3688">
        <w:rPr>
          <w:rFonts w:cstheme="minorHAnsi"/>
        </w:rPr>
        <w:t>IHW</w:t>
      </w:r>
      <w:r>
        <w:rPr>
          <w:rFonts w:cstheme="minorHAnsi"/>
        </w:rPr>
        <w:t xml:space="preserve">; GP; </w:t>
      </w:r>
      <w:r w:rsidR="002D3612">
        <w:rPr>
          <w:rFonts w:cstheme="minorHAnsi"/>
        </w:rPr>
        <w:t>h</w:t>
      </w:r>
      <w:r>
        <w:rPr>
          <w:rFonts w:cstheme="minorHAnsi"/>
        </w:rPr>
        <w:t xml:space="preserve">ealth and </w:t>
      </w:r>
      <w:r w:rsidR="002D3612">
        <w:rPr>
          <w:rFonts w:cstheme="minorHAnsi"/>
        </w:rPr>
        <w:t>e</w:t>
      </w:r>
      <w:r>
        <w:rPr>
          <w:rFonts w:cstheme="minorHAnsi"/>
        </w:rPr>
        <w:t xml:space="preserve">ducation </w:t>
      </w:r>
      <w:r w:rsidR="002D3612">
        <w:rPr>
          <w:rFonts w:cstheme="minorHAnsi"/>
        </w:rPr>
        <w:t>w</w:t>
      </w:r>
      <w:r>
        <w:rPr>
          <w:rFonts w:cstheme="minorHAnsi"/>
        </w:rPr>
        <w:t xml:space="preserve">orker; </w:t>
      </w:r>
      <w:r w:rsidR="002D3612">
        <w:rPr>
          <w:rFonts w:cstheme="minorHAnsi"/>
        </w:rPr>
        <w:t>m</w:t>
      </w:r>
      <w:r>
        <w:rPr>
          <w:rFonts w:cstheme="minorHAnsi"/>
        </w:rPr>
        <w:t xml:space="preserve">anagement and </w:t>
      </w:r>
      <w:r w:rsidR="002D3612">
        <w:rPr>
          <w:rFonts w:cstheme="minorHAnsi"/>
        </w:rPr>
        <w:t>a</w:t>
      </w:r>
      <w:r>
        <w:rPr>
          <w:rFonts w:cstheme="minorHAnsi"/>
        </w:rPr>
        <w:t xml:space="preserve">dmin; and </w:t>
      </w:r>
      <w:r w:rsidR="002D3612">
        <w:rPr>
          <w:rFonts w:cstheme="minorHAnsi"/>
        </w:rPr>
        <w:t>o</w:t>
      </w:r>
      <w:r>
        <w:rPr>
          <w:rFonts w:cstheme="minorHAnsi"/>
        </w:rPr>
        <w:t>ther. The amalgamation of roles represented in the six professional groups are reported in Table</w:t>
      </w:r>
      <w:r w:rsidR="00104BF2">
        <w:rPr>
          <w:rFonts w:cstheme="minorHAnsi"/>
        </w:rPr>
        <w:t xml:space="preserve"> E-1</w:t>
      </w:r>
      <w:r>
        <w:rPr>
          <w:rFonts w:cstheme="minorHAnsi"/>
        </w:rPr>
        <w:t>.  Membership in s</w:t>
      </w:r>
      <w:r w:rsidRPr="00063061">
        <w:rPr>
          <w:rFonts w:cstheme="minorHAnsi"/>
        </w:rPr>
        <w:t xml:space="preserve">ome categories </w:t>
      </w:r>
      <w:r>
        <w:rPr>
          <w:rFonts w:cstheme="minorHAnsi"/>
        </w:rPr>
        <w:t>was very small</w:t>
      </w:r>
      <w:r w:rsidR="00515600">
        <w:rPr>
          <w:rFonts w:cstheme="minorHAnsi"/>
        </w:rPr>
        <w:t xml:space="preserve">; as a result, </w:t>
      </w:r>
      <w:r>
        <w:rPr>
          <w:rFonts w:cstheme="minorHAnsi"/>
        </w:rPr>
        <w:t>sample size</w:t>
      </w:r>
      <w:r w:rsidRPr="00063061">
        <w:rPr>
          <w:rFonts w:cstheme="minorHAnsi"/>
        </w:rPr>
        <w:t xml:space="preserve"> should be taken into consideration </w:t>
      </w:r>
      <w:r w:rsidR="001B1EB9">
        <w:rPr>
          <w:rFonts w:cstheme="minorHAnsi"/>
        </w:rPr>
        <w:t>for</w:t>
      </w:r>
      <w:r w:rsidRPr="00063061">
        <w:rPr>
          <w:rFonts w:cstheme="minorHAnsi"/>
        </w:rPr>
        <w:t xml:space="preserve"> the </w:t>
      </w:r>
      <w:r w:rsidR="001B1EB9">
        <w:rPr>
          <w:rFonts w:cstheme="minorHAnsi"/>
        </w:rPr>
        <w:t>results of</w:t>
      </w:r>
      <w:r w:rsidRPr="00063061">
        <w:rPr>
          <w:rFonts w:cstheme="minorHAnsi"/>
        </w:rPr>
        <w:t xml:space="preserve"> the following analysis. </w:t>
      </w:r>
    </w:p>
    <w:p w14:paraId="0113B23D" w14:textId="77777777" w:rsidR="00552061" w:rsidRDefault="00552061" w:rsidP="00366EAB">
      <w:pPr>
        <w:pStyle w:val="Heading3"/>
      </w:pPr>
      <w:bookmarkStart w:id="346" w:name="_Toc44339275"/>
      <w:r>
        <w:t>Method</w:t>
      </w:r>
      <w:bookmarkEnd w:id="346"/>
    </w:p>
    <w:p w14:paraId="6BA981F0" w14:textId="0887D116" w:rsidR="00552061" w:rsidRPr="0077225B" w:rsidRDefault="00552061" w:rsidP="00552061">
      <w:pPr>
        <w:rPr>
          <w:rFonts w:cstheme="minorHAnsi"/>
          <w:szCs w:val="20"/>
        </w:rPr>
      </w:pPr>
      <w:r w:rsidRPr="0077225B">
        <w:rPr>
          <w:rFonts w:cstheme="minorHAnsi"/>
        </w:rPr>
        <w:t xml:space="preserve">A between subjects repeated measures ANOVA was conducted </w:t>
      </w:r>
      <w:r w:rsidRPr="0077225B">
        <w:rPr>
          <w:rFonts w:cstheme="minorHAnsi"/>
          <w:szCs w:val="20"/>
        </w:rPr>
        <w:t xml:space="preserve">to investigate staff changes in </w:t>
      </w:r>
      <w:r>
        <w:rPr>
          <w:rFonts w:cstheme="minorHAnsi"/>
        </w:rPr>
        <w:t xml:space="preserve">Role </w:t>
      </w:r>
      <w:r w:rsidR="00A254EE">
        <w:rPr>
          <w:rFonts w:cstheme="minorHAnsi"/>
        </w:rPr>
        <w:t>p</w:t>
      </w:r>
      <w:r>
        <w:rPr>
          <w:rFonts w:cstheme="minorHAnsi"/>
        </w:rPr>
        <w:t xml:space="preserve">erception, </w:t>
      </w:r>
      <w:r w:rsidR="00A254EE">
        <w:rPr>
          <w:rFonts w:cstheme="minorHAnsi"/>
        </w:rPr>
        <w:t>m</w:t>
      </w:r>
      <w:r>
        <w:rPr>
          <w:rFonts w:cstheme="minorHAnsi"/>
        </w:rPr>
        <w:t xml:space="preserve">otivation, and </w:t>
      </w:r>
      <w:r w:rsidR="00A254EE">
        <w:rPr>
          <w:rFonts w:cstheme="minorHAnsi"/>
        </w:rPr>
        <w:t>c</w:t>
      </w:r>
      <w:r>
        <w:rPr>
          <w:rFonts w:cstheme="minorHAnsi"/>
        </w:rPr>
        <w:t xml:space="preserve">onfidence </w:t>
      </w:r>
      <w:r w:rsidRPr="0077225B">
        <w:rPr>
          <w:rFonts w:cstheme="minorHAnsi"/>
          <w:szCs w:val="20"/>
        </w:rPr>
        <w:t xml:space="preserve">after </w:t>
      </w:r>
      <w:r w:rsidR="002D3612">
        <w:rPr>
          <w:rFonts w:cstheme="minorHAnsi"/>
          <w:szCs w:val="20"/>
        </w:rPr>
        <w:t xml:space="preserve">online </w:t>
      </w:r>
      <w:r>
        <w:rPr>
          <w:rFonts w:cstheme="minorHAnsi"/>
          <w:szCs w:val="20"/>
        </w:rPr>
        <w:t xml:space="preserve">and </w:t>
      </w:r>
      <w:r w:rsidR="002D3612">
        <w:rPr>
          <w:rFonts w:cstheme="minorHAnsi"/>
        </w:rPr>
        <w:t xml:space="preserve">face-to-face </w:t>
      </w:r>
      <w:r w:rsidRPr="0077225B">
        <w:rPr>
          <w:rFonts w:cstheme="minorHAnsi"/>
          <w:szCs w:val="20"/>
        </w:rPr>
        <w:t xml:space="preserve">training. </w:t>
      </w:r>
    </w:p>
    <w:p w14:paraId="2D321CC3" w14:textId="3C97F821" w:rsidR="009A2088" w:rsidRPr="009A2088" w:rsidRDefault="00552061" w:rsidP="00366EAB">
      <w:pPr>
        <w:pStyle w:val="Heading3"/>
      </w:pPr>
      <w:bookmarkStart w:id="347" w:name="_Toc44339276"/>
      <w:r w:rsidRPr="005955F8">
        <w:t>Results</w:t>
      </w:r>
      <w:bookmarkEnd w:id="347"/>
    </w:p>
    <w:p w14:paraId="0FE022D3" w14:textId="5D6CDDB5" w:rsidR="009A2088" w:rsidRDefault="009A2088" w:rsidP="004257B1">
      <w:pPr>
        <w:pStyle w:val="Heading4"/>
      </w:pPr>
      <w:r>
        <w:t xml:space="preserve">Role </w:t>
      </w:r>
      <w:r w:rsidR="00A254EE">
        <w:t>p</w:t>
      </w:r>
      <w:r>
        <w:t>erception</w:t>
      </w:r>
    </w:p>
    <w:p w14:paraId="01FD230E" w14:textId="124313CF" w:rsidR="002D3612" w:rsidRDefault="009A2088" w:rsidP="009A2088">
      <w:pPr>
        <w:rPr>
          <w:lang w:eastAsia="en-AU"/>
        </w:rPr>
      </w:pPr>
      <w:r>
        <w:rPr>
          <w:lang w:eastAsia="en-AU"/>
        </w:rPr>
        <w:t xml:space="preserve">The analysis found differences between how professions collectively responded to the two modes of training. A significant increase in </w:t>
      </w:r>
      <w:r w:rsidR="00A254EE">
        <w:rPr>
          <w:lang w:eastAsia="en-AU"/>
        </w:rPr>
        <w:t>r</w:t>
      </w:r>
      <w:r>
        <w:rPr>
          <w:lang w:eastAsia="en-AU"/>
        </w:rPr>
        <w:t xml:space="preserve">ole </w:t>
      </w:r>
      <w:r w:rsidR="00A254EE">
        <w:rPr>
          <w:lang w:eastAsia="en-AU"/>
        </w:rPr>
        <w:t>p</w:t>
      </w:r>
      <w:r>
        <w:rPr>
          <w:lang w:eastAsia="en-AU"/>
        </w:rPr>
        <w:t xml:space="preserve">erception occurred for </w:t>
      </w:r>
      <w:r w:rsidR="002D3612">
        <w:rPr>
          <w:lang w:eastAsia="en-AU"/>
        </w:rPr>
        <w:t>n</w:t>
      </w:r>
      <w:r>
        <w:rPr>
          <w:lang w:eastAsia="en-AU"/>
        </w:rPr>
        <w:t xml:space="preserve">urses, </w:t>
      </w:r>
      <w:r w:rsidR="002C3688">
        <w:rPr>
          <w:lang w:eastAsia="en-AU"/>
        </w:rPr>
        <w:t>IHW</w:t>
      </w:r>
      <w:r>
        <w:rPr>
          <w:lang w:eastAsia="en-AU"/>
        </w:rPr>
        <w:t xml:space="preserve">s and </w:t>
      </w:r>
      <w:r w:rsidR="002D3612">
        <w:rPr>
          <w:lang w:eastAsia="en-AU"/>
        </w:rPr>
        <w:t>m</w:t>
      </w:r>
      <w:r>
        <w:rPr>
          <w:lang w:eastAsia="en-AU"/>
        </w:rPr>
        <w:t>anagement/</w:t>
      </w:r>
      <w:r w:rsidR="002D3612">
        <w:rPr>
          <w:lang w:eastAsia="en-AU"/>
        </w:rPr>
        <w:t>a</w:t>
      </w:r>
      <w:r>
        <w:rPr>
          <w:lang w:eastAsia="en-AU"/>
        </w:rPr>
        <w:t xml:space="preserve">dmin staff after completing </w:t>
      </w:r>
      <w:r w:rsidR="002D3612">
        <w:rPr>
          <w:rFonts w:cstheme="minorHAnsi"/>
        </w:rPr>
        <w:t xml:space="preserve">face-to-face </w:t>
      </w:r>
      <w:r>
        <w:rPr>
          <w:lang w:eastAsia="en-AU"/>
        </w:rPr>
        <w:t>training</w:t>
      </w:r>
      <w:r w:rsidR="007F0D6A">
        <w:rPr>
          <w:lang w:eastAsia="en-AU"/>
        </w:rPr>
        <w:t>,</w:t>
      </w:r>
      <w:r>
        <w:rPr>
          <w:lang w:eastAsia="en-AU"/>
        </w:rPr>
        <w:t xml:space="preserve"> but not after </w:t>
      </w:r>
      <w:r w:rsidR="002D3612">
        <w:rPr>
          <w:lang w:eastAsia="en-AU"/>
        </w:rPr>
        <w:t>o</w:t>
      </w:r>
      <w:r>
        <w:rPr>
          <w:lang w:eastAsia="en-AU"/>
        </w:rPr>
        <w:t xml:space="preserve">nline training. </w:t>
      </w:r>
    </w:p>
    <w:p w14:paraId="24A4B32C" w14:textId="6A1A340E" w:rsidR="009A2088" w:rsidRDefault="007F0D6A" w:rsidP="009A2088">
      <w:pPr>
        <w:rPr>
          <w:lang w:eastAsia="en-AU"/>
        </w:rPr>
      </w:pPr>
      <w:r>
        <w:rPr>
          <w:lang w:eastAsia="en-AU"/>
        </w:rPr>
        <w:lastRenderedPageBreak/>
        <w:t>On the flipside</w:t>
      </w:r>
      <w:r w:rsidR="002D3612">
        <w:rPr>
          <w:lang w:eastAsia="en-AU"/>
        </w:rPr>
        <w:t>,</w:t>
      </w:r>
      <w:r w:rsidR="009A2088">
        <w:rPr>
          <w:lang w:eastAsia="en-AU"/>
        </w:rPr>
        <w:t xml:space="preserve"> some professions</w:t>
      </w:r>
      <w:r w:rsidR="002D3612">
        <w:rPr>
          <w:lang w:eastAsia="en-AU"/>
        </w:rPr>
        <w:t>,</w:t>
      </w:r>
      <w:r w:rsidR="009A2088">
        <w:rPr>
          <w:lang w:eastAsia="en-AU"/>
        </w:rPr>
        <w:t xml:space="preserve"> such as GPs, </w:t>
      </w:r>
      <w:r w:rsidR="002D3612">
        <w:rPr>
          <w:lang w:eastAsia="en-AU"/>
        </w:rPr>
        <w:t>h</w:t>
      </w:r>
      <w:r w:rsidR="009A2088">
        <w:rPr>
          <w:lang w:eastAsia="en-AU"/>
        </w:rPr>
        <w:t xml:space="preserve">ealth </w:t>
      </w:r>
      <w:r w:rsidR="002D3612">
        <w:rPr>
          <w:lang w:eastAsia="en-AU"/>
        </w:rPr>
        <w:t>e</w:t>
      </w:r>
      <w:r w:rsidR="009A2088">
        <w:rPr>
          <w:lang w:eastAsia="en-AU"/>
        </w:rPr>
        <w:t xml:space="preserve">ducation </w:t>
      </w:r>
      <w:r w:rsidR="002D3612">
        <w:rPr>
          <w:lang w:eastAsia="en-AU"/>
        </w:rPr>
        <w:t>o</w:t>
      </w:r>
      <w:r w:rsidR="009A2088">
        <w:rPr>
          <w:lang w:eastAsia="en-AU"/>
        </w:rPr>
        <w:t xml:space="preserve">fficers, and </w:t>
      </w:r>
      <w:r w:rsidR="002D3612">
        <w:rPr>
          <w:lang w:eastAsia="en-AU"/>
        </w:rPr>
        <w:t>o</w:t>
      </w:r>
      <w:r w:rsidR="009A2088">
        <w:rPr>
          <w:lang w:eastAsia="en-AU"/>
        </w:rPr>
        <w:t>ther professionals within the health centre</w:t>
      </w:r>
      <w:r w:rsidR="002D3612">
        <w:rPr>
          <w:lang w:eastAsia="en-AU"/>
        </w:rPr>
        <w:t>,</w:t>
      </w:r>
      <w:r w:rsidR="009A2088">
        <w:rPr>
          <w:lang w:eastAsia="en-AU"/>
        </w:rPr>
        <w:t xml:space="preserve"> experienced no change in perception</w:t>
      </w:r>
      <w:r w:rsidR="002D3612">
        <w:rPr>
          <w:lang w:eastAsia="en-AU"/>
        </w:rPr>
        <w:t>,</w:t>
      </w:r>
      <w:r w:rsidR="009A2088">
        <w:rPr>
          <w:lang w:eastAsia="en-AU"/>
        </w:rPr>
        <w:t xml:space="preserve"> regardless of </w:t>
      </w:r>
      <w:r>
        <w:rPr>
          <w:lang w:eastAsia="en-AU"/>
        </w:rPr>
        <w:t xml:space="preserve">the </w:t>
      </w:r>
      <w:r w:rsidR="009A2088">
        <w:rPr>
          <w:lang w:eastAsia="en-AU"/>
        </w:rPr>
        <w:t>training mode.</w:t>
      </w:r>
    </w:p>
    <w:p w14:paraId="3A9BCAAC" w14:textId="32DCFF8B" w:rsidR="002D3612" w:rsidRDefault="009A2088" w:rsidP="009A2088">
      <w:pPr>
        <w:rPr>
          <w:lang w:eastAsia="en-AU"/>
        </w:rPr>
      </w:pPr>
      <w:r>
        <w:rPr>
          <w:lang w:eastAsia="en-AU"/>
        </w:rPr>
        <w:t xml:space="preserve">A number of explanations may be drawn from this collective response to the way training was received. One explanation that may account for the different response between professions may be the </w:t>
      </w:r>
      <w:r w:rsidR="002D3612">
        <w:rPr>
          <w:lang w:eastAsia="en-AU"/>
        </w:rPr>
        <w:t>specific</w:t>
      </w:r>
      <w:r>
        <w:rPr>
          <w:lang w:eastAsia="en-AU"/>
        </w:rPr>
        <w:t xml:space="preserve"> role that professions play within the health centre. For example, </w:t>
      </w:r>
      <w:r w:rsidR="002C3688">
        <w:rPr>
          <w:lang w:eastAsia="en-AU"/>
        </w:rPr>
        <w:t>IHW</w:t>
      </w:r>
      <w:r>
        <w:rPr>
          <w:lang w:eastAsia="en-AU"/>
        </w:rPr>
        <w:t xml:space="preserve">s, </w:t>
      </w:r>
      <w:r w:rsidR="002D3612">
        <w:rPr>
          <w:lang w:eastAsia="en-AU"/>
        </w:rPr>
        <w:t>m</w:t>
      </w:r>
      <w:r>
        <w:rPr>
          <w:lang w:eastAsia="en-AU"/>
        </w:rPr>
        <w:t xml:space="preserve">anagers and </w:t>
      </w:r>
      <w:r w:rsidR="002D3612">
        <w:rPr>
          <w:lang w:eastAsia="en-AU"/>
        </w:rPr>
        <w:t>n</w:t>
      </w:r>
      <w:r>
        <w:rPr>
          <w:lang w:eastAsia="en-AU"/>
        </w:rPr>
        <w:t xml:space="preserve">urses often have a complex and diverse role when delivering services to Indigenous patients </w:t>
      </w:r>
      <w:r w:rsidR="00DC7D05">
        <w:rPr>
          <w:lang w:eastAsia="en-AU"/>
        </w:rPr>
        <w:t>and</w:t>
      </w:r>
      <w:r>
        <w:rPr>
          <w:lang w:eastAsia="en-AU"/>
        </w:rPr>
        <w:t xml:space="preserve"> </w:t>
      </w:r>
      <w:r w:rsidR="00DC7D05">
        <w:rPr>
          <w:lang w:eastAsia="en-AU"/>
        </w:rPr>
        <w:t>may</w:t>
      </w:r>
      <w:r>
        <w:rPr>
          <w:lang w:eastAsia="en-AU"/>
        </w:rPr>
        <w:t xml:space="preserve"> have a holistic approach to patient care and wellbeing. </w:t>
      </w:r>
    </w:p>
    <w:p w14:paraId="7B48ABC2" w14:textId="35D6EEBC" w:rsidR="00DC7D05" w:rsidRDefault="007F0D6A" w:rsidP="009A2088">
      <w:pPr>
        <w:rPr>
          <w:lang w:eastAsia="en-AU"/>
        </w:rPr>
      </w:pPr>
      <w:r>
        <w:rPr>
          <w:lang w:eastAsia="en-AU"/>
        </w:rPr>
        <w:t xml:space="preserve">On the other hand, </w:t>
      </w:r>
      <w:r w:rsidR="009A2088">
        <w:rPr>
          <w:lang w:eastAsia="en-AU"/>
        </w:rPr>
        <w:t xml:space="preserve">GPs, </w:t>
      </w:r>
      <w:r w:rsidR="002D3612">
        <w:rPr>
          <w:lang w:eastAsia="en-AU"/>
        </w:rPr>
        <w:t>h</w:t>
      </w:r>
      <w:r w:rsidR="009A2088">
        <w:rPr>
          <w:lang w:eastAsia="en-AU"/>
        </w:rPr>
        <w:t xml:space="preserve">ealth </w:t>
      </w:r>
      <w:r w:rsidR="002D3612">
        <w:rPr>
          <w:lang w:eastAsia="en-AU"/>
        </w:rPr>
        <w:t>e</w:t>
      </w:r>
      <w:r w:rsidR="009A2088">
        <w:rPr>
          <w:lang w:eastAsia="en-AU"/>
        </w:rPr>
        <w:t xml:space="preserve">ducation </w:t>
      </w:r>
      <w:r w:rsidR="002D3612">
        <w:rPr>
          <w:lang w:eastAsia="en-AU"/>
        </w:rPr>
        <w:t>o</w:t>
      </w:r>
      <w:r w:rsidR="009A2088">
        <w:rPr>
          <w:lang w:eastAsia="en-AU"/>
        </w:rPr>
        <w:t xml:space="preserve">fficers and </w:t>
      </w:r>
      <w:r w:rsidR="002D3612">
        <w:rPr>
          <w:lang w:eastAsia="en-AU"/>
        </w:rPr>
        <w:t>o</w:t>
      </w:r>
      <w:r w:rsidR="009A2088">
        <w:rPr>
          <w:lang w:eastAsia="en-AU"/>
        </w:rPr>
        <w:t xml:space="preserve">ther professions in the centre </w:t>
      </w:r>
      <w:r w:rsidR="00DC7D05">
        <w:rPr>
          <w:lang w:eastAsia="en-AU"/>
        </w:rPr>
        <w:t xml:space="preserve">may </w:t>
      </w:r>
      <w:r w:rsidR="009A2088">
        <w:rPr>
          <w:lang w:eastAsia="en-AU"/>
        </w:rPr>
        <w:t>have more defined roles with a specific physical health focus. Given these extended</w:t>
      </w:r>
      <w:r w:rsidR="00DC7D05">
        <w:rPr>
          <w:lang w:eastAsia="en-AU"/>
        </w:rPr>
        <w:t xml:space="preserve"> parameters,</w:t>
      </w:r>
      <w:r w:rsidR="009A2088">
        <w:rPr>
          <w:lang w:eastAsia="en-AU"/>
        </w:rPr>
        <w:t xml:space="preserve"> benefit may have been extended through </w:t>
      </w:r>
      <w:r w:rsidR="00DC7D05">
        <w:rPr>
          <w:lang w:eastAsia="en-AU"/>
        </w:rPr>
        <w:t>an</w:t>
      </w:r>
      <w:r w:rsidR="009A2088">
        <w:rPr>
          <w:lang w:eastAsia="en-AU"/>
        </w:rPr>
        <w:t xml:space="preserve"> exploration of role in the A</w:t>
      </w:r>
      <w:r w:rsidR="00DC7D05">
        <w:rPr>
          <w:lang w:eastAsia="en-AU"/>
        </w:rPr>
        <w:t xml:space="preserve">lternative </w:t>
      </w:r>
      <w:r w:rsidR="009A2088">
        <w:rPr>
          <w:lang w:eastAsia="en-AU"/>
        </w:rPr>
        <w:t>P</w:t>
      </w:r>
      <w:r w:rsidR="00DC7D05">
        <w:rPr>
          <w:lang w:eastAsia="en-AU"/>
        </w:rPr>
        <w:t>athway</w:t>
      </w:r>
      <w:r w:rsidR="009A2088">
        <w:rPr>
          <w:lang w:eastAsia="en-AU"/>
        </w:rPr>
        <w:t xml:space="preserve"> </w:t>
      </w:r>
      <w:r w:rsidR="00DC7D05">
        <w:rPr>
          <w:lang w:eastAsia="en-AU"/>
        </w:rPr>
        <w:t xml:space="preserve">and </w:t>
      </w:r>
      <w:r w:rsidR="009A2088">
        <w:rPr>
          <w:lang w:eastAsia="en-AU"/>
        </w:rPr>
        <w:t xml:space="preserve">through open discussion and camaraderie during the </w:t>
      </w:r>
      <w:r w:rsidR="002D3612">
        <w:rPr>
          <w:rFonts w:cstheme="minorHAnsi"/>
        </w:rPr>
        <w:t xml:space="preserve">face-to-face </w:t>
      </w:r>
      <w:r w:rsidR="009A2088">
        <w:rPr>
          <w:lang w:eastAsia="en-AU"/>
        </w:rPr>
        <w:t>training</w:t>
      </w:r>
      <w:r w:rsidR="00DC7D05">
        <w:rPr>
          <w:lang w:eastAsia="en-AU"/>
        </w:rPr>
        <w:t>,</w:t>
      </w:r>
      <w:r w:rsidR="009A2088">
        <w:rPr>
          <w:lang w:eastAsia="en-AU"/>
        </w:rPr>
        <w:t xml:space="preserve"> whereas the opportunity for </w:t>
      </w:r>
      <w:r w:rsidR="002D3612">
        <w:rPr>
          <w:lang w:eastAsia="en-AU"/>
        </w:rPr>
        <w:t>camaraderie</w:t>
      </w:r>
      <w:r w:rsidR="00DC7D05">
        <w:rPr>
          <w:lang w:eastAsia="en-AU"/>
        </w:rPr>
        <w:t xml:space="preserve"> and networking</w:t>
      </w:r>
      <w:r w:rsidR="002D3612">
        <w:rPr>
          <w:lang w:eastAsia="en-AU"/>
        </w:rPr>
        <w:t xml:space="preserve"> </w:t>
      </w:r>
      <w:r w:rsidR="009A2088">
        <w:rPr>
          <w:lang w:eastAsia="en-AU"/>
        </w:rPr>
        <w:t xml:space="preserve">was not available during </w:t>
      </w:r>
      <w:r w:rsidR="002D3612">
        <w:rPr>
          <w:lang w:eastAsia="en-AU"/>
        </w:rPr>
        <w:t>o</w:t>
      </w:r>
      <w:r w:rsidR="009A2088">
        <w:rPr>
          <w:lang w:eastAsia="en-AU"/>
        </w:rPr>
        <w:t xml:space="preserve">nline training. </w:t>
      </w:r>
    </w:p>
    <w:p w14:paraId="5D7A7381" w14:textId="495820A7" w:rsidR="009A2088" w:rsidRDefault="00DC7D05" w:rsidP="009A2088">
      <w:pPr>
        <w:rPr>
          <w:lang w:eastAsia="en-AU"/>
        </w:rPr>
      </w:pPr>
      <w:r>
        <w:rPr>
          <w:lang w:eastAsia="en-AU"/>
        </w:rPr>
        <w:t>In addition,</w:t>
      </w:r>
      <w:r w:rsidR="009A2088">
        <w:rPr>
          <w:lang w:eastAsia="en-AU"/>
        </w:rPr>
        <w:t xml:space="preserve"> more defined professional roles such as GPs and </w:t>
      </w:r>
      <w:r w:rsidR="002D3612">
        <w:rPr>
          <w:lang w:eastAsia="en-AU"/>
        </w:rPr>
        <w:t>h</w:t>
      </w:r>
      <w:r w:rsidR="009A2088">
        <w:rPr>
          <w:lang w:eastAsia="en-AU"/>
        </w:rPr>
        <w:t xml:space="preserve">ealth </w:t>
      </w:r>
      <w:r w:rsidR="002D3612">
        <w:rPr>
          <w:lang w:eastAsia="en-AU"/>
        </w:rPr>
        <w:t>e</w:t>
      </w:r>
      <w:r w:rsidR="009A2088">
        <w:rPr>
          <w:lang w:eastAsia="en-AU"/>
        </w:rPr>
        <w:t xml:space="preserve">ducation </w:t>
      </w:r>
      <w:r w:rsidR="002D3612">
        <w:rPr>
          <w:lang w:eastAsia="en-AU"/>
        </w:rPr>
        <w:t>o</w:t>
      </w:r>
      <w:r w:rsidR="009A2088">
        <w:rPr>
          <w:lang w:eastAsia="en-AU"/>
        </w:rPr>
        <w:t>fficers may already have a remit that encompasses cancer screening</w:t>
      </w:r>
      <w:r>
        <w:rPr>
          <w:lang w:eastAsia="en-AU"/>
        </w:rPr>
        <w:t>,</w:t>
      </w:r>
      <w:r w:rsidR="009A2088">
        <w:rPr>
          <w:lang w:eastAsia="en-AU"/>
        </w:rPr>
        <w:t xml:space="preserve"> subsequently, training</w:t>
      </w:r>
      <w:r w:rsidR="002D3612">
        <w:rPr>
          <w:lang w:eastAsia="en-AU"/>
        </w:rPr>
        <w:t>,</w:t>
      </w:r>
      <w:r w:rsidR="009A2088">
        <w:rPr>
          <w:lang w:eastAsia="en-AU"/>
        </w:rPr>
        <w:t xml:space="preserve"> regardless of how it was delivered may not have been significantly influential.</w:t>
      </w:r>
    </w:p>
    <w:p w14:paraId="3DADF182" w14:textId="77777777" w:rsidR="009A2088" w:rsidRDefault="009A2088" w:rsidP="004257B1">
      <w:pPr>
        <w:pStyle w:val="Heading4"/>
      </w:pPr>
      <w:r>
        <w:t>Confidence</w:t>
      </w:r>
    </w:p>
    <w:p w14:paraId="63937DA6" w14:textId="2D419400" w:rsidR="009A2088" w:rsidRDefault="009A2088" w:rsidP="009A2088">
      <w:pPr>
        <w:rPr>
          <w:lang w:eastAsia="en-AU"/>
        </w:rPr>
      </w:pPr>
      <w:r>
        <w:rPr>
          <w:lang w:eastAsia="en-AU"/>
        </w:rPr>
        <w:t>Little discrimination between professional groups was observed in the confidence analysis. Both modes of training revealed significant increases in most professional categories.</w:t>
      </w:r>
      <w:r w:rsidR="007F0D6A">
        <w:rPr>
          <w:lang w:eastAsia="en-AU"/>
        </w:rPr>
        <w:t xml:space="preserve"> </w:t>
      </w:r>
      <w:r>
        <w:rPr>
          <w:lang w:eastAsia="en-AU"/>
        </w:rPr>
        <w:t xml:space="preserve">The exception was for </w:t>
      </w:r>
      <w:r w:rsidR="00DC7D05">
        <w:rPr>
          <w:lang w:eastAsia="en-AU"/>
        </w:rPr>
        <w:t>h</w:t>
      </w:r>
      <w:r>
        <w:rPr>
          <w:lang w:eastAsia="en-AU"/>
        </w:rPr>
        <w:t xml:space="preserve">ealth </w:t>
      </w:r>
      <w:r w:rsidR="00DC7D05">
        <w:rPr>
          <w:lang w:eastAsia="en-AU"/>
        </w:rPr>
        <w:t>e</w:t>
      </w:r>
      <w:r>
        <w:rPr>
          <w:lang w:eastAsia="en-AU"/>
        </w:rPr>
        <w:t xml:space="preserve">ducation and </w:t>
      </w:r>
      <w:r w:rsidR="00DC7D05">
        <w:rPr>
          <w:lang w:eastAsia="en-AU"/>
        </w:rPr>
        <w:t>m</w:t>
      </w:r>
      <w:r>
        <w:rPr>
          <w:lang w:eastAsia="en-AU"/>
        </w:rPr>
        <w:t>anagement/</w:t>
      </w:r>
      <w:r w:rsidR="00DC7D05">
        <w:rPr>
          <w:lang w:eastAsia="en-AU"/>
        </w:rPr>
        <w:t>a</w:t>
      </w:r>
      <w:r>
        <w:rPr>
          <w:lang w:eastAsia="en-AU"/>
        </w:rPr>
        <w:t xml:space="preserve">dmin professions accessing </w:t>
      </w:r>
      <w:r w:rsidR="00DC7D05">
        <w:rPr>
          <w:lang w:eastAsia="en-AU"/>
        </w:rPr>
        <w:t>o</w:t>
      </w:r>
      <w:r>
        <w:rPr>
          <w:lang w:eastAsia="en-AU"/>
        </w:rPr>
        <w:t>nline delivery</w:t>
      </w:r>
      <w:r w:rsidR="00DC7D05">
        <w:rPr>
          <w:lang w:eastAsia="en-AU"/>
        </w:rPr>
        <w:t>. However, t</w:t>
      </w:r>
      <w:r>
        <w:rPr>
          <w:lang w:eastAsia="en-AU"/>
        </w:rPr>
        <w:t>his may be attributed to small sample sizes in these professional groups. Further analysis would require larger sample sizes in these groups to substantiate the findings.</w:t>
      </w:r>
    </w:p>
    <w:p w14:paraId="47D781F7" w14:textId="31A1C2E3" w:rsidR="00315D5B" w:rsidRDefault="00315D5B">
      <w:pPr>
        <w:spacing w:before="0" w:after="0" w:line="240" w:lineRule="auto"/>
        <w:rPr>
          <w:lang w:eastAsia="en-AU"/>
        </w:rPr>
      </w:pPr>
      <w:r>
        <w:rPr>
          <w:lang w:eastAsia="en-AU"/>
        </w:rPr>
        <w:br w:type="page"/>
      </w:r>
    </w:p>
    <w:p w14:paraId="25BE565C" w14:textId="77777777" w:rsidR="00315D5B" w:rsidRPr="009A2088" w:rsidRDefault="00315D5B" w:rsidP="009A2088">
      <w:pPr>
        <w:rPr>
          <w:lang w:eastAsia="en-AU"/>
        </w:rPr>
      </w:pPr>
    </w:p>
    <w:p w14:paraId="26C9933F" w14:textId="657BDA4C" w:rsidR="00552061" w:rsidRPr="00552061" w:rsidRDefault="00552061" w:rsidP="002E74E6">
      <w:pPr>
        <w:pStyle w:val="Caption"/>
      </w:pPr>
      <w:r w:rsidRPr="00552061">
        <w:t xml:space="preserve">Table </w:t>
      </w:r>
      <w:r>
        <w:t>E-</w:t>
      </w:r>
      <w:r w:rsidRPr="00552061">
        <w:t>3</w:t>
      </w:r>
      <w:r w:rsidR="00DC7D05">
        <w:t>:</w:t>
      </w:r>
      <w:r w:rsidRPr="00552061">
        <w:t xml:space="preserve">  Role Perception, Motivation and Confidence mean scores for six professional groups</w:t>
      </w:r>
    </w:p>
    <w:tbl>
      <w:tblPr>
        <w:tblW w:w="0" w:type="auto"/>
        <w:tblBorders>
          <w:top w:val="single" w:sz="4" w:space="0" w:color="auto"/>
        </w:tblBorders>
        <w:tblLayout w:type="fixed"/>
        <w:tblLook w:val="04A0" w:firstRow="1" w:lastRow="0" w:firstColumn="1" w:lastColumn="0" w:noHBand="0" w:noVBand="1"/>
      </w:tblPr>
      <w:tblGrid>
        <w:gridCol w:w="1418"/>
        <w:gridCol w:w="425"/>
        <w:gridCol w:w="851"/>
        <w:gridCol w:w="834"/>
        <w:gridCol w:w="44"/>
        <w:gridCol w:w="539"/>
        <w:gridCol w:w="786"/>
        <w:gridCol w:w="696"/>
        <w:gridCol w:w="219"/>
        <w:gridCol w:w="425"/>
        <w:gridCol w:w="874"/>
        <w:gridCol w:w="21"/>
        <w:gridCol w:w="968"/>
        <w:gridCol w:w="44"/>
      </w:tblGrid>
      <w:tr w:rsidR="00552061" w:rsidRPr="005955F8" w14:paraId="4617CAA6" w14:textId="77777777" w:rsidTr="00D15BEA">
        <w:trPr>
          <w:gridAfter w:val="1"/>
          <w:wAfter w:w="44" w:type="dxa"/>
        </w:trPr>
        <w:tc>
          <w:tcPr>
            <w:tcW w:w="1418" w:type="dxa"/>
            <w:tcBorders>
              <w:top w:val="single" w:sz="4" w:space="0" w:color="auto"/>
              <w:bottom w:val="single" w:sz="4" w:space="0" w:color="auto"/>
            </w:tcBorders>
          </w:tcPr>
          <w:p w14:paraId="1E229C39" w14:textId="77777777" w:rsidR="00552061" w:rsidRPr="005955F8" w:rsidRDefault="00552061" w:rsidP="009A2088">
            <w:pPr>
              <w:spacing w:before="60" w:afterLines="80" w:after="192" w:line="264" w:lineRule="auto"/>
              <w:rPr>
                <w:rFonts w:cstheme="minorHAnsi"/>
                <w:sz w:val="20"/>
              </w:rPr>
            </w:pPr>
          </w:p>
        </w:tc>
        <w:tc>
          <w:tcPr>
            <w:tcW w:w="2110" w:type="dxa"/>
            <w:gridSpan w:val="3"/>
            <w:tcBorders>
              <w:top w:val="single" w:sz="4" w:space="0" w:color="auto"/>
              <w:bottom w:val="single" w:sz="4" w:space="0" w:color="auto"/>
            </w:tcBorders>
          </w:tcPr>
          <w:p w14:paraId="30D0035C" w14:textId="77777777" w:rsidR="00552061" w:rsidRPr="005955F8" w:rsidRDefault="00552061" w:rsidP="009A2088">
            <w:pPr>
              <w:spacing w:before="60" w:afterLines="80" w:after="192" w:line="264" w:lineRule="auto"/>
              <w:rPr>
                <w:rFonts w:cstheme="minorHAnsi"/>
                <w:sz w:val="20"/>
              </w:rPr>
            </w:pPr>
            <w:r w:rsidRPr="005955F8">
              <w:rPr>
                <w:rFonts w:cstheme="minorHAnsi"/>
                <w:sz w:val="20"/>
              </w:rPr>
              <w:t>Role Perception</w:t>
            </w:r>
          </w:p>
        </w:tc>
        <w:tc>
          <w:tcPr>
            <w:tcW w:w="2065" w:type="dxa"/>
            <w:gridSpan w:val="4"/>
            <w:tcBorders>
              <w:top w:val="single" w:sz="4" w:space="0" w:color="auto"/>
              <w:bottom w:val="single" w:sz="4" w:space="0" w:color="auto"/>
            </w:tcBorders>
          </w:tcPr>
          <w:p w14:paraId="371DB34B" w14:textId="77777777" w:rsidR="00552061" w:rsidRPr="005955F8" w:rsidRDefault="00552061" w:rsidP="009A2088">
            <w:pPr>
              <w:spacing w:before="60" w:afterLines="80" w:after="192" w:line="264" w:lineRule="auto"/>
              <w:rPr>
                <w:rFonts w:cstheme="minorHAnsi"/>
                <w:sz w:val="20"/>
              </w:rPr>
            </w:pPr>
            <w:r w:rsidRPr="005955F8">
              <w:rPr>
                <w:rFonts w:cstheme="minorHAnsi"/>
                <w:sz w:val="20"/>
              </w:rPr>
              <w:t>Motivation</w:t>
            </w:r>
          </w:p>
        </w:tc>
        <w:tc>
          <w:tcPr>
            <w:tcW w:w="2507" w:type="dxa"/>
            <w:gridSpan w:val="5"/>
            <w:tcBorders>
              <w:top w:val="single" w:sz="4" w:space="0" w:color="auto"/>
              <w:bottom w:val="single" w:sz="4" w:space="0" w:color="auto"/>
            </w:tcBorders>
          </w:tcPr>
          <w:p w14:paraId="09741A0B" w14:textId="77777777" w:rsidR="00552061" w:rsidRPr="005955F8" w:rsidRDefault="00552061" w:rsidP="009A2088">
            <w:pPr>
              <w:spacing w:before="60" w:afterLines="80" w:after="192" w:line="264" w:lineRule="auto"/>
              <w:rPr>
                <w:rFonts w:cstheme="minorHAnsi"/>
                <w:sz w:val="20"/>
              </w:rPr>
            </w:pPr>
            <w:r w:rsidRPr="005955F8">
              <w:rPr>
                <w:rFonts w:cstheme="minorHAnsi"/>
                <w:sz w:val="20"/>
              </w:rPr>
              <w:t>Confidence</w:t>
            </w:r>
          </w:p>
        </w:tc>
      </w:tr>
      <w:tr w:rsidR="00552061" w:rsidRPr="005955F8" w14:paraId="1AED4839" w14:textId="77777777" w:rsidTr="00D15BEA">
        <w:tc>
          <w:tcPr>
            <w:tcW w:w="1418" w:type="dxa"/>
            <w:tcBorders>
              <w:top w:val="single" w:sz="4" w:space="0" w:color="auto"/>
            </w:tcBorders>
          </w:tcPr>
          <w:p w14:paraId="19C6140E" w14:textId="77777777" w:rsidR="00552061" w:rsidRPr="005955F8" w:rsidRDefault="00552061" w:rsidP="009A2088">
            <w:pPr>
              <w:spacing w:before="60" w:afterLines="80" w:after="192" w:line="264" w:lineRule="auto"/>
              <w:contextualSpacing/>
              <w:rPr>
                <w:rFonts w:cstheme="minorHAnsi"/>
                <w:sz w:val="20"/>
              </w:rPr>
            </w:pPr>
          </w:p>
        </w:tc>
        <w:tc>
          <w:tcPr>
            <w:tcW w:w="425" w:type="dxa"/>
            <w:tcBorders>
              <w:top w:val="single" w:sz="4" w:space="0" w:color="auto"/>
            </w:tcBorders>
          </w:tcPr>
          <w:p w14:paraId="5EFC1714"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n</w:t>
            </w:r>
          </w:p>
        </w:tc>
        <w:tc>
          <w:tcPr>
            <w:tcW w:w="851" w:type="dxa"/>
            <w:tcBorders>
              <w:top w:val="single" w:sz="4" w:space="0" w:color="auto"/>
            </w:tcBorders>
          </w:tcPr>
          <w:p w14:paraId="080E4AB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Pre</w:t>
            </w:r>
          </w:p>
        </w:tc>
        <w:tc>
          <w:tcPr>
            <w:tcW w:w="878" w:type="dxa"/>
            <w:gridSpan w:val="2"/>
            <w:tcBorders>
              <w:top w:val="single" w:sz="4" w:space="0" w:color="auto"/>
            </w:tcBorders>
          </w:tcPr>
          <w:p w14:paraId="2755DA6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Post</w:t>
            </w:r>
          </w:p>
        </w:tc>
        <w:tc>
          <w:tcPr>
            <w:tcW w:w="539" w:type="dxa"/>
            <w:tcBorders>
              <w:top w:val="single" w:sz="4" w:space="0" w:color="auto"/>
            </w:tcBorders>
          </w:tcPr>
          <w:p w14:paraId="23A9500E"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n</w:t>
            </w:r>
          </w:p>
        </w:tc>
        <w:tc>
          <w:tcPr>
            <w:tcW w:w="786" w:type="dxa"/>
            <w:tcBorders>
              <w:top w:val="single" w:sz="4" w:space="0" w:color="auto"/>
            </w:tcBorders>
          </w:tcPr>
          <w:p w14:paraId="3170F55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Pre</w:t>
            </w:r>
          </w:p>
        </w:tc>
        <w:tc>
          <w:tcPr>
            <w:tcW w:w="915" w:type="dxa"/>
            <w:gridSpan w:val="2"/>
            <w:tcBorders>
              <w:top w:val="single" w:sz="4" w:space="0" w:color="auto"/>
            </w:tcBorders>
          </w:tcPr>
          <w:p w14:paraId="5581C72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Post</w:t>
            </w:r>
          </w:p>
        </w:tc>
        <w:tc>
          <w:tcPr>
            <w:tcW w:w="425" w:type="dxa"/>
            <w:tcBorders>
              <w:top w:val="single" w:sz="4" w:space="0" w:color="auto"/>
            </w:tcBorders>
          </w:tcPr>
          <w:p w14:paraId="6EC2F3BE"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n</w:t>
            </w:r>
          </w:p>
        </w:tc>
        <w:tc>
          <w:tcPr>
            <w:tcW w:w="895" w:type="dxa"/>
            <w:gridSpan w:val="2"/>
            <w:tcBorders>
              <w:top w:val="single" w:sz="4" w:space="0" w:color="auto"/>
            </w:tcBorders>
          </w:tcPr>
          <w:p w14:paraId="480DBD87"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Pre</w:t>
            </w:r>
          </w:p>
        </w:tc>
        <w:tc>
          <w:tcPr>
            <w:tcW w:w="1012" w:type="dxa"/>
            <w:gridSpan w:val="2"/>
            <w:tcBorders>
              <w:top w:val="single" w:sz="4" w:space="0" w:color="auto"/>
            </w:tcBorders>
          </w:tcPr>
          <w:p w14:paraId="522CC779"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Post</w:t>
            </w:r>
          </w:p>
        </w:tc>
      </w:tr>
      <w:tr w:rsidR="00552061" w:rsidRPr="005955F8" w14:paraId="4890E8CF" w14:textId="77777777" w:rsidTr="00D15BEA">
        <w:tc>
          <w:tcPr>
            <w:tcW w:w="1418" w:type="dxa"/>
          </w:tcPr>
          <w:p w14:paraId="1BF86F54" w14:textId="77777777" w:rsidR="00552061" w:rsidRPr="00DC7D05" w:rsidRDefault="00552061" w:rsidP="009A2088">
            <w:pPr>
              <w:spacing w:before="60" w:afterLines="80" w:after="192" w:line="264" w:lineRule="auto"/>
              <w:contextualSpacing/>
              <w:rPr>
                <w:rFonts w:cstheme="minorHAnsi"/>
                <w:b/>
                <w:bCs/>
                <w:sz w:val="20"/>
                <w:szCs w:val="20"/>
              </w:rPr>
            </w:pPr>
            <w:r w:rsidRPr="00DC7D05">
              <w:rPr>
                <w:rFonts w:cstheme="minorHAnsi"/>
                <w:b/>
                <w:bCs/>
                <w:sz w:val="20"/>
                <w:szCs w:val="20"/>
              </w:rPr>
              <w:t>Nurse</w:t>
            </w:r>
          </w:p>
        </w:tc>
        <w:tc>
          <w:tcPr>
            <w:tcW w:w="425" w:type="dxa"/>
          </w:tcPr>
          <w:p w14:paraId="24D39AF8" w14:textId="77777777" w:rsidR="00552061" w:rsidRPr="005955F8" w:rsidRDefault="00552061" w:rsidP="009A2088">
            <w:pPr>
              <w:spacing w:before="60" w:afterLines="80" w:after="192" w:line="264" w:lineRule="auto"/>
              <w:contextualSpacing/>
              <w:rPr>
                <w:rFonts w:cstheme="minorHAnsi"/>
                <w:sz w:val="20"/>
              </w:rPr>
            </w:pPr>
          </w:p>
        </w:tc>
        <w:tc>
          <w:tcPr>
            <w:tcW w:w="851" w:type="dxa"/>
          </w:tcPr>
          <w:p w14:paraId="64ECF16F" w14:textId="77777777" w:rsidR="00552061" w:rsidRPr="005955F8" w:rsidRDefault="00552061" w:rsidP="009A2088">
            <w:pPr>
              <w:spacing w:before="60" w:afterLines="80" w:after="192" w:line="264" w:lineRule="auto"/>
              <w:contextualSpacing/>
              <w:rPr>
                <w:rFonts w:cstheme="minorHAnsi"/>
                <w:sz w:val="20"/>
              </w:rPr>
            </w:pPr>
          </w:p>
        </w:tc>
        <w:tc>
          <w:tcPr>
            <w:tcW w:w="878" w:type="dxa"/>
            <w:gridSpan w:val="2"/>
          </w:tcPr>
          <w:p w14:paraId="70F72B41" w14:textId="77777777" w:rsidR="00552061" w:rsidRPr="005955F8" w:rsidRDefault="00552061" w:rsidP="009A2088">
            <w:pPr>
              <w:spacing w:before="60" w:afterLines="80" w:after="192" w:line="264" w:lineRule="auto"/>
              <w:contextualSpacing/>
              <w:rPr>
                <w:rFonts w:cstheme="minorHAnsi"/>
                <w:sz w:val="20"/>
              </w:rPr>
            </w:pPr>
          </w:p>
        </w:tc>
        <w:tc>
          <w:tcPr>
            <w:tcW w:w="539" w:type="dxa"/>
          </w:tcPr>
          <w:p w14:paraId="55434716" w14:textId="77777777" w:rsidR="00552061" w:rsidRPr="005955F8" w:rsidRDefault="00552061" w:rsidP="009A2088">
            <w:pPr>
              <w:spacing w:before="60" w:afterLines="80" w:after="192" w:line="264" w:lineRule="auto"/>
              <w:contextualSpacing/>
              <w:rPr>
                <w:rFonts w:cstheme="minorHAnsi"/>
                <w:sz w:val="20"/>
              </w:rPr>
            </w:pPr>
          </w:p>
        </w:tc>
        <w:tc>
          <w:tcPr>
            <w:tcW w:w="786" w:type="dxa"/>
          </w:tcPr>
          <w:p w14:paraId="110AF52E" w14:textId="77777777" w:rsidR="00552061" w:rsidRPr="005955F8" w:rsidRDefault="00552061" w:rsidP="009A2088">
            <w:pPr>
              <w:spacing w:before="60" w:afterLines="80" w:after="192" w:line="264" w:lineRule="auto"/>
              <w:contextualSpacing/>
              <w:rPr>
                <w:rFonts w:cstheme="minorHAnsi"/>
                <w:sz w:val="20"/>
              </w:rPr>
            </w:pPr>
          </w:p>
        </w:tc>
        <w:tc>
          <w:tcPr>
            <w:tcW w:w="915" w:type="dxa"/>
            <w:gridSpan w:val="2"/>
          </w:tcPr>
          <w:p w14:paraId="6C6CA58C" w14:textId="77777777" w:rsidR="00552061" w:rsidRPr="005955F8" w:rsidRDefault="00552061" w:rsidP="009A2088">
            <w:pPr>
              <w:spacing w:before="60" w:afterLines="80" w:after="192" w:line="264" w:lineRule="auto"/>
              <w:contextualSpacing/>
              <w:rPr>
                <w:rFonts w:cstheme="minorHAnsi"/>
                <w:sz w:val="20"/>
              </w:rPr>
            </w:pPr>
          </w:p>
        </w:tc>
        <w:tc>
          <w:tcPr>
            <w:tcW w:w="425" w:type="dxa"/>
          </w:tcPr>
          <w:p w14:paraId="1F17E2C6" w14:textId="77777777" w:rsidR="00552061" w:rsidRPr="005955F8" w:rsidRDefault="00552061" w:rsidP="009A2088">
            <w:pPr>
              <w:spacing w:before="60" w:afterLines="80" w:after="192" w:line="264" w:lineRule="auto"/>
              <w:contextualSpacing/>
              <w:rPr>
                <w:rFonts w:cstheme="minorHAnsi"/>
                <w:sz w:val="20"/>
              </w:rPr>
            </w:pPr>
          </w:p>
        </w:tc>
        <w:tc>
          <w:tcPr>
            <w:tcW w:w="874" w:type="dxa"/>
          </w:tcPr>
          <w:p w14:paraId="72638398" w14:textId="77777777" w:rsidR="00552061" w:rsidRPr="005955F8" w:rsidRDefault="00552061" w:rsidP="009A2088">
            <w:pPr>
              <w:spacing w:before="60" w:afterLines="80" w:after="192" w:line="264" w:lineRule="auto"/>
              <w:contextualSpacing/>
              <w:rPr>
                <w:rFonts w:cstheme="minorHAnsi"/>
                <w:sz w:val="20"/>
              </w:rPr>
            </w:pPr>
          </w:p>
        </w:tc>
        <w:tc>
          <w:tcPr>
            <w:tcW w:w="1033" w:type="dxa"/>
            <w:gridSpan w:val="3"/>
          </w:tcPr>
          <w:p w14:paraId="6EBC4ADD" w14:textId="77777777" w:rsidR="00552061" w:rsidRPr="005955F8" w:rsidRDefault="00552061" w:rsidP="009A2088">
            <w:pPr>
              <w:spacing w:before="60" w:afterLines="80" w:after="192" w:line="264" w:lineRule="auto"/>
              <w:contextualSpacing/>
              <w:rPr>
                <w:rFonts w:cstheme="minorHAnsi"/>
                <w:sz w:val="20"/>
              </w:rPr>
            </w:pPr>
          </w:p>
        </w:tc>
      </w:tr>
      <w:tr w:rsidR="00552061" w:rsidRPr="005955F8" w14:paraId="0AC92C3B" w14:textId="77777777" w:rsidTr="00D15BEA">
        <w:tc>
          <w:tcPr>
            <w:tcW w:w="1418" w:type="dxa"/>
          </w:tcPr>
          <w:p w14:paraId="7A403605" w14:textId="77777777" w:rsidR="00552061" w:rsidRPr="00DC7D05" w:rsidRDefault="00552061" w:rsidP="009A2088">
            <w:pPr>
              <w:spacing w:before="60" w:afterLines="80" w:after="192" w:line="264" w:lineRule="auto"/>
              <w:contextualSpacing/>
              <w:rPr>
                <w:rFonts w:cstheme="minorHAnsi"/>
                <w:b/>
                <w:bCs/>
                <w:iCs/>
                <w:sz w:val="20"/>
                <w:szCs w:val="20"/>
              </w:rPr>
            </w:pPr>
            <w:r w:rsidRPr="00DC7D05">
              <w:rPr>
                <w:rFonts w:cstheme="minorHAnsi"/>
                <w:iCs/>
                <w:sz w:val="20"/>
                <w:szCs w:val="20"/>
              </w:rPr>
              <w:t>Online</w:t>
            </w:r>
          </w:p>
        </w:tc>
        <w:tc>
          <w:tcPr>
            <w:tcW w:w="425" w:type="dxa"/>
          </w:tcPr>
          <w:p w14:paraId="0C656271"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22</w:t>
            </w:r>
          </w:p>
        </w:tc>
        <w:tc>
          <w:tcPr>
            <w:tcW w:w="851" w:type="dxa"/>
          </w:tcPr>
          <w:p w14:paraId="287E5002"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4.27</w:t>
            </w:r>
          </w:p>
        </w:tc>
        <w:tc>
          <w:tcPr>
            <w:tcW w:w="878" w:type="dxa"/>
            <w:gridSpan w:val="2"/>
          </w:tcPr>
          <w:p w14:paraId="10D03718"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4.16</w:t>
            </w:r>
          </w:p>
        </w:tc>
        <w:tc>
          <w:tcPr>
            <w:tcW w:w="539" w:type="dxa"/>
          </w:tcPr>
          <w:p w14:paraId="1EDE4972"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23</w:t>
            </w:r>
          </w:p>
        </w:tc>
        <w:tc>
          <w:tcPr>
            <w:tcW w:w="786" w:type="dxa"/>
          </w:tcPr>
          <w:p w14:paraId="50B456F5"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3.91</w:t>
            </w:r>
          </w:p>
        </w:tc>
        <w:tc>
          <w:tcPr>
            <w:tcW w:w="915" w:type="dxa"/>
            <w:gridSpan w:val="2"/>
          </w:tcPr>
          <w:p w14:paraId="3178C5DA"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3.90</w:t>
            </w:r>
          </w:p>
        </w:tc>
        <w:tc>
          <w:tcPr>
            <w:tcW w:w="425" w:type="dxa"/>
          </w:tcPr>
          <w:p w14:paraId="014B15AA"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24</w:t>
            </w:r>
          </w:p>
        </w:tc>
        <w:tc>
          <w:tcPr>
            <w:tcW w:w="874" w:type="dxa"/>
          </w:tcPr>
          <w:p w14:paraId="388AC997"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2.73</w:t>
            </w:r>
          </w:p>
        </w:tc>
        <w:tc>
          <w:tcPr>
            <w:tcW w:w="1033" w:type="dxa"/>
            <w:gridSpan w:val="3"/>
          </w:tcPr>
          <w:p w14:paraId="3F646D7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b/>
                <w:bCs/>
                <w:sz w:val="20"/>
              </w:rPr>
              <w:t>**3.52</w:t>
            </w:r>
          </w:p>
        </w:tc>
      </w:tr>
      <w:tr w:rsidR="00552061" w:rsidRPr="005955F8" w14:paraId="0D5F5C1E" w14:textId="77777777" w:rsidTr="00D15BEA">
        <w:tc>
          <w:tcPr>
            <w:tcW w:w="1418" w:type="dxa"/>
          </w:tcPr>
          <w:p w14:paraId="62B28269" w14:textId="45974A18" w:rsidR="00552061" w:rsidRPr="00DC7D05" w:rsidRDefault="00DC7D05" w:rsidP="009A2088">
            <w:pPr>
              <w:spacing w:before="60" w:afterLines="80" w:after="192" w:line="264" w:lineRule="auto"/>
              <w:contextualSpacing/>
              <w:rPr>
                <w:rFonts w:cstheme="minorHAnsi"/>
                <w:iCs/>
                <w:sz w:val="20"/>
                <w:szCs w:val="20"/>
              </w:rPr>
            </w:pPr>
            <w:r w:rsidRPr="0069783C">
              <w:rPr>
                <w:rFonts w:cstheme="minorHAnsi"/>
                <w:sz w:val="20"/>
                <w:szCs w:val="20"/>
              </w:rPr>
              <w:t>Face-to-face</w:t>
            </w:r>
          </w:p>
        </w:tc>
        <w:tc>
          <w:tcPr>
            <w:tcW w:w="425" w:type="dxa"/>
          </w:tcPr>
          <w:p w14:paraId="7541F213"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42</w:t>
            </w:r>
          </w:p>
        </w:tc>
        <w:tc>
          <w:tcPr>
            <w:tcW w:w="851" w:type="dxa"/>
          </w:tcPr>
          <w:p w14:paraId="7DF0AD5F"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2.96</w:t>
            </w:r>
          </w:p>
        </w:tc>
        <w:tc>
          <w:tcPr>
            <w:tcW w:w="878" w:type="dxa"/>
            <w:gridSpan w:val="2"/>
          </w:tcPr>
          <w:p w14:paraId="15381A10" w14:textId="77777777" w:rsidR="00552061" w:rsidRPr="005955F8" w:rsidRDefault="00552061" w:rsidP="009A2088">
            <w:pPr>
              <w:spacing w:before="60" w:afterLines="80" w:after="192" w:line="264" w:lineRule="auto"/>
              <w:contextualSpacing/>
              <w:rPr>
                <w:rFonts w:cstheme="minorHAnsi"/>
                <w:sz w:val="20"/>
              </w:rPr>
            </w:pPr>
            <w:r>
              <w:rPr>
                <w:rFonts w:cstheme="minorHAnsi"/>
                <w:b/>
                <w:bCs/>
                <w:sz w:val="20"/>
              </w:rPr>
              <w:t xml:space="preserve"> </w:t>
            </w:r>
            <w:r w:rsidRPr="005955F8">
              <w:rPr>
                <w:rFonts w:cstheme="minorHAnsi"/>
                <w:b/>
                <w:bCs/>
                <w:sz w:val="20"/>
              </w:rPr>
              <w:t>**4.10</w:t>
            </w:r>
          </w:p>
        </w:tc>
        <w:tc>
          <w:tcPr>
            <w:tcW w:w="539" w:type="dxa"/>
          </w:tcPr>
          <w:p w14:paraId="244C97BA"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42</w:t>
            </w:r>
          </w:p>
        </w:tc>
        <w:tc>
          <w:tcPr>
            <w:tcW w:w="786" w:type="dxa"/>
          </w:tcPr>
          <w:p w14:paraId="29659217"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3.83</w:t>
            </w:r>
          </w:p>
        </w:tc>
        <w:tc>
          <w:tcPr>
            <w:tcW w:w="915" w:type="dxa"/>
            <w:gridSpan w:val="2"/>
          </w:tcPr>
          <w:p w14:paraId="38A235D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3.95</w:t>
            </w:r>
          </w:p>
        </w:tc>
        <w:tc>
          <w:tcPr>
            <w:tcW w:w="425" w:type="dxa"/>
          </w:tcPr>
          <w:p w14:paraId="41F7C5B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42</w:t>
            </w:r>
          </w:p>
        </w:tc>
        <w:tc>
          <w:tcPr>
            <w:tcW w:w="874" w:type="dxa"/>
          </w:tcPr>
          <w:p w14:paraId="5968735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2.96</w:t>
            </w:r>
          </w:p>
        </w:tc>
        <w:tc>
          <w:tcPr>
            <w:tcW w:w="1033" w:type="dxa"/>
            <w:gridSpan w:val="3"/>
          </w:tcPr>
          <w:p w14:paraId="171EA2F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b/>
                <w:bCs/>
                <w:sz w:val="20"/>
              </w:rPr>
              <w:t>**3.84</w:t>
            </w:r>
          </w:p>
        </w:tc>
      </w:tr>
      <w:tr w:rsidR="00552061" w:rsidRPr="005955F8" w14:paraId="0DDDC465" w14:textId="77777777" w:rsidTr="00D15BEA">
        <w:tc>
          <w:tcPr>
            <w:tcW w:w="1418" w:type="dxa"/>
          </w:tcPr>
          <w:p w14:paraId="1E5D91B7" w14:textId="77777777" w:rsidR="00552061" w:rsidRPr="00DC7D05" w:rsidRDefault="00552061" w:rsidP="009A2088">
            <w:pPr>
              <w:spacing w:before="60" w:afterLines="80" w:after="192" w:line="264" w:lineRule="auto"/>
              <w:contextualSpacing/>
              <w:rPr>
                <w:rFonts w:cstheme="minorHAnsi"/>
                <w:b/>
                <w:bCs/>
                <w:sz w:val="20"/>
                <w:szCs w:val="20"/>
              </w:rPr>
            </w:pPr>
            <w:r w:rsidRPr="00DC7D05">
              <w:rPr>
                <w:rFonts w:cstheme="minorHAnsi"/>
                <w:b/>
                <w:bCs/>
                <w:sz w:val="20"/>
                <w:szCs w:val="20"/>
              </w:rPr>
              <w:t>Indigenous Health</w:t>
            </w:r>
          </w:p>
        </w:tc>
        <w:tc>
          <w:tcPr>
            <w:tcW w:w="425" w:type="dxa"/>
          </w:tcPr>
          <w:p w14:paraId="06ABD068" w14:textId="77777777" w:rsidR="00552061" w:rsidRPr="005955F8" w:rsidRDefault="00552061" w:rsidP="009A2088">
            <w:pPr>
              <w:spacing w:before="60" w:afterLines="80" w:after="192" w:line="264" w:lineRule="auto"/>
              <w:contextualSpacing/>
              <w:rPr>
                <w:rFonts w:cstheme="minorHAnsi"/>
                <w:sz w:val="20"/>
              </w:rPr>
            </w:pPr>
          </w:p>
        </w:tc>
        <w:tc>
          <w:tcPr>
            <w:tcW w:w="851" w:type="dxa"/>
          </w:tcPr>
          <w:p w14:paraId="0866DEBB" w14:textId="77777777" w:rsidR="00552061" w:rsidRPr="005955F8" w:rsidRDefault="00552061" w:rsidP="009A2088">
            <w:pPr>
              <w:spacing w:before="60" w:afterLines="80" w:after="192" w:line="264" w:lineRule="auto"/>
              <w:contextualSpacing/>
              <w:rPr>
                <w:rFonts w:cstheme="minorHAnsi"/>
                <w:sz w:val="20"/>
              </w:rPr>
            </w:pPr>
          </w:p>
        </w:tc>
        <w:tc>
          <w:tcPr>
            <w:tcW w:w="878" w:type="dxa"/>
            <w:gridSpan w:val="2"/>
          </w:tcPr>
          <w:p w14:paraId="6D7B6135" w14:textId="77777777" w:rsidR="00552061" w:rsidRPr="005955F8" w:rsidRDefault="00552061" w:rsidP="009A2088">
            <w:pPr>
              <w:spacing w:before="60" w:afterLines="80" w:after="192" w:line="264" w:lineRule="auto"/>
              <w:contextualSpacing/>
              <w:rPr>
                <w:rFonts w:cstheme="minorHAnsi"/>
                <w:sz w:val="20"/>
              </w:rPr>
            </w:pPr>
          </w:p>
        </w:tc>
        <w:tc>
          <w:tcPr>
            <w:tcW w:w="539" w:type="dxa"/>
          </w:tcPr>
          <w:p w14:paraId="314D0DB7" w14:textId="77777777" w:rsidR="00552061" w:rsidRPr="005955F8" w:rsidRDefault="00552061" w:rsidP="009A2088">
            <w:pPr>
              <w:spacing w:before="60" w:afterLines="80" w:after="192" w:line="264" w:lineRule="auto"/>
              <w:contextualSpacing/>
              <w:rPr>
                <w:rFonts w:cstheme="minorHAnsi"/>
                <w:sz w:val="20"/>
              </w:rPr>
            </w:pPr>
          </w:p>
        </w:tc>
        <w:tc>
          <w:tcPr>
            <w:tcW w:w="786" w:type="dxa"/>
          </w:tcPr>
          <w:p w14:paraId="7413E8D7" w14:textId="77777777" w:rsidR="00552061" w:rsidRPr="005955F8" w:rsidRDefault="00552061" w:rsidP="009A2088">
            <w:pPr>
              <w:spacing w:before="60" w:afterLines="80" w:after="192" w:line="264" w:lineRule="auto"/>
              <w:contextualSpacing/>
              <w:rPr>
                <w:rFonts w:cstheme="minorHAnsi"/>
                <w:sz w:val="20"/>
              </w:rPr>
            </w:pPr>
          </w:p>
        </w:tc>
        <w:tc>
          <w:tcPr>
            <w:tcW w:w="915" w:type="dxa"/>
            <w:gridSpan w:val="2"/>
          </w:tcPr>
          <w:p w14:paraId="3AD86542" w14:textId="77777777" w:rsidR="00552061" w:rsidRPr="005955F8" w:rsidRDefault="00552061" w:rsidP="009A2088">
            <w:pPr>
              <w:spacing w:before="60" w:afterLines="80" w:after="192" w:line="264" w:lineRule="auto"/>
              <w:contextualSpacing/>
              <w:rPr>
                <w:rFonts w:cstheme="minorHAnsi"/>
                <w:sz w:val="20"/>
              </w:rPr>
            </w:pPr>
          </w:p>
        </w:tc>
        <w:tc>
          <w:tcPr>
            <w:tcW w:w="425" w:type="dxa"/>
          </w:tcPr>
          <w:p w14:paraId="1AB17736" w14:textId="77777777" w:rsidR="00552061" w:rsidRPr="005955F8" w:rsidRDefault="00552061" w:rsidP="009A2088">
            <w:pPr>
              <w:spacing w:before="60" w:afterLines="80" w:after="192" w:line="264" w:lineRule="auto"/>
              <w:contextualSpacing/>
              <w:rPr>
                <w:rFonts w:cstheme="minorHAnsi"/>
                <w:sz w:val="20"/>
              </w:rPr>
            </w:pPr>
          </w:p>
        </w:tc>
        <w:tc>
          <w:tcPr>
            <w:tcW w:w="874" w:type="dxa"/>
          </w:tcPr>
          <w:p w14:paraId="25370B1D" w14:textId="77777777" w:rsidR="00552061" w:rsidRPr="005955F8" w:rsidRDefault="00552061" w:rsidP="009A2088">
            <w:pPr>
              <w:spacing w:before="60" w:afterLines="80" w:after="192" w:line="264" w:lineRule="auto"/>
              <w:contextualSpacing/>
              <w:rPr>
                <w:rFonts w:cstheme="minorHAnsi"/>
                <w:sz w:val="20"/>
              </w:rPr>
            </w:pPr>
          </w:p>
        </w:tc>
        <w:tc>
          <w:tcPr>
            <w:tcW w:w="1033" w:type="dxa"/>
            <w:gridSpan w:val="3"/>
          </w:tcPr>
          <w:p w14:paraId="4BB22FBA" w14:textId="77777777" w:rsidR="00552061" w:rsidRPr="005955F8" w:rsidRDefault="00552061" w:rsidP="009A2088">
            <w:pPr>
              <w:spacing w:before="60" w:afterLines="80" w:after="192" w:line="264" w:lineRule="auto"/>
              <w:contextualSpacing/>
              <w:rPr>
                <w:rFonts w:cstheme="minorHAnsi"/>
                <w:sz w:val="20"/>
              </w:rPr>
            </w:pPr>
          </w:p>
        </w:tc>
      </w:tr>
      <w:tr w:rsidR="00552061" w:rsidRPr="005955F8" w14:paraId="120560E0" w14:textId="77777777" w:rsidTr="00D15BEA">
        <w:tc>
          <w:tcPr>
            <w:tcW w:w="1418" w:type="dxa"/>
          </w:tcPr>
          <w:p w14:paraId="0FC417A8" w14:textId="77777777" w:rsidR="00552061" w:rsidRPr="00DC7D05" w:rsidRDefault="00552061" w:rsidP="009A2088">
            <w:pPr>
              <w:spacing w:before="60" w:afterLines="80" w:after="192" w:line="264" w:lineRule="auto"/>
              <w:contextualSpacing/>
              <w:rPr>
                <w:rFonts w:cstheme="minorHAnsi"/>
                <w:iCs/>
                <w:sz w:val="20"/>
                <w:szCs w:val="20"/>
              </w:rPr>
            </w:pPr>
            <w:r w:rsidRPr="00DC7D05">
              <w:rPr>
                <w:rFonts w:cstheme="minorHAnsi"/>
                <w:iCs/>
                <w:sz w:val="20"/>
                <w:szCs w:val="20"/>
              </w:rPr>
              <w:t>Online</w:t>
            </w:r>
          </w:p>
        </w:tc>
        <w:tc>
          <w:tcPr>
            <w:tcW w:w="425" w:type="dxa"/>
          </w:tcPr>
          <w:p w14:paraId="70CC4E03"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10</w:t>
            </w:r>
          </w:p>
        </w:tc>
        <w:tc>
          <w:tcPr>
            <w:tcW w:w="851" w:type="dxa"/>
          </w:tcPr>
          <w:p w14:paraId="68D9BBF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4.00</w:t>
            </w:r>
          </w:p>
        </w:tc>
        <w:tc>
          <w:tcPr>
            <w:tcW w:w="878" w:type="dxa"/>
            <w:gridSpan w:val="2"/>
          </w:tcPr>
          <w:p w14:paraId="040C6B0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4.15</w:t>
            </w:r>
          </w:p>
        </w:tc>
        <w:tc>
          <w:tcPr>
            <w:tcW w:w="539" w:type="dxa"/>
          </w:tcPr>
          <w:p w14:paraId="6B723717"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11</w:t>
            </w:r>
          </w:p>
        </w:tc>
        <w:tc>
          <w:tcPr>
            <w:tcW w:w="786" w:type="dxa"/>
          </w:tcPr>
          <w:p w14:paraId="17B867DE"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3.45</w:t>
            </w:r>
          </w:p>
        </w:tc>
        <w:tc>
          <w:tcPr>
            <w:tcW w:w="915" w:type="dxa"/>
            <w:gridSpan w:val="2"/>
          </w:tcPr>
          <w:p w14:paraId="18756287"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3.82</w:t>
            </w:r>
          </w:p>
        </w:tc>
        <w:tc>
          <w:tcPr>
            <w:tcW w:w="425" w:type="dxa"/>
          </w:tcPr>
          <w:p w14:paraId="6A51955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11</w:t>
            </w:r>
          </w:p>
        </w:tc>
        <w:tc>
          <w:tcPr>
            <w:tcW w:w="874" w:type="dxa"/>
          </w:tcPr>
          <w:p w14:paraId="56DAB1DF"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2.27</w:t>
            </w:r>
          </w:p>
        </w:tc>
        <w:tc>
          <w:tcPr>
            <w:tcW w:w="1033" w:type="dxa"/>
            <w:gridSpan w:val="3"/>
          </w:tcPr>
          <w:p w14:paraId="1EE6A99B" w14:textId="77777777" w:rsidR="00552061" w:rsidRPr="005955F8" w:rsidRDefault="00552061" w:rsidP="009A2088">
            <w:pPr>
              <w:spacing w:before="60" w:afterLines="80" w:after="192" w:line="264" w:lineRule="auto"/>
              <w:contextualSpacing/>
              <w:rPr>
                <w:rFonts w:cstheme="minorHAnsi"/>
                <w:b/>
                <w:bCs/>
                <w:sz w:val="20"/>
              </w:rPr>
            </w:pPr>
            <w:r w:rsidRPr="005955F8">
              <w:rPr>
                <w:rFonts w:cstheme="minorHAnsi"/>
                <w:b/>
                <w:bCs/>
                <w:sz w:val="20"/>
              </w:rPr>
              <w:t>**3.69</w:t>
            </w:r>
          </w:p>
        </w:tc>
      </w:tr>
      <w:tr w:rsidR="00552061" w:rsidRPr="005955F8" w14:paraId="637405C0" w14:textId="77777777" w:rsidTr="00D15BEA">
        <w:tc>
          <w:tcPr>
            <w:tcW w:w="1418" w:type="dxa"/>
          </w:tcPr>
          <w:p w14:paraId="73622260" w14:textId="580241AD" w:rsidR="00552061" w:rsidRPr="00DC7D05" w:rsidRDefault="00DC7D05" w:rsidP="009A2088">
            <w:pPr>
              <w:spacing w:before="60" w:afterLines="80" w:after="192" w:line="264" w:lineRule="auto"/>
              <w:contextualSpacing/>
              <w:rPr>
                <w:rFonts w:cstheme="minorHAnsi"/>
                <w:iCs/>
                <w:sz w:val="20"/>
                <w:szCs w:val="20"/>
              </w:rPr>
            </w:pPr>
            <w:r w:rsidRPr="0069783C">
              <w:rPr>
                <w:rFonts w:cstheme="minorHAnsi"/>
                <w:sz w:val="20"/>
                <w:szCs w:val="20"/>
              </w:rPr>
              <w:t>Face-to-face</w:t>
            </w:r>
          </w:p>
        </w:tc>
        <w:tc>
          <w:tcPr>
            <w:tcW w:w="425" w:type="dxa"/>
          </w:tcPr>
          <w:p w14:paraId="16CDB523"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25</w:t>
            </w:r>
          </w:p>
        </w:tc>
        <w:tc>
          <w:tcPr>
            <w:tcW w:w="851" w:type="dxa"/>
          </w:tcPr>
          <w:p w14:paraId="6CAAC7B8"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3.83</w:t>
            </w:r>
          </w:p>
        </w:tc>
        <w:tc>
          <w:tcPr>
            <w:tcW w:w="878" w:type="dxa"/>
            <w:gridSpan w:val="2"/>
          </w:tcPr>
          <w:p w14:paraId="6EBCCD09" w14:textId="77777777" w:rsidR="00552061" w:rsidRPr="005955F8" w:rsidRDefault="00552061" w:rsidP="009A2088">
            <w:pPr>
              <w:spacing w:before="60" w:afterLines="80" w:after="192" w:line="264" w:lineRule="auto"/>
              <w:contextualSpacing/>
              <w:rPr>
                <w:rFonts w:cstheme="minorHAnsi"/>
                <w:b/>
                <w:bCs/>
                <w:sz w:val="20"/>
              </w:rPr>
            </w:pPr>
            <w:r>
              <w:rPr>
                <w:rFonts w:cstheme="minorHAnsi"/>
                <w:b/>
                <w:bCs/>
                <w:sz w:val="20"/>
              </w:rPr>
              <w:t xml:space="preserve"> </w:t>
            </w:r>
            <w:r w:rsidRPr="005955F8">
              <w:rPr>
                <w:rFonts w:cstheme="minorHAnsi"/>
                <w:b/>
                <w:bCs/>
                <w:sz w:val="20"/>
              </w:rPr>
              <w:t>**4.35</w:t>
            </w:r>
          </w:p>
        </w:tc>
        <w:tc>
          <w:tcPr>
            <w:tcW w:w="539" w:type="dxa"/>
          </w:tcPr>
          <w:p w14:paraId="5C12C163"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24</w:t>
            </w:r>
          </w:p>
        </w:tc>
        <w:tc>
          <w:tcPr>
            <w:tcW w:w="786" w:type="dxa"/>
          </w:tcPr>
          <w:p w14:paraId="5691DB30"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3.85</w:t>
            </w:r>
          </w:p>
        </w:tc>
        <w:tc>
          <w:tcPr>
            <w:tcW w:w="915" w:type="dxa"/>
            <w:gridSpan w:val="2"/>
          </w:tcPr>
          <w:p w14:paraId="3492B3AE"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3.93</w:t>
            </w:r>
          </w:p>
        </w:tc>
        <w:tc>
          <w:tcPr>
            <w:tcW w:w="425" w:type="dxa"/>
          </w:tcPr>
          <w:p w14:paraId="7B03DB9F"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26</w:t>
            </w:r>
          </w:p>
        </w:tc>
        <w:tc>
          <w:tcPr>
            <w:tcW w:w="874" w:type="dxa"/>
          </w:tcPr>
          <w:p w14:paraId="5E0D528E"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2.63</w:t>
            </w:r>
          </w:p>
        </w:tc>
        <w:tc>
          <w:tcPr>
            <w:tcW w:w="1033" w:type="dxa"/>
            <w:gridSpan w:val="3"/>
          </w:tcPr>
          <w:p w14:paraId="4024EBBA" w14:textId="77777777" w:rsidR="00552061" w:rsidRPr="005955F8" w:rsidRDefault="00552061" w:rsidP="009A2088">
            <w:pPr>
              <w:spacing w:before="60" w:afterLines="80" w:after="192" w:line="264" w:lineRule="auto"/>
              <w:contextualSpacing/>
              <w:rPr>
                <w:rFonts w:cstheme="minorHAnsi"/>
                <w:b/>
                <w:bCs/>
                <w:sz w:val="20"/>
              </w:rPr>
            </w:pPr>
            <w:r w:rsidRPr="005955F8">
              <w:rPr>
                <w:rFonts w:cstheme="minorHAnsi"/>
                <w:b/>
                <w:bCs/>
                <w:sz w:val="20"/>
              </w:rPr>
              <w:t>**3.80</w:t>
            </w:r>
          </w:p>
        </w:tc>
      </w:tr>
      <w:tr w:rsidR="00552061" w:rsidRPr="005955F8" w14:paraId="370E1D66" w14:textId="77777777" w:rsidTr="00D15BEA">
        <w:tc>
          <w:tcPr>
            <w:tcW w:w="1418" w:type="dxa"/>
          </w:tcPr>
          <w:p w14:paraId="750D8604" w14:textId="77777777" w:rsidR="00552061" w:rsidRPr="00DC7D05" w:rsidRDefault="00552061" w:rsidP="009A2088">
            <w:pPr>
              <w:spacing w:before="60" w:afterLines="80" w:after="192" w:line="264" w:lineRule="auto"/>
              <w:contextualSpacing/>
              <w:rPr>
                <w:rFonts w:cstheme="minorHAnsi"/>
                <w:b/>
                <w:bCs/>
                <w:sz w:val="20"/>
                <w:szCs w:val="20"/>
              </w:rPr>
            </w:pPr>
            <w:r w:rsidRPr="00DC7D05">
              <w:rPr>
                <w:rFonts w:cstheme="minorHAnsi"/>
                <w:b/>
                <w:bCs/>
                <w:sz w:val="20"/>
                <w:szCs w:val="20"/>
              </w:rPr>
              <w:t>GP</w:t>
            </w:r>
          </w:p>
        </w:tc>
        <w:tc>
          <w:tcPr>
            <w:tcW w:w="425" w:type="dxa"/>
          </w:tcPr>
          <w:p w14:paraId="22DB3D8B" w14:textId="77777777" w:rsidR="00552061" w:rsidRPr="005955F8" w:rsidRDefault="00552061" w:rsidP="009A2088">
            <w:pPr>
              <w:spacing w:before="60" w:afterLines="80" w:after="192" w:line="264" w:lineRule="auto"/>
              <w:contextualSpacing/>
              <w:rPr>
                <w:rFonts w:cstheme="minorHAnsi"/>
                <w:sz w:val="20"/>
              </w:rPr>
            </w:pPr>
          </w:p>
        </w:tc>
        <w:tc>
          <w:tcPr>
            <w:tcW w:w="851" w:type="dxa"/>
          </w:tcPr>
          <w:p w14:paraId="4FD4BB29" w14:textId="77777777" w:rsidR="00552061" w:rsidRPr="005955F8" w:rsidRDefault="00552061" w:rsidP="009A2088">
            <w:pPr>
              <w:spacing w:before="60" w:afterLines="80" w:after="192" w:line="264" w:lineRule="auto"/>
              <w:contextualSpacing/>
              <w:rPr>
                <w:rFonts w:cstheme="minorHAnsi"/>
                <w:sz w:val="20"/>
              </w:rPr>
            </w:pPr>
          </w:p>
        </w:tc>
        <w:tc>
          <w:tcPr>
            <w:tcW w:w="878" w:type="dxa"/>
            <w:gridSpan w:val="2"/>
          </w:tcPr>
          <w:p w14:paraId="2F1D008B" w14:textId="77777777" w:rsidR="00552061" w:rsidRPr="005955F8" w:rsidRDefault="00552061" w:rsidP="009A2088">
            <w:pPr>
              <w:spacing w:before="60" w:afterLines="80" w:after="192" w:line="264" w:lineRule="auto"/>
              <w:contextualSpacing/>
              <w:rPr>
                <w:rFonts w:cstheme="minorHAnsi"/>
                <w:sz w:val="20"/>
              </w:rPr>
            </w:pPr>
          </w:p>
        </w:tc>
        <w:tc>
          <w:tcPr>
            <w:tcW w:w="539" w:type="dxa"/>
          </w:tcPr>
          <w:p w14:paraId="06AA9683" w14:textId="77777777" w:rsidR="00552061" w:rsidRPr="005955F8" w:rsidRDefault="00552061" w:rsidP="009A2088">
            <w:pPr>
              <w:spacing w:before="60" w:afterLines="80" w:after="192" w:line="264" w:lineRule="auto"/>
              <w:contextualSpacing/>
              <w:rPr>
                <w:rFonts w:cstheme="minorHAnsi"/>
                <w:sz w:val="20"/>
              </w:rPr>
            </w:pPr>
          </w:p>
        </w:tc>
        <w:tc>
          <w:tcPr>
            <w:tcW w:w="786" w:type="dxa"/>
          </w:tcPr>
          <w:p w14:paraId="595CD40A" w14:textId="77777777" w:rsidR="00552061" w:rsidRPr="005955F8" w:rsidRDefault="00552061" w:rsidP="009A2088">
            <w:pPr>
              <w:spacing w:before="60" w:afterLines="80" w:after="192" w:line="264" w:lineRule="auto"/>
              <w:contextualSpacing/>
              <w:rPr>
                <w:rFonts w:cstheme="minorHAnsi"/>
                <w:sz w:val="20"/>
              </w:rPr>
            </w:pPr>
          </w:p>
        </w:tc>
        <w:tc>
          <w:tcPr>
            <w:tcW w:w="915" w:type="dxa"/>
            <w:gridSpan w:val="2"/>
          </w:tcPr>
          <w:p w14:paraId="593F632A" w14:textId="77777777" w:rsidR="00552061" w:rsidRPr="005955F8" w:rsidRDefault="00552061" w:rsidP="009A2088">
            <w:pPr>
              <w:spacing w:before="60" w:afterLines="80" w:after="192" w:line="264" w:lineRule="auto"/>
              <w:contextualSpacing/>
              <w:rPr>
                <w:rFonts w:cstheme="minorHAnsi"/>
                <w:sz w:val="20"/>
              </w:rPr>
            </w:pPr>
          </w:p>
        </w:tc>
        <w:tc>
          <w:tcPr>
            <w:tcW w:w="425" w:type="dxa"/>
          </w:tcPr>
          <w:p w14:paraId="6FCC32CC" w14:textId="77777777" w:rsidR="00552061" w:rsidRPr="005955F8" w:rsidRDefault="00552061" w:rsidP="009A2088">
            <w:pPr>
              <w:spacing w:before="60" w:afterLines="80" w:after="192" w:line="264" w:lineRule="auto"/>
              <w:contextualSpacing/>
              <w:rPr>
                <w:rFonts w:cstheme="minorHAnsi"/>
                <w:sz w:val="20"/>
              </w:rPr>
            </w:pPr>
          </w:p>
        </w:tc>
        <w:tc>
          <w:tcPr>
            <w:tcW w:w="874" w:type="dxa"/>
          </w:tcPr>
          <w:p w14:paraId="07C5B592" w14:textId="77777777" w:rsidR="00552061" w:rsidRPr="005955F8" w:rsidRDefault="00552061" w:rsidP="009A2088">
            <w:pPr>
              <w:spacing w:before="60" w:afterLines="80" w:after="192" w:line="264" w:lineRule="auto"/>
              <w:contextualSpacing/>
              <w:rPr>
                <w:rFonts w:cstheme="minorHAnsi"/>
                <w:sz w:val="20"/>
              </w:rPr>
            </w:pPr>
          </w:p>
        </w:tc>
        <w:tc>
          <w:tcPr>
            <w:tcW w:w="1033" w:type="dxa"/>
            <w:gridSpan w:val="3"/>
          </w:tcPr>
          <w:p w14:paraId="46D36673" w14:textId="77777777" w:rsidR="00552061" w:rsidRPr="005955F8" w:rsidRDefault="00552061" w:rsidP="009A2088">
            <w:pPr>
              <w:spacing w:before="60" w:afterLines="80" w:after="192" w:line="264" w:lineRule="auto"/>
              <w:contextualSpacing/>
              <w:rPr>
                <w:rFonts w:cstheme="minorHAnsi"/>
                <w:sz w:val="20"/>
              </w:rPr>
            </w:pPr>
          </w:p>
        </w:tc>
      </w:tr>
      <w:tr w:rsidR="00552061" w:rsidRPr="005955F8" w14:paraId="3E692E27" w14:textId="77777777" w:rsidTr="00D15BEA">
        <w:tc>
          <w:tcPr>
            <w:tcW w:w="1418" w:type="dxa"/>
          </w:tcPr>
          <w:p w14:paraId="338AA0CE" w14:textId="77777777" w:rsidR="00552061" w:rsidRPr="00DC7D05" w:rsidRDefault="00552061" w:rsidP="009A2088">
            <w:pPr>
              <w:spacing w:before="60" w:afterLines="80" w:after="192" w:line="264" w:lineRule="auto"/>
              <w:contextualSpacing/>
              <w:rPr>
                <w:rFonts w:cstheme="minorHAnsi"/>
                <w:iCs/>
                <w:sz w:val="20"/>
                <w:szCs w:val="20"/>
              </w:rPr>
            </w:pPr>
            <w:r w:rsidRPr="00DC7D05">
              <w:rPr>
                <w:rFonts w:cstheme="minorHAnsi"/>
                <w:iCs/>
                <w:sz w:val="20"/>
                <w:szCs w:val="20"/>
              </w:rPr>
              <w:t>Online</w:t>
            </w:r>
          </w:p>
        </w:tc>
        <w:tc>
          <w:tcPr>
            <w:tcW w:w="425" w:type="dxa"/>
          </w:tcPr>
          <w:p w14:paraId="6847D500"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10</w:t>
            </w:r>
          </w:p>
        </w:tc>
        <w:tc>
          <w:tcPr>
            <w:tcW w:w="851" w:type="dxa"/>
          </w:tcPr>
          <w:p w14:paraId="26C35CD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4.63</w:t>
            </w:r>
          </w:p>
        </w:tc>
        <w:tc>
          <w:tcPr>
            <w:tcW w:w="878" w:type="dxa"/>
            <w:gridSpan w:val="2"/>
          </w:tcPr>
          <w:p w14:paraId="2FCE2111"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4.45</w:t>
            </w:r>
          </w:p>
        </w:tc>
        <w:tc>
          <w:tcPr>
            <w:tcW w:w="539" w:type="dxa"/>
          </w:tcPr>
          <w:p w14:paraId="11D7450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10</w:t>
            </w:r>
          </w:p>
        </w:tc>
        <w:tc>
          <w:tcPr>
            <w:tcW w:w="786" w:type="dxa"/>
          </w:tcPr>
          <w:p w14:paraId="0A8095D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3.70</w:t>
            </w:r>
          </w:p>
        </w:tc>
        <w:tc>
          <w:tcPr>
            <w:tcW w:w="915" w:type="dxa"/>
            <w:gridSpan w:val="2"/>
          </w:tcPr>
          <w:p w14:paraId="0201CAC1"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3.63</w:t>
            </w:r>
          </w:p>
        </w:tc>
        <w:tc>
          <w:tcPr>
            <w:tcW w:w="425" w:type="dxa"/>
          </w:tcPr>
          <w:p w14:paraId="19CBF993"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10</w:t>
            </w:r>
          </w:p>
        </w:tc>
        <w:tc>
          <w:tcPr>
            <w:tcW w:w="874" w:type="dxa"/>
          </w:tcPr>
          <w:p w14:paraId="41323D5E"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3.70</w:t>
            </w:r>
          </w:p>
        </w:tc>
        <w:tc>
          <w:tcPr>
            <w:tcW w:w="1033" w:type="dxa"/>
            <w:gridSpan w:val="3"/>
          </w:tcPr>
          <w:p w14:paraId="3F691C23"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b/>
                <w:bCs/>
                <w:sz w:val="20"/>
              </w:rPr>
              <w:t xml:space="preserve">  *4.10</w:t>
            </w:r>
          </w:p>
        </w:tc>
      </w:tr>
      <w:tr w:rsidR="00552061" w:rsidRPr="005955F8" w14:paraId="0872AC04" w14:textId="77777777" w:rsidTr="00D15BEA">
        <w:tc>
          <w:tcPr>
            <w:tcW w:w="1418" w:type="dxa"/>
          </w:tcPr>
          <w:p w14:paraId="641C53ED" w14:textId="699E6435" w:rsidR="00552061" w:rsidRPr="00DC7D05" w:rsidRDefault="00DC7D05" w:rsidP="009A2088">
            <w:pPr>
              <w:spacing w:before="60" w:afterLines="80" w:after="192" w:line="264" w:lineRule="auto"/>
              <w:contextualSpacing/>
              <w:rPr>
                <w:rFonts w:cstheme="minorHAnsi"/>
                <w:iCs/>
                <w:sz w:val="20"/>
                <w:szCs w:val="20"/>
              </w:rPr>
            </w:pPr>
            <w:r w:rsidRPr="0069783C">
              <w:rPr>
                <w:rFonts w:cstheme="minorHAnsi"/>
                <w:sz w:val="20"/>
                <w:szCs w:val="20"/>
              </w:rPr>
              <w:t>Face-to-face</w:t>
            </w:r>
          </w:p>
        </w:tc>
        <w:tc>
          <w:tcPr>
            <w:tcW w:w="425" w:type="dxa"/>
          </w:tcPr>
          <w:p w14:paraId="2DCC890F"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34</w:t>
            </w:r>
          </w:p>
        </w:tc>
        <w:tc>
          <w:tcPr>
            <w:tcW w:w="851" w:type="dxa"/>
          </w:tcPr>
          <w:p w14:paraId="1AB2D5C0"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4.45</w:t>
            </w:r>
          </w:p>
        </w:tc>
        <w:tc>
          <w:tcPr>
            <w:tcW w:w="878" w:type="dxa"/>
            <w:gridSpan w:val="2"/>
          </w:tcPr>
          <w:p w14:paraId="59BEDD4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4.46</w:t>
            </w:r>
          </w:p>
        </w:tc>
        <w:tc>
          <w:tcPr>
            <w:tcW w:w="539" w:type="dxa"/>
          </w:tcPr>
          <w:p w14:paraId="0A3C8F72"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34</w:t>
            </w:r>
          </w:p>
        </w:tc>
        <w:tc>
          <w:tcPr>
            <w:tcW w:w="786" w:type="dxa"/>
          </w:tcPr>
          <w:p w14:paraId="5057ABEE"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3.67</w:t>
            </w:r>
          </w:p>
        </w:tc>
        <w:tc>
          <w:tcPr>
            <w:tcW w:w="915" w:type="dxa"/>
            <w:gridSpan w:val="2"/>
          </w:tcPr>
          <w:p w14:paraId="4E6BA70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3.74</w:t>
            </w:r>
          </w:p>
        </w:tc>
        <w:tc>
          <w:tcPr>
            <w:tcW w:w="425" w:type="dxa"/>
          </w:tcPr>
          <w:p w14:paraId="12F44C2E"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34</w:t>
            </w:r>
          </w:p>
        </w:tc>
        <w:tc>
          <w:tcPr>
            <w:tcW w:w="874" w:type="dxa"/>
          </w:tcPr>
          <w:p w14:paraId="411B4BD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4.07</w:t>
            </w:r>
          </w:p>
        </w:tc>
        <w:tc>
          <w:tcPr>
            <w:tcW w:w="1033" w:type="dxa"/>
            <w:gridSpan w:val="3"/>
          </w:tcPr>
          <w:p w14:paraId="4F3A3E3E" w14:textId="77777777" w:rsidR="00552061" w:rsidRPr="005955F8" w:rsidRDefault="00552061" w:rsidP="009A2088">
            <w:pPr>
              <w:spacing w:before="60" w:afterLines="80" w:after="192" w:line="264" w:lineRule="auto"/>
              <w:contextualSpacing/>
              <w:rPr>
                <w:rFonts w:cstheme="minorHAnsi"/>
                <w:b/>
                <w:bCs/>
                <w:sz w:val="20"/>
              </w:rPr>
            </w:pPr>
            <w:r w:rsidRPr="005955F8">
              <w:rPr>
                <w:rFonts w:cstheme="minorHAnsi"/>
                <w:b/>
                <w:bCs/>
                <w:sz w:val="20"/>
              </w:rPr>
              <w:t>**4.46</w:t>
            </w:r>
          </w:p>
        </w:tc>
      </w:tr>
      <w:tr w:rsidR="00552061" w:rsidRPr="005955F8" w14:paraId="7C0770A9" w14:textId="77777777" w:rsidTr="00D15BEA">
        <w:tc>
          <w:tcPr>
            <w:tcW w:w="1418" w:type="dxa"/>
          </w:tcPr>
          <w:p w14:paraId="323DC09D" w14:textId="77777777" w:rsidR="00552061" w:rsidRPr="00DC7D05" w:rsidRDefault="00552061" w:rsidP="009A2088">
            <w:pPr>
              <w:spacing w:before="60" w:afterLines="80" w:after="192" w:line="264" w:lineRule="auto"/>
              <w:contextualSpacing/>
              <w:rPr>
                <w:rFonts w:cstheme="minorHAnsi"/>
                <w:b/>
                <w:bCs/>
                <w:sz w:val="20"/>
                <w:szCs w:val="20"/>
              </w:rPr>
            </w:pPr>
            <w:r w:rsidRPr="00DC7D05">
              <w:rPr>
                <w:rFonts w:cstheme="minorHAnsi"/>
                <w:b/>
                <w:bCs/>
                <w:sz w:val="20"/>
                <w:szCs w:val="20"/>
              </w:rPr>
              <w:t>Health and Education</w:t>
            </w:r>
          </w:p>
        </w:tc>
        <w:tc>
          <w:tcPr>
            <w:tcW w:w="425" w:type="dxa"/>
          </w:tcPr>
          <w:p w14:paraId="0613127E" w14:textId="77777777" w:rsidR="00552061" w:rsidRPr="005955F8" w:rsidRDefault="00552061" w:rsidP="009A2088">
            <w:pPr>
              <w:spacing w:before="60" w:afterLines="80" w:after="192" w:line="264" w:lineRule="auto"/>
              <w:contextualSpacing/>
              <w:rPr>
                <w:rFonts w:cstheme="minorHAnsi"/>
                <w:sz w:val="20"/>
              </w:rPr>
            </w:pPr>
          </w:p>
        </w:tc>
        <w:tc>
          <w:tcPr>
            <w:tcW w:w="851" w:type="dxa"/>
          </w:tcPr>
          <w:p w14:paraId="24B91BE1" w14:textId="77777777" w:rsidR="00552061" w:rsidRPr="005955F8" w:rsidRDefault="00552061" w:rsidP="009A2088">
            <w:pPr>
              <w:spacing w:before="60" w:afterLines="80" w:after="192" w:line="264" w:lineRule="auto"/>
              <w:contextualSpacing/>
              <w:rPr>
                <w:rFonts w:cstheme="minorHAnsi"/>
                <w:sz w:val="20"/>
              </w:rPr>
            </w:pPr>
          </w:p>
        </w:tc>
        <w:tc>
          <w:tcPr>
            <w:tcW w:w="878" w:type="dxa"/>
            <w:gridSpan w:val="2"/>
          </w:tcPr>
          <w:p w14:paraId="6C6F51BD" w14:textId="77777777" w:rsidR="00552061" w:rsidRPr="005955F8" w:rsidRDefault="00552061" w:rsidP="009A2088">
            <w:pPr>
              <w:spacing w:before="60" w:afterLines="80" w:after="192" w:line="264" w:lineRule="auto"/>
              <w:contextualSpacing/>
              <w:rPr>
                <w:rFonts w:cstheme="minorHAnsi"/>
                <w:sz w:val="20"/>
              </w:rPr>
            </w:pPr>
          </w:p>
        </w:tc>
        <w:tc>
          <w:tcPr>
            <w:tcW w:w="539" w:type="dxa"/>
          </w:tcPr>
          <w:p w14:paraId="059FB90C" w14:textId="77777777" w:rsidR="00552061" w:rsidRPr="005955F8" w:rsidRDefault="00552061" w:rsidP="009A2088">
            <w:pPr>
              <w:spacing w:before="60" w:afterLines="80" w:after="192" w:line="264" w:lineRule="auto"/>
              <w:contextualSpacing/>
              <w:rPr>
                <w:rFonts w:cstheme="minorHAnsi"/>
                <w:sz w:val="20"/>
              </w:rPr>
            </w:pPr>
          </w:p>
        </w:tc>
        <w:tc>
          <w:tcPr>
            <w:tcW w:w="786" w:type="dxa"/>
          </w:tcPr>
          <w:p w14:paraId="5B8ABEB9" w14:textId="77777777" w:rsidR="00552061" w:rsidRPr="005955F8" w:rsidRDefault="00552061" w:rsidP="009A2088">
            <w:pPr>
              <w:spacing w:before="60" w:afterLines="80" w:after="192" w:line="264" w:lineRule="auto"/>
              <w:contextualSpacing/>
              <w:rPr>
                <w:rFonts w:cstheme="minorHAnsi"/>
                <w:sz w:val="20"/>
              </w:rPr>
            </w:pPr>
          </w:p>
        </w:tc>
        <w:tc>
          <w:tcPr>
            <w:tcW w:w="915" w:type="dxa"/>
            <w:gridSpan w:val="2"/>
          </w:tcPr>
          <w:p w14:paraId="74C3B657" w14:textId="77777777" w:rsidR="00552061" w:rsidRPr="005955F8" w:rsidRDefault="00552061" w:rsidP="009A2088">
            <w:pPr>
              <w:spacing w:before="60" w:afterLines="80" w:after="192" w:line="264" w:lineRule="auto"/>
              <w:contextualSpacing/>
              <w:rPr>
                <w:rFonts w:cstheme="minorHAnsi"/>
                <w:sz w:val="20"/>
              </w:rPr>
            </w:pPr>
          </w:p>
        </w:tc>
        <w:tc>
          <w:tcPr>
            <w:tcW w:w="425" w:type="dxa"/>
          </w:tcPr>
          <w:p w14:paraId="13372078" w14:textId="77777777" w:rsidR="00552061" w:rsidRPr="005955F8" w:rsidRDefault="00552061" w:rsidP="009A2088">
            <w:pPr>
              <w:spacing w:before="60" w:afterLines="80" w:after="192" w:line="264" w:lineRule="auto"/>
              <w:contextualSpacing/>
              <w:rPr>
                <w:rFonts w:cstheme="minorHAnsi"/>
                <w:sz w:val="20"/>
              </w:rPr>
            </w:pPr>
          </w:p>
        </w:tc>
        <w:tc>
          <w:tcPr>
            <w:tcW w:w="874" w:type="dxa"/>
          </w:tcPr>
          <w:p w14:paraId="44E54E9F" w14:textId="77777777" w:rsidR="00552061" w:rsidRPr="005955F8" w:rsidRDefault="00552061" w:rsidP="009A2088">
            <w:pPr>
              <w:spacing w:before="60" w:afterLines="80" w:after="192" w:line="264" w:lineRule="auto"/>
              <w:contextualSpacing/>
              <w:rPr>
                <w:rFonts w:cstheme="minorHAnsi"/>
                <w:sz w:val="20"/>
              </w:rPr>
            </w:pPr>
          </w:p>
        </w:tc>
        <w:tc>
          <w:tcPr>
            <w:tcW w:w="1033" w:type="dxa"/>
            <w:gridSpan w:val="3"/>
          </w:tcPr>
          <w:p w14:paraId="2C05F7FD" w14:textId="77777777" w:rsidR="00552061" w:rsidRPr="005955F8" w:rsidRDefault="00552061" w:rsidP="009A2088">
            <w:pPr>
              <w:spacing w:before="60" w:afterLines="80" w:after="192" w:line="264" w:lineRule="auto"/>
              <w:contextualSpacing/>
              <w:rPr>
                <w:rFonts w:cstheme="minorHAnsi"/>
                <w:sz w:val="20"/>
              </w:rPr>
            </w:pPr>
          </w:p>
        </w:tc>
      </w:tr>
      <w:tr w:rsidR="00552061" w:rsidRPr="005955F8" w14:paraId="402E1DC6" w14:textId="77777777" w:rsidTr="00D15BEA">
        <w:tc>
          <w:tcPr>
            <w:tcW w:w="1418" w:type="dxa"/>
          </w:tcPr>
          <w:p w14:paraId="4479F5BC" w14:textId="77777777" w:rsidR="00552061" w:rsidRPr="00DC7D05" w:rsidRDefault="00552061" w:rsidP="009A2088">
            <w:pPr>
              <w:spacing w:before="60" w:afterLines="80" w:after="192" w:line="264" w:lineRule="auto"/>
              <w:contextualSpacing/>
              <w:rPr>
                <w:rFonts w:cstheme="minorHAnsi"/>
                <w:iCs/>
                <w:sz w:val="20"/>
                <w:szCs w:val="20"/>
              </w:rPr>
            </w:pPr>
            <w:r w:rsidRPr="00DC7D05">
              <w:rPr>
                <w:rFonts w:cstheme="minorHAnsi"/>
                <w:iCs/>
                <w:sz w:val="20"/>
                <w:szCs w:val="20"/>
              </w:rPr>
              <w:t>Online</w:t>
            </w:r>
          </w:p>
        </w:tc>
        <w:tc>
          <w:tcPr>
            <w:tcW w:w="425" w:type="dxa"/>
          </w:tcPr>
          <w:p w14:paraId="15D50E55"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2</w:t>
            </w:r>
          </w:p>
        </w:tc>
        <w:tc>
          <w:tcPr>
            <w:tcW w:w="851" w:type="dxa"/>
          </w:tcPr>
          <w:p w14:paraId="29938EF9"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4.00</w:t>
            </w:r>
          </w:p>
        </w:tc>
        <w:tc>
          <w:tcPr>
            <w:tcW w:w="878" w:type="dxa"/>
            <w:gridSpan w:val="2"/>
          </w:tcPr>
          <w:p w14:paraId="1CE0B3D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3.38</w:t>
            </w:r>
          </w:p>
        </w:tc>
        <w:tc>
          <w:tcPr>
            <w:tcW w:w="539" w:type="dxa"/>
          </w:tcPr>
          <w:p w14:paraId="7360CABF"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2</w:t>
            </w:r>
          </w:p>
        </w:tc>
        <w:tc>
          <w:tcPr>
            <w:tcW w:w="786" w:type="dxa"/>
          </w:tcPr>
          <w:p w14:paraId="634EFAB2"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3.83</w:t>
            </w:r>
          </w:p>
        </w:tc>
        <w:tc>
          <w:tcPr>
            <w:tcW w:w="915" w:type="dxa"/>
            <w:gridSpan w:val="2"/>
          </w:tcPr>
          <w:p w14:paraId="67F45B80"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3.80</w:t>
            </w:r>
          </w:p>
        </w:tc>
        <w:tc>
          <w:tcPr>
            <w:tcW w:w="425" w:type="dxa"/>
          </w:tcPr>
          <w:p w14:paraId="2467195D"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2</w:t>
            </w:r>
          </w:p>
        </w:tc>
        <w:tc>
          <w:tcPr>
            <w:tcW w:w="874" w:type="dxa"/>
          </w:tcPr>
          <w:p w14:paraId="2244D2CA"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2.30</w:t>
            </w:r>
          </w:p>
        </w:tc>
        <w:tc>
          <w:tcPr>
            <w:tcW w:w="1033" w:type="dxa"/>
            <w:gridSpan w:val="3"/>
          </w:tcPr>
          <w:p w14:paraId="4557463B"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3.10</w:t>
            </w:r>
          </w:p>
        </w:tc>
      </w:tr>
      <w:tr w:rsidR="00552061" w:rsidRPr="005955F8" w14:paraId="2CF49048" w14:textId="77777777" w:rsidTr="00D15BEA">
        <w:tc>
          <w:tcPr>
            <w:tcW w:w="1418" w:type="dxa"/>
          </w:tcPr>
          <w:p w14:paraId="443914B0" w14:textId="7C7747B3" w:rsidR="00552061" w:rsidRPr="00DC7D05" w:rsidRDefault="00DC7D05" w:rsidP="009A2088">
            <w:pPr>
              <w:spacing w:before="60" w:afterLines="80" w:after="192" w:line="264" w:lineRule="auto"/>
              <w:contextualSpacing/>
              <w:rPr>
                <w:rFonts w:cstheme="minorHAnsi"/>
                <w:iCs/>
                <w:sz w:val="20"/>
                <w:szCs w:val="20"/>
              </w:rPr>
            </w:pPr>
            <w:r w:rsidRPr="0069783C">
              <w:rPr>
                <w:rFonts w:cstheme="minorHAnsi"/>
                <w:sz w:val="20"/>
                <w:szCs w:val="20"/>
              </w:rPr>
              <w:t>Face-to-face</w:t>
            </w:r>
          </w:p>
        </w:tc>
        <w:tc>
          <w:tcPr>
            <w:tcW w:w="425" w:type="dxa"/>
          </w:tcPr>
          <w:p w14:paraId="5CDB8305"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4</w:t>
            </w:r>
          </w:p>
        </w:tc>
        <w:tc>
          <w:tcPr>
            <w:tcW w:w="851" w:type="dxa"/>
          </w:tcPr>
          <w:p w14:paraId="6C3E43E9"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4.38</w:t>
            </w:r>
          </w:p>
        </w:tc>
        <w:tc>
          <w:tcPr>
            <w:tcW w:w="878" w:type="dxa"/>
            <w:gridSpan w:val="2"/>
          </w:tcPr>
          <w:p w14:paraId="2BC02D78"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4.50</w:t>
            </w:r>
          </w:p>
        </w:tc>
        <w:tc>
          <w:tcPr>
            <w:tcW w:w="539" w:type="dxa"/>
          </w:tcPr>
          <w:p w14:paraId="069D16C2"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3</w:t>
            </w:r>
          </w:p>
        </w:tc>
        <w:tc>
          <w:tcPr>
            <w:tcW w:w="786" w:type="dxa"/>
          </w:tcPr>
          <w:p w14:paraId="537ED2DD"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3.67</w:t>
            </w:r>
          </w:p>
        </w:tc>
        <w:tc>
          <w:tcPr>
            <w:tcW w:w="915" w:type="dxa"/>
            <w:gridSpan w:val="2"/>
          </w:tcPr>
          <w:p w14:paraId="436C3F9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3.78</w:t>
            </w:r>
          </w:p>
        </w:tc>
        <w:tc>
          <w:tcPr>
            <w:tcW w:w="425" w:type="dxa"/>
          </w:tcPr>
          <w:p w14:paraId="2ACFDBB2"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4</w:t>
            </w:r>
          </w:p>
        </w:tc>
        <w:tc>
          <w:tcPr>
            <w:tcW w:w="874" w:type="dxa"/>
          </w:tcPr>
          <w:p w14:paraId="032C07B8"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3.15</w:t>
            </w:r>
          </w:p>
        </w:tc>
        <w:tc>
          <w:tcPr>
            <w:tcW w:w="1033" w:type="dxa"/>
            <w:gridSpan w:val="3"/>
          </w:tcPr>
          <w:p w14:paraId="4B30DF55" w14:textId="77777777" w:rsidR="00552061" w:rsidRPr="005955F8" w:rsidRDefault="00552061" w:rsidP="009A2088">
            <w:pPr>
              <w:spacing w:before="60" w:afterLines="80" w:after="192" w:line="264" w:lineRule="auto"/>
              <w:contextualSpacing/>
              <w:rPr>
                <w:rFonts w:cstheme="minorHAnsi"/>
                <w:b/>
                <w:bCs/>
                <w:sz w:val="20"/>
              </w:rPr>
            </w:pPr>
            <w:r>
              <w:rPr>
                <w:rFonts w:cstheme="minorHAnsi"/>
                <w:b/>
                <w:bCs/>
                <w:sz w:val="20"/>
              </w:rPr>
              <w:t xml:space="preserve">  </w:t>
            </w:r>
            <w:r w:rsidRPr="005955F8">
              <w:rPr>
                <w:rFonts w:cstheme="minorHAnsi"/>
                <w:b/>
                <w:bCs/>
                <w:sz w:val="20"/>
              </w:rPr>
              <w:t>*4.15</w:t>
            </w:r>
          </w:p>
        </w:tc>
      </w:tr>
      <w:tr w:rsidR="00552061" w:rsidRPr="005955F8" w14:paraId="5DD03611" w14:textId="77777777" w:rsidTr="00D15BEA">
        <w:tc>
          <w:tcPr>
            <w:tcW w:w="1418" w:type="dxa"/>
          </w:tcPr>
          <w:p w14:paraId="3D4FE0D0" w14:textId="77777777" w:rsidR="00552061" w:rsidRPr="00DC7D05" w:rsidRDefault="00552061" w:rsidP="009A2088">
            <w:pPr>
              <w:spacing w:before="60" w:afterLines="80" w:after="192" w:line="264" w:lineRule="auto"/>
              <w:contextualSpacing/>
              <w:rPr>
                <w:rFonts w:cstheme="minorHAnsi"/>
                <w:b/>
                <w:bCs/>
                <w:sz w:val="20"/>
                <w:szCs w:val="20"/>
              </w:rPr>
            </w:pPr>
            <w:r w:rsidRPr="00DC7D05">
              <w:rPr>
                <w:rFonts w:cstheme="minorHAnsi"/>
                <w:b/>
                <w:bCs/>
                <w:sz w:val="20"/>
                <w:szCs w:val="20"/>
              </w:rPr>
              <w:t>Management and Admin</w:t>
            </w:r>
          </w:p>
        </w:tc>
        <w:tc>
          <w:tcPr>
            <w:tcW w:w="425" w:type="dxa"/>
          </w:tcPr>
          <w:p w14:paraId="3C70706B" w14:textId="77777777" w:rsidR="00552061" w:rsidRPr="005955F8" w:rsidRDefault="00552061" w:rsidP="009A2088">
            <w:pPr>
              <w:spacing w:before="60" w:afterLines="80" w:after="192" w:line="264" w:lineRule="auto"/>
              <w:contextualSpacing/>
              <w:rPr>
                <w:rFonts w:cstheme="minorHAnsi"/>
                <w:sz w:val="20"/>
              </w:rPr>
            </w:pPr>
          </w:p>
        </w:tc>
        <w:tc>
          <w:tcPr>
            <w:tcW w:w="851" w:type="dxa"/>
          </w:tcPr>
          <w:p w14:paraId="40957F14" w14:textId="77777777" w:rsidR="00552061" w:rsidRPr="005955F8" w:rsidRDefault="00552061" w:rsidP="009A2088">
            <w:pPr>
              <w:spacing w:before="60" w:afterLines="80" w:after="192" w:line="264" w:lineRule="auto"/>
              <w:contextualSpacing/>
              <w:rPr>
                <w:rFonts w:cstheme="minorHAnsi"/>
                <w:sz w:val="20"/>
              </w:rPr>
            </w:pPr>
          </w:p>
        </w:tc>
        <w:tc>
          <w:tcPr>
            <w:tcW w:w="878" w:type="dxa"/>
            <w:gridSpan w:val="2"/>
          </w:tcPr>
          <w:p w14:paraId="423903AC" w14:textId="77777777" w:rsidR="00552061" w:rsidRPr="005955F8" w:rsidRDefault="00552061" w:rsidP="009A2088">
            <w:pPr>
              <w:spacing w:before="60" w:afterLines="80" w:after="192" w:line="264" w:lineRule="auto"/>
              <w:contextualSpacing/>
              <w:rPr>
                <w:rFonts w:cstheme="minorHAnsi"/>
                <w:sz w:val="20"/>
              </w:rPr>
            </w:pPr>
          </w:p>
        </w:tc>
        <w:tc>
          <w:tcPr>
            <w:tcW w:w="539" w:type="dxa"/>
          </w:tcPr>
          <w:p w14:paraId="204EBC6C" w14:textId="77777777" w:rsidR="00552061" w:rsidRPr="005955F8" w:rsidRDefault="00552061" w:rsidP="009A2088">
            <w:pPr>
              <w:spacing w:before="60" w:afterLines="80" w:after="192" w:line="264" w:lineRule="auto"/>
              <w:contextualSpacing/>
              <w:rPr>
                <w:rFonts w:cstheme="minorHAnsi"/>
                <w:sz w:val="20"/>
              </w:rPr>
            </w:pPr>
          </w:p>
        </w:tc>
        <w:tc>
          <w:tcPr>
            <w:tcW w:w="786" w:type="dxa"/>
          </w:tcPr>
          <w:p w14:paraId="079F3409" w14:textId="77777777" w:rsidR="00552061" w:rsidRPr="005955F8" w:rsidRDefault="00552061" w:rsidP="009A2088">
            <w:pPr>
              <w:spacing w:before="60" w:afterLines="80" w:after="192" w:line="264" w:lineRule="auto"/>
              <w:contextualSpacing/>
              <w:rPr>
                <w:rFonts w:cstheme="minorHAnsi"/>
                <w:sz w:val="20"/>
              </w:rPr>
            </w:pPr>
          </w:p>
        </w:tc>
        <w:tc>
          <w:tcPr>
            <w:tcW w:w="915" w:type="dxa"/>
            <w:gridSpan w:val="2"/>
          </w:tcPr>
          <w:p w14:paraId="019BE49C" w14:textId="77777777" w:rsidR="00552061" w:rsidRPr="005955F8" w:rsidRDefault="00552061" w:rsidP="009A2088">
            <w:pPr>
              <w:spacing w:before="60" w:afterLines="80" w:after="192" w:line="264" w:lineRule="auto"/>
              <w:contextualSpacing/>
              <w:rPr>
                <w:rFonts w:cstheme="minorHAnsi"/>
                <w:sz w:val="20"/>
              </w:rPr>
            </w:pPr>
          </w:p>
        </w:tc>
        <w:tc>
          <w:tcPr>
            <w:tcW w:w="425" w:type="dxa"/>
          </w:tcPr>
          <w:p w14:paraId="549DF602" w14:textId="77777777" w:rsidR="00552061" w:rsidRPr="005955F8" w:rsidRDefault="00552061" w:rsidP="009A2088">
            <w:pPr>
              <w:spacing w:before="60" w:afterLines="80" w:after="192" w:line="264" w:lineRule="auto"/>
              <w:contextualSpacing/>
              <w:rPr>
                <w:rFonts w:cstheme="minorHAnsi"/>
                <w:sz w:val="20"/>
              </w:rPr>
            </w:pPr>
          </w:p>
        </w:tc>
        <w:tc>
          <w:tcPr>
            <w:tcW w:w="874" w:type="dxa"/>
          </w:tcPr>
          <w:p w14:paraId="4AF3938D" w14:textId="77777777" w:rsidR="00552061" w:rsidRPr="005955F8" w:rsidRDefault="00552061" w:rsidP="009A2088">
            <w:pPr>
              <w:spacing w:before="60" w:afterLines="80" w:after="192" w:line="264" w:lineRule="auto"/>
              <w:contextualSpacing/>
              <w:rPr>
                <w:rFonts w:cstheme="minorHAnsi"/>
                <w:sz w:val="20"/>
              </w:rPr>
            </w:pPr>
          </w:p>
        </w:tc>
        <w:tc>
          <w:tcPr>
            <w:tcW w:w="1033" w:type="dxa"/>
            <w:gridSpan w:val="3"/>
          </w:tcPr>
          <w:p w14:paraId="7D7071F1" w14:textId="77777777" w:rsidR="00552061" w:rsidRPr="005955F8" w:rsidRDefault="00552061" w:rsidP="009A2088">
            <w:pPr>
              <w:spacing w:before="60" w:afterLines="80" w:after="192" w:line="264" w:lineRule="auto"/>
              <w:contextualSpacing/>
              <w:rPr>
                <w:rFonts w:cstheme="minorHAnsi"/>
                <w:sz w:val="20"/>
              </w:rPr>
            </w:pPr>
          </w:p>
        </w:tc>
      </w:tr>
      <w:tr w:rsidR="00552061" w:rsidRPr="005955F8" w14:paraId="345AAD2B" w14:textId="77777777" w:rsidTr="00D15BEA">
        <w:tc>
          <w:tcPr>
            <w:tcW w:w="1418" w:type="dxa"/>
          </w:tcPr>
          <w:p w14:paraId="17B70C69" w14:textId="77777777" w:rsidR="00552061" w:rsidRPr="00DC7D05" w:rsidRDefault="00552061" w:rsidP="009A2088">
            <w:pPr>
              <w:spacing w:before="60" w:afterLines="80" w:after="192" w:line="264" w:lineRule="auto"/>
              <w:contextualSpacing/>
              <w:rPr>
                <w:rFonts w:cstheme="minorHAnsi"/>
                <w:iCs/>
                <w:sz w:val="20"/>
                <w:szCs w:val="20"/>
              </w:rPr>
            </w:pPr>
            <w:r w:rsidRPr="00DC7D05">
              <w:rPr>
                <w:rFonts w:cstheme="minorHAnsi"/>
                <w:iCs/>
                <w:sz w:val="20"/>
                <w:szCs w:val="20"/>
              </w:rPr>
              <w:t>Online</w:t>
            </w:r>
          </w:p>
        </w:tc>
        <w:tc>
          <w:tcPr>
            <w:tcW w:w="425" w:type="dxa"/>
          </w:tcPr>
          <w:p w14:paraId="6463D0A3"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5</w:t>
            </w:r>
          </w:p>
        </w:tc>
        <w:tc>
          <w:tcPr>
            <w:tcW w:w="851" w:type="dxa"/>
          </w:tcPr>
          <w:p w14:paraId="6447FBC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3.60</w:t>
            </w:r>
          </w:p>
        </w:tc>
        <w:tc>
          <w:tcPr>
            <w:tcW w:w="878" w:type="dxa"/>
            <w:gridSpan w:val="2"/>
          </w:tcPr>
          <w:p w14:paraId="3892866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4.24</w:t>
            </w:r>
          </w:p>
        </w:tc>
        <w:tc>
          <w:tcPr>
            <w:tcW w:w="539" w:type="dxa"/>
          </w:tcPr>
          <w:p w14:paraId="683A6B4A"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5</w:t>
            </w:r>
          </w:p>
        </w:tc>
        <w:tc>
          <w:tcPr>
            <w:tcW w:w="786" w:type="dxa"/>
          </w:tcPr>
          <w:p w14:paraId="2432E23B"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4.13</w:t>
            </w:r>
          </w:p>
        </w:tc>
        <w:tc>
          <w:tcPr>
            <w:tcW w:w="915" w:type="dxa"/>
            <w:gridSpan w:val="2"/>
          </w:tcPr>
          <w:p w14:paraId="4F1DBDEF"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3.93</w:t>
            </w:r>
          </w:p>
        </w:tc>
        <w:tc>
          <w:tcPr>
            <w:tcW w:w="425" w:type="dxa"/>
          </w:tcPr>
          <w:p w14:paraId="430C651F"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5</w:t>
            </w:r>
          </w:p>
        </w:tc>
        <w:tc>
          <w:tcPr>
            <w:tcW w:w="874" w:type="dxa"/>
          </w:tcPr>
          <w:p w14:paraId="4D90344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2.36</w:t>
            </w:r>
          </w:p>
        </w:tc>
        <w:tc>
          <w:tcPr>
            <w:tcW w:w="1033" w:type="dxa"/>
            <w:gridSpan w:val="3"/>
          </w:tcPr>
          <w:p w14:paraId="30331FE0"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2.92</w:t>
            </w:r>
          </w:p>
        </w:tc>
      </w:tr>
      <w:tr w:rsidR="00552061" w:rsidRPr="005955F8" w14:paraId="07071DC1" w14:textId="77777777" w:rsidTr="00D15BEA">
        <w:tc>
          <w:tcPr>
            <w:tcW w:w="1418" w:type="dxa"/>
          </w:tcPr>
          <w:p w14:paraId="15B20777" w14:textId="0706A74D" w:rsidR="00552061" w:rsidRPr="00DC7D05" w:rsidRDefault="00DC7D05" w:rsidP="009A2088">
            <w:pPr>
              <w:spacing w:before="60" w:afterLines="80" w:after="192" w:line="264" w:lineRule="auto"/>
              <w:contextualSpacing/>
              <w:rPr>
                <w:rFonts w:cstheme="minorHAnsi"/>
                <w:iCs/>
                <w:sz w:val="20"/>
                <w:szCs w:val="20"/>
              </w:rPr>
            </w:pPr>
            <w:r w:rsidRPr="0069783C">
              <w:rPr>
                <w:rFonts w:cstheme="minorHAnsi"/>
                <w:sz w:val="20"/>
                <w:szCs w:val="20"/>
              </w:rPr>
              <w:t>Face-to-face</w:t>
            </w:r>
          </w:p>
        </w:tc>
        <w:tc>
          <w:tcPr>
            <w:tcW w:w="425" w:type="dxa"/>
          </w:tcPr>
          <w:p w14:paraId="69D52696"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10</w:t>
            </w:r>
          </w:p>
        </w:tc>
        <w:tc>
          <w:tcPr>
            <w:tcW w:w="851" w:type="dxa"/>
          </w:tcPr>
          <w:p w14:paraId="313637D6"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3.10</w:t>
            </w:r>
          </w:p>
        </w:tc>
        <w:tc>
          <w:tcPr>
            <w:tcW w:w="878" w:type="dxa"/>
            <w:gridSpan w:val="2"/>
          </w:tcPr>
          <w:p w14:paraId="0808E370" w14:textId="77777777" w:rsidR="00552061" w:rsidRPr="005955F8" w:rsidRDefault="00552061" w:rsidP="009A2088">
            <w:pPr>
              <w:spacing w:before="60" w:afterLines="80" w:after="192" w:line="264" w:lineRule="auto"/>
              <w:contextualSpacing/>
              <w:rPr>
                <w:rFonts w:cstheme="minorHAnsi"/>
                <w:b/>
                <w:bCs/>
                <w:sz w:val="20"/>
              </w:rPr>
            </w:pPr>
            <w:r w:rsidRPr="005955F8">
              <w:rPr>
                <w:rFonts w:cstheme="minorHAnsi"/>
                <w:b/>
                <w:bCs/>
                <w:sz w:val="20"/>
              </w:rPr>
              <w:t xml:space="preserve"> </w:t>
            </w:r>
            <w:r>
              <w:rPr>
                <w:rFonts w:cstheme="minorHAnsi"/>
                <w:b/>
                <w:bCs/>
                <w:sz w:val="20"/>
              </w:rPr>
              <w:t xml:space="preserve"> </w:t>
            </w:r>
            <w:r w:rsidRPr="005955F8">
              <w:rPr>
                <w:rFonts w:cstheme="minorHAnsi"/>
                <w:b/>
                <w:bCs/>
                <w:sz w:val="20"/>
              </w:rPr>
              <w:t xml:space="preserve"> *3.43</w:t>
            </w:r>
          </w:p>
        </w:tc>
        <w:tc>
          <w:tcPr>
            <w:tcW w:w="539" w:type="dxa"/>
          </w:tcPr>
          <w:p w14:paraId="5809F93B"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10</w:t>
            </w:r>
          </w:p>
        </w:tc>
        <w:tc>
          <w:tcPr>
            <w:tcW w:w="786" w:type="dxa"/>
          </w:tcPr>
          <w:p w14:paraId="11AB3975"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3.73</w:t>
            </w:r>
          </w:p>
        </w:tc>
        <w:tc>
          <w:tcPr>
            <w:tcW w:w="915" w:type="dxa"/>
            <w:gridSpan w:val="2"/>
          </w:tcPr>
          <w:p w14:paraId="70C7FBFE"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3.73</w:t>
            </w:r>
          </w:p>
        </w:tc>
        <w:tc>
          <w:tcPr>
            <w:tcW w:w="425" w:type="dxa"/>
          </w:tcPr>
          <w:p w14:paraId="431B2BD8"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11</w:t>
            </w:r>
          </w:p>
        </w:tc>
        <w:tc>
          <w:tcPr>
            <w:tcW w:w="874" w:type="dxa"/>
          </w:tcPr>
          <w:p w14:paraId="046DDEF4"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2.44</w:t>
            </w:r>
          </w:p>
        </w:tc>
        <w:tc>
          <w:tcPr>
            <w:tcW w:w="1033" w:type="dxa"/>
            <w:gridSpan w:val="3"/>
          </w:tcPr>
          <w:p w14:paraId="060EF62F" w14:textId="77777777" w:rsidR="00552061" w:rsidRPr="005955F8" w:rsidRDefault="00552061" w:rsidP="009A2088">
            <w:pPr>
              <w:spacing w:before="60" w:afterLines="80" w:after="192" w:line="264" w:lineRule="auto"/>
              <w:contextualSpacing/>
              <w:rPr>
                <w:rFonts w:cstheme="minorHAnsi"/>
                <w:b/>
                <w:bCs/>
                <w:sz w:val="20"/>
              </w:rPr>
            </w:pPr>
            <w:r>
              <w:rPr>
                <w:rFonts w:cstheme="minorHAnsi"/>
                <w:b/>
                <w:bCs/>
                <w:sz w:val="20"/>
              </w:rPr>
              <w:t xml:space="preserve">  </w:t>
            </w:r>
            <w:r w:rsidRPr="005955F8">
              <w:rPr>
                <w:rFonts w:cstheme="minorHAnsi"/>
                <w:b/>
                <w:bCs/>
                <w:sz w:val="20"/>
              </w:rPr>
              <w:t>*3.11</w:t>
            </w:r>
          </w:p>
        </w:tc>
      </w:tr>
      <w:tr w:rsidR="00552061" w:rsidRPr="005955F8" w14:paraId="6EBAAFCE" w14:textId="77777777" w:rsidTr="00D15BEA">
        <w:tc>
          <w:tcPr>
            <w:tcW w:w="1418" w:type="dxa"/>
          </w:tcPr>
          <w:p w14:paraId="370D1CD3" w14:textId="77777777" w:rsidR="00552061" w:rsidRPr="00DC7D05" w:rsidRDefault="00552061" w:rsidP="009A2088">
            <w:pPr>
              <w:spacing w:before="60" w:afterLines="80" w:after="192" w:line="264" w:lineRule="auto"/>
              <w:contextualSpacing/>
              <w:rPr>
                <w:rFonts w:cstheme="minorHAnsi"/>
                <w:b/>
                <w:bCs/>
                <w:sz w:val="20"/>
                <w:szCs w:val="20"/>
              </w:rPr>
            </w:pPr>
            <w:r w:rsidRPr="00DC7D05">
              <w:rPr>
                <w:rFonts w:cstheme="minorHAnsi"/>
                <w:b/>
                <w:bCs/>
                <w:sz w:val="20"/>
                <w:szCs w:val="20"/>
              </w:rPr>
              <w:t>Other</w:t>
            </w:r>
          </w:p>
        </w:tc>
        <w:tc>
          <w:tcPr>
            <w:tcW w:w="425" w:type="dxa"/>
          </w:tcPr>
          <w:p w14:paraId="0D17AED6" w14:textId="77777777" w:rsidR="00552061" w:rsidRPr="005955F8" w:rsidRDefault="00552061" w:rsidP="009A2088">
            <w:pPr>
              <w:spacing w:before="60" w:afterLines="80" w:after="192" w:line="264" w:lineRule="auto"/>
              <w:contextualSpacing/>
              <w:rPr>
                <w:rFonts w:cstheme="minorHAnsi"/>
                <w:sz w:val="20"/>
              </w:rPr>
            </w:pPr>
          </w:p>
        </w:tc>
        <w:tc>
          <w:tcPr>
            <w:tcW w:w="851" w:type="dxa"/>
          </w:tcPr>
          <w:p w14:paraId="609AF599" w14:textId="77777777" w:rsidR="00552061" w:rsidRPr="005955F8" w:rsidRDefault="00552061" w:rsidP="009A2088">
            <w:pPr>
              <w:spacing w:before="60" w:afterLines="80" w:after="192" w:line="264" w:lineRule="auto"/>
              <w:contextualSpacing/>
              <w:rPr>
                <w:rFonts w:cstheme="minorHAnsi"/>
                <w:sz w:val="20"/>
              </w:rPr>
            </w:pPr>
          </w:p>
        </w:tc>
        <w:tc>
          <w:tcPr>
            <w:tcW w:w="878" w:type="dxa"/>
            <w:gridSpan w:val="2"/>
          </w:tcPr>
          <w:p w14:paraId="33CCCEB7" w14:textId="77777777" w:rsidR="00552061" w:rsidRPr="005955F8" w:rsidRDefault="00552061" w:rsidP="009A2088">
            <w:pPr>
              <w:spacing w:before="60" w:afterLines="80" w:after="192" w:line="264" w:lineRule="auto"/>
              <w:contextualSpacing/>
              <w:rPr>
                <w:rFonts w:cstheme="minorHAnsi"/>
                <w:sz w:val="20"/>
              </w:rPr>
            </w:pPr>
          </w:p>
        </w:tc>
        <w:tc>
          <w:tcPr>
            <w:tcW w:w="539" w:type="dxa"/>
          </w:tcPr>
          <w:p w14:paraId="53231E0B" w14:textId="77777777" w:rsidR="00552061" w:rsidRPr="005955F8" w:rsidRDefault="00552061" w:rsidP="009A2088">
            <w:pPr>
              <w:spacing w:before="60" w:afterLines="80" w:after="192" w:line="264" w:lineRule="auto"/>
              <w:contextualSpacing/>
              <w:rPr>
                <w:rFonts w:cstheme="minorHAnsi"/>
                <w:sz w:val="20"/>
              </w:rPr>
            </w:pPr>
          </w:p>
        </w:tc>
        <w:tc>
          <w:tcPr>
            <w:tcW w:w="786" w:type="dxa"/>
          </w:tcPr>
          <w:p w14:paraId="0544647E" w14:textId="77777777" w:rsidR="00552061" w:rsidRPr="005955F8" w:rsidRDefault="00552061" w:rsidP="009A2088">
            <w:pPr>
              <w:spacing w:before="60" w:afterLines="80" w:after="192" w:line="264" w:lineRule="auto"/>
              <w:contextualSpacing/>
              <w:rPr>
                <w:rFonts w:cstheme="minorHAnsi"/>
                <w:sz w:val="20"/>
              </w:rPr>
            </w:pPr>
          </w:p>
        </w:tc>
        <w:tc>
          <w:tcPr>
            <w:tcW w:w="915" w:type="dxa"/>
            <w:gridSpan w:val="2"/>
          </w:tcPr>
          <w:p w14:paraId="2BCFD6BE" w14:textId="77777777" w:rsidR="00552061" w:rsidRPr="005955F8" w:rsidRDefault="00552061" w:rsidP="009A2088">
            <w:pPr>
              <w:spacing w:before="60" w:afterLines="80" w:after="192" w:line="264" w:lineRule="auto"/>
              <w:contextualSpacing/>
              <w:rPr>
                <w:rFonts w:cstheme="minorHAnsi"/>
                <w:sz w:val="20"/>
              </w:rPr>
            </w:pPr>
          </w:p>
        </w:tc>
        <w:tc>
          <w:tcPr>
            <w:tcW w:w="425" w:type="dxa"/>
          </w:tcPr>
          <w:p w14:paraId="5F6E0DDD" w14:textId="77777777" w:rsidR="00552061" w:rsidRPr="005955F8" w:rsidRDefault="00552061" w:rsidP="009A2088">
            <w:pPr>
              <w:spacing w:before="60" w:afterLines="80" w:after="192" w:line="264" w:lineRule="auto"/>
              <w:contextualSpacing/>
              <w:rPr>
                <w:rFonts w:cstheme="minorHAnsi"/>
                <w:sz w:val="20"/>
              </w:rPr>
            </w:pPr>
          </w:p>
        </w:tc>
        <w:tc>
          <w:tcPr>
            <w:tcW w:w="874" w:type="dxa"/>
          </w:tcPr>
          <w:p w14:paraId="1C16C522" w14:textId="77777777" w:rsidR="00552061" w:rsidRPr="005955F8" w:rsidRDefault="00552061" w:rsidP="009A2088">
            <w:pPr>
              <w:spacing w:before="60" w:afterLines="80" w:after="192" w:line="264" w:lineRule="auto"/>
              <w:contextualSpacing/>
              <w:rPr>
                <w:rFonts w:cstheme="minorHAnsi"/>
                <w:sz w:val="20"/>
              </w:rPr>
            </w:pPr>
          </w:p>
        </w:tc>
        <w:tc>
          <w:tcPr>
            <w:tcW w:w="1033" w:type="dxa"/>
            <w:gridSpan w:val="3"/>
          </w:tcPr>
          <w:p w14:paraId="309567C5" w14:textId="77777777" w:rsidR="00552061" w:rsidRPr="005955F8" w:rsidRDefault="00552061" w:rsidP="009A2088">
            <w:pPr>
              <w:spacing w:before="60" w:afterLines="80" w:after="192" w:line="264" w:lineRule="auto"/>
              <w:contextualSpacing/>
              <w:rPr>
                <w:rFonts w:cstheme="minorHAnsi"/>
                <w:sz w:val="20"/>
              </w:rPr>
            </w:pPr>
          </w:p>
        </w:tc>
      </w:tr>
      <w:tr w:rsidR="00552061" w:rsidRPr="005955F8" w14:paraId="39C4953A" w14:textId="77777777" w:rsidTr="00D15BEA">
        <w:tc>
          <w:tcPr>
            <w:tcW w:w="1418" w:type="dxa"/>
            <w:tcBorders>
              <w:bottom w:val="nil"/>
            </w:tcBorders>
          </w:tcPr>
          <w:p w14:paraId="0AF7575E" w14:textId="77777777" w:rsidR="00552061" w:rsidRPr="00DC7D05" w:rsidRDefault="00552061" w:rsidP="009A2088">
            <w:pPr>
              <w:spacing w:before="60" w:afterLines="80" w:after="192" w:line="264" w:lineRule="auto"/>
              <w:contextualSpacing/>
              <w:rPr>
                <w:rFonts w:cstheme="minorHAnsi"/>
                <w:iCs/>
                <w:sz w:val="20"/>
                <w:szCs w:val="20"/>
              </w:rPr>
            </w:pPr>
            <w:r w:rsidRPr="00DC7D05">
              <w:rPr>
                <w:rFonts w:cstheme="minorHAnsi"/>
                <w:iCs/>
                <w:sz w:val="20"/>
                <w:szCs w:val="20"/>
              </w:rPr>
              <w:t>Online</w:t>
            </w:r>
          </w:p>
        </w:tc>
        <w:tc>
          <w:tcPr>
            <w:tcW w:w="425" w:type="dxa"/>
            <w:tcBorders>
              <w:bottom w:val="nil"/>
            </w:tcBorders>
          </w:tcPr>
          <w:p w14:paraId="4DDF696B"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3</w:t>
            </w:r>
          </w:p>
        </w:tc>
        <w:tc>
          <w:tcPr>
            <w:tcW w:w="851" w:type="dxa"/>
            <w:tcBorders>
              <w:bottom w:val="nil"/>
            </w:tcBorders>
          </w:tcPr>
          <w:p w14:paraId="0EDC1786"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4.08</w:t>
            </w:r>
          </w:p>
        </w:tc>
        <w:tc>
          <w:tcPr>
            <w:tcW w:w="878" w:type="dxa"/>
            <w:gridSpan w:val="2"/>
            <w:tcBorders>
              <w:bottom w:val="nil"/>
            </w:tcBorders>
          </w:tcPr>
          <w:p w14:paraId="2C7F2781"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 xml:space="preserve">    </w:t>
            </w:r>
            <w:r>
              <w:rPr>
                <w:rFonts w:cstheme="minorHAnsi"/>
                <w:sz w:val="20"/>
              </w:rPr>
              <w:t xml:space="preserve"> </w:t>
            </w:r>
            <w:r w:rsidRPr="005955F8">
              <w:rPr>
                <w:rFonts w:cstheme="minorHAnsi"/>
                <w:sz w:val="20"/>
              </w:rPr>
              <w:t>3.38</w:t>
            </w:r>
          </w:p>
        </w:tc>
        <w:tc>
          <w:tcPr>
            <w:tcW w:w="539" w:type="dxa"/>
            <w:tcBorders>
              <w:bottom w:val="nil"/>
            </w:tcBorders>
          </w:tcPr>
          <w:p w14:paraId="251B3FB4"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3</w:t>
            </w:r>
          </w:p>
        </w:tc>
        <w:tc>
          <w:tcPr>
            <w:tcW w:w="786" w:type="dxa"/>
            <w:tcBorders>
              <w:bottom w:val="nil"/>
            </w:tcBorders>
          </w:tcPr>
          <w:p w14:paraId="2167ACF1"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3.70</w:t>
            </w:r>
          </w:p>
        </w:tc>
        <w:tc>
          <w:tcPr>
            <w:tcW w:w="915" w:type="dxa"/>
            <w:gridSpan w:val="2"/>
            <w:tcBorders>
              <w:bottom w:val="nil"/>
            </w:tcBorders>
          </w:tcPr>
          <w:p w14:paraId="21625725"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3.17</w:t>
            </w:r>
          </w:p>
        </w:tc>
        <w:tc>
          <w:tcPr>
            <w:tcW w:w="425" w:type="dxa"/>
            <w:tcBorders>
              <w:bottom w:val="nil"/>
            </w:tcBorders>
          </w:tcPr>
          <w:p w14:paraId="54B5E5C1" w14:textId="77777777" w:rsidR="00552061" w:rsidRPr="005955F8" w:rsidRDefault="00552061" w:rsidP="009A2088">
            <w:pPr>
              <w:spacing w:before="60" w:afterLines="80" w:after="192" w:line="264" w:lineRule="auto"/>
              <w:contextualSpacing/>
              <w:rPr>
                <w:rFonts w:cstheme="minorHAnsi"/>
                <w:sz w:val="20"/>
              </w:rPr>
            </w:pPr>
            <w:r>
              <w:rPr>
                <w:rFonts w:cstheme="minorHAnsi"/>
                <w:sz w:val="20"/>
              </w:rPr>
              <w:t xml:space="preserve">  </w:t>
            </w:r>
            <w:r w:rsidRPr="005955F8">
              <w:rPr>
                <w:rFonts w:cstheme="minorHAnsi"/>
                <w:sz w:val="20"/>
              </w:rPr>
              <w:t>3</w:t>
            </w:r>
          </w:p>
        </w:tc>
        <w:tc>
          <w:tcPr>
            <w:tcW w:w="874" w:type="dxa"/>
            <w:tcBorders>
              <w:bottom w:val="nil"/>
            </w:tcBorders>
          </w:tcPr>
          <w:p w14:paraId="613C099C"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2.80</w:t>
            </w:r>
          </w:p>
        </w:tc>
        <w:tc>
          <w:tcPr>
            <w:tcW w:w="1033" w:type="dxa"/>
            <w:gridSpan w:val="3"/>
            <w:tcBorders>
              <w:bottom w:val="nil"/>
            </w:tcBorders>
          </w:tcPr>
          <w:p w14:paraId="5749801C" w14:textId="77777777" w:rsidR="00552061" w:rsidRPr="005955F8" w:rsidRDefault="00552061" w:rsidP="009A2088">
            <w:pPr>
              <w:spacing w:before="60" w:afterLines="80" w:after="192" w:line="264" w:lineRule="auto"/>
              <w:contextualSpacing/>
              <w:rPr>
                <w:rFonts w:cstheme="minorHAnsi"/>
                <w:b/>
                <w:bCs/>
                <w:sz w:val="20"/>
              </w:rPr>
            </w:pPr>
            <w:r>
              <w:rPr>
                <w:rFonts w:cstheme="minorHAnsi"/>
                <w:sz w:val="20"/>
              </w:rPr>
              <w:t xml:space="preserve">    </w:t>
            </w:r>
            <w:r w:rsidRPr="005955F8">
              <w:rPr>
                <w:rFonts w:cstheme="minorHAnsi"/>
                <w:sz w:val="20"/>
              </w:rPr>
              <w:t>3.10</w:t>
            </w:r>
          </w:p>
        </w:tc>
      </w:tr>
      <w:tr w:rsidR="00552061" w:rsidRPr="005955F8" w14:paraId="5111EACF" w14:textId="77777777" w:rsidTr="00D15BEA">
        <w:tc>
          <w:tcPr>
            <w:tcW w:w="1418" w:type="dxa"/>
            <w:tcBorders>
              <w:top w:val="nil"/>
              <w:bottom w:val="single" w:sz="4" w:space="0" w:color="auto"/>
            </w:tcBorders>
          </w:tcPr>
          <w:p w14:paraId="459DB0DB" w14:textId="112564F9" w:rsidR="00552061" w:rsidRPr="00DC7D05" w:rsidRDefault="00DC7D05" w:rsidP="009A2088">
            <w:pPr>
              <w:spacing w:before="60" w:afterLines="80" w:after="192" w:line="264" w:lineRule="auto"/>
              <w:contextualSpacing/>
              <w:rPr>
                <w:rFonts w:cstheme="minorHAnsi"/>
                <w:iCs/>
                <w:sz w:val="20"/>
                <w:szCs w:val="20"/>
              </w:rPr>
            </w:pPr>
            <w:r w:rsidRPr="0069783C">
              <w:rPr>
                <w:rFonts w:cstheme="minorHAnsi"/>
                <w:sz w:val="20"/>
                <w:szCs w:val="20"/>
              </w:rPr>
              <w:t>Face-to-face</w:t>
            </w:r>
          </w:p>
        </w:tc>
        <w:tc>
          <w:tcPr>
            <w:tcW w:w="425" w:type="dxa"/>
            <w:tcBorders>
              <w:top w:val="nil"/>
              <w:bottom w:val="single" w:sz="4" w:space="0" w:color="auto"/>
            </w:tcBorders>
          </w:tcPr>
          <w:p w14:paraId="4D9692C8"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17</w:t>
            </w:r>
          </w:p>
        </w:tc>
        <w:tc>
          <w:tcPr>
            <w:tcW w:w="851" w:type="dxa"/>
            <w:tcBorders>
              <w:top w:val="nil"/>
              <w:bottom w:val="single" w:sz="4" w:space="0" w:color="auto"/>
            </w:tcBorders>
          </w:tcPr>
          <w:p w14:paraId="2489D89A"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3.49</w:t>
            </w:r>
          </w:p>
        </w:tc>
        <w:tc>
          <w:tcPr>
            <w:tcW w:w="878" w:type="dxa"/>
            <w:gridSpan w:val="2"/>
            <w:tcBorders>
              <w:top w:val="nil"/>
              <w:bottom w:val="single" w:sz="4" w:space="0" w:color="auto"/>
            </w:tcBorders>
          </w:tcPr>
          <w:p w14:paraId="57474C88" w14:textId="77777777" w:rsidR="00552061" w:rsidRPr="005955F8" w:rsidRDefault="00552061" w:rsidP="009A2088">
            <w:pPr>
              <w:spacing w:before="60" w:afterLines="80" w:after="192" w:line="264" w:lineRule="auto"/>
              <w:contextualSpacing/>
              <w:rPr>
                <w:rFonts w:cstheme="minorHAnsi"/>
                <w:b/>
                <w:bCs/>
                <w:sz w:val="20"/>
              </w:rPr>
            </w:pPr>
            <w:r w:rsidRPr="005955F8">
              <w:rPr>
                <w:rFonts w:cstheme="minorHAnsi"/>
                <w:sz w:val="20"/>
              </w:rPr>
              <w:t xml:space="preserve">    </w:t>
            </w:r>
            <w:r>
              <w:rPr>
                <w:rFonts w:cstheme="minorHAnsi"/>
                <w:sz w:val="20"/>
              </w:rPr>
              <w:t xml:space="preserve"> </w:t>
            </w:r>
            <w:r w:rsidRPr="005955F8">
              <w:rPr>
                <w:rFonts w:cstheme="minorHAnsi"/>
                <w:sz w:val="20"/>
              </w:rPr>
              <w:t>3.74</w:t>
            </w:r>
          </w:p>
        </w:tc>
        <w:tc>
          <w:tcPr>
            <w:tcW w:w="539" w:type="dxa"/>
            <w:tcBorders>
              <w:top w:val="nil"/>
              <w:bottom w:val="single" w:sz="4" w:space="0" w:color="auto"/>
            </w:tcBorders>
          </w:tcPr>
          <w:p w14:paraId="654FED46"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18</w:t>
            </w:r>
          </w:p>
        </w:tc>
        <w:tc>
          <w:tcPr>
            <w:tcW w:w="786" w:type="dxa"/>
            <w:tcBorders>
              <w:top w:val="nil"/>
              <w:bottom w:val="single" w:sz="4" w:space="0" w:color="auto"/>
            </w:tcBorders>
          </w:tcPr>
          <w:p w14:paraId="464E7789"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3.57</w:t>
            </w:r>
          </w:p>
        </w:tc>
        <w:tc>
          <w:tcPr>
            <w:tcW w:w="915" w:type="dxa"/>
            <w:gridSpan w:val="2"/>
            <w:tcBorders>
              <w:top w:val="nil"/>
              <w:bottom w:val="single" w:sz="4" w:space="0" w:color="auto"/>
            </w:tcBorders>
          </w:tcPr>
          <w:p w14:paraId="4B4CAC31"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3.59</w:t>
            </w:r>
          </w:p>
        </w:tc>
        <w:tc>
          <w:tcPr>
            <w:tcW w:w="425" w:type="dxa"/>
            <w:tcBorders>
              <w:top w:val="nil"/>
              <w:bottom w:val="single" w:sz="4" w:space="0" w:color="auto"/>
            </w:tcBorders>
          </w:tcPr>
          <w:p w14:paraId="5776C371"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18</w:t>
            </w:r>
          </w:p>
        </w:tc>
        <w:tc>
          <w:tcPr>
            <w:tcW w:w="874" w:type="dxa"/>
            <w:tcBorders>
              <w:top w:val="nil"/>
              <w:bottom w:val="single" w:sz="4" w:space="0" w:color="auto"/>
            </w:tcBorders>
          </w:tcPr>
          <w:p w14:paraId="0234B89F" w14:textId="77777777" w:rsidR="00552061" w:rsidRPr="005955F8" w:rsidRDefault="00552061" w:rsidP="009A2088">
            <w:pPr>
              <w:spacing w:before="60" w:afterLines="80" w:after="192" w:line="264" w:lineRule="auto"/>
              <w:contextualSpacing/>
              <w:rPr>
                <w:rFonts w:cstheme="minorHAnsi"/>
                <w:sz w:val="20"/>
              </w:rPr>
            </w:pPr>
            <w:r w:rsidRPr="005955F8">
              <w:rPr>
                <w:rFonts w:cstheme="minorHAnsi"/>
                <w:sz w:val="20"/>
              </w:rPr>
              <w:t>2.31</w:t>
            </w:r>
          </w:p>
        </w:tc>
        <w:tc>
          <w:tcPr>
            <w:tcW w:w="1033" w:type="dxa"/>
            <w:gridSpan w:val="3"/>
            <w:tcBorders>
              <w:top w:val="nil"/>
              <w:bottom w:val="single" w:sz="4" w:space="0" w:color="auto"/>
            </w:tcBorders>
          </w:tcPr>
          <w:p w14:paraId="3B9B54D3" w14:textId="77777777" w:rsidR="00552061" w:rsidRPr="005955F8" w:rsidRDefault="00552061" w:rsidP="009A2088">
            <w:pPr>
              <w:spacing w:before="60" w:afterLines="80" w:after="192" w:line="264" w:lineRule="auto"/>
              <w:contextualSpacing/>
              <w:rPr>
                <w:rFonts w:cstheme="minorHAnsi"/>
                <w:b/>
                <w:bCs/>
                <w:sz w:val="20"/>
              </w:rPr>
            </w:pPr>
            <w:r w:rsidRPr="005955F8">
              <w:rPr>
                <w:rFonts w:cstheme="minorHAnsi"/>
                <w:b/>
                <w:bCs/>
                <w:sz w:val="20"/>
              </w:rPr>
              <w:t>**3.36</w:t>
            </w:r>
          </w:p>
        </w:tc>
      </w:tr>
    </w:tbl>
    <w:p w14:paraId="76E7ABE7" w14:textId="69B58960" w:rsidR="00552061" w:rsidRPr="00515600" w:rsidRDefault="00552061" w:rsidP="00515600">
      <w:pPr>
        <w:pStyle w:val="Tablenotes"/>
      </w:pPr>
      <w:r w:rsidRPr="00515600">
        <w:t>Note</w:t>
      </w:r>
      <w:r w:rsidR="00D15BEA" w:rsidRPr="00515600">
        <w:t xml:space="preserve">: </w:t>
      </w:r>
      <w:r w:rsidRPr="00515600">
        <w:t>*Post intervention change &lt;.05, **Post intervention change &lt;.001.</w:t>
      </w:r>
    </w:p>
    <w:p w14:paraId="3F403182" w14:textId="77777777" w:rsidR="00D15BEA" w:rsidRDefault="00D15BEA">
      <w:pPr>
        <w:spacing w:before="0" w:after="0" w:line="240" w:lineRule="auto"/>
        <w:rPr>
          <w:rFonts w:eastAsiaTheme="majorEastAsia" w:cstheme="minorHAnsi"/>
          <w:b/>
          <w:color w:val="C45911" w:themeColor="accent2" w:themeShade="BF"/>
          <w:szCs w:val="22"/>
          <w:lang w:eastAsia="en-AU"/>
        </w:rPr>
      </w:pPr>
      <w:r>
        <w:br w:type="page"/>
      </w:r>
    </w:p>
    <w:p w14:paraId="12F89245" w14:textId="746419D7" w:rsidR="00552061" w:rsidRDefault="00552061" w:rsidP="00070C12">
      <w:pPr>
        <w:pStyle w:val="Heading2"/>
      </w:pPr>
      <w:bookmarkStart w:id="348" w:name="_Toc44339277"/>
      <w:bookmarkStart w:id="349" w:name="_Toc45539293"/>
      <w:bookmarkStart w:id="350" w:name="_Toc54954879"/>
      <w:r>
        <w:lastRenderedPageBreak/>
        <w:t>Training influence in different geographic regions</w:t>
      </w:r>
      <w:bookmarkEnd w:id="348"/>
      <w:bookmarkEnd w:id="349"/>
      <w:bookmarkEnd w:id="350"/>
      <w:r>
        <w:t xml:space="preserve"> </w:t>
      </w:r>
    </w:p>
    <w:p w14:paraId="35FF1E03" w14:textId="32E2AA8A" w:rsidR="00552061" w:rsidRPr="007301F5" w:rsidRDefault="00552061" w:rsidP="00552061">
      <w:pPr>
        <w:rPr>
          <w:rFonts w:cstheme="minorHAnsi"/>
        </w:rPr>
      </w:pPr>
      <w:r w:rsidRPr="007301F5">
        <w:rPr>
          <w:rFonts w:cstheme="minorHAnsi"/>
        </w:rPr>
        <w:t xml:space="preserve">The data were </w:t>
      </w:r>
      <w:r w:rsidR="00530E7C">
        <w:rPr>
          <w:rFonts w:cstheme="minorHAnsi"/>
        </w:rPr>
        <w:t xml:space="preserve">also </w:t>
      </w:r>
      <w:r w:rsidRPr="007301F5">
        <w:rPr>
          <w:rFonts w:cstheme="minorHAnsi"/>
        </w:rPr>
        <w:t xml:space="preserve">investigated to explore </w:t>
      </w:r>
      <w:r>
        <w:rPr>
          <w:rFonts w:cstheme="minorHAnsi"/>
        </w:rPr>
        <w:t xml:space="preserve">training influence across </w:t>
      </w:r>
      <w:r w:rsidRPr="007301F5">
        <w:rPr>
          <w:rFonts w:cstheme="minorHAnsi"/>
        </w:rPr>
        <w:t xml:space="preserve">health services located in three geographical locations. </w:t>
      </w:r>
    </w:p>
    <w:p w14:paraId="172F2EBC" w14:textId="77777777" w:rsidR="00552061" w:rsidRPr="00552061" w:rsidRDefault="00552061" w:rsidP="00366EAB">
      <w:pPr>
        <w:pStyle w:val="Heading3"/>
      </w:pPr>
      <w:bookmarkStart w:id="351" w:name="_Toc44339278"/>
      <w:r w:rsidRPr="00552061">
        <w:t>Method</w:t>
      </w:r>
      <w:bookmarkEnd w:id="351"/>
    </w:p>
    <w:p w14:paraId="0820AD61" w14:textId="77777777" w:rsidR="00552061" w:rsidRDefault="00552061" w:rsidP="00552061">
      <w:pPr>
        <w:rPr>
          <w:rFonts w:cstheme="minorHAnsi"/>
        </w:rPr>
      </w:pPr>
      <w:r>
        <w:rPr>
          <w:rFonts w:cstheme="minorHAnsi"/>
        </w:rPr>
        <w:t>Data were grouped together using demographic information to form participant groups from three geographic locations: Urban; Regional; and Remote.</w:t>
      </w:r>
    </w:p>
    <w:p w14:paraId="135B9EE6" w14:textId="154B0584" w:rsidR="00552061" w:rsidRPr="00D15BEA" w:rsidRDefault="00552061" w:rsidP="00D15BEA">
      <w:pPr>
        <w:rPr>
          <w:rFonts w:cstheme="minorHAnsi"/>
        </w:rPr>
      </w:pPr>
      <w:r w:rsidRPr="00440D90">
        <w:rPr>
          <w:rFonts w:cstheme="minorHAnsi"/>
        </w:rPr>
        <w:t xml:space="preserve">A between subjects repeated measures ANOVA, was conducted to compare </w:t>
      </w:r>
      <w:r w:rsidR="00DC7D05">
        <w:rPr>
          <w:rFonts w:cstheme="minorHAnsi"/>
        </w:rPr>
        <w:t>o</w:t>
      </w:r>
      <w:r w:rsidRPr="0077225B">
        <w:rPr>
          <w:rFonts w:cstheme="minorHAnsi"/>
        </w:rPr>
        <w:t>nline</w:t>
      </w:r>
      <w:r w:rsidRPr="00440D90">
        <w:rPr>
          <w:rFonts w:cstheme="minorHAnsi"/>
        </w:rPr>
        <w:t xml:space="preserve"> and </w:t>
      </w:r>
      <w:r w:rsidR="00DC7D05">
        <w:rPr>
          <w:rFonts w:cstheme="minorHAnsi"/>
        </w:rPr>
        <w:t xml:space="preserve">face-to-face </w:t>
      </w:r>
      <w:r w:rsidRPr="00440D90">
        <w:rPr>
          <w:rFonts w:cstheme="minorHAnsi"/>
        </w:rPr>
        <w:t xml:space="preserve">training </w:t>
      </w:r>
      <w:r>
        <w:rPr>
          <w:rFonts w:cstheme="minorHAnsi"/>
        </w:rPr>
        <w:t>between the three geographic location groups</w:t>
      </w:r>
      <w:r w:rsidRPr="00440D90">
        <w:rPr>
          <w:rFonts w:cstheme="minorHAnsi"/>
        </w:rPr>
        <w:t xml:space="preserve">. The results of the analysis are presented in </w:t>
      </w:r>
      <w:r w:rsidRPr="007D4B5C">
        <w:rPr>
          <w:rFonts w:cstheme="minorHAnsi"/>
        </w:rPr>
        <w:t xml:space="preserve">Table </w:t>
      </w:r>
      <w:r w:rsidR="00104BF2">
        <w:rPr>
          <w:rFonts w:cstheme="minorHAnsi"/>
        </w:rPr>
        <w:t>E</w:t>
      </w:r>
      <w:r w:rsidR="007D4B5C">
        <w:rPr>
          <w:rFonts w:cstheme="minorHAnsi"/>
        </w:rPr>
        <w:t>-</w:t>
      </w:r>
      <w:r w:rsidRPr="007D4B5C">
        <w:rPr>
          <w:rFonts w:cstheme="minorHAnsi"/>
        </w:rPr>
        <w:t>4</w:t>
      </w:r>
      <w:r w:rsidRPr="00440D90">
        <w:rPr>
          <w:rFonts w:cstheme="minorHAnsi"/>
        </w:rPr>
        <w:t>.</w:t>
      </w:r>
    </w:p>
    <w:p w14:paraId="3CEB8857" w14:textId="4B058613" w:rsidR="00552061" w:rsidRPr="00D15BEA" w:rsidRDefault="00552061" w:rsidP="00366EAB">
      <w:pPr>
        <w:pStyle w:val="Heading3"/>
      </w:pPr>
      <w:bookmarkStart w:id="352" w:name="_Toc44339279"/>
      <w:r w:rsidRPr="00D15BEA">
        <w:t>Results</w:t>
      </w:r>
      <w:bookmarkEnd w:id="352"/>
    </w:p>
    <w:p w14:paraId="2DF568D6" w14:textId="217E3EB3" w:rsidR="00280B7A" w:rsidRPr="00D15BEA" w:rsidRDefault="00280B7A" w:rsidP="002E74E6">
      <w:pPr>
        <w:pStyle w:val="Caption"/>
      </w:pPr>
      <w:r w:rsidRPr="00D15BEA">
        <w:t xml:space="preserve">Table </w:t>
      </w:r>
      <w:r w:rsidR="00DC7D05">
        <w:t>E</w:t>
      </w:r>
      <w:r w:rsidRPr="00D15BEA">
        <w:t>-4</w:t>
      </w:r>
      <w:r w:rsidR="00DC7D05">
        <w:t>:</w:t>
      </w:r>
      <w:r w:rsidRPr="00D15BEA">
        <w:t xml:space="preserve"> Mean training intervention scores related to each geographic location</w:t>
      </w:r>
    </w:p>
    <w:tbl>
      <w:tblPr>
        <w:tblW w:w="0" w:type="auto"/>
        <w:tblLayout w:type="fixed"/>
        <w:tblLook w:val="04A0" w:firstRow="1" w:lastRow="0" w:firstColumn="1" w:lastColumn="0" w:noHBand="0" w:noVBand="1"/>
      </w:tblPr>
      <w:tblGrid>
        <w:gridCol w:w="1555"/>
        <w:gridCol w:w="708"/>
        <w:gridCol w:w="856"/>
        <w:gridCol w:w="850"/>
        <w:gridCol w:w="562"/>
        <w:gridCol w:w="851"/>
        <w:gridCol w:w="992"/>
        <w:gridCol w:w="709"/>
        <w:gridCol w:w="992"/>
        <w:gridCol w:w="941"/>
      </w:tblGrid>
      <w:tr w:rsidR="00552061" w:rsidRPr="00440D90" w14:paraId="0F0CC858" w14:textId="77777777" w:rsidTr="000E7BCE">
        <w:trPr>
          <w:trHeight w:val="272"/>
        </w:trPr>
        <w:tc>
          <w:tcPr>
            <w:tcW w:w="1555" w:type="dxa"/>
            <w:tcBorders>
              <w:top w:val="single" w:sz="4" w:space="0" w:color="auto"/>
              <w:bottom w:val="single" w:sz="4" w:space="0" w:color="auto"/>
            </w:tcBorders>
          </w:tcPr>
          <w:p w14:paraId="32DA4095" w14:textId="77777777" w:rsidR="00552061" w:rsidRPr="00440D90" w:rsidRDefault="00552061" w:rsidP="000E7BCE">
            <w:pPr>
              <w:rPr>
                <w:rFonts w:cstheme="minorHAnsi"/>
                <w:sz w:val="20"/>
              </w:rPr>
            </w:pPr>
          </w:p>
        </w:tc>
        <w:tc>
          <w:tcPr>
            <w:tcW w:w="2414" w:type="dxa"/>
            <w:gridSpan w:val="3"/>
            <w:tcBorders>
              <w:top w:val="single" w:sz="4" w:space="0" w:color="auto"/>
              <w:bottom w:val="single" w:sz="4" w:space="0" w:color="auto"/>
            </w:tcBorders>
          </w:tcPr>
          <w:p w14:paraId="79EC58D6" w14:textId="77777777" w:rsidR="00552061" w:rsidRPr="00440D90" w:rsidRDefault="00552061" w:rsidP="000E7BCE">
            <w:pPr>
              <w:rPr>
                <w:rFonts w:cstheme="minorHAnsi"/>
                <w:sz w:val="20"/>
              </w:rPr>
            </w:pPr>
            <w:r w:rsidRPr="00440D90">
              <w:rPr>
                <w:rFonts w:cstheme="minorHAnsi"/>
                <w:sz w:val="20"/>
              </w:rPr>
              <w:t>Role Perception</w:t>
            </w:r>
          </w:p>
        </w:tc>
        <w:tc>
          <w:tcPr>
            <w:tcW w:w="2405" w:type="dxa"/>
            <w:gridSpan w:val="3"/>
            <w:tcBorders>
              <w:top w:val="single" w:sz="4" w:space="0" w:color="auto"/>
              <w:bottom w:val="single" w:sz="4" w:space="0" w:color="auto"/>
            </w:tcBorders>
          </w:tcPr>
          <w:p w14:paraId="7B18F93B" w14:textId="77777777" w:rsidR="00552061" w:rsidRPr="00440D90" w:rsidRDefault="00552061" w:rsidP="000E7BCE">
            <w:pPr>
              <w:rPr>
                <w:rFonts w:cstheme="minorHAnsi"/>
                <w:sz w:val="20"/>
              </w:rPr>
            </w:pPr>
            <w:r w:rsidRPr="00440D90">
              <w:rPr>
                <w:rFonts w:cstheme="minorHAnsi"/>
                <w:sz w:val="20"/>
              </w:rPr>
              <w:t>Motivation</w:t>
            </w:r>
          </w:p>
        </w:tc>
        <w:tc>
          <w:tcPr>
            <w:tcW w:w="2642" w:type="dxa"/>
            <w:gridSpan w:val="3"/>
            <w:tcBorders>
              <w:top w:val="single" w:sz="4" w:space="0" w:color="auto"/>
              <w:bottom w:val="single" w:sz="4" w:space="0" w:color="auto"/>
            </w:tcBorders>
          </w:tcPr>
          <w:p w14:paraId="081E576E" w14:textId="77777777" w:rsidR="00552061" w:rsidRPr="00440D90" w:rsidRDefault="00552061" w:rsidP="000E7BCE">
            <w:pPr>
              <w:rPr>
                <w:rFonts w:cstheme="minorHAnsi"/>
                <w:sz w:val="20"/>
              </w:rPr>
            </w:pPr>
            <w:r w:rsidRPr="00440D90">
              <w:rPr>
                <w:rFonts w:cstheme="minorHAnsi"/>
                <w:sz w:val="20"/>
              </w:rPr>
              <w:t>Confidence</w:t>
            </w:r>
          </w:p>
        </w:tc>
      </w:tr>
      <w:tr w:rsidR="00552061" w:rsidRPr="00440D90" w14:paraId="5A88A614" w14:textId="77777777" w:rsidTr="000E7BCE">
        <w:tc>
          <w:tcPr>
            <w:tcW w:w="1555" w:type="dxa"/>
            <w:tcBorders>
              <w:top w:val="single" w:sz="4" w:space="0" w:color="auto"/>
            </w:tcBorders>
          </w:tcPr>
          <w:p w14:paraId="786E7FFA" w14:textId="77777777" w:rsidR="00552061" w:rsidRPr="00440D90" w:rsidRDefault="00552061" w:rsidP="009A2088">
            <w:pPr>
              <w:spacing w:line="264" w:lineRule="auto"/>
              <w:rPr>
                <w:rFonts w:cstheme="minorHAnsi"/>
                <w:sz w:val="20"/>
              </w:rPr>
            </w:pPr>
          </w:p>
        </w:tc>
        <w:tc>
          <w:tcPr>
            <w:tcW w:w="708" w:type="dxa"/>
            <w:tcBorders>
              <w:top w:val="single" w:sz="4" w:space="0" w:color="auto"/>
            </w:tcBorders>
          </w:tcPr>
          <w:p w14:paraId="423099DF" w14:textId="77777777" w:rsidR="00552061" w:rsidRPr="00440D90" w:rsidRDefault="00552061" w:rsidP="009A2088">
            <w:pPr>
              <w:spacing w:line="264" w:lineRule="auto"/>
              <w:rPr>
                <w:rFonts w:cstheme="minorHAnsi"/>
                <w:sz w:val="20"/>
              </w:rPr>
            </w:pPr>
            <w:r>
              <w:rPr>
                <w:rFonts w:cstheme="minorHAnsi"/>
                <w:sz w:val="20"/>
              </w:rPr>
              <w:t>n</w:t>
            </w:r>
          </w:p>
        </w:tc>
        <w:tc>
          <w:tcPr>
            <w:tcW w:w="856" w:type="dxa"/>
            <w:tcBorders>
              <w:top w:val="single" w:sz="4" w:space="0" w:color="auto"/>
            </w:tcBorders>
          </w:tcPr>
          <w:p w14:paraId="5D8BEA2F" w14:textId="77777777" w:rsidR="00552061" w:rsidRPr="00440D90" w:rsidRDefault="00552061" w:rsidP="009A2088">
            <w:pPr>
              <w:spacing w:line="264" w:lineRule="auto"/>
              <w:rPr>
                <w:rFonts w:cstheme="minorHAnsi"/>
                <w:sz w:val="20"/>
              </w:rPr>
            </w:pPr>
            <w:r w:rsidRPr="00440D90">
              <w:rPr>
                <w:rFonts w:cstheme="minorHAnsi"/>
                <w:sz w:val="20"/>
              </w:rPr>
              <w:t>Pre</w:t>
            </w:r>
          </w:p>
        </w:tc>
        <w:tc>
          <w:tcPr>
            <w:tcW w:w="850" w:type="dxa"/>
            <w:tcBorders>
              <w:top w:val="single" w:sz="4" w:space="0" w:color="auto"/>
            </w:tcBorders>
          </w:tcPr>
          <w:p w14:paraId="5BA3F5AC" w14:textId="77777777" w:rsidR="00552061" w:rsidRPr="00440D90" w:rsidRDefault="00552061" w:rsidP="009A2088">
            <w:pPr>
              <w:spacing w:line="264" w:lineRule="auto"/>
              <w:rPr>
                <w:rFonts w:cstheme="minorHAnsi"/>
                <w:sz w:val="20"/>
              </w:rPr>
            </w:pPr>
            <w:r w:rsidRPr="00440D90">
              <w:rPr>
                <w:rFonts w:cstheme="minorHAnsi"/>
                <w:sz w:val="20"/>
              </w:rPr>
              <w:t>Post</w:t>
            </w:r>
          </w:p>
        </w:tc>
        <w:tc>
          <w:tcPr>
            <w:tcW w:w="562" w:type="dxa"/>
            <w:tcBorders>
              <w:top w:val="single" w:sz="4" w:space="0" w:color="auto"/>
            </w:tcBorders>
          </w:tcPr>
          <w:p w14:paraId="3C14B734" w14:textId="77777777" w:rsidR="00552061" w:rsidRPr="00440D90" w:rsidRDefault="00552061" w:rsidP="009A2088">
            <w:pPr>
              <w:spacing w:line="264" w:lineRule="auto"/>
              <w:rPr>
                <w:rFonts w:cstheme="minorHAnsi"/>
                <w:sz w:val="20"/>
              </w:rPr>
            </w:pPr>
            <w:r>
              <w:rPr>
                <w:rFonts w:cstheme="minorHAnsi"/>
                <w:sz w:val="20"/>
              </w:rPr>
              <w:t>n</w:t>
            </w:r>
          </w:p>
        </w:tc>
        <w:tc>
          <w:tcPr>
            <w:tcW w:w="851" w:type="dxa"/>
            <w:tcBorders>
              <w:top w:val="single" w:sz="4" w:space="0" w:color="auto"/>
            </w:tcBorders>
          </w:tcPr>
          <w:p w14:paraId="01C51911" w14:textId="77777777" w:rsidR="00552061" w:rsidRPr="00440D90" w:rsidRDefault="00552061" w:rsidP="009A2088">
            <w:pPr>
              <w:spacing w:line="264" w:lineRule="auto"/>
              <w:rPr>
                <w:rFonts w:cstheme="minorHAnsi"/>
                <w:sz w:val="20"/>
              </w:rPr>
            </w:pPr>
            <w:r w:rsidRPr="00440D90">
              <w:rPr>
                <w:rFonts w:cstheme="minorHAnsi"/>
                <w:sz w:val="20"/>
              </w:rPr>
              <w:t>Pre</w:t>
            </w:r>
          </w:p>
        </w:tc>
        <w:tc>
          <w:tcPr>
            <w:tcW w:w="992" w:type="dxa"/>
            <w:tcBorders>
              <w:top w:val="single" w:sz="4" w:space="0" w:color="auto"/>
            </w:tcBorders>
          </w:tcPr>
          <w:p w14:paraId="015F461F" w14:textId="77777777" w:rsidR="00552061" w:rsidRPr="00440D90" w:rsidRDefault="00552061" w:rsidP="009A2088">
            <w:pPr>
              <w:spacing w:line="264" w:lineRule="auto"/>
              <w:rPr>
                <w:rFonts w:cstheme="minorHAnsi"/>
                <w:sz w:val="20"/>
              </w:rPr>
            </w:pPr>
            <w:r w:rsidRPr="00440D90">
              <w:rPr>
                <w:rFonts w:cstheme="minorHAnsi"/>
                <w:sz w:val="20"/>
              </w:rPr>
              <w:t>Post</w:t>
            </w:r>
          </w:p>
        </w:tc>
        <w:tc>
          <w:tcPr>
            <w:tcW w:w="709" w:type="dxa"/>
            <w:tcBorders>
              <w:top w:val="single" w:sz="4" w:space="0" w:color="auto"/>
            </w:tcBorders>
          </w:tcPr>
          <w:p w14:paraId="3F11B56F" w14:textId="77777777" w:rsidR="00552061" w:rsidRPr="00440D90" w:rsidRDefault="00552061" w:rsidP="009A2088">
            <w:pPr>
              <w:spacing w:line="264" w:lineRule="auto"/>
              <w:rPr>
                <w:rFonts w:cstheme="minorHAnsi"/>
                <w:sz w:val="20"/>
              </w:rPr>
            </w:pPr>
            <w:r>
              <w:rPr>
                <w:rFonts w:cstheme="minorHAnsi"/>
                <w:sz w:val="20"/>
              </w:rPr>
              <w:t>n</w:t>
            </w:r>
          </w:p>
        </w:tc>
        <w:tc>
          <w:tcPr>
            <w:tcW w:w="992" w:type="dxa"/>
            <w:tcBorders>
              <w:top w:val="single" w:sz="4" w:space="0" w:color="auto"/>
            </w:tcBorders>
          </w:tcPr>
          <w:p w14:paraId="256A2735" w14:textId="77777777" w:rsidR="00552061" w:rsidRPr="00440D90" w:rsidRDefault="00552061" w:rsidP="009A2088">
            <w:pPr>
              <w:spacing w:line="264" w:lineRule="auto"/>
              <w:rPr>
                <w:rFonts w:cstheme="minorHAnsi"/>
                <w:sz w:val="20"/>
              </w:rPr>
            </w:pPr>
            <w:r w:rsidRPr="00440D90">
              <w:rPr>
                <w:rFonts w:cstheme="minorHAnsi"/>
                <w:sz w:val="20"/>
              </w:rPr>
              <w:t>Pre</w:t>
            </w:r>
          </w:p>
        </w:tc>
        <w:tc>
          <w:tcPr>
            <w:tcW w:w="941" w:type="dxa"/>
            <w:tcBorders>
              <w:top w:val="single" w:sz="4" w:space="0" w:color="auto"/>
            </w:tcBorders>
          </w:tcPr>
          <w:p w14:paraId="746ED259" w14:textId="77777777" w:rsidR="00552061" w:rsidRPr="00440D90" w:rsidRDefault="00552061" w:rsidP="009A2088">
            <w:pPr>
              <w:spacing w:line="264" w:lineRule="auto"/>
              <w:rPr>
                <w:rFonts w:cstheme="minorHAnsi"/>
                <w:sz w:val="20"/>
              </w:rPr>
            </w:pPr>
            <w:r w:rsidRPr="00440D90">
              <w:rPr>
                <w:rFonts w:cstheme="minorHAnsi"/>
                <w:sz w:val="20"/>
              </w:rPr>
              <w:t>Post</w:t>
            </w:r>
          </w:p>
        </w:tc>
      </w:tr>
      <w:tr w:rsidR="00552061" w:rsidRPr="00440D90" w14:paraId="5D12CD25" w14:textId="77777777" w:rsidTr="000E7BCE">
        <w:tc>
          <w:tcPr>
            <w:tcW w:w="1555" w:type="dxa"/>
          </w:tcPr>
          <w:p w14:paraId="47582FF2" w14:textId="77777777" w:rsidR="00552061" w:rsidRPr="0069783C" w:rsidRDefault="00552061" w:rsidP="009A2088">
            <w:pPr>
              <w:spacing w:line="264" w:lineRule="auto"/>
              <w:rPr>
                <w:rFonts w:cstheme="minorHAnsi"/>
                <w:b/>
                <w:bCs/>
                <w:sz w:val="20"/>
                <w:szCs w:val="20"/>
              </w:rPr>
            </w:pPr>
            <w:r w:rsidRPr="0069783C">
              <w:rPr>
                <w:rFonts w:cstheme="minorHAnsi"/>
                <w:b/>
                <w:bCs/>
                <w:sz w:val="20"/>
                <w:szCs w:val="20"/>
              </w:rPr>
              <w:t>Urban</w:t>
            </w:r>
          </w:p>
        </w:tc>
        <w:tc>
          <w:tcPr>
            <w:tcW w:w="708" w:type="dxa"/>
          </w:tcPr>
          <w:p w14:paraId="1D343939" w14:textId="77777777" w:rsidR="00552061" w:rsidRPr="00440D90" w:rsidRDefault="00552061" w:rsidP="009A2088">
            <w:pPr>
              <w:spacing w:line="264" w:lineRule="auto"/>
              <w:rPr>
                <w:rFonts w:cstheme="minorHAnsi"/>
                <w:sz w:val="20"/>
              </w:rPr>
            </w:pPr>
          </w:p>
        </w:tc>
        <w:tc>
          <w:tcPr>
            <w:tcW w:w="856" w:type="dxa"/>
          </w:tcPr>
          <w:p w14:paraId="7783FF2B" w14:textId="77777777" w:rsidR="00552061" w:rsidRPr="00440D90" w:rsidRDefault="00552061" w:rsidP="009A2088">
            <w:pPr>
              <w:spacing w:line="264" w:lineRule="auto"/>
              <w:rPr>
                <w:rFonts w:cstheme="minorHAnsi"/>
                <w:sz w:val="20"/>
              </w:rPr>
            </w:pPr>
          </w:p>
        </w:tc>
        <w:tc>
          <w:tcPr>
            <w:tcW w:w="850" w:type="dxa"/>
          </w:tcPr>
          <w:p w14:paraId="1DE10F0E" w14:textId="77777777" w:rsidR="00552061" w:rsidRPr="00440D90" w:rsidRDefault="00552061" w:rsidP="009A2088">
            <w:pPr>
              <w:spacing w:line="264" w:lineRule="auto"/>
              <w:rPr>
                <w:rFonts w:cstheme="minorHAnsi"/>
                <w:sz w:val="20"/>
              </w:rPr>
            </w:pPr>
          </w:p>
        </w:tc>
        <w:tc>
          <w:tcPr>
            <w:tcW w:w="562" w:type="dxa"/>
          </w:tcPr>
          <w:p w14:paraId="5E0B5E6E" w14:textId="77777777" w:rsidR="00552061" w:rsidRPr="00440D90" w:rsidRDefault="00552061" w:rsidP="009A2088">
            <w:pPr>
              <w:spacing w:line="264" w:lineRule="auto"/>
              <w:rPr>
                <w:rFonts w:cstheme="minorHAnsi"/>
                <w:sz w:val="20"/>
              </w:rPr>
            </w:pPr>
          </w:p>
        </w:tc>
        <w:tc>
          <w:tcPr>
            <w:tcW w:w="851" w:type="dxa"/>
          </w:tcPr>
          <w:p w14:paraId="753293B3" w14:textId="77777777" w:rsidR="00552061" w:rsidRPr="00440D90" w:rsidRDefault="00552061" w:rsidP="009A2088">
            <w:pPr>
              <w:spacing w:line="264" w:lineRule="auto"/>
              <w:rPr>
                <w:rFonts w:cstheme="minorHAnsi"/>
                <w:sz w:val="20"/>
              </w:rPr>
            </w:pPr>
          </w:p>
        </w:tc>
        <w:tc>
          <w:tcPr>
            <w:tcW w:w="992" w:type="dxa"/>
          </w:tcPr>
          <w:p w14:paraId="30592FE4" w14:textId="77777777" w:rsidR="00552061" w:rsidRPr="00440D90" w:rsidRDefault="00552061" w:rsidP="009A2088">
            <w:pPr>
              <w:spacing w:line="264" w:lineRule="auto"/>
              <w:rPr>
                <w:rFonts w:cstheme="minorHAnsi"/>
                <w:sz w:val="20"/>
              </w:rPr>
            </w:pPr>
          </w:p>
        </w:tc>
        <w:tc>
          <w:tcPr>
            <w:tcW w:w="709" w:type="dxa"/>
          </w:tcPr>
          <w:p w14:paraId="688F0D06" w14:textId="77777777" w:rsidR="00552061" w:rsidRPr="00440D90" w:rsidRDefault="00552061" w:rsidP="009A2088">
            <w:pPr>
              <w:spacing w:line="264" w:lineRule="auto"/>
              <w:rPr>
                <w:rFonts w:cstheme="minorHAnsi"/>
                <w:sz w:val="20"/>
              </w:rPr>
            </w:pPr>
          </w:p>
        </w:tc>
        <w:tc>
          <w:tcPr>
            <w:tcW w:w="992" w:type="dxa"/>
          </w:tcPr>
          <w:p w14:paraId="52F39F28" w14:textId="77777777" w:rsidR="00552061" w:rsidRPr="00440D90" w:rsidRDefault="00552061" w:rsidP="009A2088">
            <w:pPr>
              <w:spacing w:line="264" w:lineRule="auto"/>
              <w:rPr>
                <w:rFonts w:cstheme="minorHAnsi"/>
                <w:sz w:val="20"/>
              </w:rPr>
            </w:pPr>
          </w:p>
        </w:tc>
        <w:tc>
          <w:tcPr>
            <w:tcW w:w="941" w:type="dxa"/>
          </w:tcPr>
          <w:p w14:paraId="672DA4A9" w14:textId="77777777" w:rsidR="00552061" w:rsidRPr="00440D90" w:rsidRDefault="00552061" w:rsidP="009A2088">
            <w:pPr>
              <w:spacing w:line="264" w:lineRule="auto"/>
              <w:rPr>
                <w:rFonts w:cstheme="minorHAnsi"/>
                <w:sz w:val="20"/>
              </w:rPr>
            </w:pPr>
          </w:p>
        </w:tc>
      </w:tr>
      <w:tr w:rsidR="00552061" w:rsidRPr="00440D90" w14:paraId="12F336C8" w14:textId="77777777" w:rsidTr="000E7BCE">
        <w:tc>
          <w:tcPr>
            <w:tcW w:w="1555" w:type="dxa"/>
          </w:tcPr>
          <w:p w14:paraId="3554F7E8" w14:textId="77777777" w:rsidR="00552061" w:rsidRPr="00DC7D05" w:rsidRDefault="00552061" w:rsidP="009A2088">
            <w:pPr>
              <w:spacing w:line="264" w:lineRule="auto"/>
              <w:rPr>
                <w:rFonts w:cstheme="minorHAnsi"/>
                <w:iCs/>
                <w:sz w:val="20"/>
                <w:szCs w:val="20"/>
              </w:rPr>
            </w:pPr>
            <w:r w:rsidRPr="00DC7D05">
              <w:rPr>
                <w:rFonts w:cstheme="minorHAnsi"/>
                <w:iCs/>
                <w:sz w:val="20"/>
                <w:szCs w:val="20"/>
              </w:rPr>
              <w:t>Online</w:t>
            </w:r>
          </w:p>
        </w:tc>
        <w:tc>
          <w:tcPr>
            <w:tcW w:w="708" w:type="dxa"/>
          </w:tcPr>
          <w:p w14:paraId="17B7559A" w14:textId="77777777" w:rsidR="00552061" w:rsidRPr="00440D90" w:rsidRDefault="00552061" w:rsidP="009A2088">
            <w:pPr>
              <w:spacing w:line="264" w:lineRule="auto"/>
              <w:rPr>
                <w:rFonts w:cstheme="minorHAnsi"/>
                <w:sz w:val="20"/>
              </w:rPr>
            </w:pPr>
            <w:r w:rsidRPr="00440D90">
              <w:rPr>
                <w:rFonts w:cstheme="minorHAnsi"/>
                <w:sz w:val="20"/>
              </w:rPr>
              <w:t>12</w:t>
            </w:r>
          </w:p>
        </w:tc>
        <w:tc>
          <w:tcPr>
            <w:tcW w:w="856" w:type="dxa"/>
          </w:tcPr>
          <w:p w14:paraId="6F5BB202" w14:textId="77777777" w:rsidR="00552061" w:rsidRPr="00440D90" w:rsidRDefault="00552061" w:rsidP="009A2088">
            <w:pPr>
              <w:spacing w:line="264" w:lineRule="auto"/>
              <w:rPr>
                <w:rFonts w:cstheme="minorHAnsi"/>
                <w:sz w:val="20"/>
              </w:rPr>
            </w:pPr>
            <w:r w:rsidRPr="00440D90">
              <w:rPr>
                <w:rFonts w:cstheme="minorHAnsi"/>
                <w:sz w:val="20"/>
              </w:rPr>
              <w:t>4.00</w:t>
            </w:r>
          </w:p>
        </w:tc>
        <w:tc>
          <w:tcPr>
            <w:tcW w:w="850" w:type="dxa"/>
          </w:tcPr>
          <w:p w14:paraId="2BC8F85B"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3.96</w:t>
            </w:r>
          </w:p>
        </w:tc>
        <w:tc>
          <w:tcPr>
            <w:tcW w:w="562" w:type="dxa"/>
          </w:tcPr>
          <w:p w14:paraId="57EC77D3" w14:textId="77777777" w:rsidR="00552061" w:rsidRPr="00440D90" w:rsidRDefault="00552061" w:rsidP="009A2088">
            <w:pPr>
              <w:spacing w:line="264" w:lineRule="auto"/>
              <w:rPr>
                <w:rFonts w:cstheme="minorHAnsi"/>
                <w:sz w:val="20"/>
              </w:rPr>
            </w:pPr>
            <w:r w:rsidRPr="00440D90">
              <w:rPr>
                <w:rFonts w:cstheme="minorHAnsi"/>
                <w:sz w:val="20"/>
              </w:rPr>
              <w:t>13</w:t>
            </w:r>
          </w:p>
        </w:tc>
        <w:tc>
          <w:tcPr>
            <w:tcW w:w="851" w:type="dxa"/>
          </w:tcPr>
          <w:p w14:paraId="25BDBF68" w14:textId="77777777" w:rsidR="00552061" w:rsidRPr="00440D90" w:rsidRDefault="00552061" w:rsidP="009A2088">
            <w:pPr>
              <w:spacing w:line="264" w:lineRule="auto"/>
              <w:rPr>
                <w:rFonts w:cstheme="minorHAnsi"/>
                <w:sz w:val="20"/>
              </w:rPr>
            </w:pPr>
            <w:r w:rsidRPr="00440D90">
              <w:rPr>
                <w:rFonts w:cstheme="minorHAnsi"/>
                <w:sz w:val="20"/>
              </w:rPr>
              <w:t>3.64</w:t>
            </w:r>
          </w:p>
        </w:tc>
        <w:tc>
          <w:tcPr>
            <w:tcW w:w="992" w:type="dxa"/>
          </w:tcPr>
          <w:p w14:paraId="7B64C5E1"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3.79</w:t>
            </w:r>
          </w:p>
        </w:tc>
        <w:tc>
          <w:tcPr>
            <w:tcW w:w="709" w:type="dxa"/>
          </w:tcPr>
          <w:p w14:paraId="6408456B" w14:textId="77777777" w:rsidR="00552061" w:rsidRPr="00440D90" w:rsidRDefault="00552061" w:rsidP="009A2088">
            <w:pPr>
              <w:spacing w:line="264" w:lineRule="auto"/>
              <w:rPr>
                <w:rFonts w:cstheme="minorHAnsi"/>
                <w:sz w:val="20"/>
              </w:rPr>
            </w:pPr>
            <w:r w:rsidRPr="00440D90">
              <w:rPr>
                <w:rFonts w:cstheme="minorHAnsi"/>
                <w:sz w:val="20"/>
              </w:rPr>
              <w:t>13</w:t>
            </w:r>
          </w:p>
        </w:tc>
        <w:tc>
          <w:tcPr>
            <w:tcW w:w="992" w:type="dxa"/>
          </w:tcPr>
          <w:p w14:paraId="2C5BFD4D" w14:textId="77777777" w:rsidR="00552061" w:rsidRPr="00440D90" w:rsidRDefault="00552061" w:rsidP="009A2088">
            <w:pPr>
              <w:spacing w:line="264" w:lineRule="auto"/>
              <w:rPr>
                <w:rFonts w:cstheme="minorHAnsi"/>
                <w:sz w:val="20"/>
              </w:rPr>
            </w:pPr>
            <w:r w:rsidRPr="00440D90">
              <w:rPr>
                <w:rFonts w:cstheme="minorHAnsi"/>
                <w:sz w:val="20"/>
              </w:rPr>
              <w:t>2.89</w:t>
            </w:r>
          </w:p>
        </w:tc>
        <w:tc>
          <w:tcPr>
            <w:tcW w:w="941" w:type="dxa"/>
          </w:tcPr>
          <w:p w14:paraId="60114E3C" w14:textId="77777777" w:rsidR="00552061" w:rsidRPr="00440D90" w:rsidRDefault="00552061" w:rsidP="009A2088">
            <w:pPr>
              <w:spacing w:line="264" w:lineRule="auto"/>
              <w:rPr>
                <w:rFonts w:cstheme="minorHAnsi"/>
                <w:b/>
                <w:bCs/>
                <w:sz w:val="20"/>
              </w:rPr>
            </w:pPr>
            <w:r w:rsidRPr="00440D90">
              <w:rPr>
                <w:rFonts w:cstheme="minorHAnsi"/>
                <w:b/>
                <w:bCs/>
                <w:sz w:val="20"/>
              </w:rPr>
              <w:t>**3.65</w:t>
            </w:r>
          </w:p>
        </w:tc>
      </w:tr>
      <w:tr w:rsidR="00552061" w:rsidRPr="00440D90" w14:paraId="0516959F" w14:textId="77777777" w:rsidTr="000E7BCE">
        <w:tc>
          <w:tcPr>
            <w:tcW w:w="1555" w:type="dxa"/>
          </w:tcPr>
          <w:p w14:paraId="1789481D" w14:textId="03381918" w:rsidR="00552061" w:rsidRPr="00DC7D05" w:rsidRDefault="00DC7D05" w:rsidP="009A2088">
            <w:pPr>
              <w:spacing w:line="264" w:lineRule="auto"/>
              <w:rPr>
                <w:rFonts w:cstheme="minorHAnsi"/>
                <w:iCs/>
                <w:sz w:val="20"/>
                <w:szCs w:val="20"/>
              </w:rPr>
            </w:pPr>
            <w:r w:rsidRPr="0069783C">
              <w:rPr>
                <w:rFonts w:cstheme="minorHAnsi"/>
                <w:sz w:val="20"/>
                <w:szCs w:val="20"/>
              </w:rPr>
              <w:t>Face-to-face</w:t>
            </w:r>
          </w:p>
        </w:tc>
        <w:tc>
          <w:tcPr>
            <w:tcW w:w="708" w:type="dxa"/>
          </w:tcPr>
          <w:p w14:paraId="08A02F85" w14:textId="77777777" w:rsidR="00552061" w:rsidRPr="00440D90" w:rsidRDefault="00552061" w:rsidP="009A2088">
            <w:pPr>
              <w:spacing w:line="264" w:lineRule="auto"/>
              <w:rPr>
                <w:rFonts w:cstheme="minorHAnsi"/>
                <w:sz w:val="20"/>
              </w:rPr>
            </w:pPr>
            <w:r w:rsidRPr="00440D90">
              <w:rPr>
                <w:rFonts w:cstheme="minorHAnsi"/>
                <w:sz w:val="20"/>
              </w:rPr>
              <w:t>47</w:t>
            </w:r>
          </w:p>
        </w:tc>
        <w:tc>
          <w:tcPr>
            <w:tcW w:w="856" w:type="dxa"/>
          </w:tcPr>
          <w:p w14:paraId="044BB086" w14:textId="77777777" w:rsidR="00552061" w:rsidRPr="00440D90" w:rsidRDefault="00552061" w:rsidP="009A2088">
            <w:pPr>
              <w:spacing w:line="264" w:lineRule="auto"/>
              <w:rPr>
                <w:rFonts w:cstheme="minorHAnsi"/>
                <w:sz w:val="20"/>
              </w:rPr>
            </w:pPr>
            <w:r w:rsidRPr="00440D90">
              <w:rPr>
                <w:rFonts w:cstheme="minorHAnsi"/>
                <w:sz w:val="20"/>
              </w:rPr>
              <w:t>3.98</w:t>
            </w:r>
          </w:p>
        </w:tc>
        <w:tc>
          <w:tcPr>
            <w:tcW w:w="850" w:type="dxa"/>
          </w:tcPr>
          <w:p w14:paraId="66BFC8CA" w14:textId="77777777" w:rsidR="00552061" w:rsidRPr="00440D90" w:rsidRDefault="00552061" w:rsidP="009A2088">
            <w:pPr>
              <w:spacing w:line="264" w:lineRule="auto"/>
              <w:rPr>
                <w:rFonts w:cstheme="minorHAnsi"/>
                <w:b/>
                <w:bCs/>
                <w:sz w:val="20"/>
              </w:rPr>
            </w:pPr>
            <w:r>
              <w:rPr>
                <w:rFonts w:cstheme="minorHAnsi"/>
                <w:b/>
                <w:bCs/>
                <w:sz w:val="20"/>
              </w:rPr>
              <w:t xml:space="preserve"> </w:t>
            </w:r>
            <w:r w:rsidRPr="00440D90">
              <w:rPr>
                <w:rFonts w:cstheme="minorHAnsi"/>
                <w:b/>
                <w:bCs/>
                <w:sz w:val="20"/>
              </w:rPr>
              <w:t>*4.24</w:t>
            </w:r>
          </w:p>
        </w:tc>
        <w:tc>
          <w:tcPr>
            <w:tcW w:w="562" w:type="dxa"/>
          </w:tcPr>
          <w:p w14:paraId="6686CB7E" w14:textId="77777777" w:rsidR="00552061" w:rsidRPr="00440D90" w:rsidRDefault="00552061" w:rsidP="009A2088">
            <w:pPr>
              <w:spacing w:line="264" w:lineRule="auto"/>
              <w:rPr>
                <w:rFonts w:cstheme="minorHAnsi"/>
                <w:sz w:val="20"/>
              </w:rPr>
            </w:pPr>
            <w:r w:rsidRPr="00440D90">
              <w:rPr>
                <w:rFonts w:cstheme="minorHAnsi"/>
                <w:sz w:val="20"/>
              </w:rPr>
              <w:t>46</w:t>
            </w:r>
          </w:p>
        </w:tc>
        <w:tc>
          <w:tcPr>
            <w:tcW w:w="851" w:type="dxa"/>
          </w:tcPr>
          <w:p w14:paraId="5C398002" w14:textId="77777777" w:rsidR="00552061" w:rsidRPr="00440D90" w:rsidRDefault="00552061" w:rsidP="009A2088">
            <w:pPr>
              <w:spacing w:line="264" w:lineRule="auto"/>
              <w:rPr>
                <w:rFonts w:cstheme="minorHAnsi"/>
                <w:sz w:val="20"/>
              </w:rPr>
            </w:pPr>
            <w:r w:rsidRPr="00440D90">
              <w:rPr>
                <w:rFonts w:cstheme="minorHAnsi"/>
                <w:sz w:val="20"/>
              </w:rPr>
              <w:t>3.82</w:t>
            </w:r>
          </w:p>
        </w:tc>
        <w:tc>
          <w:tcPr>
            <w:tcW w:w="992" w:type="dxa"/>
          </w:tcPr>
          <w:p w14:paraId="24F0A166"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3.78</w:t>
            </w:r>
          </w:p>
        </w:tc>
        <w:tc>
          <w:tcPr>
            <w:tcW w:w="709" w:type="dxa"/>
          </w:tcPr>
          <w:p w14:paraId="3E6C8346" w14:textId="77777777" w:rsidR="00552061" w:rsidRPr="00440D90" w:rsidRDefault="00552061" w:rsidP="009A2088">
            <w:pPr>
              <w:spacing w:line="264" w:lineRule="auto"/>
              <w:rPr>
                <w:rFonts w:cstheme="minorHAnsi"/>
                <w:sz w:val="20"/>
              </w:rPr>
            </w:pPr>
            <w:r w:rsidRPr="00440D90">
              <w:rPr>
                <w:rFonts w:cstheme="minorHAnsi"/>
                <w:sz w:val="20"/>
              </w:rPr>
              <w:t>48</w:t>
            </w:r>
          </w:p>
        </w:tc>
        <w:tc>
          <w:tcPr>
            <w:tcW w:w="992" w:type="dxa"/>
          </w:tcPr>
          <w:p w14:paraId="63F4D744" w14:textId="77777777" w:rsidR="00552061" w:rsidRPr="00440D90" w:rsidRDefault="00552061" w:rsidP="009A2088">
            <w:pPr>
              <w:spacing w:line="264" w:lineRule="auto"/>
              <w:rPr>
                <w:rFonts w:cstheme="minorHAnsi"/>
                <w:sz w:val="20"/>
              </w:rPr>
            </w:pPr>
            <w:r w:rsidRPr="00440D90">
              <w:rPr>
                <w:rFonts w:cstheme="minorHAnsi"/>
                <w:sz w:val="20"/>
              </w:rPr>
              <w:t>3.03</w:t>
            </w:r>
          </w:p>
        </w:tc>
        <w:tc>
          <w:tcPr>
            <w:tcW w:w="941" w:type="dxa"/>
          </w:tcPr>
          <w:p w14:paraId="42F32671" w14:textId="77777777" w:rsidR="00552061" w:rsidRPr="00440D90" w:rsidRDefault="00552061" w:rsidP="009A2088">
            <w:pPr>
              <w:spacing w:line="264" w:lineRule="auto"/>
              <w:rPr>
                <w:rFonts w:cstheme="minorHAnsi"/>
                <w:b/>
                <w:bCs/>
                <w:sz w:val="20"/>
              </w:rPr>
            </w:pPr>
            <w:r w:rsidRPr="00440D90">
              <w:rPr>
                <w:rFonts w:cstheme="minorHAnsi"/>
                <w:b/>
                <w:bCs/>
                <w:sz w:val="20"/>
              </w:rPr>
              <w:t>**3.84</w:t>
            </w:r>
          </w:p>
        </w:tc>
      </w:tr>
      <w:tr w:rsidR="00552061" w:rsidRPr="00440D90" w14:paraId="10CA786D" w14:textId="77777777" w:rsidTr="000E7BCE">
        <w:tc>
          <w:tcPr>
            <w:tcW w:w="1555" w:type="dxa"/>
          </w:tcPr>
          <w:p w14:paraId="4E769CB3" w14:textId="77777777" w:rsidR="00552061" w:rsidRPr="0069783C" w:rsidRDefault="00552061" w:rsidP="009A2088">
            <w:pPr>
              <w:spacing w:line="264" w:lineRule="auto"/>
              <w:rPr>
                <w:rFonts w:cstheme="minorHAnsi"/>
                <w:b/>
                <w:bCs/>
                <w:sz w:val="20"/>
                <w:szCs w:val="20"/>
              </w:rPr>
            </w:pPr>
            <w:r w:rsidRPr="0069783C">
              <w:rPr>
                <w:rFonts w:cstheme="minorHAnsi"/>
                <w:b/>
                <w:bCs/>
                <w:sz w:val="20"/>
                <w:szCs w:val="20"/>
              </w:rPr>
              <w:t>Regional</w:t>
            </w:r>
          </w:p>
        </w:tc>
        <w:tc>
          <w:tcPr>
            <w:tcW w:w="708" w:type="dxa"/>
          </w:tcPr>
          <w:p w14:paraId="376651C0" w14:textId="77777777" w:rsidR="00552061" w:rsidRPr="00440D90" w:rsidRDefault="00552061" w:rsidP="009A2088">
            <w:pPr>
              <w:spacing w:line="264" w:lineRule="auto"/>
              <w:rPr>
                <w:rFonts w:cstheme="minorHAnsi"/>
                <w:sz w:val="20"/>
              </w:rPr>
            </w:pPr>
          </w:p>
        </w:tc>
        <w:tc>
          <w:tcPr>
            <w:tcW w:w="856" w:type="dxa"/>
          </w:tcPr>
          <w:p w14:paraId="6B5AFA9B" w14:textId="77777777" w:rsidR="00552061" w:rsidRPr="00440D90" w:rsidRDefault="00552061" w:rsidP="009A2088">
            <w:pPr>
              <w:spacing w:line="264" w:lineRule="auto"/>
              <w:rPr>
                <w:rFonts w:cstheme="minorHAnsi"/>
                <w:sz w:val="20"/>
              </w:rPr>
            </w:pPr>
          </w:p>
        </w:tc>
        <w:tc>
          <w:tcPr>
            <w:tcW w:w="850" w:type="dxa"/>
          </w:tcPr>
          <w:p w14:paraId="1C4CED91" w14:textId="77777777" w:rsidR="00552061" w:rsidRPr="00440D90" w:rsidRDefault="00552061" w:rsidP="009A2088">
            <w:pPr>
              <w:spacing w:line="264" w:lineRule="auto"/>
              <w:rPr>
                <w:rFonts w:cstheme="minorHAnsi"/>
                <w:sz w:val="20"/>
              </w:rPr>
            </w:pPr>
          </w:p>
        </w:tc>
        <w:tc>
          <w:tcPr>
            <w:tcW w:w="562" w:type="dxa"/>
          </w:tcPr>
          <w:p w14:paraId="4E42A4D3" w14:textId="77777777" w:rsidR="00552061" w:rsidRPr="00440D90" w:rsidRDefault="00552061" w:rsidP="009A2088">
            <w:pPr>
              <w:spacing w:line="264" w:lineRule="auto"/>
              <w:rPr>
                <w:rFonts w:cstheme="minorHAnsi"/>
                <w:sz w:val="20"/>
              </w:rPr>
            </w:pPr>
          </w:p>
        </w:tc>
        <w:tc>
          <w:tcPr>
            <w:tcW w:w="851" w:type="dxa"/>
          </w:tcPr>
          <w:p w14:paraId="6DBA01A0" w14:textId="77777777" w:rsidR="00552061" w:rsidRPr="00440D90" w:rsidRDefault="00552061" w:rsidP="009A2088">
            <w:pPr>
              <w:spacing w:line="264" w:lineRule="auto"/>
              <w:rPr>
                <w:rFonts w:cstheme="minorHAnsi"/>
                <w:sz w:val="20"/>
              </w:rPr>
            </w:pPr>
          </w:p>
        </w:tc>
        <w:tc>
          <w:tcPr>
            <w:tcW w:w="992" w:type="dxa"/>
          </w:tcPr>
          <w:p w14:paraId="13DD4233" w14:textId="77777777" w:rsidR="00552061" w:rsidRPr="00440D90" w:rsidRDefault="00552061" w:rsidP="009A2088">
            <w:pPr>
              <w:spacing w:line="264" w:lineRule="auto"/>
              <w:rPr>
                <w:rFonts w:cstheme="minorHAnsi"/>
                <w:sz w:val="20"/>
              </w:rPr>
            </w:pPr>
          </w:p>
        </w:tc>
        <w:tc>
          <w:tcPr>
            <w:tcW w:w="709" w:type="dxa"/>
          </w:tcPr>
          <w:p w14:paraId="2A4167BC" w14:textId="77777777" w:rsidR="00552061" w:rsidRPr="00440D90" w:rsidRDefault="00552061" w:rsidP="009A2088">
            <w:pPr>
              <w:spacing w:line="264" w:lineRule="auto"/>
              <w:rPr>
                <w:rFonts w:cstheme="minorHAnsi"/>
                <w:sz w:val="20"/>
              </w:rPr>
            </w:pPr>
          </w:p>
        </w:tc>
        <w:tc>
          <w:tcPr>
            <w:tcW w:w="992" w:type="dxa"/>
          </w:tcPr>
          <w:p w14:paraId="2A355C88" w14:textId="77777777" w:rsidR="00552061" w:rsidRPr="00440D90" w:rsidRDefault="00552061" w:rsidP="009A2088">
            <w:pPr>
              <w:spacing w:line="264" w:lineRule="auto"/>
              <w:rPr>
                <w:rFonts w:cstheme="minorHAnsi"/>
                <w:sz w:val="20"/>
              </w:rPr>
            </w:pPr>
          </w:p>
        </w:tc>
        <w:tc>
          <w:tcPr>
            <w:tcW w:w="941" w:type="dxa"/>
          </w:tcPr>
          <w:p w14:paraId="5C2BA0F3" w14:textId="77777777" w:rsidR="00552061" w:rsidRPr="00440D90" w:rsidRDefault="00552061" w:rsidP="009A2088">
            <w:pPr>
              <w:spacing w:line="264" w:lineRule="auto"/>
              <w:rPr>
                <w:rFonts w:cstheme="minorHAnsi"/>
                <w:sz w:val="20"/>
              </w:rPr>
            </w:pPr>
          </w:p>
        </w:tc>
      </w:tr>
      <w:tr w:rsidR="00552061" w:rsidRPr="00440D90" w14:paraId="76603E97" w14:textId="77777777" w:rsidTr="000E7BCE">
        <w:tc>
          <w:tcPr>
            <w:tcW w:w="1555" w:type="dxa"/>
          </w:tcPr>
          <w:p w14:paraId="427AA186" w14:textId="77777777" w:rsidR="00552061" w:rsidRPr="00DC7D05" w:rsidRDefault="00552061" w:rsidP="009A2088">
            <w:pPr>
              <w:spacing w:line="264" w:lineRule="auto"/>
              <w:rPr>
                <w:rFonts w:cstheme="minorHAnsi"/>
                <w:iCs/>
                <w:sz w:val="20"/>
                <w:szCs w:val="20"/>
              </w:rPr>
            </w:pPr>
            <w:r w:rsidRPr="00DC7D05">
              <w:rPr>
                <w:rFonts w:cstheme="minorHAnsi"/>
                <w:iCs/>
                <w:sz w:val="20"/>
                <w:szCs w:val="20"/>
              </w:rPr>
              <w:t>Online</w:t>
            </w:r>
          </w:p>
        </w:tc>
        <w:tc>
          <w:tcPr>
            <w:tcW w:w="708" w:type="dxa"/>
          </w:tcPr>
          <w:p w14:paraId="759366CC" w14:textId="77777777" w:rsidR="00552061" w:rsidRPr="00440D90" w:rsidRDefault="00552061" w:rsidP="009A2088">
            <w:pPr>
              <w:spacing w:line="264" w:lineRule="auto"/>
              <w:rPr>
                <w:rFonts w:cstheme="minorHAnsi"/>
                <w:sz w:val="20"/>
              </w:rPr>
            </w:pPr>
            <w:r w:rsidRPr="00440D90">
              <w:rPr>
                <w:rFonts w:cstheme="minorHAnsi"/>
                <w:sz w:val="20"/>
              </w:rPr>
              <w:t>19</w:t>
            </w:r>
          </w:p>
        </w:tc>
        <w:tc>
          <w:tcPr>
            <w:tcW w:w="856" w:type="dxa"/>
          </w:tcPr>
          <w:p w14:paraId="32DB8723" w14:textId="77777777" w:rsidR="00552061" w:rsidRPr="00440D90" w:rsidRDefault="00552061" w:rsidP="009A2088">
            <w:pPr>
              <w:spacing w:line="264" w:lineRule="auto"/>
              <w:rPr>
                <w:rFonts w:cstheme="minorHAnsi"/>
                <w:sz w:val="20"/>
              </w:rPr>
            </w:pPr>
            <w:r w:rsidRPr="00440D90">
              <w:rPr>
                <w:rFonts w:cstheme="minorHAnsi"/>
                <w:sz w:val="20"/>
              </w:rPr>
              <w:t>4.04</w:t>
            </w:r>
          </w:p>
        </w:tc>
        <w:tc>
          <w:tcPr>
            <w:tcW w:w="850" w:type="dxa"/>
          </w:tcPr>
          <w:p w14:paraId="2ADC1A44"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4.13</w:t>
            </w:r>
          </w:p>
        </w:tc>
        <w:tc>
          <w:tcPr>
            <w:tcW w:w="562" w:type="dxa"/>
          </w:tcPr>
          <w:p w14:paraId="58E8604B" w14:textId="77777777" w:rsidR="00552061" w:rsidRPr="00440D90" w:rsidRDefault="00552061" w:rsidP="009A2088">
            <w:pPr>
              <w:spacing w:line="264" w:lineRule="auto"/>
              <w:rPr>
                <w:rFonts w:cstheme="minorHAnsi"/>
                <w:sz w:val="20"/>
              </w:rPr>
            </w:pPr>
            <w:r w:rsidRPr="00440D90">
              <w:rPr>
                <w:rFonts w:cstheme="minorHAnsi"/>
                <w:sz w:val="20"/>
              </w:rPr>
              <w:t>20</w:t>
            </w:r>
          </w:p>
        </w:tc>
        <w:tc>
          <w:tcPr>
            <w:tcW w:w="851" w:type="dxa"/>
          </w:tcPr>
          <w:p w14:paraId="65C302EC" w14:textId="77777777" w:rsidR="00552061" w:rsidRPr="00440D90" w:rsidRDefault="00552061" w:rsidP="009A2088">
            <w:pPr>
              <w:spacing w:line="264" w:lineRule="auto"/>
              <w:rPr>
                <w:rFonts w:cstheme="minorHAnsi"/>
                <w:sz w:val="20"/>
              </w:rPr>
            </w:pPr>
            <w:r w:rsidRPr="00440D90">
              <w:rPr>
                <w:rFonts w:cstheme="minorHAnsi"/>
                <w:sz w:val="20"/>
              </w:rPr>
              <w:t>3.88</w:t>
            </w:r>
          </w:p>
        </w:tc>
        <w:tc>
          <w:tcPr>
            <w:tcW w:w="992" w:type="dxa"/>
          </w:tcPr>
          <w:p w14:paraId="0554043C"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3.87</w:t>
            </w:r>
          </w:p>
        </w:tc>
        <w:tc>
          <w:tcPr>
            <w:tcW w:w="709" w:type="dxa"/>
          </w:tcPr>
          <w:p w14:paraId="033325E0" w14:textId="77777777" w:rsidR="00552061" w:rsidRPr="00440D90" w:rsidRDefault="00552061" w:rsidP="009A2088">
            <w:pPr>
              <w:spacing w:line="264" w:lineRule="auto"/>
              <w:rPr>
                <w:rFonts w:cstheme="minorHAnsi"/>
                <w:sz w:val="20"/>
              </w:rPr>
            </w:pPr>
            <w:r w:rsidRPr="00440D90">
              <w:rPr>
                <w:rFonts w:cstheme="minorHAnsi"/>
                <w:sz w:val="20"/>
              </w:rPr>
              <w:t>20</w:t>
            </w:r>
          </w:p>
        </w:tc>
        <w:tc>
          <w:tcPr>
            <w:tcW w:w="992" w:type="dxa"/>
          </w:tcPr>
          <w:p w14:paraId="5C40BF11" w14:textId="77777777" w:rsidR="00552061" w:rsidRPr="00440D90" w:rsidRDefault="00552061" w:rsidP="009A2088">
            <w:pPr>
              <w:spacing w:line="264" w:lineRule="auto"/>
              <w:rPr>
                <w:rFonts w:cstheme="minorHAnsi"/>
                <w:sz w:val="20"/>
              </w:rPr>
            </w:pPr>
            <w:r w:rsidRPr="00440D90">
              <w:rPr>
                <w:rFonts w:cstheme="minorHAnsi"/>
                <w:sz w:val="20"/>
              </w:rPr>
              <w:t>2.67</w:t>
            </w:r>
          </w:p>
        </w:tc>
        <w:tc>
          <w:tcPr>
            <w:tcW w:w="941" w:type="dxa"/>
          </w:tcPr>
          <w:p w14:paraId="3AEECDF7" w14:textId="77777777" w:rsidR="00552061" w:rsidRPr="00440D90" w:rsidRDefault="00552061" w:rsidP="009A2088">
            <w:pPr>
              <w:spacing w:line="264" w:lineRule="auto"/>
              <w:rPr>
                <w:rFonts w:cstheme="minorHAnsi"/>
                <w:b/>
                <w:bCs/>
                <w:sz w:val="20"/>
              </w:rPr>
            </w:pPr>
            <w:r w:rsidRPr="00440D90">
              <w:rPr>
                <w:rFonts w:cstheme="minorHAnsi"/>
                <w:b/>
                <w:bCs/>
                <w:sz w:val="20"/>
              </w:rPr>
              <w:t>**3.57</w:t>
            </w:r>
          </w:p>
        </w:tc>
      </w:tr>
      <w:tr w:rsidR="00552061" w:rsidRPr="00440D90" w14:paraId="1758BD90" w14:textId="77777777" w:rsidTr="000E7BCE">
        <w:tc>
          <w:tcPr>
            <w:tcW w:w="1555" w:type="dxa"/>
          </w:tcPr>
          <w:p w14:paraId="654E1A18" w14:textId="1A276CD0" w:rsidR="00552061" w:rsidRPr="00DC7D05" w:rsidRDefault="00DC7D05" w:rsidP="009A2088">
            <w:pPr>
              <w:spacing w:line="264" w:lineRule="auto"/>
              <w:rPr>
                <w:rFonts w:cstheme="minorHAnsi"/>
                <w:iCs/>
                <w:sz w:val="20"/>
                <w:szCs w:val="20"/>
              </w:rPr>
            </w:pPr>
            <w:r w:rsidRPr="0069783C">
              <w:rPr>
                <w:rFonts w:cstheme="minorHAnsi"/>
                <w:sz w:val="20"/>
                <w:szCs w:val="20"/>
              </w:rPr>
              <w:t>Face-to-face</w:t>
            </w:r>
          </w:p>
        </w:tc>
        <w:tc>
          <w:tcPr>
            <w:tcW w:w="708" w:type="dxa"/>
          </w:tcPr>
          <w:p w14:paraId="004BF2A6" w14:textId="77777777" w:rsidR="00552061" w:rsidRPr="00440D90" w:rsidRDefault="00552061" w:rsidP="009A2088">
            <w:pPr>
              <w:spacing w:line="264" w:lineRule="auto"/>
              <w:rPr>
                <w:rFonts w:cstheme="minorHAnsi"/>
                <w:sz w:val="20"/>
              </w:rPr>
            </w:pPr>
            <w:r w:rsidRPr="00440D90">
              <w:rPr>
                <w:rFonts w:cstheme="minorHAnsi"/>
                <w:sz w:val="20"/>
              </w:rPr>
              <w:t>59</w:t>
            </w:r>
          </w:p>
        </w:tc>
        <w:tc>
          <w:tcPr>
            <w:tcW w:w="856" w:type="dxa"/>
          </w:tcPr>
          <w:p w14:paraId="7CA87B4E" w14:textId="77777777" w:rsidR="00552061" w:rsidRPr="00440D90" w:rsidRDefault="00552061" w:rsidP="009A2088">
            <w:pPr>
              <w:spacing w:line="264" w:lineRule="auto"/>
              <w:rPr>
                <w:rFonts w:cstheme="minorHAnsi"/>
                <w:sz w:val="20"/>
              </w:rPr>
            </w:pPr>
            <w:r w:rsidRPr="00440D90">
              <w:rPr>
                <w:rFonts w:cstheme="minorHAnsi"/>
                <w:sz w:val="20"/>
              </w:rPr>
              <w:t>3.89</w:t>
            </w:r>
          </w:p>
        </w:tc>
        <w:tc>
          <w:tcPr>
            <w:tcW w:w="850" w:type="dxa"/>
          </w:tcPr>
          <w:p w14:paraId="668F5798" w14:textId="77777777" w:rsidR="00552061" w:rsidRPr="00440D90" w:rsidRDefault="00552061" w:rsidP="009A2088">
            <w:pPr>
              <w:spacing w:line="264" w:lineRule="auto"/>
              <w:rPr>
                <w:rFonts w:cstheme="minorHAnsi"/>
                <w:b/>
                <w:bCs/>
                <w:sz w:val="20"/>
              </w:rPr>
            </w:pPr>
            <w:r>
              <w:rPr>
                <w:rFonts w:cstheme="minorHAnsi"/>
                <w:b/>
                <w:bCs/>
                <w:sz w:val="20"/>
              </w:rPr>
              <w:t xml:space="preserve"> </w:t>
            </w:r>
            <w:r w:rsidRPr="00440D90">
              <w:rPr>
                <w:rFonts w:cstheme="minorHAnsi"/>
                <w:b/>
                <w:bCs/>
                <w:sz w:val="20"/>
              </w:rPr>
              <w:t>*4.10</w:t>
            </w:r>
          </w:p>
        </w:tc>
        <w:tc>
          <w:tcPr>
            <w:tcW w:w="562" w:type="dxa"/>
          </w:tcPr>
          <w:p w14:paraId="24205EFA" w14:textId="77777777" w:rsidR="00552061" w:rsidRPr="00440D90" w:rsidRDefault="00552061" w:rsidP="009A2088">
            <w:pPr>
              <w:spacing w:line="264" w:lineRule="auto"/>
              <w:rPr>
                <w:rFonts w:cstheme="minorHAnsi"/>
                <w:sz w:val="20"/>
              </w:rPr>
            </w:pPr>
            <w:r w:rsidRPr="00440D90">
              <w:rPr>
                <w:rFonts w:cstheme="minorHAnsi"/>
                <w:sz w:val="20"/>
              </w:rPr>
              <w:t>58</w:t>
            </w:r>
          </w:p>
        </w:tc>
        <w:tc>
          <w:tcPr>
            <w:tcW w:w="851" w:type="dxa"/>
          </w:tcPr>
          <w:p w14:paraId="08E860DC" w14:textId="77777777" w:rsidR="00552061" w:rsidRPr="00440D90" w:rsidRDefault="00552061" w:rsidP="009A2088">
            <w:pPr>
              <w:spacing w:line="264" w:lineRule="auto"/>
              <w:rPr>
                <w:rFonts w:cstheme="minorHAnsi"/>
                <w:sz w:val="20"/>
              </w:rPr>
            </w:pPr>
            <w:r w:rsidRPr="00440D90">
              <w:rPr>
                <w:rFonts w:cstheme="minorHAnsi"/>
                <w:sz w:val="20"/>
              </w:rPr>
              <w:t>3.74</w:t>
            </w:r>
          </w:p>
        </w:tc>
        <w:tc>
          <w:tcPr>
            <w:tcW w:w="992" w:type="dxa"/>
          </w:tcPr>
          <w:p w14:paraId="55D888B3" w14:textId="77777777" w:rsidR="00552061" w:rsidRPr="00440D90" w:rsidRDefault="00552061" w:rsidP="009A2088">
            <w:pPr>
              <w:spacing w:line="264" w:lineRule="auto"/>
              <w:rPr>
                <w:rFonts w:cstheme="minorHAnsi"/>
                <w:b/>
                <w:bCs/>
                <w:sz w:val="20"/>
              </w:rPr>
            </w:pPr>
            <w:r w:rsidRPr="00440D90">
              <w:rPr>
                <w:rFonts w:cstheme="minorHAnsi"/>
                <w:b/>
                <w:bCs/>
                <w:sz w:val="20"/>
              </w:rPr>
              <w:t>*3.95</w:t>
            </w:r>
          </w:p>
        </w:tc>
        <w:tc>
          <w:tcPr>
            <w:tcW w:w="709" w:type="dxa"/>
          </w:tcPr>
          <w:p w14:paraId="6F011E61" w14:textId="77777777" w:rsidR="00552061" w:rsidRPr="00440D90" w:rsidRDefault="00552061" w:rsidP="009A2088">
            <w:pPr>
              <w:spacing w:line="264" w:lineRule="auto"/>
              <w:rPr>
                <w:rFonts w:cstheme="minorHAnsi"/>
                <w:sz w:val="20"/>
              </w:rPr>
            </w:pPr>
            <w:r w:rsidRPr="00440D90">
              <w:rPr>
                <w:rFonts w:cstheme="minorHAnsi"/>
                <w:sz w:val="20"/>
              </w:rPr>
              <w:t>60</w:t>
            </w:r>
          </w:p>
        </w:tc>
        <w:tc>
          <w:tcPr>
            <w:tcW w:w="992" w:type="dxa"/>
          </w:tcPr>
          <w:p w14:paraId="18F769E6" w14:textId="77777777" w:rsidR="00552061" w:rsidRPr="00440D90" w:rsidRDefault="00552061" w:rsidP="009A2088">
            <w:pPr>
              <w:spacing w:line="264" w:lineRule="auto"/>
              <w:rPr>
                <w:rFonts w:cstheme="minorHAnsi"/>
                <w:sz w:val="20"/>
              </w:rPr>
            </w:pPr>
            <w:r w:rsidRPr="00440D90">
              <w:rPr>
                <w:rFonts w:cstheme="minorHAnsi"/>
                <w:sz w:val="20"/>
              </w:rPr>
              <w:t>3.09</w:t>
            </w:r>
          </w:p>
        </w:tc>
        <w:tc>
          <w:tcPr>
            <w:tcW w:w="941" w:type="dxa"/>
          </w:tcPr>
          <w:p w14:paraId="66A65D5E" w14:textId="77777777" w:rsidR="00552061" w:rsidRPr="00440D90" w:rsidRDefault="00552061" w:rsidP="009A2088">
            <w:pPr>
              <w:spacing w:line="264" w:lineRule="auto"/>
              <w:rPr>
                <w:rFonts w:cstheme="minorHAnsi"/>
                <w:b/>
                <w:bCs/>
                <w:sz w:val="20"/>
              </w:rPr>
            </w:pPr>
            <w:r w:rsidRPr="00440D90">
              <w:rPr>
                <w:rFonts w:cstheme="minorHAnsi"/>
                <w:b/>
                <w:bCs/>
                <w:sz w:val="20"/>
              </w:rPr>
              <w:t>**3.94</w:t>
            </w:r>
          </w:p>
        </w:tc>
      </w:tr>
      <w:tr w:rsidR="00552061" w:rsidRPr="00440D90" w14:paraId="782E2744" w14:textId="77777777" w:rsidTr="000E7BCE">
        <w:tc>
          <w:tcPr>
            <w:tcW w:w="1555" w:type="dxa"/>
          </w:tcPr>
          <w:p w14:paraId="426CEBB1" w14:textId="77777777" w:rsidR="00552061" w:rsidRPr="0069783C" w:rsidRDefault="00552061" w:rsidP="009A2088">
            <w:pPr>
              <w:spacing w:line="264" w:lineRule="auto"/>
              <w:rPr>
                <w:rFonts w:cstheme="minorHAnsi"/>
                <w:b/>
                <w:bCs/>
                <w:sz w:val="20"/>
                <w:szCs w:val="20"/>
              </w:rPr>
            </w:pPr>
            <w:r w:rsidRPr="0069783C">
              <w:rPr>
                <w:rFonts w:cstheme="minorHAnsi"/>
                <w:b/>
                <w:bCs/>
                <w:sz w:val="20"/>
                <w:szCs w:val="20"/>
              </w:rPr>
              <w:t>Remote</w:t>
            </w:r>
          </w:p>
        </w:tc>
        <w:tc>
          <w:tcPr>
            <w:tcW w:w="708" w:type="dxa"/>
          </w:tcPr>
          <w:p w14:paraId="679ACFD9" w14:textId="77777777" w:rsidR="00552061" w:rsidRPr="00440D90" w:rsidRDefault="00552061" w:rsidP="009A2088">
            <w:pPr>
              <w:spacing w:line="264" w:lineRule="auto"/>
              <w:rPr>
                <w:rFonts w:cstheme="minorHAnsi"/>
                <w:sz w:val="20"/>
              </w:rPr>
            </w:pPr>
          </w:p>
        </w:tc>
        <w:tc>
          <w:tcPr>
            <w:tcW w:w="856" w:type="dxa"/>
          </w:tcPr>
          <w:p w14:paraId="39249CE9" w14:textId="77777777" w:rsidR="00552061" w:rsidRPr="00440D90" w:rsidRDefault="00552061" w:rsidP="009A2088">
            <w:pPr>
              <w:spacing w:line="264" w:lineRule="auto"/>
              <w:rPr>
                <w:rFonts w:cstheme="minorHAnsi"/>
                <w:sz w:val="20"/>
              </w:rPr>
            </w:pPr>
          </w:p>
        </w:tc>
        <w:tc>
          <w:tcPr>
            <w:tcW w:w="850" w:type="dxa"/>
          </w:tcPr>
          <w:p w14:paraId="4CA471C2" w14:textId="77777777" w:rsidR="00552061" w:rsidRPr="00440D90" w:rsidRDefault="00552061" w:rsidP="009A2088">
            <w:pPr>
              <w:spacing w:line="264" w:lineRule="auto"/>
              <w:rPr>
                <w:rFonts w:cstheme="minorHAnsi"/>
                <w:sz w:val="20"/>
              </w:rPr>
            </w:pPr>
          </w:p>
        </w:tc>
        <w:tc>
          <w:tcPr>
            <w:tcW w:w="562" w:type="dxa"/>
          </w:tcPr>
          <w:p w14:paraId="5BACF485" w14:textId="77777777" w:rsidR="00552061" w:rsidRPr="00440D90" w:rsidRDefault="00552061" w:rsidP="009A2088">
            <w:pPr>
              <w:spacing w:line="264" w:lineRule="auto"/>
              <w:rPr>
                <w:rFonts w:cstheme="minorHAnsi"/>
                <w:sz w:val="20"/>
              </w:rPr>
            </w:pPr>
          </w:p>
        </w:tc>
        <w:tc>
          <w:tcPr>
            <w:tcW w:w="851" w:type="dxa"/>
          </w:tcPr>
          <w:p w14:paraId="152D7261" w14:textId="77777777" w:rsidR="00552061" w:rsidRPr="00440D90" w:rsidRDefault="00552061" w:rsidP="009A2088">
            <w:pPr>
              <w:spacing w:line="264" w:lineRule="auto"/>
              <w:rPr>
                <w:rFonts w:cstheme="minorHAnsi"/>
                <w:sz w:val="20"/>
              </w:rPr>
            </w:pPr>
          </w:p>
        </w:tc>
        <w:tc>
          <w:tcPr>
            <w:tcW w:w="992" w:type="dxa"/>
          </w:tcPr>
          <w:p w14:paraId="0B89A179" w14:textId="77777777" w:rsidR="00552061" w:rsidRPr="00440D90" w:rsidRDefault="00552061" w:rsidP="009A2088">
            <w:pPr>
              <w:spacing w:line="264" w:lineRule="auto"/>
              <w:rPr>
                <w:rFonts w:cstheme="minorHAnsi"/>
                <w:sz w:val="20"/>
              </w:rPr>
            </w:pPr>
          </w:p>
        </w:tc>
        <w:tc>
          <w:tcPr>
            <w:tcW w:w="709" w:type="dxa"/>
          </w:tcPr>
          <w:p w14:paraId="3A045535" w14:textId="77777777" w:rsidR="00552061" w:rsidRPr="00440D90" w:rsidRDefault="00552061" w:rsidP="009A2088">
            <w:pPr>
              <w:spacing w:line="264" w:lineRule="auto"/>
              <w:rPr>
                <w:rFonts w:cstheme="minorHAnsi"/>
                <w:sz w:val="20"/>
              </w:rPr>
            </w:pPr>
          </w:p>
        </w:tc>
        <w:tc>
          <w:tcPr>
            <w:tcW w:w="992" w:type="dxa"/>
          </w:tcPr>
          <w:p w14:paraId="53459936" w14:textId="77777777" w:rsidR="00552061" w:rsidRPr="00440D90" w:rsidRDefault="00552061" w:rsidP="009A2088">
            <w:pPr>
              <w:spacing w:line="264" w:lineRule="auto"/>
              <w:rPr>
                <w:rFonts w:cstheme="minorHAnsi"/>
                <w:sz w:val="20"/>
              </w:rPr>
            </w:pPr>
          </w:p>
        </w:tc>
        <w:tc>
          <w:tcPr>
            <w:tcW w:w="941" w:type="dxa"/>
          </w:tcPr>
          <w:p w14:paraId="301386FB" w14:textId="77777777" w:rsidR="00552061" w:rsidRPr="00440D90" w:rsidRDefault="00552061" w:rsidP="009A2088">
            <w:pPr>
              <w:spacing w:line="264" w:lineRule="auto"/>
              <w:rPr>
                <w:rFonts w:cstheme="minorHAnsi"/>
                <w:sz w:val="20"/>
              </w:rPr>
            </w:pPr>
          </w:p>
        </w:tc>
      </w:tr>
      <w:tr w:rsidR="00552061" w:rsidRPr="00440D90" w14:paraId="7DEF409B" w14:textId="77777777" w:rsidTr="000E7BCE">
        <w:tc>
          <w:tcPr>
            <w:tcW w:w="1555" w:type="dxa"/>
          </w:tcPr>
          <w:p w14:paraId="1DA564F9" w14:textId="77777777" w:rsidR="00552061" w:rsidRPr="00DC7D05" w:rsidRDefault="00552061" w:rsidP="009A2088">
            <w:pPr>
              <w:spacing w:line="264" w:lineRule="auto"/>
              <w:rPr>
                <w:rFonts w:cstheme="minorHAnsi"/>
                <w:iCs/>
                <w:sz w:val="20"/>
                <w:szCs w:val="20"/>
              </w:rPr>
            </w:pPr>
            <w:r w:rsidRPr="00DC7D05">
              <w:rPr>
                <w:rFonts w:cstheme="minorHAnsi"/>
                <w:iCs/>
                <w:sz w:val="20"/>
                <w:szCs w:val="20"/>
              </w:rPr>
              <w:t>Online</w:t>
            </w:r>
          </w:p>
        </w:tc>
        <w:tc>
          <w:tcPr>
            <w:tcW w:w="708" w:type="dxa"/>
          </w:tcPr>
          <w:p w14:paraId="6D1F754D" w14:textId="77777777" w:rsidR="00552061" w:rsidRPr="00440D90" w:rsidRDefault="00552061" w:rsidP="009A2088">
            <w:pPr>
              <w:spacing w:line="264" w:lineRule="auto"/>
              <w:rPr>
                <w:rFonts w:cstheme="minorHAnsi"/>
                <w:sz w:val="20"/>
              </w:rPr>
            </w:pPr>
            <w:r w:rsidRPr="00440D90">
              <w:rPr>
                <w:rFonts w:cstheme="minorHAnsi"/>
                <w:sz w:val="20"/>
              </w:rPr>
              <w:t>22</w:t>
            </w:r>
          </w:p>
        </w:tc>
        <w:tc>
          <w:tcPr>
            <w:tcW w:w="856" w:type="dxa"/>
          </w:tcPr>
          <w:p w14:paraId="6AE40ACC" w14:textId="77777777" w:rsidR="00552061" w:rsidRPr="00440D90" w:rsidRDefault="00552061" w:rsidP="009A2088">
            <w:pPr>
              <w:spacing w:line="264" w:lineRule="auto"/>
              <w:rPr>
                <w:rFonts w:cstheme="minorHAnsi"/>
                <w:sz w:val="20"/>
              </w:rPr>
            </w:pPr>
            <w:r w:rsidRPr="00440D90">
              <w:rPr>
                <w:rFonts w:cstheme="minorHAnsi"/>
                <w:sz w:val="20"/>
              </w:rPr>
              <w:t>4.42</w:t>
            </w:r>
          </w:p>
        </w:tc>
        <w:tc>
          <w:tcPr>
            <w:tcW w:w="850" w:type="dxa"/>
          </w:tcPr>
          <w:p w14:paraId="497F2FD1"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4.30</w:t>
            </w:r>
          </w:p>
        </w:tc>
        <w:tc>
          <w:tcPr>
            <w:tcW w:w="562" w:type="dxa"/>
          </w:tcPr>
          <w:p w14:paraId="2F5A3A92" w14:textId="77777777" w:rsidR="00552061" w:rsidRPr="00440D90" w:rsidRDefault="00552061" w:rsidP="009A2088">
            <w:pPr>
              <w:spacing w:line="264" w:lineRule="auto"/>
              <w:rPr>
                <w:rFonts w:cstheme="minorHAnsi"/>
                <w:sz w:val="20"/>
              </w:rPr>
            </w:pPr>
            <w:r w:rsidRPr="00440D90">
              <w:rPr>
                <w:rFonts w:cstheme="minorHAnsi"/>
                <w:sz w:val="20"/>
              </w:rPr>
              <w:t>23</w:t>
            </w:r>
          </w:p>
        </w:tc>
        <w:tc>
          <w:tcPr>
            <w:tcW w:w="851" w:type="dxa"/>
          </w:tcPr>
          <w:p w14:paraId="3385BE1E" w14:textId="77777777" w:rsidR="00552061" w:rsidRPr="00440D90" w:rsidRDefault="00552061" w:rsidP="009A2088">
            <w:pPr>
              <w:spacing w:line="264" w:lineRule="auto"/>
              <w:rPr>
                <w:rFonts w:cstheme="minorHAnsi"/>
                <w:sz w:val="20"/>
              </w:rPr>
            </w:pPr>
            <w:r w:rsidRPr="00440D90">
              <w:rPr>
                <w:rFonts w:cstheme="minorHAnsi"/>
                <w:sz w:val="20"/>
              </w:rPr>
              <w:t>3.80</w:t>
            </w:r>
          </w:p>
        </w:tc>
        <w:tc>
          <w:tcPr>
            <w:tcW w:w="992" w:type="dxa"/>
          </w:tcPr>
          <w:p w14:paraId="2CDB5EE4"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3.72</w:t>
            </w:r>
          </w:p>
        </w:tc>
        <w:tc>
          <w:tcPr>
            <w:tcW w:w="709" w:type="dxa"/>
          </w:tcPr>
          <w:p w14:paraId="76D40A12" w14:textId="77777777" w:rsidR="00552061" w:rsidRPr="00440D90" w:rsidRDefault="00552061" w:rsidP="009A2088">
            <w:pPr>
              <w:spacing w:line="264" w:lineRule="auto"/>
              <w:rPr>
                <w:rFonts w:cstheme="minorHAnsi"/>
                <w:sz w:val="20"/>
              </w:rPr>
            </w:pPr>
            <w:r w:rsidRPr="00440D90">
              <w:rPr>
                <w:rFonts w:cstheme="minorHAnsi"/>
                <w:sz w:val="20"/>
              </w:rPr>
              <w:t>24</w:t>
            </w:r>
          </w:p>
        </w:tc>
        <w:tc>
          <w:tcPr>
            <w:tcW w:w="992" w:type="dxa"/>
          </w:tcPr>
          <w:p w14:paraId="3F934C0D" w14:textId="77777777" w:rsidR="00552061" w:rsidRPr="00440D90" w:rsidRDefault="00552061" w:rsidP="009A2088">
            <w:pPr>
              <w:spacing w:line="264" w:lineRule="auto"/>
              <w:rPr>
                <w:rFonts w:cstheme="minorHAnsi"/>
                <w:sz w:val="20"/>
              </w:rPr>
            </w:pPr>
            <w:r w:rsidRPr="00440D90">
              <w:rPr>
                <w:rFonts w:cstheme="minorHAnsi"/>
                <w:sz w:val="20"/>
              </w:rPr>
              <w:t>2.72</w:t>
            </w:r>
          </w:p>
        </w:tc>
        <w:tc>
          <w:tcPr>
            <w:tcW w:w="941" w:type="dxa"/>
          </w:tcPr>
          <w:p w14:paraId="10D95DC6" w14:textId="77777777" w:rsidR="00552061" w:rsidRPr="00440D90" w:rsidRDefault="00552061" w:rsidP="009A2088">
            <w:pPr>
              <w:spacing w:line="264" w:lineRule="auto"/>
              <w:rPr>
                <w:rFonts w:cstheme="minorHAnsi"/>
                <w:b/>
                <w:bCs/>
                <w:sz w:val="20"/>
              </w:rPr>
            </w:pPr>
            <w:r w:rsidRPr="00440D90">
              <w:rPr>
                <w:rFonts w:cstheme="minorHAnsi"/>
                <w:b/>
                <w:bCs/>
                <w:sz w:val="20"/>
              </w:rPr>
              <w:t>**3.45</w:t>
            </w:r>
          </w:p>
        </w:tc>
      </w:tr>
      <w:tr w:rsidR="00552061" w:rsidRPr="00440D90" w14:paraId="2252ABE1" w14:textId="77777777" w:rsidTr="000E7BCE">
        <w:trPr>
          <w:trHeight w:val="413"/>
        </w:trPr>
        <w:tc>
          <w:tcPr>
            <w:tcW w:w="1555" w:type="dxa"/>
            <w:tcBorders>
              <w:bottom w:val="single" w:sz="4" w:space="0" w:color="auto"/>
            </w:tcBorders>
          </w:tcPr>
          <w:p w14:paraId="5E8E65AE" w14:textId="758618CA" w:rsidR="00552061" w:rsidRPr="00DC7D05" w:rsidRDefault="00DC7D05" w:rsidP="009A2088">
            <w:pPr>
              <w:spacing w:line="264" w:lineRule="auto"/>
              <w:rPr>
                <w:rFonts w:cstheme="minorHAnsi"/>
                <w:iCs/>
                <w:sz w:val="20"/>
                <w:szCs w:val="20"/>
              </w:rPr>
            </w:pPr>
            <w:r w:rsidRPr="0069783C">
              <w:rPr>
                <w:rFonts w:cstheme="minorHAnsi"/>
                <w:sz w:val="20"/>
                <w:szCs w:val="20"/>
              </w:rPr>
              <w:t>Face-to-face</w:t>
            </w:r>
          </w:p>
        </w:tc>
        <w:tc>
          <w:tcPr>
            <w:tcW w:w="708" w:type="dxa"/>
            <w:tcBorders>
              <w:bottom w:val="single" w:sz="4" w:space="0" w:color="auto"/>
            </w:tcBorders>
          </w:tcPr>
          <w:p w14:paraId="17DFA94B" w14:textId="77777777" w:rsidR="00552061" w:rsidRPr="00440D90" w:rsidRDefault="00552061" w:rsidP="009A2088">
            <w:pPr>
              <w:spacing w:line="264" w:lineRule="auto"/>
              <w:rPr>
                <w:rFonts w:cstheme="minorHAnsi"/>
                <w:sz w:val="20"/>
              </w:rPr>
            </w:pPr>
            <w:r w:rsidRPr="00440D90">
              <w:rPr>
                <w:rFonts w:cstheme="minorHAnsi"/>
                <w:sz w:val="20"/>
              </w:rPr>
              <w:t>25</w:t>
            </w:r>
          </w:p>
        </w:tc>
        <w:tc>
          <w:tcPr>
            <w:tcW w:w="856" w:type="dxa"/>
            <w:tcBorders>
              <w:bottom w:val="single" w:sz="4" w:space="0" w:color="auto"/>
            </w:tcBorders>
          </w:tcPr>
          <w:p w14:paraId="7A6E56FE" w14:textId="77777777" w:rsidR="00552061" w:rsidRPr="00440D90" w:rsidRDefault="00552061" w:rsidP="009A2088">
            <w:pPr>
              <w:spacing w:line="264" w:lineRule="auto"/>
              <w:rPr>
                <w:rFonts w:cstheme="minorHAnsi"/>
                <w:sz w:val="20"/>
              </w:rPr>
            </w:pPr>
            <w:r w:rsidRPr="00440D90">
              <w:rPr>
                <w:rFonts w:cstheme="minorHAnsi"/>
                <w:sz w:val="20"/>
              </w:rPr>
              <w:t>3.80</w:t>
            </w:r>
          </w:p>
        </w:tc>
        <w:tc>
          <w:tcPr>
            <w:tcW w:w="850" w:type="dxa"/>
            <w:tcBorders>
              <w:bottom w:val="single" w:sz="4" w:space="0" w:color="auto"/>
            </w:tcBorders>
          </w:tcPr>
          <w:p w14:paraId="760C49AD" w14:textId="77777777" w:rsidR="00552061" w:rsidRPr="00440D90" w:rsidRDefault="00552061" w:rsidP="009A2088">
            <w:pPr>
              <w:spacing w:line="264" w:lineRule="auto"/>
              <w:rPr>
                <w:rFonts w:cstheme="minorHAnsi"/>
                <w:b/>
                <w:bCs/>
                <w:sz w:val="20"/>
              </w:rPr>
            </w:pPr>
            <w:r>
              <w:rPr>
                <w:rFonts w:cstheme="minorHAnsi"/>
                <w:b/>
                <w:bCs/>
                <w:sz w:val="20"/>
              </w:rPr>
              <w:t xml:space="preserve"> </w:t>
            </w:r>
            <w:r w:rsidRPr="00440D90">
              <w:rPr>
                <w:rFonts w:cstheme="minorHAnsi"/>
                <w:b/>
                <w:bCs/>
                <w:sz w:val="20"/>
              </w:rPr>
              <w:t>*4.09</w:t>
            </w:r>
          </w:p>
        </w:tc>
        <w:tc>
          <w:tcPr>
            <w:tcW w:w="562" w:type="dxa"/>
            <w:tcBorders>
              <w:bottom w:val="single" w:sz="4" w:space="0" w:color="auto"/>
            </w:tcBorders>
          </w:tcPr>
          <w:p w14:paraId="50737858" w14:textId="77777777" w:rsidR="00552061" w:rsidRPr="00440D90" w:rsidRDefault="00552061" w:rsidP="009A2088">
            <w:pPr>
              <w:spacing w:line="264" w:lineRule="auto"/>
              <w:rPr>
                <w:rFonts w:cstheme="minorHAnsi"/>
                <w:sz w:val="20"/>
              </w:rPr>
            </w:pPr>
            <w:r w:rsidRPr="00440D90">
              <w:rPr>
                <w:rFonts w:cstheme="minorHAnsi"/>
                <w:sz w:val="20"/>
              </w:rPr>
              <w:t>26</w:t>
            </w:r>
          </w:p>
        </w:tc>
        <w:tc>
          <w:tcPr>
            <w:tcW w:w="851" w:type="dxa"/>
            <w:tcBorders>
              <w:bottom w:val="single" w:sz="4" w:space="0" w:color="auto"/>
            </w:tcBorders>
          </w:tcPr>
          <w:p w14:paraId="78DCA39A" w14:textId="77777777" w:rsidR="00552061" w:rsidRPr="00440D90" w:rsidRDefault="00552061" w:rsidP="009A2088">
            <w:pPr>
              <w:spacing w:line="264" w:lineRule="auto"/>
              <w:rPr>
                <w:rFonts w:cstheme="minorHAnsi"/>
                <w:sz w:val="20"/>
              </w:rPr>
            </w:pPr>
            <w:r w:rsidRPr="00440D90">
              <w:rPr>
                <w:rFonts w:cstheme="minorHAnsi"/>
                <w:sz w:val="20"/>
              </w:rPr>
              <w:t>3.63</w:t>
            </w:r>
          </w:p>
        </w:tc>
        <w:tc>
          <w:tcPr>
            <w:tcW w:w="992" w:type="dxa"/>
            <w:tcBorders>
              <w:bottom w:val="single" w:sz="4" w:space="0" w:color="auto"/>
            </w:tcBorders>
          </w:tcPr>
          <w:p w14:paraId="437D50C4" w14:textId="77777777" w:rsidR="00552061" w:rsidRPr="00440D90" w:rsidRDefault="00552061" w:rsidP="009A2088">
            <w:pPr>
              <w:spacing w:line="264" w:lineRule="auto"/>
              <w:rPr>
                <w:rFonts w:cstheme="minorHAnsi"/>
                <w:sz w:val="20"/>
              </w:rPr>
            </w:pPr>
            <w:r>
              <w:rPr>
                <w:rFonts w:cstheme="minorHAnsi"/>
                <w:sz w:val="20"/>
              </w:rPr>
              <w:t xml:space="preserve">  </w:t>
            </w:r>
            <w:r w:rsidRPr="00440D90">
              <w:rPr>
                <w:rFonts w:cstheme="minorHAnsi"/>
                <w:sz w:val="20"/>
              </w:rPr>
              <w:t>3.55</w:t>
            </w:r>
          </w:p>
        </w:tc>
        <w:tc>
          <w:tcPr>
            <w:tcW w:w="709" w:type="dxa"/>
            <w:tcBorders>
              <w:bottom w:val="single" w:sz="4" w:space="0" w:color="auto"/>
            </w:tcBorders>
          </w:tcPr>
          <w:p w14:paraId="399058ED" w14:textId="77777777" w:rsidR="00552061" w:rsidRPr="00440D90" w:rsidRDefault="00552061" w:rsidP="009A2088">
            <w:pPr>
              <w:spacing w:line="264" w:lineRule="auto"/>
              <w:rPr>
                <w:rFonts w:cstheme="minorHAnsi"/>
                <w:sz w:val="20"/>
              </w:rPr>
            </w:pPr>
            <w:r w:rsidRPr="00440D90">
              <w:rPr>
                <w:rFonts w:cstheme="minorHAnsi"/>
                <w:sz w:val="20"/>
              </w:rPr>
              <w:t>26</w:t>
            </w:r>
          </w:p>
        </w:tc>
        <w:tc>
          <w:tcPr>
            <w:tcW w:w="992" w:type="dxa"/>
            <w:tcBorders>
              <w:bottom w:val="single" w:sz="4" w:space="0" w:color="auto"/>
            </w:tcBorders>
          </w:tcPr>
          <w:p w14:paraId="71B06140" w14:textId="77777777" w:rsidR="00552061" w:rsidRPr="00440D90" w:rsidRDefault="00552061" w:rsidP="009A2088">
            <w:pPr>
              <w:spacing w:line="264" w:lineRule="auto"/>
              <w:rPr>
                <w:rFonts w:cstheme="minorHAnsi"/>
                <w:sz w:val="20"/>
              </w:rPr>
            </w:pPr>
            <w:r w:rsidRPr="00440D90">
              <w:rPr>
                <w:rFonts w:cstheme="minorHAnsi"/>
                <w:sz w:val="20"/>
              </w:rPr>
              <w:t>2.97</w:t>
            </w:r>
          </w:p>
        </w:tc>
        <w:tc>
          <w:tcPr>
            <w:tcW w:w="941" w:type="dxa"/>
            <w:tcBorders>
              <w:bottom w:val="single" w:sz="4" w:space="0" w:color="auto"/>
            </w:tcBorders>
          </w:tcPr>
          <w:p w14:paraId="168FB656" w14:textId="77777777" w:rsidR="00552061" w:rsidRPr="00440D90" w:rsidRDefault="00552061" w:rsidP="009A2088">
            <w:pPr>
              <w:spacing w:line="264" w:lineRule="auto"/>
              <w:rPr>
                <w:rFonts w:cstheme="minorHAnsi"/>
                <w:b/>
                <w:bCs/>
                <w:sz w:val="20"/>
              </w:rPr>
            </w:pPr>
            <w:r w:rsidRPr="00440D90">
              <w:rPr>
                <w:rFonts w:cstheme="minorHAnsi"/>
                <w:b/>
                <w:bCs/>
                <w:sz w:val="20"/>
              </w:rPr>
              <w:t>**3.78</w:t>
            </w:r>
          </w:p>
        </w:tc>
      </w:tr>
    </w:tbl>
    <w:p w14:paraId="71037A3E" w14:textId="63DEAD49" w:rsidR="00552061" w:rsidRPr="00440D90" w:rsidRDefault="00552061" w:rsidP="009A2088">
      <w:pPr>
        <w:pStyle w:val="Tablenotes"/>
      </w:pPr>
      <w:r w:rsidRPr="009A2088">
        <w:t xml:space="preserve"> Note</w:t>
      </w:r>
      <w:r w:rsidRPr="00440D90">
        <w:t xml:space="preserve"> *Post intervention change &lt;.05; **Post intervention change &lt;.001</w:t>
      </w:r>
    </w:p>
    <w:p w14:paraId="116C9B87" w14:textId="77777777" w:rsidR="00552061" w:rsidRDefault="00552061" w:rsidP="00366EAB">
      <w:pPr>
        <w:pStyle w:val="Heading3"/>
      </w:pPr>
      <w:bookmarkStart w:id="353" w:name="_Toc44339280"/>
      <w:r w:rsidRPr="00063061">
        <w:lastRenderedPageBreak/>
        <w:t>Urban</w:t>
      </w:r>
      <w:bookmarkEnd w:id="353"/>
      <w:r w:rsidRPr="003B349C">
        <w:t xml:space="preserve"> </w:t>
      </w:r>
    </w:p>
    <w:p w14:paraId="0E974C22" w14:textId="3471FB30" w:rsidR="00552061" w:rsidRPr="00EB100C" w:rsidRDefault="00552061" w:rsidP="00552061">
      <w:pPr>
        <w:rPr>
          <w:rFonts w:cstheme="minorHAnsi"/>
          <w:color w:val="000000" w:themeColor="text1"/>
        </w:rPr>
      </w:pPr>
      <w:r w:rsidRPr="00063061">
        <w:rPr>
          <w:rFonts w:cstheme="minorHAnsi"/>
        </w:rPr>
        <w:t>The analysis revealed both differences and similarities between staff providing service</w:t>
      </w:r>
      <w:r w:rsidR="00DC7D05">
        <w:rPr>
          <w:rFonts w:cstheme="minorHAnsi"/>
        </w:rPr>
        <w:t>s</w:t>
      </w:r>
      <w:r w:rsidRPr="00063061">
        <w:rPr>
          <w:rFonts w:cstheme="minorHAnsi"/>
        </w:rPr>
        <w:t xml:space="preserve"> in different geographical locations. The findings from the three component measures are presented below under the headings Urban; Regional; and Remote</w:t>
      </w:r>
      <w:r w:rsidR="00B53CB4">
        <w:rPr>
          <w:rFonts w:cstheme="minorHAnsi"/>
        </w:rPr>
        <w:t>,</w:t>
      </w:r>
      <w:r w:rsidRPr="00063061">
        <w:rPr>
          <w:rFonts w:cstheme="minorHAnsi"/>
        </w:rPr>
        <w:t xml:space="preserve"> and reflect staff working with Indigenous </w:t>
      </w:r>
      <w:r w:rsidRPr="00EB100C">
        <w:rPr>
          <w:rFonts w:cstheme="minorHAnsi"/>
          <w:color w:val="000000" w:themeColor="text1"/>
        </w:rPr>
        <w:t xml:space="preserve">patients at health centres situated in the three different geographic locations. </w:t>
      </w:r>
    </w:p>
    <w:p w14:paraId="71DCB3FA" w14:textId="3CBF7A8D" w:rsidR="00552061" w:rsidRPr="00530E7C" w:rsidRDefault="00552061" w:rsidP="00530E7C">
      <w:r w:rsidRPr="00EB100C">
        <w:rPr>
          <w:color w:val="000000" w:themeColor="text1"/>
        </w:rPr>
        <w:t>The majority of the U</w:t>
      </w:r>
      <w:r w:rsidR="00DC7D05">
        <w:rPr>
          <w:color w:val="000000" w:themeColor="text1"/>
        </w:rPr>
        <w:t>r</w:t>
      </w:r>
      <w:r w:rsidRPr="00EB100C">
        <w:rPr>
          <w:color w:val="000000" w:themeColor="text1"/>
        </w:rPr>
        <w:t xml:space="preserve">ban health centre sample had the following characteristics: A full complement of staff with access to a greater pool of professionals; </w:t>
      </w:r>
      <w:r w:rsidR="00B53CB4">
        <w:rPr>
          <w:color w:val="000000" w:themeColor="text1"/>
        </w:rPr>
        <w:t>most</w:t>
      </w:r>
      <w:r w:rsidRPr="00EB100C">
        <w:rPr>
          <w:color w:val="000000" w:themeColor="text1"/>
        </w:rPr>
        <w:t xml:space="preserve"> Indigenous patients attended</w:t>
      </w:r>
      <w:r w:rsidR="00B53CB4">
        <w:t xml:space="preserve"> the</w:t>
      </w:r>
      <w:r>
        <w:t xml:space="preserve"> centre with</w:t>
      </w:r>
      <w:r w:rsidR="00B53CB4">
        <w:t xml:space="preserve"> </w:t>
      </w:r>
      <w:r>
        <w:t xml:space="preserve">little </w:t>
      </w:r>
      <w:r w:rsidR="00B53CB4">
        <w:t xml:space="preserve">or no </w:t>
      </w:r>
      <w:r>
        <w:t>outreach</w:t>
      </w:r>
      <w:r w:rsidRPr="005E702C">
        <w:t xml:space="preserve">; </w:t>
      </w:r>
      <w:r w:rsidR="00B53CB4">
        <w:t xml:space="preserve">they </w:t>
      </w:r>
      <w:r w:rsidRPr="005E702C">
        <w:t xml:space="preserve">were </w:t>
      </w:r>
      <w:r>
        <w:t xml:space="preserve">very well </w:t>
      </w:r>
      <w:r w:rsidRPr="005E702C">
        <w:t xml:space="preserve">resourced; </w:t>
      </w:r>
      <w:r w:rsidR="00B53CB4">
        <w:t>good capacity</w:t>
      </w:r>
      <w:r>
        <w:t>;</w:t>
      </w:r>
      <w:r w:rsidR="00B53CB4">
        <w:t xml:space="preserve"> </w:t>
      </w:r>
      <w:r>
        <w:t>GP</w:t>
      </w:r>
      <w:r w:rsidR="00B53CB4">
        <w:t>-</w:t>
      </w:r>
      <w:r>
        <w:t>centric</w:t>
      </w:r>
      <w:r w:rsidR="00B53CB4">
        <w:t xml:space="preserve"> with</w:t>
      </w:r>
      <w:r>
        <w:t xml:space="preserve"> good community relationship</w:t>
      </w:r>
      <w:r w:rsidR="00B53CB4">
        <w:t>s and</w:t>
      </w:r>
      <w:r>
        <w:t xml:space="preserve"> an individual patient health needs focus a</w:t>
      </w:r>
      <w:r w:rsidR="000E7BCE">
        <w:t>nd</w:t>
      </w:r>
      <w:r>
        <w:t xml:space="preserve"> good allied health representat</w:t>
      </w:r>
      <w:r w:rsidR="000E7BCE">
        <w:t>ion.</w:t>
      </w:r>
    </w:p>
    <w:p w14:paraId="3AF16EBD" w14:textId="77777777" w:rsidR="00552061" w:rsidRPr="00063061" w:rsidRDefault="00552061" w:rsidP="004257B1">
      <w:pPr>
        <w:pStyle w:val="Heading4"/>
      </w:pPr>
      <w:r w:rsidRPr="00063061">
        <w:t>Role Perception</w:t>
      </w:r>
    </w:p>
    <w:p w14:paraId="476AD294" w14:textId="22C33B94" w:rsidR="00B53CB4" w:rsidRDefault="00552061" w:rsidP="00552061">
      <w:pPr>
        <w:rPr>
          <w:rFonts w:cstheme="minorHAnsi"/>
        </w:rPr>
      </w:pPr>
      <w:r w:rsidRPr="00063061">
        <w:rPr>
          <w:rFonts w:cstheme="minorHAnsi"/>
        </w:rPr>
        <w:t xml:space="preserve">While participants in the urban environment reported no </w:t>
      </w:r>
      <w:r w:rsidR="00B53CB4">
        <w:rPr>
          <w:rFonts w:cstheme="minorHAnsi"/>
        </w:rPr>
        <w:t>great</w:t>
      </w:r>
      <w:r w:rsidR="00B53CB4" w:rsidRPr="00063061">
        <w:rPr>
          <w:rFonts w:cstheme="minorHAnsi"/>
        </w:rPr>
        <w:t xml:space="preserve"> </w:t>
      </w:r>
      <w:r w:rsidRPr="00063061">
        <w:rPr>
          <w:rFonts w:cstheme="minorHAnsi"/>
        </w:rPr>
        <w:t xml:space="preserve">change in perception of their role in offering bowel screening to Indigenous patients, </w:t>
      </w:r>
      <w:r w:rsidR="00B53CB4">
        <w:rPr>
          <w:rFonts w:cstheme="minorHAnsi"/>
        </w:rPr>
        <w:t xml:space="preserve">face-to-face </w:t>
      </w:r>
      <w:r w:rsidRPr="00063061">
        <w:rPr>
          <w:rFonts w:cstheme="minorHAnsi"/>
        </w:rPr>
        <w:t>participants revealed a</w:t>
      </w:r>
      <w:r w:rsidR="00B53CB4">
        <w:rPr>
          <w:rFonts w:cstheme="minorHAnsi"/>
        </w:rPr>
        <w:t xml:space="preserve"> significant</w:t>
      </w:r>
      <w:r w:rsidRPr="00063061">
        <w:rPr>
          <w:rFonts w:cstheme="minorHAnsi"/>
        </w:rPr>
        <w:t xml:space="preserve"> increase. This suggest</w:t>
      </w:r>
      <w:r w:rsidR="00B53CB4">
        <w:rPr>
          <w:rFonts w:cstheme="minorHAnsi"/>
        </w:rPr>
        <w:t>s</w:t>
      </w:r>
      <w:r w:rsidRPr="00063061">
        <w:rPr>
          <w:rFonts w:cstheme="minorHAnsi"/>
        </w:rPr>
        <w:t xml:space="preserve"> </w:t>
      </w:r>
      <w:r w:rsidR="00B53CB4">
        <w:rPr>
          <w:rFonts w:cstheme="minorHAnsi"/>
        </w:rPr>
        <w:t xml:space="preserve">face-to-face </w:t>
      </w:r>
      <w:r w:rsidRPr="00063061">
        <w:rPr>
          <w:rFonts w:cstheme="minorHAnsi"/>
        </w:rPr>
        <w:t xml:space="preserve">delivery </w:t>
      </w:r>
      <w:r w:rsidR="00B53CB4">
        <w:rPr>
          <w:rFonts w:cstheme="minorHAnsi"/>
        </w:rPr>
        <w:t>described what</w:t>
      </w:r>
      <w:r w:rsidRPr="00063061">
        <w:rPr>
          <w:rFonts w:cstheme="minorHAnsi"/>
        </w:rPr>
        <w:t xml:space="preserve"> was required </w:t>
      </w:r>
      <w:r w:rsidR="00B53CB4">
        <w:rPr>
          <w:rFonts w:cstheme="minorHAnsi"/>
        </w:rPr>
        <w:t xml:space="preserve">more effectively </w:t>
      </w:r>
      <w:r w:rsidRPr="00063061">
        <w:rPr>
          <w:rFonts w:cstheme="minorHAnsi"/>
        </w:rPr>
        <w:t xml:space="preserve">than the online module training for urban health services staff. </w:t>
      </w:r>
    </w:p>
    <w:p w14:paraId="5B32184F" w14:textId="42AA7122" w:rsidR="00552061" w:rsidRPr="00063061" w:rsidRDefault="00B53CB4" w:rsidP="00552061">
      <w:pPr>
        <w:rPr>
          <w:rFonts w:cstheme="minorHAnsi"/>
        </w:rPr>
      </w:pPr>
      <w:r>
        <w:rPr>
          <w:rFonts w:cstheme="minorHAnsi"/>
        </w:rPr>
        <w:t>As explained earlier, t</w:t>
      </w:r>
      <w:r w:rsidR="00552061" w:rsidRPr="00063061">
        <w:rPr>
          <w:rFonts w:cstheme="minorHAnsi"/>
        </w:rPr>
        <w:t xml:space="preserve">he significant increase in perception of role for </w:t>
      </w:r>
      <w:r>
        <w:rPr>
          <w:rFonts w:cstheme="minorHAnsi"/>
        </w:rPr>
        <w:t xml:space="preserve">face-to-face </w:t>
      </w:r>
      <w:r w:rsidR="00552061" w:rsidRPr="00063061">
        <w:rPr>
          <w:rFonts w:cstheme="minorHAnsi"/>
        </w:rPr>
        <w:t xml:space="preserve">delivery across all three geographic locations may be attributed to interactivity. Human interaction with the </w:t>
      </w:r>
      <w:r>
        <w:rPr>
          <w:rFonts w:cstheme="minorHAnsi"/>
        </w:rPr>
        <w:t>training</w:t>
      </w:r>
      <w:r w:rsidR="00552061" w:rsidRPr="00063061">
        <w:rPr>
          <w:rFonts w:cstheme="minorHAnsi"/>
        </w:rPr>
        <w:t xml:space="preserve"> facilitator</w:t>
      </w:r>
      <w:r>
        <w:rPr>
          <w:rFonts w:cstheme="minorHAnsi"/>
        </w:rPr>
        <w:t>,</w:t>
      </w:r>
      <w:r w:rsidR="00552061" w:rsidRPr="00063061">
        <w:rPr>
          <w:rFonts w:cstheme="minorHAnsi"/>
        </w:rPr>
        <w:t xml:space="preserve"> and other health centre staff</w:t>
      </w:r>
      <w:r>
        <w:rPr>
          <w:rFonts w:cstheme="minorHAnsi"/>
        </w:rPr>
        <w:t>,</w:t>
      </w:r>
      <w:r w:rsidR="00552061" w:rsidRPr="00063061">
        <w:rPr>
          <w:rFonts w:cstheme="minorHAnsi"/>
        </w:rPr>
        <w:t xml:space="preserve"> during </w:t>
      </w:r>
      <w:r>
        <w:rPr>
          <w:rFonts w:cstheme="minorHAnsi"/>
        </w:rPr>
        <w:t xml:space="preserve">face-to-face </w:t>
      </w:r>
      <w:r w:rsidR="00552061" w:rsidRPr="00063061">
        <w:rPr>
          <w:rFonts w:cstheme="minorHAnsi"/>
        </w:rPr>
        <w:t>delivery</w:t>
      </w:r>
      <w:r>
        <w:rPr>
          <w:rFonts w:cstheme="minorHAnsi"/>
        </w:rPr>
        <w:t xml:space="preserve"> offered </w:t>
      </w:r>
      <w:r w:rsidR="00552061" w:rsidRPr="00063061">
        <w:rPr>
          <w:rFonts w:cstheme="minorHAnsi"/>
        </w:rPr>
        <w:t xml:space="preserve">reassurance and guidance </w:t>
      </w:r>
      <w:r>
        <w:rPr>
          <w:rFonts w:cstheme="minorHAnsi"/>
        </w:rPr>
        <w:t>and</w:t>
      </w:r>
      <w:r w:rsidR="00552061" w:rsidRPr="00063061">
        <w:rPr>
          <w:rFonts w:cstheme="minorHAnsi"/>
        </w:rPr>
        <w:t xml:space="preserve"> opportunities for </w:t>
      </w:r>
      <w:r>
        <w:rPr>
          <w:rFonts w:cstheme="minorHAnsi"/>
        </w:rPr>
        <w:t xml:space="preserve">participants to ask questions and seek </w:t>
      </w:r>
      <w:r w:rsidR="00315D5B" w:rsidRPr="00063061">
        <w:rPr>
          <w:rFonts w:cstheme="minorHAnsi"/>
        </w:rPr>
        <w:t>clarification.</w:t>
      </w:r>
    </w:p>
    <w:p w14:paraId="2BDB6BC3" w14:textId="77777777" w:rsidR="00552061" w:rsidRPr="00063061" w:rsidRDefault="00552061" w:rsidP="004257B1">
      <w:pPr>
        <w:pStyle w:val="Heading4"/>
      </w:pPr>
      <w:r w:rsidRPr="00063061">
        <w:t>Confidence</w:t>
      </w:r>
    </w:p>
    <w:p w14:paraId="1BC1E23F" w14:textId="44ABDAAA" w:rsidR="00552061" w:rsidRPr="00063061" w:rsidRDefault="00552061" w:rsidP="00552061">
      <w:pPr>
        <w:rPr>
          <w:rFonts w:cstheme="minorHAnsi"/>
        </w:rPr>
      </w:pPr>
      <w:r>
        <w:rPr>
          <w:rFonts w:cstheme="minorHAnsi"/>
        </w:rPr>
        <w:t xml:space="preserve">The </w:t>
      </w:r>
      <w:r w:rsidR="00B53CB4">
        <w:rPr>
          <w:rFonts w:cstheme="minorHAnsi"/>
        </w:rPr>
        <w:t>c</w:t>
      </w:r>
      <w:r w:rsidRPr="00063061">
        <w:rPr>
          <w:rFonts w:cstheme="minorHAnsi"/>
        </w:rPr>
        <w:t xml:space="preserve">onfidence </w:t>
      </w:r>
      <w:r>
        <w:rPr>
          <w:rFonts w:cstheme="minorHAnsi"/>
        </w:rPr>
        <w:t>analysis</w:t>
      </w:r>
      <w:r w:rsidRPr="00063061">
        <w:rPr>
          <w:rFonts w:cstheme="minorHAnsi"/>
        </w:rPr>
        <w:t xml:space="preserve"> revealed</w:t>
      </w:r>
      <w:r w:rsidR="000E7BCE">
        <w:rPr>
          <w:rFonts w:cstheme="minorHAnsi"/>
        </w:rPr>
        <w:t xml:space="preserve"> </w:t>
      </w:r>
      <w:r w:rsidRPr="00063061">
        <w:rPr>
          <w:rFonts w:cstheme="minorHAnsi"/>
        </w:rPr>
        <w:t xml:space="preserve">a significant increase post training for both </w:t>
      </w:r>
      <w:r w:rsidR="00B53CB4">
        <w:rPr>
          <w:rFonts w:cstheme="minorHAnsi"/>
        </w:rPr>
        <w:t>o</w:t>
      </w:r>
      <w:r w:rsidRPr="00063061">
        <w:rPr>
          <w:rFonts w:cstheme="minorHAnsi"/>
        </w:rPr>
        <w:t xml:space="preserve">nline and </w:t>
      </w:r>
      <w:r w:rsidR="00B53CB4">
        <w:rPr>
          <w:rFonts w:cstheme="minorHAnsi"/>
        </w:rPr>
        <w:t xml:space="preserve">face-to-face </w:t>
      </w:r>
      <w:r w:rsidRPr="00063061">
        <w:rPr>
          <w:rFonts w:cstheme="minorHAnsi"/>
        </w:rPr>
        <w:t xml:space="preserve">delivery.  </w:t>
      </w:r>
    </w:p>
    <w:p w14:paraId="78114C85" w14:textId="77777777" w:rsidR="00552061" w:rsidRPr="00530E7C" w:rsidRDefault="00552061" w:rsidP="00366EAB">
      <w:pPr>
        <w:pStyle w:val="Heading3"/>
      </w:pPr>
      <w:bookmarkStart w:id="354" w:name="_Toc44339281"/>
      <w:r w:rsidRPr="00530E7C">
        <w:t>Regional</w:t>
      </w:r>
      <w:bookmarkEnd w:id="354"/>
    </w:p>
    <w:p w14:paraId="4AB18F04" w14:textId="5E38E1A5" w:rsidR="00552061" w:rsidRPr="005E702C" w:rsidRDefault="00552061" w:rsidP="00552061">
      <w:r>
        <w:t xml:space="preserve">The sample of health centres </w:t>
      </w:r>
      <w:r w:rsidRPr="005E702C">
        <w:t>i</w:t>
      </w:r>
      <w:r>
        <w:t>n regional locations generally presented with the following characteristics</w:t>
      </w:r>
      <w:r w:rsidRPr="005E702C">
        <w:t xml:space="preserve">: </w:t>
      </w:r>
      <w:r>
        <w:t>M</w:t>
      </w:r>
      <w:r w:rsidR="00B53CB4">
        <w:t>ost</w:t>
      </w:r>
      <w:r>
        <w:t xml:space="preserve"> had a full complement</w:t>
      </w:r>
      <w:r w:rsidRPr="005E702C">
        <w:t xml:space="preserve"> of staff</w:t>
      </w:r>
      <w:r>
        <w:t>; a majority of patients attended the health centre for health care</w:t>
      </w:r>
      <w:r w:rsidRPr="005E702C">
        <w:t xml:space="preserve">; </w:t>
      </w:r>
      <w:r>
        <w:t>good cultural connection</w:t>
      </w:r>
      <w:r w:rsidR="00C0147D">
        <w:t>s</w:t>
      </w:r>
      <w:r>
        <w:t xml:space="preserve"> </w:t>
      </w:r>
      <w:r w:rsidR="00C0147D">
        <w:t>demonstrated by</w:t>
      </w:r>
      <w:r>
        <w:t xml:space="preserve"> artefact</w:t>
      </w:r>
      <w:r w:rsidR="00C0147D">
        <w:t xml:space="preserve"> displays</w:t>
      </w:r>
      <w:r>
        <w:t xml:space="preserve">; elder story representation on the walls; </w:t>
      </w:r>
      <w:r w:rsidR="00C0147D">
        <w:t xml:space="preserve">they were </w:t>
      </w:r>
      <w:r>
        <w:t>well</w:t>
      </w:r>
      <w:r w:rsidRPr="005E702C">
        <w:t xml:space="preserve"> resourced; capacity was </w:t>
      </w:r>
      <w:r>
        <w:t xml:space="preserve">not under stress due to lack of staffing; Indigenous mentoring; a very good individualised and collective support relationship with patients; a staff interactive support structure with their local Indigenous communities (sport, other artistic activities).  </w:t>
      </w:r>
    </w:p>
    <w:p w14:paraId="18C85A4E" w14:textId="77777777" w:rsidR="00552061" w:rsidRPr="00935246" w:rsidRDefault="00552061" w:rsidP="00552061"/>
    <w:p w14:paraId="593D319C" w14:textId="77777777" w:rsidR="00552061" w:rsidRPr="00063061" w:rsidRDefault="00552061" w:rsidP="004257B1">
      <w:pPr>
        <w:pStyle w:val="Heading4"/>
      </w:pPr>
      <w:r w:rsidRPr="00063061">
        <w:lastRenderedPageBreak/>
        <w:t>Role Perception</w:t>
      </w:r>
    </w:p>
    <w:p w14:paraId="1BA50E42" w14:textId="07126C04" w:rsidR="00552061" w:rsidRPr="00063061" w:rsidRDefault="00552061" w:rsidP="00552061">
      <w:pPr>
        <w:rPr>
          <w:rFonts w:cstheme="minorHAnsi"/>
          <w:u w:val="single"/>
        </w:rPr>
      </w:pPr>
      <w:r w:rsidRPr="00063061">
        <w:rPr>
          <w:rFonts w:cstheme="minorHAnsi"/>
        </w:rPr>
        <w:t xml:space="preserve">Regional </w:t>
      </w:r>
      <w:r w:rsidR="00C0147D">
        <w:rPr>
          <w:rFonts w:cstheme="minorHAnsi"/>
        </w:rPr>
        <w:t>h</w:t>
      </w:r>
      <w:r w:rsidRPr="00063061">
        <w:rPr>
          <w:rFonts w:cstheme="minorHAnsi"/>
        </w:rPr>
        <w:t xml:space="preserve">ealth service staff experiencing </w:t>
      </w:r>
      <w:r w:rsidR="00C0147D">
        <w:rPr>
          <w:rFonts w:cstheme="minorHAnsi"/>
        </w:rPr>
        <w:t xml:space="preserve">face-to-face training </w:t>
      </w:r>
      <w:r w:rsidRPr="00063061">
        <w:rPr>
          <w:rFonts w:cstheme="minorHAnsi"/>
        </w:rPr>
        <w:t xml:space="preserve">reported significant increases in </w:t>
      </w:r>
      <w:r w:rsidR="00C0147D">
        <w:rPr>
          <w:rFonts w:cstheme="minorHAnsi"/>
        </w:rPr>
        <w:t>r</w:t>
      </w:r>
      <w:r w:rsidRPr="00063061">
        <w:rPr>
          <w:rFonts w:cstheme="minorHAnsi"/>
        </w:rPr>
        <w:t xml:space="preserve">ole </w:t>
      </w:r>
      <w:r w:rsidR="00C0147D">
        <w:rPr>
          <w:rFonts w:cstheme="minorHAnsi"/>
        </w:rPr>
        <w:t>p</w:t>
      </w:r>
      <w:r w:rsidRPr="00063061">
        <w:rPr>
          <w:rFonts w:cstheme="minorHAnsi"/>
        </w:rPr>
        <w:t xml:space="preserve">erception after training, while participants </w:t>
      </w:r>
      <w:r w:rsidR="00C0147D">
        <w:rPr>
          <w:rFonts w:cstheme="minorHAnsi"/>
        </w:rPr>
        <w:t>who completed o</w:t>
      </w:r>
      <w:r w:rsidRPr="00063061">
        <w:rPr>
          <w:rFonts w:cstheme="minorHAnsi"/>
        </w:rPr>
        <w:t xml:space="preserve">nline </w:t>
      </w:r>
      <w:r w:rsidR="00C0147D">
        <w:rPr>
          <w:rFonts w:cstheme="minorHAnsi"/>
        </w:rPr>
        <w:t>training</w:t>
      </w:r>
      <w:r w:rsidRPr="00063061">
        <w:rPr>
          <w:rFonts w:cstheme="minorHAnsi"/>
        </w:rPr>
        <w:t xml:space="preserve"> did not. </w:t>
      </w:r>
      <w:r w:rsidR="00FB7687">
        <w:rPr>
          <w:rFonts w:cstheme="minorHAnsi"/>
        </w:rPr>
        <w:t>The</w:t>
      </w:r>
      <w:r>
        <w:rPr>
          <w:rFonts w:cstheme="minorHAnsi"/>
        </w:rPr>
        <w:t xml:space="preserve"> more</w:t>
      </w:r>
      <w:r w:rsidRPr="00063061">
        <w:rPr>
          <w:rFonts w:cstheme="minorHAnsi"/>
        </w:rPr>
        <w:t xml:space="preserve"> interactive style</w:t>
      </w:r>
      <w:r w:rsidR="00FB7687">
        <w:rPr>
          <w:rFonts w:cstheme="minorHAnsi"/>
        </w:rPr>
        <w:t>, which</w:t>
      </w:r>
      <w:r>
        <w:rPr>
          <w:rFonts w:cstheme="minorHAnsi"/>
        </w:rPr>
        <w:t xml:space="preserve"> encourag</w:t>
      </w:r>
      <w:r w:rsidR="00FB7687">
        <w:rPr>
          <w:rFonts w:cstheme="minorHAnsi"/>
        </w:rPr>
        <w:t>ed</w:t>
      </w:r>
      <w:r w:rsidRPr="00063061">
        <w:rPr>
          <w:rFonts w:cstheme="minorHAnsi"/>
        </w:rPr>
        <w:t xml:space="preserve"> interaction </w:t>
      </w:r>
      <w:r>
        <w:rPr>
          <w:rFonts w:cstheme="minorHAnsi"/>
        </w:rPr>
        <w:t xml:space="preserve">and </w:t>
      </w:r>
      <w:r w:rsidR="00C0147D">
        <w:rPr>
          <w:rFonts w:cstheme="minorHAnsi"/>
        </w:rPr>
        <w:t xml:space="preserve">camaraderie </w:t>
      </w:r>
      <w:r w:rsidRPr="00063061">
        <w:rPr>
          <w:rFonts w:cstheme="minorHAnsi"/>
        </w:rPr>
        <w:t xml:space="preserve">between </w:t>
      </w:r>
      <w:r>
        <w:rPr>
          <w:rFonts w:cstheme="minorHAnsi"/>
        </w:rPr>
        <w:t>staff</w:t>
      </w:r>
      <w:r w:rsidR="00FB7687">
        <w:rPr>
          <w:rFonts w:cstheme="minorHAnsi"/>
        </w:rPr>
        <w:t>,</w:t>
      </w:r>
      <w:r>
        <w:rPr>
          <w:rFonts w:cstheme="minorHAnsi"/>
        </w:rPr>
        <w:t xml:space="preserve"> generally</w:t>
      </w:r>
      <w:r w:rsidR="00C0147D">
        <w:rPr>
          <w:rFonts w:cstheme="minorHAnsi"/>
        </w:rPr>
        <w:t xml:space="preserve"> led to</w:t>
      </w:r>
      <w:r>
        <w:rPr>
          <w:rFonts w:cstheme="minorHAnsi"/>
        </w:rPr>
        <w:t xml:space="preserve"> </w:t>
      </w:r>
      <w:r w:rsidR="00FB7687">
        <w:rPr>
          <w:rFonts w:cstheme="minorHAnsi"/>
        </w:rPr>
        <w:t xml:space="preserve">a </w:t>
      </w:r>
      <w:r>
        <w:rPr>
          <w:rFonts w:cstheme="minorHAnsi"/>
        </w:rPr>
        <w:t xml:space="preserve">better understanding of </w:t>
      </w:r>
      <w:r w:rsidR="00FB7687">
        <w:rPr>
          <w:rFonts w:cstheme="minorHAnsi"/>
        </w:rPr>
        <w:t>what staff had to do to</w:t>
      </w:r>
      <w:r>
        <w:rPr>
          <w:rFonts w:cstheme="minorHAnsi"/>
        </w:rPr>
        <w:t xml:space="preserve"> implement the A</w:t>
      </w:r>
      <w:r w:rsidR="00C0147D">
        <w:rPr>
          <w:rFonts w:cstheme="minorHAnsi"/>
        </w:rPr>
        <w:t xml:space="preserve">lternative </w:t>
      </w:r>
      <w:r>
        <w:rPr>
          <w:rFonts w:cstheme="minorHAnsi"/>
        </w:rPr>
        <w:t>P</w:t>
      </w:r>
      <w:r w:rsidR="00C0147D">
        <w:rPr>
          <w:rFonts w:cstheme="minorHAnsi"/>
        </w:rPr>
        <w:t>athway</w:t>
      </w:r>
      <w:r>
        <w:rPr>
          <w:rFonts w:cstheme="minorHAnsi"/>
        </w:rPr>
        <w:t xml:space="preserve"> at their service</w:t>
      </w:r>
      <w:r w:rsidRPr="00063061">
        <w:rPr>
          <w:rFonts w:cstheme="minorHAnsi"/>
        </w:rPr>
        <w:t xml:space="preserve">. </w:t>
      </w:r>
    </w:p>
    <w:p w14:paraId="2620B2A0" w14:textId="77777777" w:rsidR="00552061" w:rsidRPr="00063061" w:rsidRDefault="00552061" w:rsidP="004257B1">
      <w:pPr>
        <w:pStyle w:val="Heading4"/>
      </w:pPr>
      <w:r w:rsidRPr="00063061">
        <w:t>Motivation</w:t>
      </w:r>
    </w:p>
    <w:p w14:paraId="7555487E" w14:textId="6B814353" w:rsidR="00C0147D" w:rsidRDefault="00FB7687" w:rsidP="00552061">
      <w:pPr>
        <w:rPr>
          <w:rFonts w:cstheme="minorHAnsi"/>
        </w:rPr>
      </w:pPr>
      <w:r>
        <w:rPr>
          <w:rFonts w:cstheme="minorHAnsi"/>
        </w:rPr>
        <w:t>Similarly, r</w:t>
      </w:r>
      <w:r w:rsidR="00552061" w:rsidRPr="00063061">
        <w:rPr>
          <w:rFonts w:cstheme="minorHAnsi"/>
        </w:rPr>
        <w:t xml:space="preserve">egional </w:t>
      </w:r>
      <w:r w:rsidR="00552061">
        <w:rPr>
          <w:rFonts w:cstheme="minorHAnsi"/>
        </w:rPr>
        <w:t>participants</w:t>
      </w:r>
      <w:r w:rsidR="00552061" w:rsidRPr="00063061">
        <w:rPr>
          <w:rFonts w:cstheme="minorHAnsi"/>
        </w:rPr>
        <w:t xml:space="preserve"> experiencing </w:t>
      </w:r>
      <w:r w:rsidR="00C0147D">
        <w:rPr>
          <w:rFonts w:cstheme="minorHAnsi"/>
        </w:rPr>
        <w:t xml:space="preserve">face-to-face </w:t>
      </w:r>
      <w:r w:rsidR="00552061">
        <w:rPr>
          <w:rFonts w:cstheme="minorHAnsi"/>
        </w:rPr>
        <w:t>training</w:t>
      </w:r>
      <w:r w:rsidR="00552061" w:rsidRPr="00063061">
        <w:rPr>
          <w:rFonts w:cstheme="minorHAnsi"/>
        </w:rPr>
        <w:t xml:space="preserve">, reported significant increases in </w:t>
      </w:r>
      <w:r w:rsidR="00C0147D">
        <w:rPr>
          <w:rFonts w:cstheme="minorHAnsi"/>
        </w:rPr>
        <w:t>m</w:t>
      </w:r>
      <w:r w:rsidR="00552061" w:rsidRPr="00063061">
        <w:rPr>
          <w:rFonts w:cstheme="minorHAnsi"/>
        </w:rPr>
        <w:t xml:space="preserve">otivation after training, while participants experiencing </w:t>
      </w:r>
      <w:r w:rsidR="00C0147D">
        <w:rPr>
          <w:rFonts w:cstheme="minorHAnsi"/>
        </w:rPr>
        <w:t>o</w:t>
      </w:r>
      <w:r w:rsidR="00552061" w:rsidRPr="00063061">
        <w:rPr>
          <w:rFonts w:cstheme="minorHAnsi"/>
        </w:rPr>
        <w:t>nline</w:t>
      </w:r>
      <w:r w:rsidR="00552061">
        <w:rPr>
          <w:rFonts w:cstheme="minorHAnsi"/>
        </w:rPr>
        <w:t xml:space="preserve"> training</w:t>
      </w:r>
      <w:r w:rsidR="00552061" w:rsidRPr="00063061">
        <w:rPr>
          <w:rFonts w:cstheme="minorHAnsi"/>
        </w:rPr>
        <w:t xml:space="preserve"> did not. </w:t>
      </w:r>
      <w:r>
        <w:rPr>
          <w:rFonts w:cstheme="minorHAnsi"/>
        </w:rPr>
        <w:t>Regional h</w:t>
      </w:r>
      <w:r w:rsidR="00552061" w:rsidRPr="00063061">
        <w:rPr>
          <w:rFonts w:cstheme="minorHAnsi"/>
        </w:rPr>
        <w:t xml:space="preserve">ealth </w:t>
      </w:r>
      <w:r>
        <w:rPr>
          <w:rFonts w:cstheme="minorHAnsi"/>
        </w:rPr>
        <w:t xml:space="preserve">services </w:t>
      </w:r>
      <w:r w:rsidR="00552061" w:rsidRPr="00063061">
        <w:rPr>
          <w:rFonts w:cstheme="minorHAnsi"/>
        </w:rPr>
        <w:t xml:space="preserve">were the only </w:t>
      </w:r>
      <w:r>
        <w:rPr>
          <w:rFonts w:cstheme="minorHAnsi"/>
        </w:rPr>
        <w:t xml:space="preserve">type </w:t>
      </w:r>
      <w:r w:rsidR="00552061" w:rsidRPr="00063061">
        <w:rPr>
          <w:rFonts w:cstheme="minorHAnsi"/>
        </w:rPr>
        <w:t xml:space="preserve">to record a significant increase in staff motivation to invite patients to screen. </w:t>
      </w:r>
    </w:p>
    <w:p w14:paraId="4F7163E3" w14:textId="7068B37A" w:rsidR="00552061" w:rsidRPr="00063061" w:rsidRDefault="00552061" w:rsidP="00552061">
      <w:pPr>
        <w:rPr>
          <w:rFonts w:cstheme="minorHAnsi"/>
          <w:color w:val="FF0000"/>
        </w:rPr>
      </w:pPr>
      <w:r w:rsidRPr="00063061">
        <w:rPr>
          <w:rFonts w:cstheme="minorHAnsi"/>
        </w:rPr>
        <w:t xml:space="preserve">This reveals that motivation </w:t>
      </w:r>
      <w:r>
        <w:rPr>
          <w:rFonts w:cstheme="minorHAnsi"/>
        </w:rPr>
        <w:t>may be</w:t>
      </w:r>
      <w:r w:rsidRPr="00063061">
        <w:rPr>
          <w:rFonts w:cstheme="minorHAnsi"/>
        </w:rPr>
        <w:t xml:space="preserve"> influenced </w:t>
      </w:r>
      <w:r>
        <w:rPr>
          <w:rFonts w:cstheme="minorHAnsi"/>
        </w:rPr>
        <w:t>by characteristics that are unique to regional locations. When training</w:t>
      </w:r>
      <w:r w:rsidRPr="00063061">
        <w:rPr>
          <w:rFonts w:cstheme="minorHAnsi"/>
        </w:rPr>
        <w:t xml:space="preserve"> is delivered</w:t>
      </w:r>
      <w:r w:rsidR="00C0147D">
        <w:rPr>
          <w:rFonts w:cstheme="minorHAnsi"/>
        </w:rPr>
        <w:t xml:space="preserve"> face-to-face</w:t>
      </w:r>
      <w:r w:rsidRPr="00063061">
        <w:rPr>
          <w:rFonts w:cstheme="minorHAnsi"/>
        </w:rPr>
        <w:t xml:space="preserve"> </w:t>
      </w:r>
      <w:r>
        <w:rPr>
          <w:rFonts w:cstheme="minorHAnsi"/>
        </w:rPr>
        <w:t xml:space="preserve">it opens </w:t>
      </w:r>
      <w:r w:rsidRPr="00063061">
        <w:rPr>
          <w:rFonts w:cstheme="minorHAnsi"/>
        </w:rPr>
        <w:t xml:space="preserve">the potential for human </w:t>
      </w:r>
      <w:r>
        <w:rPr>
          <w:rFonts w:cstheme="minorHAnsi"/>
        </w:rPr>
        <w:t>motivation to assist</w:t>
      </w:r>
      <w:r w:rsidRPr="00063061">
        <w:rPr>
          <w:rFonts w:cstheme="minorHAnsi"/>
        </w:rPr>
        <w:t xml:space="preserve">, question, explore and to </w:t>
      </w:r>
      <w:r>
        <w:rPr>
          <w:rFonts w:cstheme="minorHAnsi"/>
        </w:rPr>
        <w:t xml:space="preserve">receive </w:t>
      </w:r>
      <w:r w:rsidRPr="00063061">
        <w:rPr>
          <w:rFonts w:cstheme="minorHAnsi"/>
        </w:rPr>
        <w:t>encouragemen</w:t>
      </w:r>
      <w:r>
        <w:rPr>
          <w:rFonts w:cstheme="minorHAnsi"/>
        </w:rPr>
        <w:t>t</w:t>
      </w:r>
      <w:r w:rsidRPr="00063061">
        <w:rPr>
          <w:rFonts w:cstheme="minorHAnsi"/>
        </w:rPr>
        <w:t xml:space="preserve">. </w:t>
      </w:r>
      <w:r>
        <w:rPr>
          <w:rFonts w:cstheme="minorHAnsi"/>
        </w:rPr>
        <w:t>The theme of cultural knowledge and cultural support was evident in the unique characteristics</w:t>
      </w:r>
      <w:r w:rsidR="00FB7687">
        <w:rPr>
          <w:rFonts w:cstheme="minorHAnsi"/>
        </w:rPr>
        <w:t xml:space="preserve"> of</w:t>
      </w:r>
      <w:r>
        <w:rPr>
          <w:rFonts w:cstheme="minorHAnsi"/>
        </w:rPr>
        <w:t xml:space="preserve"> regional health centres whether this was </w:t>
      </w:r>
      <w:r w:rsidR="00C0147D">
        <w:rPr>
          <w:rFonts w:cstheme="minorHAnsi"/>
        </w:rPr>
        <w:t>through</w:t>
      </w:r>
      <w:r>
        <w:rPr>
          <w:rFonts w:cstheme="minorHAnsi"/>
        </w:rPr>
        <w:t xml:space="preserve"> art</w:t>
      </w:r>
      <w:r w:rsidR="00C0147D">
        <w:rPr>
          <w:rFonts w:cstheme="minorHAnsi"/>
        </w:rPr>
        <w:t>e</w:t>
      </w:r>
      <w:r>
        <w:rPr>
          <w:rFonts w:cstheme="minorHAnsi"/>
        </w:rPr>
        <w:t xml:space="preserve">fact displays or health promotion through community sports. </w:t>
      </w:r>
      <w:r w:rsidR="00C0147D">
        <w:rPr>
          <w:rFonts w:cstheme="minorHAnsi"/>
        </w:rPr>
        <w:t>Pride in</w:t>
      </w:r>
      <w:r>
        <w:rPr>
          <w:rFonts w:cstheme="minorHAnsi"/>
        </w:rPr>
        <w:t xml:space="preserve"> health delivery connected to cultural knowledge was unique in </w:t>
      </w:r>
      <w:r w:rsidR="00C0147D">
        <w:rPr>
          <w:rFonts w:cstheme="minorHAnsi"/>
        </w:rPr>
        <w:t>r</w:t>
      </w:r>
      <w:r>
        <w:rPr>
          <w:rFonts w:cstheme="minorHAnsi"/>
        </w:rPr>
        <w:t>egional centres and</w:t>
      </w:r>
      <w:r w:rsidR="00FB7687">
        <w:rPr>
          <w:rFonts w:cstheme="minorHAnsi"/>
        </w:rPr>
        <w:t xml:space="preserve"> </w:t>
      </w:r>
      <w:r>
        <w:rPr>
          <w:rFonts w:cstheme="minorHAnsi"/>
        </w:rPr>
        <w:t xml:space="preserve">not </w:t>
      </w:r>
      <w:r w:rsidR="00C0147D">
        <w:rPr>
          <w:rFonts w:cstheme="minorHAnsi"/>
        </w:rPr>
        <w:t>as evident</w:t>
      </w:r>
      <w:r>
        <w:rPr>
          <w:rFonts w:cstheme="minorHAnsi"/>
        </w:rPr>
        <w:t xml:space="preserve"> in other</w:t>
      </w:r>
      <w:r w:rsidR="00C0147D">
        <w:rPr>
          <w:rFonts w:cstheme="minorHAnsi"/>
        </w:rPr>
        <w:t xml:space="preserve"> locations.</w:t>
      </w:r>
    </w:p>
    <w:p w14:paraId="4C11EB68" w14:textId="77777777" w:rsidR="00552061" w:rsidRPr="00063061" w:rsidRDefault="00552061" w:rsidP="004257B1">
      <w:pPr>
        <w:pStyle w:val="Heading4"/>
      </w:pPr>
      <w:r w:rsidRPr="00063061">
        <w:t>Confidence</w:t>
      </w:r>
    </w:p>
    <w:p w14:paraId="6680DCDB" w14:textId="104D00FE" w:rsidR="00552061" w:rsidRPr="00063061" w:rsidRDefault="00552061" w:rsidP="00552061">
      <w:pPr>
        <w:rPr>
          <w:rFonts w:cstheme="minorHAnsi"/>
        </w:rPr>
      </w:pPr>
      <w:r w:rsidRPr="00063061">
        <w:rPr>
          <w:rFonts w:cstheme="minorHAnsi"/>
        </w:rPr>
        <w:t xml:space="preserve">The </w:t>
      </w:r>
      <w:r w:rsidR="00C0147D">
        <w:rPr>
          <w:rFonts w:cstheme="minorHAnsi"/>
        </w:rPr>
        <w:t>r</w:t>
      </w:r>
      <w:r w:rsidRPr="00063061">
        <w:rPr>
          <w:rFonts w:cstheme="minorHAnsi"/>
        </w:rPr>
        <w:t xml:space="preserve">egional </w:t>
      </w:r>
      <w:r w:rsidR="00C0147D">
        <w:rPr>
          <w:rFonts w:cstheme="minorHAnsi"/>
        </w:rPr>
        <w:t>c</w:t>
      </w:r>
      <w:r w:rsidRPr="00063061">
        <w:rPr>
          <w:rFonts w:cstheme="minorHAnsi"/>
        </w:rPr>
        <w:t xml:space="preserve">onfidence analysis revealed significant increases in confidence for </w:t>
      </w:r>
      <w:r>
        <w:rPr>
          <w:rFonts w:cstheme="minorHAnsi"/>
        </w:rPr>
        <w:t xml:space="preserve">both </w:t>
      </w:r>
      <w:r w:rsidR="00C0147D">
        <w:rPr>
          <w:rFonts w:cstheme="minorHAnsi"/>
        </w:rPr>
        <w:t>o</w:t>
      </w:r>
      <w:r w:rsidRPr="00063061">
        <w:rPr>
          <w:rFonts w:cstheme="minorHAnsi"/>
        </w:rPr>
        <w:t xml:space="preserve">nline and </w:t>
      </w:r>
      <w:r w:rsidR="00C0147D">
        <w:rPr>
          <w:rFonts w:cstheme="minorHAnsi"/>
        </w:rPr>
        <w:t xml:space="preserve">face-to-face </w:t>
      </w:r>
      <w:r>
        <w:rPr>
          <w:rFonts w:cstheme="minorHAnsi"/>
        </w:rPr>
        <w:t>training</w:t>
      </w:r>
      <w:r w:rsidRPr="00063061">
        <w:rPr>
          <w:rFonts w:cstheme="minorHAnsi"/>
        </w:rPr>
        <w:t xml:space="preserve">. This suggests both methods of training positively influenced staff confidence in regional environments regardless of </w:t>
      </w:r>
      <w:r w:rsidR="00FB7687">
        <w:rPr>
          <w:rFonts w:cstheme="minorHAnsi"/>
        </w:rPr>
        <w:t xml:space="preserve">how </w:t>
      </w:r>
      <w:r>
        <w:rPr>
          <w:rFonts w:cstheme="minorHAnsi"/>
        </w:rPr>
        <w:t xml:space="preserve">training was </w:t>
      </w:r>
      <w:r w:rsidRPr="00063061">
        <w:rPr>
          <w:rFonts w:cstheme="minorHAnsi"/>
        </w:rPr>
        <w:t>delive</w:t>
      </w:r>
      <w:r>
        <w:rPr>
          <w:rFonts w:cstheme="minorHAnsi"/>
        </w:rPr>
        <w:t>red</w:t>
      </w:r>
      <w:r w:rsidRPr="00063061">
        <w:rPr>
          <w:rFonts w:cstheme="minorHAnsi"/>
        </w:rPr>
        <w:t xml:space="preserve">. </w:t>
      </w:r>
      <w:r>
        <w:rPr>
          <w:rFonts w:cstheme="minorHAnsi"/>
        </w:rPr>
        <w:t xml:space="preserve">This was a common response across the sample. </w:t>
      </w:r>
    </w:p>
    <w:p w14:paraId="78A5A2DC" w14:textId="77777777" w:rsidR="00552061" w:rsidRPr="00063061" w:rsidRDefault="00552061" w:rsidP="00366EAB">
      <w:pPr>
        <w:pStyle w:val="Heading3"/>
      </w:pPr>
      <w:bookmarkStart w:id="355" w:name="_Toc44339282"/>
      <w:r w:rsidRPr="00063061">
        <w:t>Remote</w:t>
      </w:r>
      <w:bookmarkEnd w:id="355"/>
    </w:p>
    <w:p w14:paraId="0565C1F2" w14:textId="4A9DE5F4" w:rsidR="00552061" w:rsidRPr="005E702C" w:rsidRDefault="00552061" w:rsidP="00552061">
      <w:r>
        <w:t xml:space="preserve">Remote health centres included in this sample </w:t>
      </w:r>
      <w:r w:rsidRPr="005E702C">
        <w:t xml:space="preserve">reported </w:t>
      </w:r>
      <w:r>
        <w:t xml:space="preserve">the following </w:t>
      </w:r>
      <w:r w:rsidRPr="005E702C">
        <w:t xml:space="preserve">characteristics: A small number of staff servicing many communities; </w:t>
      </w:r>
      <w:r w:rsidR="00C0147D">
        <w:t xml:space="preserve">they were </w:t>
      </w:r>
      <w:r>
        <w:t>o</w:t>
      </w:r>
      <w:r w:rsidRPr="005E702C">
        <w:t>ften poorly resourced</w:t>
      </w:r>
      <w:r w:rsidR="00656CC5">
        <w:t xml:space="preserve"> and</w:t>
      </w:r>
      <w:r w:rsidR="00C0147D">
        <w:t xml:space="preserve"> understaffed</w:t>
      </w:r>
      <w:r w:rsidRPr="005E702C">
        <w:t xml:space="preserve"> and</w:t>
      </w:r>
      <w:r w:rsidR="00656CC5">
        <w:t xml:space="preserve"> </w:t>
      </w:r>
      <w:r w:rsidRPr="005E702C">
        <w:t>under pressure to manage a greater workload than professionals in regional or urban locations</w:t>
      </w:r>
      <w:r>
        <w:t xml:space="preserve">; </w:t>
      </w:r>
      <w:r w:rsidR="00C0147D">
        <w:t xml:space="preserve">there was </w:t>
      </w:r>
      <w:r>
        <w:t xml:space="preserve">minimum allied health representation; </w:t>
      </w:r>
      <w:r w:rsidR="00C0147D">
        <w:t xml:space="preserve">there was </w:t>
      </w:r>
      <w:r>
        <w:t>very good understanding and involvement with the communities they serve</w:t>
      </w:r>
      <w:r w:rsidR="00656CC5">
        <w:t>d and there was</w:t>
      </w:r>
      <w:r>
        <w:t xml:space="preserve"> often personalised door knocking to maintain health service and </w:t>
      </w:r>
      <w:r w:rsidR="00656CC5">
        <w:t xml:space="preserve">for </w:t>
      </w:r>
      <w:r>
        <w:t xml:space="preserve">community outreach.  </w:t>
      </w:r>
    </w:p>
    <w:p w14:paraId="10347A88" w14:textId="268B9AA8" w:rsidR="00530E7C" w:rsidRPr="00530E7C" w:rsidRDefault="00552061" w:rsidP="004257B1">
      <w:pPr>
        <w:pStyle w:val="Heading4"/>
      </w:pPr>
      <w:r w:rsidRPr="00063061">
        <w:t>Role perception</w:t>
      </w:r>
      <w:r>
        <w:t xml:space="preserve"> and </w:t>
      </w:r>
      <w:r w:rsidR="00656CC5">
        <w:t>c</w:t>
      </w:r>
      <w:r>
        <w:t>onfidence</w:t>
      </w:r>
    </w:p>
    <w:p w14:paraId="19E3C39A" w14:textId="5ECBE58F" w:rsidR="00656CC5" w:rsidRDefault="00552061" w:rsidP="0069783C">
      <w:pPr>
        <w:rPr>
          <w:rFonts w:asciiTheme="majorHAnsi" w:eastAsiaTheme="majorEastAsia" w:hAnsiTheme="majorHAnsi" w:cstheme="majorBidi"/>
          <w:b/>
          <w:color w:val="C45911" w:themeColor="accent2" w:themeShade="BF"/>
          <w:sz w:val="48"/>
          <w:szCs w:val="32"/>
          <w:lang w:eastAsia="en-AU"/>
        </w:rPr>
      </w:pPr>
      <w:r w:rsidRPr="00063061">
        <w:rPr>
          <w:rFonts w:cstheme="minorHAnsi"/>
        </w:rPr>
        <w:t xml:space="preserve">Health </w:t>
      </w:r>
      <w:r>
        <w:rPr>
          <w:rFonts w:cstheme="minorHAnsi"/>
        </w:rPr>
        <w:t xml:space="preserve">centre </w:t>
      </w:r>
      <w:r w:rsidRPr="00063061">
        <w:rPr>
          <w:rFonts w:cstheme="minorHAnsi"/>
        </w:rPr>
        <w:t xml:space="preserve">staff from remote locations </w:t>
      </w:r>
      <w:r>
        <w:rPr>
          <w:rFonts w:cstheme="minorHAnsi"/>
        </w:rPr>
        <w:t>reported</w:t>
      </w:r>
      <w:r w:rsidRPr="00063061">
        <w:rPr>
          <w:rFonts w:cstheme="minorHAnsi"/>
        </w:rPr>
        <w:t xml:space="preserve"> </w:t>
      </w:r>
      <w:r>
        <w:rPr>
          <w:rFonts w:cstheme="minorHAnsi"/>
        </w:rPr>
        <w:t xml:space="preserve">a </w:t>
      </w:r>
      <w:r w:rsidRPr="00063061">
        <w:rPr>
          <w:rFonts w:cstheme="minorHAnsi"/>
        </w:rPr>
        <w:t xml:space="preserve">similar </w:t>
      </w:r>
      <w:r>
        <w:rPr>
          <w:rFonts w:cstheme="minorHAnsi"/>
        </w:rPr>
        <w:t>outcome</w:t>
      </w:r>
      <w:r w:rsidRPr="00063061">
        <w:rPr>
          <w:rFonts w:cstheme="minorHAnsi"/>
        </w:rPr>
        <w:t xml:space="preserve"> to </w:t>
      </w:r>
      <w:r>
        <w:rPr>
          <w:rFonts w:cstheme="minorHAnsi"/>
        </w:rPr>
        <w:t xml:space="preserve">that of their </w:t>
      </w:r>
      <w:r w:rsidR="00656CC5">
        <w:rPr>
          <w:rFonts w:cstheme="minorHAnsi"/>
        </w:rPr>
        <w:t>u</w:t>
      </w:r>
      <w:r w:rsidRPr="00063061">
        <w:rPr>
          <w:rFonts w:cstheme="minorHAnsi"/>
        </w:rPr>
        <w:t xml:space="preserve">rban </w:t>
      </w:r>
      <w:r>
        <w:rPr>
          <w:rFonts w:cstheme="minorHAnsi"/>
        </w:rPr>
        <w:t xml:space="preserve">and </w:t>
      </w:r>
      <w:r w:rsidR="00656CC5">
        <w:rPr>
          <w:rFonts w:cstheme="minorHAnsi"/>
        </w:rPr>
        <w:t>r</w:t>
      </w:r>
      <w:r>
        <w:rPr>
          <w:rFonts w:cstheme="minorHAnsi"/>
        </w:rPr>
        <w:t>egional counterparts</w:t>
      </w:r>
      <w:r w:rsidRPr="00063061">
        <w:rPr>
          <w:rFonts w:cstheme="minorHAnsi"/>
        </w:rPr>
        <w:t xml:space="preserve"> in that </w:t>
      </w:r>
      <w:r>
        <w:rPr>
          <w:rFonts w:cstheme="minorHAnsi"/>
        </w:rPr>
        <w:t xml:space="preserve">the </w:t>
      </w:r>
      <w:r w:rsidR="00656CC5">
        <w:rPr>
          <w:rFonts w:cstheme="minorHAnsi"/>
        </w:rPr>
        <w:t xml:space="preserve">face-to-face </w:t>
      </w:r>
      <w:r>
        <w:rPr>
          <w:rFonts w:cstheme="minorHAnsi"/>
        </w:rPr>
        <w:t xml:space="preserve">training group </w:t>
      </w:r>
      <w:r w:rsidRPr="00063061">
        <w:rPr>
          <w:rFonts w:cstheme="minorHAnsi"/>
        </w:rPr>
        <w:t xml:space="preserve">reported a significant increase in </w:t>
      </w:r>
      <w:r>
        <w:rPr>
          <w:rFonts w:cstheme="minorHAnsi"/>
        </w:rPr>
        <w:t xml:space="preserve">perceived role </w:t>
      </w:r>
      <w:r w:rsidRPr="00063061">
        <w:rPr>
          <w:rFonts w:cstheme="minorHAnsi"/>
        </w:rPr>
        <w:t xml:space="preserve">while </w:t>
      </w:r>
      <w:r w:rsidR="00656CC5">
        <w:rPr>
          <w:rFonts w:cstheme="minorHAnsi"/>
        </w:rPr>
        <w:t>the o</w:t>
      </w:r>
      <w:r w:rsidRPr="00063061">
        <w:rPr>
          <w:rFonts w:cstheme="minorHAnsi"/>
        </w:rPr>
        <w:t xml:space="preserve">nline </w:t>
      </w:r>
      <w:r w:rsidR="00656CC5">
        <w:rPr>
          <w:rFonts w:cstheme="minorHAnsi"/>
        </w:rPr>
        <w:t xml:space="preserve">group </w:t>
      </w:r>
      <w:r w:rsidRPr="00063061">
        <w:rPr>
          <w:rFonts w:cstheme="minorHAnsi"/>
        </w:rPr>
        <w:t xml:space="preserve">did not. </w:t>
      </w:r>
      <w:r>
        <w:rPr>
          <w:rFonts w:cstheme="minorHAnsi"/>
        </w:rPr>
        <w:t>B</w:t>
      </w:r>
      <w:r w:rsidRPr="00063061">
        <w:rPr>
          <w:rFonts w:cstheme="minorHAnsi"/>
        </w:rPr>
        <w:t xml:space="preserve">oth </w:t>
      </w:r>
      <w:r>
        <w:rPr>
          <w:rFonts w:cstheme="minorHAnsi"/>
        </w:rPr>
        <w:t>training</w:t>
      </w:r>
      <w:r w:rsidRPr="00063061">
        <w:rPr>
          <w:rFonts w:cstheme="minorHAnsi"/>
        </w:rPr>
        <w:t xml:space="preserve"> methods increased confidence to implement the Alternative Pathway for remote staff. </w:t>
      </w:r>
    </w:p>
    <w:p w14:paraId="2E1DE9BE" w14:textId="4EBF3F14" w:rsidR="00E0142E" w:rsidRDefault="00104BF2" w:rsidP="00510A67">
      <w:pPr>
        <w:pStyle w:val="Heading1"/>
      </w:pPr>
      <w:bookmarkStart w:id="356" w:name="_Toc44339283"/>
      <w:bookmarkStart w:id="357" w:name="_Toc45539294"/>
      <w:bookmarkStart w:id="358" w:name="_Toc54954880"/>
      <w:r>
        <w:lastRenderedPageBreak/>
        <w:t>A</w:t>
      </w:r>
      <w:r w:rsidR="00E0142E">
        <w:t>ppendix F</w:t>
      </w:r>
      <w:bookmarkEnd w:id="356"/>
      <w:bookmarkEnd w:id="357"/>
      <w:bookmarkEnd w:id="358"/>
    </w:p>
    <w:p w14:paraId="5BFAB391" w14:textId="158F1B7B" w:rsidR="009561F3" w:rsidRDefault="009561F3" w:rsidP="00070C12">
      <w:pPr>
        <w:pStyle w:val="Heading2"/>
      </w:pPr>
      <w:bookmarkStart w:id="359" w:name="_Toc44339284"/>
      <w:bookmarkStart w:id="360" w:name="_Toc45539295"/>
      <w:bookmarkStart w:id="361" w:name="_Toc54954881"/>
      <w:r>
        <w:t xml:space="preserve">Methods </w:t>
      </w:r>
      <w:r w:rsidR="00995F8C">
        <w:t>used to describe and classify how health centres delivered the Alternative Pathway</w:t>
      </w:r>
      <w:bookmarkEnd w:id="359"/>
      <w:bookmarkEnd w:id="360"/>
      <w:bookmarkEnd w:id="361"/>
    </w:p>
    <w:p w14:paraId="5609AF17" w14:textId="77777777" w:rsidR="00995F8C" w:rsidRDefault="00995F8C" w:rsidP="00995F8C">
      <w:r>
        <w:t xml:space="preserve">Three sets of qualitative data were gathered over the course of the Pilot that included information about how health centres intended to, or had, offered the Alternative Pathway to clients. These data were collected through: </w:t>
      </w:r>
    </w:p>
    <w:p w14:paraId="73D316B5" w14:textId="77777777" w:rsidR="00995F8C" w:rsidRDefault="00995F8C" w:rsidP="00C77532">
      <w:pPr>
        <w:pStyle w:val="ListParagraph"/>
        <w:numPr>
          <w:ilvl w:val="0"/>
          <w:numId w:val="51"/>
        </w:numPr>
      </w:pPr>
      <w:r>
        <w:t xml:space="preserve">The Quality and Safety Checklist (QSC), described earlier, conducted before sites were approved to distribute kits); </w:t>
      </w:r>
    </w:p>
    <w:p w14:paraId="1B09F256" w14:textId="1E540541" w:rsidR="00995F8C" w:rsidRDefault="00995F8C" w:rsidP="00C77532">
      <w:pPr>
        <w:pStyle w:val="ListParagraph"/>
        <w:numPr>
          <w:ilvl w:val="0"/>
          <w:numId w:val="51"/>
        </w:numPr>
      </w:pPr>
      <w:r w:rsidRPr="00995F8C">
        <w:rPr>
          <w:i/>
          <w:iCs/>
        </w:rPr>
        <w:t>Implementation phase</w:t>
      </w:r>
      <w:r>
        <w:t xml:space="preserve"> interviews with </w:t>
      </w:r>
      <w:r w:rsidR="00A141EA">
        <w:t>s</w:t>
      </w:r>
      <w:r>
        <w:t xml:space="preserve">ite </w:t>
      </w:r>
      <w:r w:rsidR="00A141EA">
        <w:t>c</w:t>
      </w:r>
      <w:r>
        <w:t xml:space="preserve">oordinators (conducted at least nine weeks after health centres were approved to give out kits to patients); </w:t>
      </w:r>
    </w:p>
    <w:p w14:paraId="7BC57C36" w14:textId="0182A015" w:rsidR="00995F8C" w:rsidRDefault="00995F8C" w:rsidP="00C77532">
      <w:pPr>
        <w:pStyle w:val="ListParagraph"/>
        <w:numPr>
          <w:ilvl w:val="0"/>
          <w:numId w:val="51"/>
        </w:numPr>
      </w:pPr>
      <w:r w:rsidRPr="00995F8C">
        <w:rPr>
          <w:i/>
          <w:iCs/>
        </w:rPr>
        <w:t>Post-Pilot</w:t>
      </w:r>
      <w:r>
        <w:t xml:space="preserve"> interviews with staff and managers, including </w:t>
      </w:r>
      <w:r w:rsidR="00A141EA">
        <w:t>s</w:t>
      </w:r>
      <w:r>
        <w:t xml:space="preserve">ite </w:t>
      </w:r>
      <w:r w:rsidR="00A141EA">
        <w:t>c</w:t>
      </w:r>
      <w:r>
        <w:t xml:space="preserve">oordinators (November 2019 to March 2020).  </w:t>
      </w:r>
    </w:p>
    <w:p w14:paraId="623B2BE9" w14:textId="3ACFC182" w:rsidR="00995F8C" w:rsidRDefault="00995F8C" w:rsidP="00995F8C">
      <w:r>
        <w:t>Health centre participation in each round of data collection was less than 100</w:t>
      </w:r>
      <w:r w:rsidR="00A141EA">
        <w:t>%</w:t>
      </w:r>
      <w:r>
        <w:t>. In particular the number of health centres covered by post-Pilot interviews was dramatically limited by the closure of Indigenous communities due to the Covid-19 pandemic. As a result, interviews were collected from only 18 health centres (50 staff interviewed).  Where post-Pilot interviews were</w:t>
      </w:r>
      <w:r w:rsidR="00A141EA">
        <w:t xml:space="preserve"> un</w:t>
      </w:r>
      <w:r>
        <w:t xml:space="preserve">available, the analysis below drew on the </w:t>
      </w:r>
      <w:r w:rsidR="00A141EA">
        <w:t>i</w:t>
      </w:r>
      <w:r>
        <w:t xml:space="preserve">mplementation interviews or QSC. Table </w:t>
      </w:r>
      <w:r w:rsidR="00656CC5">
        <w:t>F</w:t>
      </w:r>
      <w:r>
        <w:t xml:space="preserve">-1 shows the number of health centres represented in each data set, by group. </w:t>
      </w:r>
    </w:p>
    <w:p w14:paraId="68E17A7C" w14:textId="77777777" w:rsidR="00586CDD" w:rsidRDefault="00586CDD" w:rsidP="00586CDD">
      <w:r>
        <w:t xml:space="preserve">Key steps in the process of offering the Alternative Pathway to patients were identified from the QSC and implementation phase interviews. Two coders reviewed the data for each health centre, categorising the approach at each step. The resulting typology of approaches was then fed back to health centre staff and managers as part of a post-Pilot feedback session (held </w:t>
      </w:r>
      <w:r w:rsidRPr="00516DB9">
        <w:rPr>
          <w:i/>
          <w:iCs/>
        </w:rPr>
        <w:t>after</w:t>
      </w:r>
      <w:r>
        <w:t xml:space="preserve"> post-Pilot interviews were conducted).  </w:t>
      </w:r>
    </w:p>
    <w:p w14:paraId="2D24E860" w14:textId="77777777" w:rsidR="00586CDD" w:rsidRPr="00586CDD" w:rsidRDefault="00586CDD" w:rsidP="00586CDD">
      <w:r w:rsidRPr="00586CDD">
        <w:t xml:space="preserve">Unlike the QSC and implementation interviews, the post-Pilot interviews offered multiple perspectives on a health centre’s approach. The interviews from staff and managers at each health centre were read and analysed, with key information extracted and combined to develop a brief description (reflecting the collective views) of how each health centre offered the Alternative Pathway. </w:t>
      </w:r>
    </w:p>
    <w:p w14:paraId="1763C0A0" w14:textId="77777777" w:rsidR="00586CDD" w:rsidRDefault="00586CDD" w:rsidP="00995F8C"/>
    <w:p w14:paraId="15E609A2" w14:textId="504E314F" w:rsidR="00586CDD" w:rsidRPr="00586CDD" w:rsidRDefault="00586CDD" w:rsidP="00586CDD">
      <w:pPr>
        <w:keepNext/>
        <w:rPr>
          <w:b/>
          <w:bCs/>
          <w:sz w:val="20"/>
          <w:szCs w:val="20"/>
        </w:rPr>
      </w:pPr>
      <w:r w:rsidRPr="00A141EA">
        <w:rPr>
          <w:b/>
          <w:bCs/>
          <w:sz w:val="20"/>
          <w:szCs w:val="20"/>
        </w:rPr>
        <w:lastRenderedPageBreak/>
        <w:t xml:space="preserve">Table </w:t>
      </w:r>
      <w:r w:rsidR="00656CC5">
        <w:rPr>
          <w:b/>
          <w:bCs/>
          <w:sz w:val="20"/>
          <w:szCs w:val="20"/>
        </w:rPr>
        <w:t>F</w:t>
      </w:r>
      <w:r w:rsidRPr="00A141EA">
        <w:rPr>
          <w:b/>
          <w:bCs/>
          <w:sz w:val="20"/>
          <w:szCs w:val="20"/>
        </w:rPr>
        <w:t>-1</w:t>
      </w:r>
      <w:r>
        <w:rPr>
          <w:b/>
          <w:bCs/>
          <w:sz w:val="20"/>
          <w:szCs w:val="20"/>
        </w:rPr>
        <w:t>:</w:t>
      </w:r>
      <w:r w:rsidRPr="00A141EA">
        <w:rPr>
          <w:b/>
          <w:bCs/>
          <w:sz w:val="20"/>
          <w:szCs w:val="20"/>
        </w:rPr>
        <w:t xml:space="preserve"> Health centre coverage in qualitative data sets</w:t>
      </w:r>
    </w:p>
    <w:tbl>
      <w:tblPr>
        <w:tblStyle w:val="ListTable3"/>
        <w:tblpPr w:leftFromText="180" w:rightFromText="180" w:vertAnchor="text" w:horzAnchor="margin" w:tblpY="120"/>
        <w:tblW w:w="9351" w:type="dxa"/>
        <w:tblLayout w:type="fixed"/>
        <w:tblCellMar>
          <w:top w:w="28" w:type="dxa"/>
          <w:bottom w:w="28" w:type="dxa"/>
        </w:tblCellMar>
        <w:tblLook w:val="04A0" w:firstRow="1" w:lastRow="0" w:firstColumn="1" w:lastColumn="0" w:noHBand="0" w:noVBand="1"/>
      </w:tblPr>
      <w:tblGrid>
        <w:gridCol w:w="3114"/>
        <w:gridCol w:w="283"/>
        <w:gridCol w:w="992"/>
        <w:gridCol w:w="992"/>
        <w:gridCol w:w="993"/>
        <w:gridCol w:w="992"/>
        <w:gridCol w:w="992"/>
        <w:gridCol w:w="993"/>
      </w:tblGrid>
      <w:tr w:rsidR="00FA5D02" w14:paraId="15F308F7" w14:textId="77777777" w:rsidTr="00F354AA">
        <w:trPr>
          <w:cnfStyle w:val="100000000000" w:firstRow="1" w:lastRow="0" w:firstColumn="0" w:lastColumn="0" w:oddVBand="0" w:evenVBand="0" w:oddHBand="0" w:evenHBand="0" w:firstRowFirstColumn="0" w:firstRowLastColumn="0" w:lastRowFirstColumn="0" w:lastRowLastColumn="0"/>
          <w:cantSplit/>
          <w:trHeight w:val="666"/>
          <w:tblHeader/>
        </w:trPr>
        <w:tc>
          <w:tcPr>
            <w:cnfStyle w:val="001000000100" w:firstRow="0" w:lastRow="0" w:firstColumn="1" w:lastColumn="0" w:oddVBand="0" w:evenVBand="0" w:oddHBand="0" w:evenHBand="0" w:firstRowFirstColumn="1" w:firstRowLastColumn="0" w:lastRowFirstColumn="0" w:lastRowLastColumn="0"/>
            <w:tcW w:w="3114" w:type="dxa"/>
            <w:tcBorders>
              <w:top w:val="single" w:sz="4" w:space="0" w:color="000000" w:themeColor="text1"/>
              <w:bottom w:val="single" w:sz="4" w:space="0" w:color="000000" w:themeColor="text1"/>
              <w:right w:val="single" w:sz="4" w:space="0" w:color="auto"/>
            </w:tcBorders>
          </w:tcPr>
          <w:p w14:paraId="62249A7B" w14:textId="77777777" w:rsidR="00FA5D02" w:rsidRPr="00310844" w:rsidRDefault="00FA5D02" w:rsidP="00FA5D02">
            <w:pPr>
              <w:spacing w:after="120"/>
              <w:jc w:val="center"/>
              <w:rPr>
                <w:b w:val="0"/>
                <w:bCs w:val="0"/>
                <w:sz w:val="20"/>
                <w:szCs w:val="20"/>
              </w:rPr>
            </w:pPr>
            <w:r>
              <w:rPr>
                <w:sz w:val="20"/>
                <w:szCs w:val="20"/>
              </w:rPr>
              <w:t>Health centre grouping</w:t>
            </w:r>
          </w:p>
        </w:tc>
        <w:tc>
          <w:tcPr>
            <w:tcW w:w="6237" w:type="dxa"/>
            <w:gridSpan w:val="7"/>
            <w:tcBorders>
              <w:left w:val="single" w:sz="4" w:space="0" w:color="auto"/>
              <w:bottom w:val="single" w:sz="4" w:space="0" w:color="000000" w:themeColor="text1"/>
            </w:tcBorders>
          </w:tcPr>
          <w:p w14:paraId="31474371" w14:textId="77777777" w:rsidR="00FA5D02" w:rsidRPr="00310844" w:rsidRDefault="00FA5D02" w:rsidP="00FA5D02">
            <w:pPr>
              <w:spacing w:after="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10844">
              <w:rPr>
                <w:sz w:val="20"/>
                <w:szCs w:val="20"/>
              </w:rPr>
              <w:t xml:space="preserve">Number of health centres </w:t>
            </w:r>
            <w:r>
              <w:rPr>
                <w:sz w:val="20"/>
                <w:szCs w:val="20"/>
              </w:rPr>
              <w:t>in each data set</w:t>
            </w:r>
          </w:p>
        </w:tc>
      </w:tr>
      <w:tr w:rsidR="00FA5D02" w14:paraId="419DB174" w14:textId="77777777" w:rsidTr="00F354AA">
        <w:trPr>
          <w:cnfStyle w:val="100000000000" w:firstRow="1" w:lastRow="0" w:firstColumn="0" w:lastColumn="0" w:oddVBand="0" w:evenVBand="0" w:oddHBand="0" w:evenHBand="0" w:firstRowFirstColumn="0" w:firstRowLastColumn="0" w:lastRowFirstColumn="0" w:lastRowLastColumn="0"/>
          <w:cantSplit/>
          <w:trHeight w:val="509"/>
          <w:tblHeader/>
        </w:trPr>
        <w:tc>
          <w:tcPr>
            <w:cnfStyle w:val="001000000100" w:firstRow="0" w:lastRow="0" w:firstColumn="1" w:lastColumn="0" w:oddVBand="0" w:evenVBand="0" w:oddHBand="0" w:evenHBand="0" w:firstRowFirstColumn="1" w:firstRowLastColumn="0" w:lastRowFirstColumn="0" w:lastRowLastColumn="0"/>
            <w:tcW w:w="3397" w:type="dxa"/>
            <w:gridSpan w:val="2"/>
            <w:tcBorders>
              <w:bottom w:val="nil"/>
            </w:tcBorders>
            <w:shd w:val="clear" w:color="auto" w:fill="D0CECE" w:themeFill="background2" w:themeFillShade="E6"/>
          </w:tcPr>
          <w:p w14:paraId="27ABA713" w14:textId="77777777" w:rsidR="00FA5D02" w:rsidRPr="002A7BF8" w:rsidRDefault="00FA5D02" w:rsidP="00FA5D02">
            <w:pPr>
              <w:spacing w:before="40"/>
              <w:rPr>
                <w:sz w:val="20"/>
                <w:szCs w:val="20"/>
              </w:rPr>
            </w:pPr>
          </w:p>
        </w:tc>
        <w:tc>
          <w:tcPr>
            <w:tcW w:w="1984" w:type="dxa"/>
            <w:gridSpan w:val="2"/>
            <w:tcBorders>
              <w:left w:val="nil"/>
              <w:bottom w:val="nil"/>
              <w:right w:val="nil"/>
            </w:tcBorders>
            <w:shd w:val="clear" w:color="auto" w:fill="D0CECE" w:themeFill="background2" w:themeFillShade="E6"/>
          </w:tcPr>
          <w:p w14:paraId="7F355858" w14:textId="77777777" w:rsidR="00FA5D02" w:rsidRPr="00586CDD" w:rsidRDefault="00FA5D02" w:rsidP="00FA5D0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586CDD">
              <w:rPr>
                <w:color w:val="000000" w:themeColor="text1"/>
                <w:sz w:val="18"/>
                <w:szCs w:val="18"/>
              </w:rPr>
              <w:t>Post-Pilot</w:t>
            </w:r>
            <w:r w:rsidRPr="00586CDD">
              <w:rPr>
                <w:color w:val="000000" w:themeColor="text1"/>
                <w:sz w:val="18"/>
                <w:szCs w:val="18"/>
              </w:rPr>
              <w:br/>
              <w:t>interviews</w:t>
            </w:r>
          </w:p>
        </w:tc>
        <w:tc>
          <w:tcPr>
            <w:tcW w:w="1985" w:type="dxa"/>
            <w:gridSpan w:val="2"/>
            <w:tcBorders>
              <w:left w:val="nil"/>
              <w:bottom w:val="nil"/>
              <w:right w:val="nil"/>
            </w:tcBorders>
            <w:shd w:val="clear" w:color="auto" w:fill="D0CECE" w:themeFill="background2" w:themeFillShade="E6"/>
          </w:tcPr>
          <w:p w14:paraId="3C8B1D02" w14:textId="77777777" w:rsidR="00FA5D02" w:rsidRPr="00586CDD" w:rsidRDefault="00FA5D02" w:rsidP="00FA5D0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586CDD">
              <w:rPr>
                <w:color w:val="000000" w:themeColor="text1"/>
                <w:sz w:val="18"/>
                <w:szCs w:val="18"/>
              </w:rPr>
              <w:t>Implementation interview</w:t>
            </w:r>
          </w:p>
        </w:tc>
        <w:tc>
          <w:tcPr>
            <w:tcW w:w="1985" w:type="dxa"/>
            <w:gridSpan w:val="2"/>
            <w:tcBorders>
              <w:left w:val="nil"/>
              <w:bottom w:val="nil"/>
            </w:tcBorders>
            <w:shd w:val="clear" w:color="auto" w:fill="D0CECE" w:themeFill="background2" w:themeFillShade="E6"/>
          </w:tcPr>
          <w:p w14:paraId="3FE4A513" w14:textId="77777777" w:rsidR="00FA5D02" w:rsidRPr="00586CDD" w:rsidRDefault="00FA5D02" w:rsidP="00FA5D0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586CDD">
              <w:rPr>
                <w:color w:val="000000" w:themeColor="text1"/>
                <w:sz w:val="18"/>
                <w:szCs w:val="18"/>
              </w:rPr>
              <w:t>Quality and Safety</w:t>
            </w:r>
            <w:r w:rsidRPr="00586CDD">
              <w:rPr>
                <w:color w:val="000000" w:themeColor="text1"/>
                <w:sz w:val="18"/>
                <w:szCs w:val="18"/>
              </w:rPr>
              <w:br/>
              <w:t>Checklist</w:t>
            </w:r>
          </w:p>
        </w:tc>
      </w:tr>
      <w:tr w:rsidR="00FA5D02" w:rsidRPr="005D4263" w14:paraId="1B2CF3CA" w14:textId="77777777" w:rsidTr="00F354AA">
        <w:trPr>
          <w:cnfStyle w:val="100000000000" w:firstRow="1" w:lastRow="0" w:firstColumn="0" w:lastColumn="0" w:oddVBand="0" w:evenVBand="0" w:oddHBand="0" w:evenHBand="0" w:firstRowFirstColumn="0" w:firstRowLastColumn="0" w:lastRowFirstColumn="0" w:lastRowLastColumn="0"/>
          <w:cantSplit/>
          <w:trHeight w:hRule="exact" w:val="340"/>
          <w:tblHeader/>
        </w:trPr>
        <w:tc>
          <w:tcPr>
            <w:cnfStyle w:val="001000000100" w:firstRow="0" w:lastRow="0" w:firstColumn="1" w:lastColumn="0" w:oddVBand="0" w:evenVBand="0" w:oddHBand="0" w:evenHBand="0" w:firstRowFirstColumn="1" w:firstRowLastColumn="0" w:lastRowFirstColumn="0" w:lastRowLastColumn="0"/>
            <w:tcW w:w="3397" w:type="dxa"/>
            <w:gridSpan w:val="2"/>
            <w:tcBorders>
              <w:top w:val="nil"/>
            </w:tcBorders>
            <w:shd w:val="clear" w:color="auto" w:fill="D0CECE" w:themeFill="background2" w:themeFillShade="E6"/>
          </w:tcPr>
          <w:p w14:paraId="59AD8A07" w14:textId="77777777" w:rsidR="00FA5D02" w:rsidRPr="005D4263" w:rsidRDefault="00FA5D02" w:rsidP="00FA5D02">
            <w:pPr>
              <w:spacing w:before="40" w:after="40" w:line="240" w:lineRule="auto"/>
              <w:rPr>
                <w:b w:val="0"/>
                <w:bCs w:val="0"/>
                <w:color w:val="000000" w:themeColor="text1"/>
                <w:sz w:val="20"/>
                <w:szCs w:val="20"/>
              </w:rPr>
            </w:pPr>
          </w:p>
        </w:tc>
        <w:tc>
          <w:tcPr>
            <w:tcW w:w="992" w:type="dxa"/>
            <w:tcBorders>
              <w:top w:val="nil"/>
              <w:left w:val="nil"/>
              <w:bottom w:val="nil"/>
              <w:right w:val="nil"/>
            </w:tcBorders>
            <w:shd w:val="clear" w:color="auto" w:fill="D0CECE" w:themeFill="background2" w:themeFillShade="E6"/>
          </w:tcPr>
          <w:p w14:paraId="7195150B" w14:textId="77777777" w:rsidR="00FA5D02" w:rsidRPr="007506C7" w:rsidRDefault="00FA5D02" w:rsidP="00FA5D02">
            <w:pPr>
              <w:spacing w:before="40" w:after="40"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7506C7">
              <w:rPr>
                <w:color w:val="000000" w:themeColor="text1"/>
                <w:sz w:val="18"/>
                <w:szCs w:val="18"/>
              </w:rPr>
              <w:t>n</w:t>
            </w:r>
          </w:p>
        </w:tc>
        <w:tc>
          <w:tcPr>
            <w:tcW w:w="992" w:type="dxa"/>
            <w:tcBorders>
              <w:top w:val="nil"/>
              <w:left w:val="nil"/>
              <w:bottom w:val="nil"/>
              <w:right w:val="nil"/>
            </w:tcBorders>
            <w:shd w:val="clear" w:color="auto" w:fill="D0CECE" w:themeFill="background2" w:themeFillShade="E6"/>
          </w:tcPr>
          <w:p w14:paraId="7F55336A" w14:textId="77777777" w:rsidR="00FA5D02" w:rsidRPr="007506C7" w:rsidRDefault="00FA5D02" w:rsidP="00FA5D02">
            <w:pPr>
              <w:spacing w:before="40" w:after="40"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7506C7">
              <w:rPr>
                <w:color w:val="000000" w:themeColor="text1"/>
                <w:sz w:val="18"/>
                <w:szCs w:val="18"/>
              </w:rPr>
              <w:t>%</w:t>
            </w:r>
          </w:p>
        </w:tc>
        <w:tc>
          <w:tcPr>
            <w:tcW w:w="993" w:type="dxa"/>
            <w:tcBorders>
              <w:top w:val="nil"/>
              <w:left w:val="nil"/>
              <w:bottom w:val="nil"/>
              <w:right w:val="nil"/>
            </w:tcBorders>
            <w:shd w:val="clear" w:color="auto" w:fill="D0CECE" w:themeFill="background2" w:themeFillShade="E6"/>
          </w:tcPr>
          <w:p w14:paraId="02A2636C" w14:textId="77777777" w:rsidR="00FA5D02" w:rsidRPr="007506C7" w:rsidRDefault="00FA5D02" w:rsidP="00FA5D02">
            <w:pPr>
              <w:spacing w:before="40" w:after="40"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7506C7">
              <w:rPr>
                <w:color w:val="000000" w:themeColor="text1"/>
                <w:sz w:val="18"/>
                <w:szCs w:val="18"/>
              </w:rPr>
              <w:t>n</w:t>
            </w:r>
          </w:p>
        </w:tc>
        <w:tc>
          <w:tcPr>
            <w:tcW w:w="992" w:type="dxa"/>
            <w:tcBorders>
              <w:top w:val="nil"/>
              <w:left w:val="nil"/>
              <w:bottom w:val="nil"/>
              <w:right w:val="nil"/>
            </w:tcBorders>
            <w:shd w:val="clear" w:color="auto" w:fill="D0CECE" w:themeFill="background2" w:themeFillShade="E6"/>
          </w:tcPr>
          <w:p w14:paraId="2ACCC7BB" w14:textId="77777777" w:rsidR="00FA5D02" w:rsidRPr="007506C7" w:rsidRDefault="00FA5D02" w:rsidP="00FA5D02">
            <w:pPr>
              <w:spacing w:before="40" w:after="40"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7506C7">
              <w:rPr>
                <w:color w:val="000000" w:themeColor="text1"/>
                <w:sz w:val="18"/>
                <w:szCs w:val="18"/>
              </w:rPr>
              <w:t>%</w:t>
            </w:r>
          </w:p>
        </w:tc>
        <w:tc>
          <w:tcPr>
            <w:tcW w:w="992" w:type="dxa"/>
            <w:tcBorders>
              <w:top w:val="nil"/>
              <w:left w:val="nil"/>
              <w:bottom w:val="nil"/>
              <w:right w:val="nil"/>
            </w:tcBorders>
            <w:shd w:val="clear" w:color="auto" w:fill="D0CECE" w:themeFill="background2" w:themeFillShade="E6"/>
          </w:tcPr>
          <w:p w14:paraId="0D170BD5" w14:textId="77777777" w:rsidR="00FA5D02" w:rsidRPr="007506C7" w:rsidRDefault="00FA5D02" w:rsidP="00FA5D02">
            <w:pPr>
              <w:spacing w:before="40" w:after="40"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7506C7">
              <w:rPr>
                <w:color w:val="000000" w:themeColor="text1"/>
                <w:sz w:val="18"/>
                <w:szCs w:val="18"/>
              </w:rPr>
              <w:t>n</w:t>
            </w:r>
          </w:p>
        </w:tc>
        <w:tc>
          <w:tcPr>
            <w:tcW w:w="993" w:type="dxa"/>
            <w:tcBorders>
              <w:top w:val="nil"/>
              <w:left w:val="nil"/>
              <w:bottom w:val="nil"/>
              <w:right w:val="single" w:sz="4" w:space="0" w:color="auto"/>
            </w:tcBorders>
            <w:shd w:val="clear" w:color="auto" w:fill="D0CECE" w:themeFill="background2" w:themeFillShade="E6"/>
          </w:tcPr>
          <w:p w14:paraId="482DAC04" w14:textId="77777777" w:rsidR="00FA5D02" w:rsidRPr="007506C7" w:rsidRDefault="00FA5D02" w:rsidP="00FA5D02">
            <w:pPr>
              <w:spacing w:before="40" w:after="40"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7506C7">
              <w:rPr>
                <w:color w:val="000000" w:themeColor="text1"/>
                <w:sz w:val="18"/>
                <w:szCs w:val="18"/>
              </w:rPr>
              <w:t>%</w:t>
            </w:r>
          </w:p>
        </w:tc>
      </w:tr>
      <w:tr w:rsidR="00FA5D02" w14:paraId="6E59B6AA" w14:textId="77777777" w:rsidTr="00FA5D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26915A29" w14:textId="77777777" w:rsidR="00FA5D02" w:rsidRPr="002A7BF8" w:rsidRDefault="00FA5D02" w:rsidP="00FA5D02">
            <w:pPr>
              <w:snapToGrid w:val="0"/>
              <w:spacing w:before="100" w:beforeAutospacing="1" w:after="100" w:afterAutospacing="1" w:line="240" w:lineRule="auto"/>
              <w:rPr>
                <w:b w:val="0"/>
                <w:bCs w:val="0"/>
                <w:i/>
                <w:iCs/>
                <w:sz w:val="20"/>
                <w:szCs w:val="20"/>
              </w:rPr>
            </w:pPr>
            <w:r w:rsidRPr="002A7BF8">
              <w:rPr>
                <w:b w:val="0"/>
                <w:bCs w:val="0"/>
                <w:i/>
                <w:iCs/>
                <w:sz w:val="20"/>
                <w:szCs w:val="20"/>
              </w:rPr>
              <w:t>All health centres</w:t>
            </w:r>
          </w:p>
        </w:tc>
        <w:tc>
          <w:tcPr>
            <w:tcW w:w="992" w:type="dxa"/>
            <w:tcBorders>
              <w:top w:val="nil"/>
              <w:left w:val="nil"/>
              <w:bottom w:val="nil"/>
              <w:right w:val="nil"/>
            </w:tcBorders>
            <w:vAlign w:val="center"/>
          </w:tcPr>
          <w:p w14:paraId="313C9F34"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18/47</w:t>
            </w:r>
          </w:p>
        </w:tc>
        <w:tc>
          <w:tcPr>
            <w:tcW w:w="992" w:type="dxa"/>
            <w:tcBorders>
              <w:top w:val="nil"/>
              <w:left w:val="nil"/>
              <w:bottom w:val="nil"/>
              <w:right w:val="nil"/>
            </w:tcBorders>
            <w:vAlign w:val="center"/>
          </w:tcPr>
          <w:p w14:paraId="7DB44C3A"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38.29</w:t>
            </w:r>
          </w:p>
        </w:tc>
        <w:tc>
          <w:tcPr>
            <w:tcW w:w="993" w:type="dxa"/>
            <w:tcBorders>
              <w:top w:val="nil"/>
              <w:left w:val="nil"/>
              <w:bottom w:val="nil"/>
              <w:right w:val="nil"/>
            </w:tcBorders>
            <w:vAlign w:val="center"/>
          </w:tcPr>
          <w:p w14:paraId="08DD5212"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41/47</w:t>
            </w:r>
          </w:p>
        </w:tc>
        <w:tc>
          <w:tcPr>
            <w:tcW w:w="992" w:type="dxa"/>
            <w:tcBorders>
              <w:top w:val="nil"/>
              <w:left w:val="nil"/>
              <w:bottom w:val="nil"/>
              <w:right w:val="nil"/>
            </w:tcBorders>
            <w:vAlign w:val="center"/>
          </w:tcPr>
          <w:p w14:paraId="2DA23FE7"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87.23</w:t>
            </w:r>
          </w:p>
        </w:tc>
        <w:tc>
          <w:tcPr>
            <w:tcW w:w="992" w:type="dxa"/>
            <w:tcBorders>
              <w:top w:val="nil"/>
              <w:left w:val="nil"/>
              <w:bottom w:val="nil"/>
              <w:right w:val="nil"/>
            </w:tcBorders>
            <w:vAlign w:val="center"/>
          </w:tcPr>
          <w:p w14:paraId="447A3FB5"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44/47</w:t>
            </w:r>
          </w:p>
        </w:tc>
        <w:tc>
          <w:tcPr>
            <w:tcW w:w="993" w:type="dxa"/>
            <w:tcBorders>
              <w:top w:val="nil"/>
              <w:left w:val="nil"/>
              <w:bottom w:val="nil"/>
            </w:tcBorders>
            <w:vAlign w:val="center"/>
          </w:tcPr>
          <w:p w14:paraId="20EAE4D6"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93.61</w:t>
            </w:r>
          </w:p>
        </w:tc>
      </w:tr>
      <w:tr w:rsidR="00FA5D02" w14:paraId="4EB72DA0" w14:textId="77777777" w:rsidTr="00FA5D02">
        <w:trPr>
          <w:trHeight w:val="397"/>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shd w:val="clear" w:color="auto" w:fill="D0CECE" w:themeFill="background2" w:themeFillShade="E6"/>
            <w:vAlign w:val="center"/>
          </w:tcPr>
          <w:p w14:paraId="02C17832" w14:textId="77777777" w:rsidR="00FA5D02" w:rsidRPr="00B119CA" w:rsidRDefault="00FA5D02" w:rsidP="00FA5D02">
            <w:pPr>
              <w:snapToGrid w:val="0"/>
              <w:spacing w:before="100" w:beforeAutospacing="1" w:after="100" w:afterAutospacing="1" w:line="240" w:lineRule="auto"/>
              <w:rPr>
                <w:sz w:val="20"/>
                <w:szCs w:val="20"/>
              </w:rPr>
            </w:pPr>
            <w:r w:rsidRPr="00B119CA">
              <w:rPr>
                <w:sz w:val="20"/>
                <w:szCs w:val="20"/>
              </w:rPr>
              <w:t>Screening activity</w:t>
            </w:r>
          </w:p>
        </w:tc>
        <w:tc>
          <w:tcPr>
            <w:tcW w:w="992" w:type="dxa"/>
            <w:tcBorders>
              <w:top w:val="nil"/>
              <w:left w:val="nil"/>
              <w:bottom w:val="nil"/>
              <w:right w:val="nil"/>
            </w:tcBorders>
            <w:shd w:val="clear" w:color="auto" w:fill="D0CECE" w:themeFill="background2" w:themeFillShade="E6"/>
            <w:vAlign w:val="center"/>
          </w:tcPr>
          <w:p w14:paraId="532CC0F3" w14:textId="77777777" w:rsidR="00FA5D0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Borders>
              <w:top w:val="nil"/>
              <w:left w:val="nil"/>
              <w:bottom w:val="nil"/>
              <w:right w:val="nil"/>
            </w:tcBorders>
            <w:shd w:val="clear" w:color="auto" w:fill="D0CECE" w:themeFill="background2" w:themeFillShade="E6"/>
            <w:vAlign w:val="center"/>
          </w:tcPr>
          <w:p w14:paraId="76F2F940" w14:textId="77777777" w:rsidR="00FA5D0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Borders>
              <w:top w:val="nil"/>
              <w:left w:val="nil"/>
              <w:bottom w:val="nil"/>
              <w:right w:val="nil"/>
            </w:tcBorders>
            <w:shd w:val="clear" w:color="auto" w:fill="D0CECE" w:themeFill="background2" w:themeFillShade="E6"/>
            <w:vAlign w:val="center"/>
          </w:tcPr>
          <w:p w14:paraId="62510E53" w14:textId="77777777" w:rsidR="00FA5D0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Borders>
              <w:top w:val="nil"/>
              <w:left w:val="nil"/>
              <w:bottom w:val="nil"/>
              <w:right w:val="nil"/>
            </w:tcBorders>
            <w:shd w:val="clear" w:color="auto" w:fill="D0CECE" w:themeFill="background2" w:themeFillShade="E6"/>
            <w:vAlign w:val="center"/>
          </w:tcPr>
          <w:p w14:paraId="5A9F6C94" w14:textId="77777777" w:rsidR="00FA5D0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Borders>
              <w:top w:val="nil"/>
              <w:left w:val="nil"/>
              <w:bottom w:val="nil"/>
              <w:right w:val="nil"/>
            </w:tcBorders>
            <w:shd w:val="clear" w:color="auto" w:fill="D0CECE" w:themeFill="background2" w:themeFillShade="E6"/>
            <w:vAlign w:val="center"/>
          </w:tcPr>
          <w:p w14:paraId="31154F38" w14:textId="77777777" w:rsidR="00FA5D0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Borders>
              <w:top w:val="nil"/>
              <w:left w:val="nil"/>
              <w:bottom w:val="nil"/>
            </w:tcBorders>
            <w:shd w:val="clear" w:color="auto" w:fill="D0CECE" w:themeFill="background2" w:themeFillShade="E6"/>
            <w:vAlign w:val="center"/>
          </w:tcPr>
          <w:p w14:paraId="198CEEF0" w14:textId="77777777" w:rsidR="00FA5D0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FA5D02" w14:paraId="5AA70A5D" w14:textId="77777777" w:rsidTr="00FA5D02">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645E350E" w14:textId="77777777" w:rsidR="00FA5D02" w:rsidRPr="0027570F" w:rsidRDefault="00FA5D02" w:rsidP="00FA5D02">
            <w:pPr>
              <w:snapToGrid w:val="0"/>
              <w:spacing w:before="100" w:beforeAutospacing="1" w:after="100" w:afterAutospacing="1" w:line="240" w:lineRule="auto"/>
              <w:rPr>
                <w:b w:val="0"/>
                <w:bCs w:val="0"/>
                <w:i/>
                <w:iCs/>
                <w:sz w:val="20"/>
                <w:szCs w:val="20"/>
              </w:rPr>
            </w:pPr>
            <w:r w:rsidRPr="0027570F">
              <w:rPr>
                <w:b w:val="0"/>
                <w:bCs w:val="0"/>
                <w:i/>
                <w:iCs/>
                <w:sz w:val="20"/>
                <w:szCs w:val="20"/>
              </w:rPr>
              <w:t>Gave out kits</w:t>
            </w:r>
          </w:p>
        </w:tc>
        <w:tc>
          <w:tcPr>
            <w:tcW w:w="992" w:type="dxa"/>
            <w:tcBorders>
              <w:top w:val="nil"/>
              <w:left w:val="nil"/>
              <w:bottom w:val="nil"/>
              <w:right w:val="nil"/>
            </w:tcBorders>
            <w:vAlign w:val="center"/>
          </w:tcPr>
          <w:p w14:paraId="0D264370"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17/18</w:t>
            </w:r>
          </w:p>
        </w:tc>
        <w:tc>
          <w:tcPr>
            <w:tcW w:w="992" w:type="dxa"/>
            <w:tcBorders>
              <w:top w:val="nil"/>
              <w:left w:val="nil"/>
              <w:bottom w:val="nil"/>
              <w:right w:val="nil"/>
            </w:tcBorders>
            <w:vAlign w:val="center"/>
          </w:tcPr>
          <w:p w14:paraId="0FF5E201"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94.44</w:t>
            </w:r>
          </w:p>
        </w:tc>
        <w:tc>
          <w:tcPr>
            <w:tcW w:w="993" w:type="dxa"/>
            <w:tcBorders>
              <w:top w:val="nil"/>
              <w:left w:val="nil"/>
              <w:bottom w:val="nil"/>
              <w:right w:val="nil"/>
            </w:tcBorders>
            <w:vAlign w:val="center"/>
          </w:tcPr>
          <w:p w14:paraId="66EBEA52"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35/41</w:t>
            </w:r>
          </w:p>
        </w:tc>
        <w:tc>
          <w:tcPr>
            <w:tcW w:w="992" w:type="dxa"/>
            <w:tcBorders>
              <w:top w:val="nil"/>
              <w:left w:val="nil"/>
              <w:bottom w:val="nil"/>
              <w:right w:val="nil"/>
            </w:tcBorders>
            <w:vAlign w:val="center"/>
          </w:tcPr>
          <w:p w14:paraId="03894135"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85.37</w:t>
            </w:r>
          </w:p>
        </w:tc>
        <w:tc>
          <w:tcPr>
            <w:tcW w:w="992" w:type="dxa"/>
            <w:tcBorders>
              <w:top w:val="nil"/>
              <w:left w:val="nil"/>
              <w:bottom w:val="nil"/>
              <w:right w:val="nil"/>
            </w:tcBorders>
            <w:vAlign w:val="center"/>
          </w:tcPr>
          <w:p w14:paraId="43973391"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36/44</w:t>
            </w:r>
          </w:p>
        </w:tc>
        <w:tc>
          <w:tcPr>
            <w:tcW w:w="993" w:type="dxa"/>
            <w:tcBorders>
              <w:top w:val="nil"/>
              <w:left w:val="nil"/>
              <w:bottom w:val="nil"/>
            </w:tcBorders>
            <w:vAlign w:val="center"/>
          </w:tcPr>
          <w:p w14:paraId="1AA22D0D"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81.82</w:t>
            </w:r>
          </w:p>
        </w:tc>
      </w:tr>
      <w:tr w:rsidR="00FA5D02" w14:paraId="5A7A5523"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554565EE" w14:textId="77777777" w:rsidR="00FA5D02" w:rsidRPr="0027570F" w:rsidRDefault="00FA5D02" w:rsidP="00FA5D02">
            <w:pPr>
              <w:snapToGrid w:val="0"/>
              <w:spacing w:before="100" w:beforeAutospacing="1" w:after="100" w:afterAutospacing="1" w:line="240" w:lineRule="auto"/>
              <w:rPr>
                <w:b w:val="0"/>
                <w:bCs w:val="0"/>
                <w:i/>
                <w:iCs/>
                <w:sz w:val="20"/>
                <w:szCs w:val="20"/>
              </w:rPr>
            </w:pPr>
            <w:r w:rsidRPr="0027570F">
              <w:rPr>
                <w:b w:val="0"/>
                <w:bCs w:val="0"/>
                <w:i/>
                <w:iCs/>
                <w:sz w:val="20"/>
                <w:szCs w:val="20"/>
              </w:rPr>
              <w:t>Did not give out kits</w:t>
            </w:r>
          </w:p>
        </w:tc>
        <w:tc>
          <w:tcPr>
            <w:tcW w:w="992" w:type="dxa"/>
            <w:tcBorders>
              <w:top w:val="nil"/>
              <w:left w:val="nil"/>
              <w:bottom w:val="nil"/>
              <w:right w:val="nil"/>
            </w:tcBorders>
            <w:vAlign w:val="center"/>
          </w:tcPr>
          <w:p w14:paraId="626434A0" w14:textId="77777777" w:rsidR="00FA5D02" w:rsidRPr="006C2E7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992" w:type="dxa"/>
            <w:tcBorders>
              <w:top w:val="nil"/>
              <w:left w:val="nil"/>
              <w:bottom w:val="nil"/>
              <w:right w:val="nil"/>
            </w:tcBorders>
            <w:vAlign w:val="center"/>
          </w:tcPr>
          <w:p w14:paraId="3943BDCF" w14:textId="77777777" w:rsidR="00FA5D02" w:rsidRPr="006C2E7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5.56</w:t>
            </w:r>
          </w:p>
        </w:tc>
        <w:tc>
          <w:tcPr>
            <w:tcW w:w="993" w:type="dxa"/>
            <w:tcBorders>
              <w:top w:val="nil"/>
              <w:left w:val="nil"/>
              <w:bottom w:val="nil"/>
              <w:right w:val="nil"/>
            </w:tcBorders>
            <w:vAlign w:val="center"/>
          </w:tcPr>
          <w:p w14:paraId="76D58650" w14:textId="77777777" w:rsidR="00FA5D02" w:rsidRPr="006C2E7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6/41</w:t>
            </w:r>
          </w:p>
        </w:tc>
        <w:tc>
          <w:tcPr>
            <w:tcW w:w="992" w:type="dxa"/>
            <w:tcBorders>
              <w:top w:val="nil"/>
              <w:left w:val="nil"/>
              <w:bottom w:val="nil"/>
              <w:right w:val="nil"/>
            </w:tcBorders>
            <w:vAlign w:val="center"/>
          </w:tcPr>
          <w:p w14:paraId="788E9C47" w14:textId="77777777" w:rsidR="00FA5D02" w:rsidRPr="006C2E7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14.63</w:t>
            </w:r>
          </w:p>
        </w:tc>
        <w:tc>
          <w:tcPr>
            <w:tcW w:w="992" w:type="dxa"/>
            <w:tcBorders>
              <w:top w:val="nil"/>
              <w:left w:val="nil"/>
              <w:bottom w:val="nil"/>
              <w:right w:val="nil"/>
            </w:tcBorders>
            <w:vAlign w:val="center"/>
          </w:tcPr>
          <w:p w14:paraId="120E3B51" w14:textId="77777777" w:rsidR="00FA5D02" w:rsidRPr="006C2E7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8/44</w:t>
            </w:r>
          </w:p>
        </w:tc>
        <w:tc>
          <w:tcPr>
            <w:tcW w:w="993" w:type="dxa"/>
            <w:tcBorders>
              <w:top w:val="nil"/>
              <w:left w:val="nil"/>
              <w:bottom w:val="nil"/>
            </w:tcBorders>
            <w:vAlign w:val="center"/>
          </w:tcPr>
          <w:p w14:paraId="47065F14" w14:textId="77777777" w:rsidR="00FA5D02" w:rsidRPr="006C2E72"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18.18</w:t>
            </w:r>
          </w:p>
        </w:tc>
      </w:tr>
      <w:tr w:rsidR="00FA5D02" w14:paraId="0358FE36" w14:textId="77777777" w:rsidTr="00FA5D02">
        <w:trPr>
          <w:cnfStyle w:val="000000100000" w:firstRow="0" w:lastRow="0" w:firstColumn="0" w:lastColumn="0" w:oddVBand="0" w:evenVBand="0" w:oddHBand="1" w:evenHBand="0" w:firstRowFirstColumn="0" w:firstRowLastColumn="0" w:lastRowFirstColumn="0" w:lastRowLastColumn="0"/>
          <w:cantSplit/>
          <w:trHeight w:hRule="exact" w:val="397"/>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shd w:val="clear" w:color="auto" w:fill="D0CECE" w:themeFill="background2" w:themeFillShade="E6"/>
            <w:vAlign w:val="center"/>
          </w:tcPr>
          <w:p w14:paraId="2220F583" w14:textId="77777777" w:rsidR="00FA5D02" w:rsidRPr="006C2E72" w:rsidRDefault="00FA5D02" w:rsidP="00FA5D02">
            <w:pPr>
              <w:snapToGrid w:val="0"/>
              <w:spacing w:before="100" w:beforeAutospacing="1" w:after="100" w:afterAutospacing="1" w:line="240" w:lineRule="auto"/>
              <w:rPr>
                <w:sz w:val="20"/>
                <w:szCs w:val="20"/>
              </w:rPr>
            </w:pPr>
            <w:r w:rsidRPr="00B119CA">
              <w:rPr>
                <w:sz w:val="20"/>
                <w:szCs w:val="20"/>
              </w:rPr>
              <w:t>Adherence to NBCSP requirements</w:t>
            </w:r>
          </w:p>
        </w:tc>
        <w:tc>
          <w:tcPr>
            <w:tcW w:w="992" w:type="dxa"/>
            <w:tcBorders>
              <w:top w:val="nil"/>
              <w:left w:val="nil"/>
              <w:bottom w:val="nil"/>
              <w:right w:val="nil"/>
            </w:tcBorders>
            <w:shd w:val="clear" w:color="auto" w:fill="D0CECE" w:themeFill="background2" w:themeFillShade="E6"/>
            <w:vAlign w:val="center"/>
          </w:tcPr>
          <w:p w14:paraId="6577553D"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tcBorders>
              <w:top w:val="nil"/>
              <w:left w:val="nil"/>
              <w:bottom w:val="nil"/>
              <w:right w:val="nil"/>
            </w:tcBorders>
            <w:shd w:val="clear" w:color="auto" w:fill="D0CECE" w:themeFill="background2" w:themeFillShade="E6"/>
            <w:vAlign w:val="center"/>
          </w:tcPr>
          <w:p w14:paraId="2E0DFD46"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tcBorders>
              <w:top w:val="nil"/>
              <w:left w:val="nil"/>
              <w:bottom w:val="nil"/>
              <w:right w:val="nil"/>
            </w:tcBorders>
            <w:shd w:val="clear" w:color="auto" w:fill="D0CECE" w:themeFill="background2" w:themeFillShade="E6"/>
            <w:vAlign w:val="center"/>
          </w:tcPr>
          <w:p w14:paraId="69BA206C"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nil"/>
              <w:left w:val="nil"/>
              <w:bottom w:val="nil"/>
              <w:right w:val="nil"/>
            </w:tcBorders>
            <w:shd w:val="clear" w:color="auto" w:fill="D0CECE" w:themeFill="background2" w:themeFillShade="E6"/>
            <w:vAlign w:val="center"/>
          </w:tcPr>
          <w:p w14:paraId="247ABFB4"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nil"/>
              <w:left w:val="nil"/>
              <w:bottom w:val="nil"/>
              <w:right w:val="nil"/>
            </w:tcBorders>
            <w:shd w:val="clear" w:color="auto" w:fill="D0CECE" w:themeFill="background2" w:themeFillShade="E6"/>
            <w:vAlign w:val="center"/>
          </w:tcPr>
          <w:p w14:paraId="14192885"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tcBorders>
              <w:top w:val="nil"/>
              <w:left w:val="nil"/>
              <w:bottom w:val="nil"/>
            </w:tcBorders>
            <w:shd w:val="clear" w:color="auto" w:fill="D0CECE" w:themeFill="background2" w:themeFillShade="E6"/>
            <w:vAlign w:val="center"/>
          </w:tcPr>
          <w:p w14:paraId="24343EC6" w14:textId="77777777" w:rsidR="00FA5D02" w:rsidRPr="006C2E7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FA5D02" w14:paraId="63C7E9FC"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081D0DA6" w14:textId="77777777" w:rsidR="00FA5D02" w:rsidRPr="0027570F" w:rsidRDefault="00FA5D02" w:rsidP="00FA5D02">
            <w:pPr>
              <w:snapToGrid w:val="0"/>
              <w:spacing w:before="100" w:beforeAutospacing="1" w:after="100" w:afterAutospacing="1" w:line="240" w:lineRule="auto"/>
              <w:rPr>
                <w:b w:val="0"/>
                <w:bCs w:val="0"/>
                <w:i/>
                <w:iCs/>
                <w:color w:val="000000" w:themeColor="text1"/>
                <w:sz w:val="20"/>
                <w:szCs w:val="20"/>
              </w:rPr>
            </w:pPr>
            <w:r w:rsidRPr="0027570F">
              <w:rPr>
                <w:b w:val="0"/>
                <w:bCs w:val="0"/>
                <w:i/>
                <w:iCs/>
                <w:color w:val="000000" w:themeColor="text1"/>
                <w:sz w:val="20"/>
                <w:szCs w:val="20"/>
              </w:rPr>
              <w:t xml:space="preserve">Reported all </w:t>
            </w:r>
            <w:r>
              <w:rPr>
                <w:b w:val="0"/>
                <w:bCs w:val="0"/>
                <w:i/>
                <w:iCs/>
                <w:color w:val="000000" w:themeColor="text1"/>
                <w:sz w:val="20"/>
                <w:szCs w:val="20"/>
              </w:rPr>
              <w:t>patients</w:t>
            </w:r>
            <w:r w:rsidRPr="0027570F">
              <w:rPr>
                <w:b w:val="0"/>
                <w:bCs w:val="0"/>
                <w:i/>
                <w:iCs/>
                <w:color w:val="000000" w:themeColor="text1"/>
                <w:sz w:val="20"/>
                <w:szCs w:val="20"/>
              </w:rPr>
              <w:t xml:space="preserve"> assessed </w:t>
            </w:r>
          </w:p>
        </w:tc>
        <w:tc>
          <w:tcPr>
            <w:tcW w:w="992" w:type="dxa"/>
            <w:tcBorders>
              <w:top w:val="nil"/>
              <w:left w:val="nil"/>
              <w:bottom w:val="nil"/>
              <w:right w:val="nil"/>
            </w:tcBorders>
            <w:vAlign w:val="center"/>
          </w:tcPr>
          <w:p w14:paraId="5DA15D57"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11/17</w:t>
            </w:r>
          </w:p>
        </w:tc>
        <w:tc>
          <w:tcPr>
            <w:tcW w:w="992" w:type="dxa"/>
            <w:tcBorders>
              <w:top w:val="nil"/>
              <w:left w:val="nil"/>
              <w:bottom w:val="nil"/>
              <w:right w:val="nil"/>
            </w:tcBorders>
            <w:vAlign w:val="center"/>
          </w:tcPr>
          <w:p w14:paraId="1286A9C0"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64.71</w:t>
            </w:r>
          </w:p>
        </w:tc>
        <w:tc>
          <w:tcPr>
            <w:tcW w:w="993" w:type="dxa"/>
            <w:tcBorders>
              <w:top w:val="nil"/>
              <w:left w:val="nil"/>
              <w:bottom w:val="nil"/>
              <w:right w:val="nil"/>
            </w:tcBorders>
            <w:vAlign w:val="center"/>
          </w:tcPr>
          <w:p w14:paraId="532AE7BE"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15/35</w:t>
            </w:r>
          </w:p>
        </w:tc>
        <w:tc>
          <w:tcPr>
            <w:tcW w:w="992" w:type="dxa"/>
            <w:tcBorders>
              <w:top w:val="nil"/>
              <w:left w:val="nil"/>
              <w:bottom w:val="nil"/>
              <w:right w:val="nil"/>
            </w:tcBorders>
            <w:vAlign w:val="center"/>
          </w:tcPr>
          <w:p w14:paraId="30093852"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42.86</w:t>
            </w:r>
          </w:p>
        </w:tc>
        <w:tc>
          <w:tcPr>
            <w:tcW w:w="992" w:type="dxa"/>
            <w:tcBorders>
              <w:top w:val="nil"/>
              <w:left w:val="nil"/>
              <w:bottom w:val="nil"/>
              <w:right w:val="nil"/>
            </w:tcBorders>
            <w:vAlign w:val="center"/>
          </w:tcPr>
          <w:p w14:paraId="6CC26286"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15/44</w:t>
            </w:r>
          </w:p>
        </w:tc>
        <w:tc>
          <w:tcPr>
            <w:tcW w:w="993" w:type="dxa"/>
            <w:tcBorders>
              <w:top w:val="nil"/>
              <w:left w:val="nil"/>
              <w:bottom w:val="nil"/>
            </w:tcBorders>
            <w:vAlign w:val="center"/>
          </w:tcPr>
          <w:p w14:paraId="784AAC7B"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34.09</w:t>
            </w:r>
          </w:p>
        </w:tc>
      </w:tr>
      <w:tr w:rsidR="00FA5D02" w14:paraId="299AAC47" w14:textId="77777777" w:rsidTr="00FA5D02">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076859C4" w14:textId="77777777" w:rsidR="00FA5D02" w:rsidRPr="0027570F" w:rsidRDefault="00FA5D02" w:rsidP="00FA5D02">
            <w:pPr>
              <w:snapToGrid w:val="0"/>
              <w:spacing w:before="100" w:beforeAutospacing="1" w:after="100" w:afterAutospacing="1" w:line="240" w:lineRule="auto"/>
              <w:rPr>
                <w:b w:val="0"/>
                <w:bCs w:val="0"/>
                <w:i/>
                <w:iCs/>
                <w:color w:val="000000" w:themeColor="text1"/>
                <w:sz w:val="20"/>
                <w:szCs w:val="20"/>
              </w:rPr>
            </w:pPr>
            <w:r w:rsidRPr="0027570F">
              <w:rPr>
                <w:b w:val="0"/>
                <w:bCs w:val="0"/>
                <w:i/>
                <w:iCs/>
                <w:color w:val="000000" w:themeColor="text1"/>
                <w:sz w:val="20"/>
                <w:szCs w:val="20"/>
              </w:rPr>
              <w:t xml:space="preserve">Reported only </w:t>
            </w:r>
            <w:r>
              <w:rPr>
                <w:b w:val="0"/>
                <w:bCs w:val="0"/>
                <w:i/>
                <w:iCs/>
                <w:color w:val="000000" w:themeColor="text1"/>
                <w:sz w:val="20"/>
                <w:szCs w:val="20"/>
              </w:rPr>
              <w:t>patients</w:t>
            </w:r>
            <w:r w:rsidRPr="0027570F">
              <w:rPr>
                <w:b w:val="0"/>
                <w:bCs w:val="0"/>
                <w:i/>
                <w:iCs/>
                <w:color w:val="000000" w:themeColor="text1"/>
                <w:sz w:val="20"/>
                <w:szCs w:val="20"/>
              </w:rPr>
              <w:t xml:space="preserve"> given a kit</w:t>
            </w:r>
          </w:p>
        </w:tc>
        <w:tc>
          <w:tcPr>
            <w:tcW w:w="992" w:type="dxa"/>
            <w:tcBorders>
              <w:top w:val="nil"/>
              <w:left w:val="nil"/>
              <w:bottom w:val="nil"/>
              <w:right w:val="nil"/>
            </w:tcBorders>
            <w:vAlign w:val="center"/>
          </w:tcPr>
          <w:p w14:paraId="49487949" w14:textId="77777777" w:rsidR="00FA5D0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6/17</w:t>
            </w:r>
          </w:p>
        </w:tc>
        <w:tc>
          <w:tcPr>
            <w:tcW w:w="992" w:type="dxa"/>
            <w:tcBorders>
              <w:top w:val="nil"/>
              <w:left w:val="nil"/>
              <w:bottom w:val="nil"/>
              <w:right w:val="nil"/>
            </w:tcBorders>
            <w:vAlign w:val="center"/>
          </w:tcPr>
          <w:p w14:paraId="7C61D17D" w14:textId="77777777" w:rsidR="00FA5D0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35.29</w:t>
            </w:r>
          </w:p>
        </w:tc>
        <w:tc>
          <w:tcPr>
            <w:tcW w:w="993" w:type="dxa"/>
            <w:tcBorders>
              <w:top w:val="nil"/>
              <w:left w:val="nil"/>
              <w:bottom w:val="nil"/>
              <w:right w:val="nil"/>
            </w:tcBorders>
            <w:vAlign w:val="center"/>
          </w:tcPr>
          <w:p w14:paraId="4FAE9ECC" w14:textId="77777777" w:rsidR="00FA5D0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20/35</w:t>
            </w:r>
          </w:p>
        </w:tc>
        <w:tc>
          <w:tcPr>
            <w:tcW w:w="992" w:type="dxa"/>
            <w:tcBorders>
              <w:top w:val="nil"/>
              <w:left w:val="nil"/>
              <w:bottom w:val="nil"/>
              <w:right w:val="nil"/>
            </w:tcBorders>
            <w:vAlign w:val="center"/>
          </w:tcPr>
          <w:p w14:paraId="790ED1A5" w14:textId="77777777" w:rsidR="00FA5D0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57.14</w:t>
            </w:r>
          </w:p>
        </w:tc>
        <w:tc>
          <w:tcPr>
            <w:tcW w:w="992" w:type="dxa"/>
            <w:tcBorders>
              <w:top w:val="nil"/>
              <w:left w:val="nil"/>
              <w:bottom w:val="nil"/>
              <w:right w:val="nil"/>
            </w:tcBorders>
            <w:vAlign w:val="center"/>
          </w:tcPr>
          <w:p w14:paraId="488DA977" w14:textId="77777777" w:rsidR="00FA5D0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29/44</w:t>
            </w:r>
          </w:p>
        </w:tc>
        <w:tc>
          <w:tcPr>
            <w:tcW w:w="993" w:type="dxa"/>
            <w:tcBorders>
              <w:top w:val="nil"/>
              <w:left w:val="nil"/>
              <w:bottom w:val="nil"/>
            </w:tcBorders>
            <w:vAlign w:val="center"/>
          </w:tcPr>
          <w:p w14:paraId="7DAB2440" w14:textId="77777777" w:rsidR="00FA5D02"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65.91</w:t>
            </w:r>
          </w:p>
        </w:tc>
      </w:tr>
      <w:tr w:rsidR="00FA5D02" w14:paraId="626BB1FF"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2DCFF18B" w14:textId="77777777" w:rsidR="00FA5D02" w:rsidRPr="0027570F" w:rsidRDefault="00FA5D02" w:rsidP="00FA5D02">
            <w:pPr>
              <w:snapToGrid w:val="0"/>
              <w:spacing w:before="100" w:beforeAutospacing="1" w:after="100" w:afterAutospacing="1" w:line="240" w:lineRule="auto"/>
              <w:rPr>
                <w:b w:val="0"/>
                <w:bCs w:val="0"/>
                <w:i/>
                <w:iCs/>
                <w:color w:val="000000" w:themeColor="text1"/>
                <w:sz w:val="20"/>
                <w:szCs w:val="20"/>
              </w:rPr>
            </w:pPr>
            <w:r>
              <w:rPr>
                <w:b w:val="0"/>
                <w:bCs w:val="0"/>
                <w:i/>
                <w:iCs/>
                <w:color w:val="000000" w:themeColor="text1"/>
                <w:sz w:val="20"/>
                <w:szCs w:val="20"/>
              </w:rPr>
              <w:t>Gave out significant number of kits without reporting / providing patient with form</w:t>
            </w:r>
          </w:p>
        </w:tc>
        <w:tc>
          <w:tcPr>
            <w:tcW w:w="992" w:type="dxa"/>
            <w:tcBorders>
              <w:top w:val="nil"/>
              <w:left w:val="nil"/>
              <w:bottom w:val="nil"/>
              <w:right w:val="nil"/>
            </w:tcBorders>
            <w:vAlign w:val="center"/>
          </w:tcPr>
          <w:p w14:paraId="1D721B7E"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0/17</w:t>
            </w:r>
          </w:p>
        </w:tc>
        <w:tc>
          <w:tcPr>
            <w:tcW w:w="992" w:type="dxa"/>
            <w:tcBorders>
              <w:top w:val="nil"/>
              <w:left w:val="nil"/>
              <w:bottom w:val="nil"/>
              <w:right w:val="nil"/>
            </w:tcBorders>
            <w:vAlign w:val="center"/>
          </w:tcPr>
          <w:p w14:paraId="3D957AE1"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t>
            </w:r>
          </w:p>
        </w:tc>
        <w:tc>
          <w:tcPr>
            <w:tcW w:w="993" w:type="dxa"/>
            <w:tcBorders>
              <w:top w:val="nil"/>
              <w:left w:val="nil"/>
              <w:bottom w:val="nil"/>
              <w:right w:val="nil"/>
            </w:tcBorders>
            <w:vAlign w:val="center"/>
          </w:tcPr>
          <w:p w14:paraId="2A97D5DE"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3/35</w:t>
            </w:r>
          </w:p>
        </w:tc>
        <w:tc>
          <w:tcPr>
            <w:tcW w:w="992" w:type="dxa"/>
            <w:tcBorders>
              <w:top w:val="nil"/>
              <w:left w:val="nil"/>
              <w:bottom w:val="nil"/>
              <w:right w:val="nil"/>
            </w:tcBorders>
            <w:vAlign w:val="center"/>
          </w:tcPr>
          <w:p w14:paraId="1DF46E1B"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8.57</w:t>
            </w:r>
          </w:p>
        </w:tc>
        <w:tc>
          <w:tcPr>
            <w:tcW w:w="992" w:type="dxa"/>
            <w:tcBorders>
              <w:top w:val="nil"/>
              <w:left w:val="nil"/>
              <w:bottom w:val="nil"/>
              <w:right w:val="nil"/>
            </w:tcBorders>
            <w:vAlign w:val="center"/>
          </w:tcPr>
          <w:p w14:paraId="4530CE16"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3/44</w:t>
            </w:r>
          </w:p>
        </w:tc>
        <w:tc>
          <w:tcPr>
            <w:tcW w:w="993" w:type="dxa"/>
            <w:tcBorders>
              <w:top w:val="nil"/>
              <w:left w:val="nil"/>
              <w:bottom w:val="nil"/>
            </w:tcBorders>
            <w:vAlign w:val="center"/>
          </w:tcPr>
          <w:p w14:paraId="7C5EF862"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6.81</w:t>
            </w:r>
          </w:p>
        </w:tc>
      </w:tr>
      <w:tr w:rsidR="00FA5D02" w14:paraId="0211BD0E" w14:textId="77777777" w:rsidTr="00FA5D02">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shd w:val="clear" w:color="auto" w:fill="D0CECE" w:themeFill="background2" w:themeFillShade="E6"/>
            <w:vAlign w:val="center"/>
          </w:tcPr>
          <w:p w14:paraId="58988124" w14:textId="77777777" w:rsidR="00FA5D02" w:rsidRPr="00570211" w:rsidRDefault="00FA5D02" w:rsidP="00FA5D02">
            <w:pPr>
              <w:snapToGrid w:val="0"/>
              <w:spacing w:before="100" w:beforeAutospacing="1" w:after="100" w:afterAutospacing="1" w:line="240" w:lineRule="auto"/>
              <w:rPr>
                <w:b w:val="0"/>
                <w:bCs w:val="0"/>
                <w:color w:val="000000" w:themeColor="text1"/>
                <w:sz w:val="20"/>
                <w:szCs w:val="20"/>
              </w:rPr>
            </w:pPr>
            <w:r w:rsidRPr="00570211">
              <w:rPr>
                <w:color w:val="000000" w:themeColor="text1"/>
                <w:sz w:val="20"/>
                <w:szCs w:val="20"/>
              </w:rPr>
              <w:t>Health service type</w:t>
            </w:r>
          </w:p>
        </w:tc>
        <w:tc>
          <w:tcPr>
            <w:tcW w:w="992" w:type="dxa"/>
            <w:tcBorders>
              <w:top w:val="nil"/>
              <w:left w:val="nil"/>
              <w:bottom w:val="nil"/>
              <w:right w:val="nil"/>
            </w:tcBorders>
            <w:shd w:val="clear" w:color="auto" w:fill="D0CECE" w:themeFill="background2" w:themeFillShade="E6"/>
            <w:vAlign w:val="center"/>
          </w:tcPr>
          <w:p w14:paraId="6D9F256E"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92" w:type="dxa"/>
            <w:tcBorders>
              <w:top w:val="nil"/>
              <w:left w:val="nil"/>
              <w:bottom w:val="nil"/>
              <w:right w:val="nil"/>
            </w:tcBorders>
            <w:shd w:val="clear" w:color="auto" w:fill="D0CECE" w:themeFill="background2" w:themeFillShade="E6"/>
            <w:vAlign w:val="center"/>
          </w:tcPr>
          <w:p w14:paraId="0D6BE79F"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93" w:type="dxa"/>
            <w:tcBorders>
              <w:top w:val="nil"/>
              <w:left w:val="nil"/>
              <w:bottom w:val="nil"/>
              <w:right w:val="nil"/>
            </w:tcBorders>
            <w:shd w:val="clear" w:color="auto" w:fill="D0CECE" w:themeFill="background2" w:themeFillShade="E6"/>
            <w:vAlign w:val="center"/>
          </w:tcPr>
          <w:p w14:paraId="7FA17F92"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92" w:type="dxa"/>
            <w:tcBorders>
              <w:top w:val="nil"/>
              <w:left w:val="nil"/>
              <w:bottom w:val="nil"/>
              <w:right w:val="nil"/>
            </w:tcBorders>
            <w:shd w:val="clear" w:color="auto" w:fill="D0CECE" w:themeFill="background2" w:themeFillShade="E6"/>
            <w:vAlign w:val="center"/>
          </w:tcPr>
          <w:p w14:paraId="71A808CF"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92" w:type="dxa"/>
            <w:tcBorders>
              <w:top w:val="nil"/>
              <w:left w:val="nil"/>
              <w:bottom w:val="nil"/>
              <w:right w:val="nil"/>
            </w:tcBorders>
            <w:shd w:val="clear" w:color="auto" w:fill="D0CECE" w:themeFill="background2" w:themeFillShade="E6"/>
            <w:vAlign w:val="center"/>
          </w:tcPr>
          <w:p w14:paraId="5666E84E"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93" w:type="dxa"/>
            <w:tcBorders>
              <w:top w:val="nil"/>
              <w:left w:val="nil"/>
              <w:bottom w:val="nil"/>
            </w:tcBorders>
            <w:shd w:val="clear" w:color="auto" w:fill="D0CECE" w:themeFill="background2" w:themeFillShade="E6"/>
            <w:vAlign w:val="center"/>
          </w:tcPr>
          <w:p w14:paraId="44EAE2F5"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A5D02" w14:paraId="6B9C1652"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7D8E72B6" w14:textId="77777777" w:rsidR="00FA5D02" w:rsidRPr="00570211" w:rsidRDefault="00FA5D02" w:rsidP="00FA5D02">
            <w:pPr>
              <w:snapToGrid w:val="0"/>
              <w:spacing w:before="100" w:beforeAutospacing="1" w:after="100" w:afterAutospacing="1" w:line="240" w:lineRule="auto"/>
              <w:rPr>
                <w:color w:val="000000" w:themeColor="text1"/>
                <w:sz w:val="20"/>
                <w:szCs w:val="20"/>
              </w:rPr>
            </w:pPr>
            <w:r w:rsidRPr="0027570F">
              <w:rPr>
                <w:b w:val="0"/>
                <w:bCs w:val="0"/>
                <w:i/>
                <w:iCs/>
                <w:color w:val="000000" w:themeColor="text1"/>
                <w:sz w:val="20"/>
                <w:szCs w:val="20"/>
              </w:rPr>
              <w:t>ACCHO</w:t>
            </w:r>
          </w:p>
        </w:tc>
        <w:tc>
          <w:tcPr>
            <w:tcW w:w="992" w:type="dxa"/>
            <w:tcBorders>
              <w:top w:val="nil"/>
              <w:left w:val="nil"/>
              <w:bottom w:val="nil"/>
              <w:right w:val="nil"/>
            </w:tcBorders>
            <w:vAlign w:val="center"/>
          </w:tcPr>
          <w:p w14:paraId="5CD3ABE6"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14/18</w:t>
            </w:r>
          </w:p>
        </w:tc>
        <w:tc>
          <w:tcPr>
            <w:tcW w:w="992" w:type="dxa"/>
            <w:tcBorders>
              <w:top w:val="nil"/>
              <w:left w:val="nil"/>
              <w:bottom w:val="nil"/>
              <w:right w:val="nil"/>
            </w:tcBorders>
            <w:vAlign w:val="center"/>
          </w:tcPr>
          <w:p w14:paraId="3F768A2B"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77.78</w:t>
            </w:r>
          </w:p>
        </w:tc>
        <w:tc>
          <w:tcPr>
            <w:tcW w:w="993" w:type="dxa"/>
            <w:tcBorders>
              <w:top w:val="nil"/>
              <w:left w:val="nil"/>
              <w:bottom w:val="nil"/>
              <w:right w:val="nil"/>
            </w:tcBorders>
            <w:vAlign w:val="center"/>
          </w:tcPr>
          <w:p w14:paraId="419F77E0"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35/41</w:t>
            </w:r>
          </w:p>
        </w:tc>
        <w:tc>
          <w:tcPr>
            <w:tcW w:w="992" w:type="dxa"/>
            <w:tcBorders>
              <w:top w:val="nil"/>
              <w:left w:val="nil"/>
              <w:bottom w:val="nil"/>
              <w:right w:val="nil"/>
            </w:tcBorders>
            <w:vAlign w:val="center"/>
          </w:tcPr>
          <w:p w14:paraId="1DC6A791"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85.37</w:t>
            </w:r>
          </w:p>
        </w:tc>
        <w:tc>
          <w:tcPr>
            <w:tcW w:w="992" w:type="dxa"/>
            <w:tcBorders>
              <w:top w:val="nil"/>
              <w:left w:val="nil"/>
              <w:bottom w:val="nil"/>
              <w:right w:val="nil"/>
            </w:tcBorders>
            <w:vAlign w:val="center"/>
          </w:tcPr>
          <w:p w14:paraId="69171B52"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36/44</w:t>
            </w:r>
          </w:p>
        </w:tc>
        <w:tc>
          <w:tcPr>
            <w:tcW w:w="993" w:type="dxa"/>
            <w:tcBorders>
              <w:top w:val="nil"/>
              <w:left w:val="nil"/>
              <w:bottom w:val="nil"/>
            </w:tcBorders>
            <w:vAlign w:val="center"/>
          </w:tcPr>
          <w:p w14:paraId="36801B17"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81.82</w:t>
            </w:r>
          </w:p>
        </w:tc>
      </w:tr>
      <w:tr w:rsidR="00FA5D02" w14:paraId="200D560A" w14:textId="77777777" w:rsidTr="00FA5D02">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5E11473E" w14:textId="77777777" w:rsidR="00FA5D02" w:rsidRPr="00570211" w:rsidRDefault="00FA5D02" w:rsidP="00FA5D02">
            <w:pPr>
              <w:snapToGrid w:val="0"/>
              <w:spacing w:before="100" w:beforeAutospacing="1" w:after="100" w:afterAutospacing="1" w:line="240" w:lineRule="auto"/>
              <w:rPr>
                <w:color w:val="000000" w:themeColor="text1"/>
                <w:sz w:val="20"/>
                <w:szCs w:val="20"/>
              </w:rPr>
            </w:pPr>
            <w:r w:rsidRPr="0027570F">
              <w:rPr>
                <w:b w:val="0"/>
                <w:bCs w:val="0"/>
                <w:i/>
                <w:iCs/>
                <w:color w:val="000000" w:themeColor="text1"/>
                <w:sz w:val="20"/>
                <w:szCs w:val="20"/>
              </w:rPr>
              <w:t xml:space="preserve">Private </w:t>
            </w:r>
            <w:r>
              <w:rPr>
                <w:b w:val="0"/>
                <w:bCs w:val="0"/>
                <w:i/>
                <w:iCs/>
                <w:color w:val="000000" w:themeColor="text1"/>
                <w:sz w:val="20"/>
                <w:szCs w:val="20"/>
              </w:rPr>
              <w:t>p</w:t>
            </w:r>
            <w:r w:rsidRPr="0027570F">
              <w:rPr>
                <w:b w:val="0"/>
                <w:bCs w:val="0"/>
                <w:i/>
                <w:iCs/>
                <w:color w:val="000000" w:themeColor="text1"/>
                <w:sz w:val="20"/>
                <w:szCs w:val="20"/>
              </w:rPr>
              <w:t>ractice</w:t>
            </w:r>
          </w:p>
        </w:tc>
        <w:tc>
          <w:tcPr>
            <w:tcW w:w="992" w:type="dxa"/>
            <w:tcBorders>
              <w:top w:val="nil"/>
              <w:left w:val="nil"/>
              <w:bottom w:val="nil"/>
              <w:right w:val="nil"/>
            </w:tcBorders>
            <w:vAlign w:val="center"/>
          </w:tcPr>
          <w:p w14:paraId="57E6EE50"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2/18</w:t>
            </w:r>
          </w:p>
        </w:tc>
        <w:tc>
          <w:tcPr>
            <w:tcW w:w="992" w:type="dxa"/>
            <w:tcBorders>
              <w:top w:val="nil"/>
              <w:left w:val="nil"/>
              <w:bottom w:val="nil"/>
              <w:right w:val="nil"/>
            </w:tcBorders>
            <w:vAlign w:val="center"/>
          </w:tcPr>
          <w:p w14:paraId="51515644"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11.11</w:t>
            </w:r>
          </w:p>
        </w:tc>
        <w:tc>
          <w:tcPr>
            <w:tcW w:w="993" w:type="dxa"/>
            <w:tcBorders>
              <w:top w:val="nil"/>
              <w:left w:val="nil"/>
              <w:bottom w:val="nil"/>
              <w:right w:val="nil"/>
            </w:tcBorders>
            <w:vAlign w:val="center"/>
          </w:tcPr>
          <w:p w14:paraId="38675B6D"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r w:rsidRPr="00A3061D">
              <w:rPr>
                <w:color w:val="000000" w:themeColor="text1"/>
                <w:sz w:val="20"/>
                <w:szCs w:val="20"/>
              </w:rPr>
              <w:t>/41</w:t>
            </w:r>
          </w:p>
        </w:tc>
        <w:tc>
          <w:tcPr>
            <w:tcW w:w="992" w:type="dxa"/>
            <w:tcBorders>
              <w:top w:val="nil"/>
              <w:left w:val="nil"/>
              <w:bottom w:val="nil"/>
              <w:right w:val="nil"/>
            </w:tcBorders>
            <w:vAlign w:val="center"/>
          </w:tcPr>
          <w:p w14:paraId="702B2D93"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7.32</w:t>
            </w:r>
          </w:p>
        </w:tc>
        <w:tc>
          <w:tcPr>
            <w:tcW w:w="992" w:type="dxa"/>
            <w:tcBorders>
              <w:top w:val="nil"/>
              <w:left w:val="nil"/>
              <w:bottom w:val="nil"/>
              <w:right w:val="nil"/>
            </w:tcBorders>
            <w:vAlign w:val="center"/>
          </w:tcPr>
          <w:p w14:paraId="43805D75"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r w:rsidRPr="00A3061D">
              <w:rPr>
                <w:color w:val="000000" w:themeColor="text1"/>
                <w:sz w:val="20"/>
                <w:szCs w:val="20"/>
              </w:rPr>
              <w:t>/44</w:t>
            </w:r>
          </w:p>
        </w:tc>
        <w:tc>
          <w:tcPr>
            <w:tcW w:w="993" w:type="dxa"/>
            <w:tcBorders>
              <w:top w:val="nil"/>
              <w:left w:val="nil"/>
              <w:bottom w:val="nil"/>
            </w:tcBorders>
            <w:vAlign w:val="center"/>
          </w:tcPr>
          <w:p w14:paraId="2E8E317D"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6.82</w:t>
            </w:r>
          </w:p>
        </w:tc>
      </w:tr>
      <w:tr w:rsidR="00FA5D02" w14:paraId="46753DA1"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3AAA7801" w14:textId="77777777" w:rsidR="00FA5D02" w:rsidRPr="00570211" w:rsidRDefault="00FA5D02" w:rsidP="00FA5D02">
            <w:pPr>
              <w:snapToGrid w:val="0"/>
              <w:spacing w:before="100" w:beforeAutospacing="1" w:after="100" w:afterAutospacing="1" w:line="240" w:lineRule="auto"/>
              <w:rPr>
                <w:color w:val="000000" w:themeColor="text1"/>
                <w:sz w:val="20"/>
                <w:szCs w:val="20"/>
              </w:rPr>
            </w:pPr>
            <w:r w:rsidRPr="0027570F">
              <w:rPr>
                <w:b w:val="0"/>
                <w:bCs w:val="0"/>
                <w:i/>
                <w:iCs/>
                <w:color w:val="000000" w:themeColor="text1"/>
                <w:sz w:val="20"/>
                <w:szCs w:val="20"/>
              </w:rPr>
              <w:t xml:space="preserve">State or territory health centre </w:t>
            </w:r>
          </w:p>
        </w:tc>
        <w:tc>
          <w:tcPr>
            <w:tcW w:w="992" w:type="dxa"/>
            <w:tcBorders>
              <w:top w:val="nil"/>
              <w:left w:val="nil"/>
              <w:bottom w:val="nil"/>
              <w:right w:val="nil"/>
            </w:tcBorders>
            <w:vAlign w:val="center"/>
          </w:tcPr>
          <w:p w14:paraId="38CA84F2"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1/18</w:t>
            </w:r>
          </w:p>
        </w:tc>
        <w:tc>
          <w:tcPr>
            <w:tcW w:w="992" w:type="dxa"/>
            <w:tcBorders>
              <w:top w:val="nil"/>
              <w:left w:val="nil"/>
              <w:bottom w:val="nil"/>
              <w:right w:val="nil"/>
            </w:tcBorders>
            <w:vAlign w:val="center"/>
          </w:tcPr>
          <w:p w14:paraId="4C5B15CC"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5.55</w:t>
            </w:r>
          </w:p>
        </w:tc>
        <w:tc>
          <w:tcPr>
            <w:tcW w:w="993" w:type="dxa"/>
            <w:tcBorders>
              <w:top w:val="nil"/>
              <w:left w:val="nil"/>
              <w:bottom w:val="nil"/>
              <w:right w:val="nil"/>
            </w:tcBorders>
            <w:vAlign w:val="center"/>
          </w:tcPr>
          <w:p w14:paraId="5D6023CD"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r w:rsidRPr="00A3061D">
              <w:rPr>
                <w:color w:val="000000" w:themeColor="text1"/>
                <w:sz w:val="20"/>
                <w:szCs w:val="20"/>
              </w:rPr>
              <w:t>/41</w:t>
            </w:r>
          </w:p>
        </w:tc>
        <w:tc>
          <w:tcPr>
            <w:tcW w:w="992" w:type="dxa"/>
            <w:tcBorders>
              <w:top w:val="nil"/>
              <w:left w:val="nil"/>
              <w:bottom w:val="nil"/>
              <w:right w:val="nil"/>
            </w:tcBorders>
            <w:vAlign w:val="center"/>
          </w:tcPr>
          <w:p w14:paraId="4C4A5081"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4.88</w:t>
            </w:r>
          </w:p>
        </w:tc>
        <w:tc>
          <w:tcPr>
            <w:tcW w:w="992" w:type="dxa"/>
            <w:tcBorders>
              <w:top w:val="nil"/>
              <w:left w:val="nil"/>
              <w:bottom w:val="nil"/>
              <w:right w:val="nil"/>
            </w:tcBorders>
            <w:vAlign w:val="center"/>
          </w:tcPr>
          <w:p w14:paraId="59FF4751"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r w:rsidRPr="00A3061D">
              <w:rPr>
                <w:color w:val="000000" w:themeColor="text1"/>
                <w:sz w:val="20"/>
                <w:szCs w:val="20"/>
              </w:rPr>
              <w:t>/44</w:t>
            </w:r>
          </w:p>
        </w:tc>
        <w:tc>
          <w:tcPr>
            <w:tcW w:w="993" w:type="dxa"/>
            <w:tcBorders>
              <w:top w:val="nil"/>
              <w:left w:val="nil"/>
              <w:bottom w:val="nil"/>
            </w:tcBorders>
            <w:vAlign w:val="center"/>
          </w:tcPr>
          <w:p w14:paraId="315FE231"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9.09</w:t>
            </w:r>
          </w:p>
        </w:tc>
      </w:tr>
      <w:tr w:rsidR="00FA5D02" w14:paraId="11C9DA73" w14:textId="77777777" w:rsidTr="00FA5D02">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1ACA1C70" w14:textId="77777777" w:rsidR="00FA5D02" w:rsidRPr="00570211" w:rsidRDefault="00FA5D02" w:rsidP="00FA5D02">
            <w:pPr>
              <w:snapToGrid w:val="0"/>
              <w:spacing w:before="100" w:beforeAutospacing="1" w:after="100" w:afterAutospacing="1" w:line="240" w:lineRule="auto"/>
              <w:rPr>
                <w:color w:val="000000" w:themeColor="text1"/>
                <w:sz w:val="20"/>
                <w:szCs w:val="20"/>
              </w:rPr>
            </w:pPr>
            <w:r w:rsidRPr="0027570F">
              <w:rPr>
                <w:b w:val="0"/>
                <w:bCs w:val="0"/>
                <w:i/>
                <w:iCs/>
                <w:color w:val="000000" w:themeColor="text1"/>
                <w:sz w:val="20"/>
                <w:szCs w:val="20"/>
              </w:rPr>
              <w:t>Indigenous Community</w:t>
            </w:r>
            <w:r>
              <w:rPr>
                <w:b w:val="0"/>
                <w:bCs w:val="0"/>
                <w:i/>
                <w:iCs/>
                <w:color w:val="000000" w:themeColor="text1"/>
                <w:sz w:val="20"/>
                <w:szCs w:val="20"/>
              </w:rPr>
              <w:t xml:space="preserve"> </w:t>
            </w:r>
            <w:r w:rsidRPr="0027570F">
              <w:rPr>
                <w:b w:val="0"/>
                <w:bCs w:val="0"/>
                <w:i/>
                <w:iCs/>
                <w:color w:val="000000" w:themeColor="text1"/>
                <w:sz w:val="20"/>
                <w:szCs w:val="20"/>
              </w:rPr>
              <w:t>Co-Op</w:t>
            </w:r>
          </w:p>
        </w:tc>
        <w:tc>
          <w:tcPr>
            <w:tcW w:w="992" w:type="dxa"/>
            <w:tcBorders>
              <w:top w:val="nil"/>
              <w:left w:val="nil"/>
              <w:bottom w:val="nil"/>
              <w:right w:val="nil"/>
            </w:tcBorders>
            <w:vAlign w:val="center"/>
          </w:tcPr>
          <w:p w14:paraId="56B1AB16"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1/18</w:t>
            </w:r>
          </w:p>
        </w:tc>
        <w:tc>
          <w:tcPr>
            <w:tcW w:w="992" w:type="dxa"/>
            <w:tcBorders>
              <w:top w:val="nil"/>
              <w:left w:val="nil"/>
              <w:bottom w:val="nil"/>
              <w:right w:val="nil"/>
            </w:tcBorders>
            <w:vAlign w:val="center"/>
          </w:tcPr>
          <w:p w14:paraId="78FD3FE2"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5.55</w:t>
            </w:r>
          </w:p>
        </w:tc>
        <w:tc>
          <w:tcPr>
            <w:tcW w:w="993" w:type="dxa"/>
            <w:tcBorders>
              <w:top w:val="nil"/>
              <w:left w:val="nil"/>
              <w:bottom w:val="nil"/>
              <w:right w:val="nil"/>
            </w:tcBorders>
            <w:vAlign w:val="center"/>
          </w:tcPr>
          <w:p w14:paraId="2688B997"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w:t>
            </w:r>
            <w:r w:rsidRPr="00A3061D">
              <w:rPr>
                <w:color w:val="000000" w:themeColor="text1"/>
                <w:sz w:val="20"/>
                <w:szCs w:val="20"/>
              </w:rPr>
              <w:t>/41</w:t>
            </w:r>
          </w:p>
        </w:tc>
        <w:tc>
          <w:tcPr>
            <w:tcW w:w="992" w:type="dxa"/>
            <w:tcBorders>
              <w:top w:val="nil"/>
              <w:left w:val="nil"/>
              <w:bottom w:val="nil"/>
              <w:right w:val="nil"/>
            </w:tcBorders>
            <w:vAlign w:val="center"/>
          </w:tcPr>
          <w:p w14:paraId="66448C54"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2.44</w:t>
            </w:r>
          </w:p>
        </w:tc>
        <w:tc>
          <w:tcPr>
            <w:tcW w:w="992" w:type="dxa"/>
            <w:tcBorders>
              <w:top w:val="nil"/>
              <w:left w:val="nil"/>
              <w:bottom w:val="nil"/>
              <w:right w:val="nil"/>
            </w:tcBorders>
            <w:vAlign w:val="center"/>
          </w:tcPr>
          <w:p w14:paraId="6EC84E60"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w:t>
            </w:r>
            <w:r w:rsidRPr="00A3061D">
              <w:rPr>
                <w:color w:val="000000" w:themeColor="text1"/>
                <w:sz w:val="20"/>
                <w:szCs w:val="20"/>
              </w:rPr>
              <w:t>/44</w:t>
            </w:r>
          </w:p>
        </w:tc>
        <w:tc>
          <w:tcPr>
            <w:tcW w:w="993" w:type="dxa"/>
            <w:tcBorders>
              <w:top w:val="nil"/>
              <w:left w:val="nil"/>
              <w:bottom w:val="nil"/>
            </w:tcBorders>
            <w:vAlign w:val="center"/>
          </w:tcPr>
          <w:p w14:paraId="1573AD3E"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2.27</w:t>
            </w:r>
          </w:p>
        </w:tc>
      </w:tr>
      <w:tr w:rsidR="00FA5D02" w14:paraId="0B144621"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shd w:val="clear" w:color="auto" w:fill="D0CECE" w:themeFill="background2" w:themeFillShade="E6"/>
            <w:vAlign w:val="center"/>
          </w:tcPr>
          <w:p w14:paraId="07CE26BA" w14:textId="77777777" w:rsidR="00FA5D02" w:rsidRPr="0066096A" w:rsidRDefault="00FA5D02" w:rsidP="00FA5D02">
            <w:pPr>
              <w:snapToGrid w:val="0"/>
              <w:spacing w:before="100" w:beforeAutospacing="1" w:after="100" w:afterAutospacing="1" w:line="240" w:lineRule="auto"/>
              <w:rPr>
                <w:color w:val="000000" w:themeColor="text1"/>
                <w:sz w:val="20"/>
                <w:szCs w:val="20"/>
              </w:rPr>
            </w:pPr>
            <w:r>
              <w:rPr>
                <w:sz w:val="20"/>
                <w:szCs w:val="20"/>
              </w:rPr>
              <w:t>Months restricted by Hot Zone</w:t>
            </w:r>
          </w:p>
        </w:tc>
        <w:tc>
          <w:tcPr>
            <w:tcW w:w="992" w:type="dxa"/>
            <w:tcBorders>
              <w:top w:val="nil"/>
              <w:left w:val="nil"/>
              <w:bottom w:val="nil"/>
              <w:right w:val="nil"/>
            </w:tcBorders>
            <w:shd w:val="clear" w:color="auto" w:fill="D0CECE" w:themeFill="background2" w:themeFillShade="E6"/>
            <w:vAlign w:val="center"/>
          </w:tcPr>
          <w:p w14:paraId="0AB062D9"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992" w:type="dxa"/>
            <w:tcBorders>
              <w:top w:val="nil"/>
              <w:left w:val="nil"/>
              <w:bottom w:val="nil"/>
              <w:right w:val="nil"/>
            </w:tcBorders>
            <w:shd w:val="clear" w:color="auto" w:fill="D0CECE" w:themeFill="background2" w:themeFillShade="E6"/>
            <w:vAlign w:val="center"/>
          </w:tcPr>
          <w:p w14:paraId="2BCCD7EE"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93" w:type="dxa"/>
            <w:tcBorders>
              <w:top w:val="nil"/>
              <w:left w:val="nil"/>
              <w:bottom w:val="nil"/>
              <w:right w:val="nil"/>
            </w:tcBorders>
            <w:shd w:val="clear" w:color="auto" w:fill="D0CECE" w:themeFill="background2" w:themeFillShade="E6"/>
            <w:vAlign w:val="center"/>
          </w:tcPr>
          <w:p w14:paraId="6C8488AB"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92" w:type="dxa"/>
            <w:tcBorders>
              <w:top w:val="nil"/>
              <w:left w:val="nil"/>
              <w:bottom w:val="nil"/>
              <w:right w:val="nil"/>
            </w:tcBorders>
            <w:shd w:val="clear" w:color="auto" w:fill="D0CECE" w:themeFill="background2" w:themeFillShade="E6"/>
            <w:vAlign w:val="center"/>
          </w:tcPr>
          <w:p w14:paraId="337C05B4"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92" w:type="dxa"/>
            <w:tcBorders>
              <w:top w:val="nil"/>
              <w:left w:val="nil"/>
              <w:bottom w:val="nil"/>
              <w:right w:val="nil"/>
            </w:tcBorders>
            <w:shd w:val="clear" w:color="auto" w:fill="D0CECE" w:themeFill="background2" w:themeFillShade="E6"/>
            <w:vAlign w:val="center"/>
          </w:tcPr>
          <w:p w14:paraId="37F38E5A"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93" w:type="dxa"/>
            <w:tcBorders>
              <w:top w:val="nil"/>
              <w:left w:val="nil"/>
              <w:bottom w:val="nil"/>
              <w:right w:val="single" w:sz="4" w:space="0" w:color="auto"/>
            </w:tcBorders>
            <w:shd w:val="clear" w:color="auto" w:fill="D0CECE" w:themeFill="background2" w:themeFillShade="E6"/>
            <w:vAlign w:val="center"/>
          </w:tcPr>
          <w:p w14:paraId="15A8E2DF"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A5D02" w14:paraId="1B2DD0FC" w14:textId="77777777" w:rsidTr="00FA5D02">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23D30D8C" w14:textId="77777777" w:rsidR="00FA5D02" w:rsidRPr="0027570F" w:rsidRDefault="00FA5D02" w:rsidP="00FA5D02">
            <w:pPr>
              <w:snapToGrid w:val="0"/>
              <w:spacing w:before="100" w:beforeAutospacing="1" w:after="100" w:afterAutospacing="1" w:line="240" w:lineRule="auto"/>
              <w:rPr>
                <w:b w:val="0"/>
                <w:bCs w:val="0"/>
                <w:i/>
                <w:iCs/>
                <w:sz w:val="20"/>
                <w:szCs w:val="20"/>
              </w:rPr>
            </w:pPr>
            <w:r w:rsidRPr="0027570F">
              <w:rPr>
                <w:b w:val="0"/>
                <w:bCs w:val="0"/>
                <w:i/>
                <w:iCs/>
                <w:sz w:val="20"/>
                <w:szCs w:val="20"/>
              </w:rPr>
              <w:t>None</w:t>
            </w:r>
          </w:p>
        </w:tc>
        <w:tc>
          <w:tcPr>
            <w:tcW w:w="992" w:type="dxa"/>
            <w:tcBorders>
              <w:top w:val="nil"/>
              <w:left w:val="nil"/>
              <w:bottom w:val="nil"/>
              <w:right w:val="nil"/>
            </w:tcBorders>
            <w:vAlign w:val="center"/>
          </w:tcPr>
          <w:p w14:paraId="72BB781E"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14/18</w:t>
            </w:r>
          </w:p>
        </w:tc>
        <w:tc>
          <w:tcPr>
            <w:tcW w:w="992" w:type="dxa"/>
            <w:tcBorders>
              <w:top w:val="nil"/>
              <w:left w:val="nil"/>
              <w:bottom w:val="nil"/>
              <w:right w:val="nil"/>
            </w:tcBorders>
            <w:vAlign w:val="center"/>
          </w:tcPr>
          <w:p w14:paraId="1CFC02F3"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77.78</w:t>
            </w:r>
          </w:p>
        </w:tc>
        <w:tc>
          <w:tcPr>
            <w:tcW w:w="993" w:type="dxa"/>
            <w:tcBorders>
              <w:top w:val="nil"/>
              <w:left w:val="nil"/>
              <w:bottom w:val="nil"/>
              <w:right w:val="nil"/>
            </w:tcBorders>
            <w:vAlign w:val="center"/>
          </w:tcPr>
          <w:p w14:paraId="0B09D50F"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26/41</w:t>
            </w:r>
          </w:p>
        </w:tc>
        <w:tc>
          <w:tcPr>
            <w:tcW w:w="992" w:type="dxa"/>
            <w:tcBorders>
              <w:top w:val="nil"/>
              <w:left w:val="nil"/>
              <w:bottom w:val="nil"/>
              <w:right w:val="nil"/>
            </w:tcBorders>
            <w:vAlign w:val="center"/>
          </w:tcPr>
          <w:p w14:paraId="133F5D72"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63.41</w:t>
            </w:r>
          </w:p>
        </w:tc>
        <w:tc>
          <w:tcPr>
            <w:tcW w:w="992" w:type="dxa"/>
            <w:tcBorders>
              <w:top w:val="nil"/>
              <w:left w:val="nil"/>
              <w:bottom w:val="nil"/>
              <w:right w:val="nil"/>
            </w:tcBorders>
            <w:vAlign w:val="center"/>
          </w:tcPr>
          <w:p w14:paraId="00F08C59"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28/44</w:t>
            </w:r>
          </w:p>
        </w:tc>
        <w:tc>
          <w:tcPr>
            <w:tcW w:w="993" w:type="dxa"/>
            <w:tcBorders>
              <w:top w:val="nil"/>
              <w:left w:val="nil"/>
              <w:bottom w:val="nil"/>
            </w:tcBorders>
            <w:vAlign w:val="center"/>
          </w:tcPr>
          <w:p w14:paraId="2744F312"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63.64</w:t>
            </w:r>
          </w:p>
        </w:tc>
      </w:tr>
      <w:tr w:rsidR="00FA5D02" w14:paraId="466C2432"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47B7118D" w14:textId="77777777" w:rsidR="00FA5D02" w:rsidRPr="0027570F" w:rsidRDefault="00FA5D02" w:rsidP="00FA5D02">
            <w:pPr>
              <w:snapToGrid w:val="0"/>
              <w:spacing w:before="100" w:beforeAutospacing="1" w:after="100" w:afterAutospacing="1" w:line="240" w:lineRule="auto"/>
              <w:rPr>
                <w:b w:val="0"/>
                <w:bCs w:val="0"/>
                <w:i/>
                <w:iCs/>
                <w:sz w:val="20"/>
                <w:szCs w:val="20"/>
              </w:rPr>
            </w:pPr>
            <w:r w:rsidRPr="0027570F">
              <w:rPr>
                <w:b w:val="0"/>
                <w:bCs w:val="0"/>
                <w:i/>
                <w:iCs/>
                <w:sz w:val="20"/>
                <w:szCs w:val="20"/>
              </w:rPr>
              <w:t>1-3 months</w:t>
            </w:r>
          </w:p>
        </w:tc>
        <w:tc>
          <w:tcPr>
            <w:tcW w:w="992" w:type="dxa"/>
            <w:tcBorders>
              <w:top w:val="nil"/>
              <w:left w:val="nil"/>
              <w:bottom w:val="nil"/>
              <w:right w:val="nil"/>
            </w:tcBorders>
            <w:vAlign w:val="center"/>
          </w:tcPr>
          <w:p w14:paraId="552920AE"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2/18</w:t>
            </w:r>
          </w:p>
        </w:tc>
        <w:tc>
          <w:tcPr>
            <w:tcW w:w="992" w:type="dxa"/>
            <w:tcBorders>
              <w:top w:val="nil"/>
              <w:left w:val="nil"/>
              <w:bottom w:val="nil"/>
              <w:right w:val="nil"/>
            </w:tcBorders>
            <w:vAlign w:val="center"/>
          </w:tcPr>
          <w:p w14:paraId="25D79C43"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11.11</w:t>
            </w:r>
          </w:p>
        </w:tc>
        <w:tc>
          <w:tcPr>
            <w:tcW w:w="993" w:type="dxa"/>
            <w:tcBorders>
              <w:top w:val="nil"/>
              <w:left w:val="nil"/>
              <w:bottom w:val="nil"/>
              <w:right w:val="nil"/>
            </w:tcBorders>
            <w:vAlign w:val="center"/>
          </w:tcPr>
          <w:p w14:paraId="5B928324"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6/41</w:t>
            </w:r>
          </w:p>
        </w:tc>
        <w:tc>
          <w:tcPr>
            <w:tcW w:w="992" w:type="dxa"/>
            <w:tcBorders>
              <w:top w:val="nil"/>
              <w:left w:val="nil"/>
              <w:bottom w:val="nil"/>
              <w:right w:val="nil"/>
            </w:tcBorders>
            <w:vAlign w:val="center"/>
          </w:tcPr>
          <w:p w14:paraId="1EBDDCE3"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14.63</w:t>
            </w:r>
          </w:p>
        </w:tc>
        <w:tc>
          <w:tcPr>
            <w:tcW w:w="992" w:type="dxa"/>
            <w:tcBorders>
              <w:top w:val="nil"/>
              <w:left w:val="nil"/>
              <w:bottom w:val="nil"/>
              <w:right w:val="nil"/>
            </w:tcBorders>
            <w:vAlign w:val="center"/>
          </w:tcPr>
          <w:p w14:paraId="74CFBE03"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6/44</w:t>
            </w:r>
          </w:p>
        </w:tc>
        <w:tc>
          <w:tcPr>
            <w:tcW w:w="993" w:type="dxa"/>
            <w:tcBorders>
              <w:top w:val="nil"/>
              <w:left w:val="nil"/>
              <w:bottom w:val="nil"/>
            </w:tcBorders>
            <w:vAlign w:val="center"/>
          </w:tcPr>
          <w:p w14:paraId="60B97937"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13.64</w:t>
            </w:r>
          </w:p>
        </w:tc>
      </w:tr>
      <w:tr w:rsidR="00FA5D02" w14:paraId="770A156A" w14:textId="77777777" w:rsidTr="00FA5D02">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nil"/>
            </w:tcBorders>
            <w:vAlign w:val="center"/>
          </w:tcPr>
          <w:p w14:paraId="3DB57D9D" w14:textId="77777777" w:rsidR="00FA5D02" w:rsidRPr="0027570F" w:rsidRDefault="00FA5D02" w:rsidP="00FA5D02">
            <w:pPr>
              <w:snapToGrid w:val="0"/>
              <w:spacing w:before="100" w:beforeAutospacing="1" w:after="100" w:afterAutospacing="1" w:line="240" w:lineRule="auto"/>
              <w:rPr>
                <w:b w:val="0"/>
                <w:bCs w:val="0"/>
                <w:i/>
                <w:iCs/>
                <w:sz w:val="20"/>
                <w:szCs w:val="20"/>
              </w:rPr>
            </w:pPr>
            <w:r w:rsidRPr="0027570F">
              <w:rPr>
                <w:b w:val="0"/>
                <w:bCs w:val="0"/>
                <w:i/>
                <w:iCs/>
                <w:sz w:val="20"/>
                <w:szCs w:val="20"/>
              </w:rPr>
              <w:t>4-6 months</w:t>
            </w:r>
          </w:p>
        </w:tc>
        <w:tc>
          <w:tcPr>
            <w:tcW w:w="992" w:type="dxa"/>
            <w:tcBorders>
              <w:top w:val="nil"/>
              <w:left w:val="nil"/>
              <w:bottom w:val="nil"/>
              <w:right w:val="nil"/>
            </w:tcBorders>
            <w:vAlign w:val="center"/>
          </w:tcPr>
          <w:p w14:paraId="76A0B5A4"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1/18</w:t>
            </w:r>
          </w:p>
        </w:tc>
        <w:tc>
          <w:tcPr>
            <w:tcW w:w="992" w:type="dxa"/>
            <w:tcBorders>
              <w:top w:val="nil"/>
              <w:left w:val="nil"/>
              <w:bottom w:val="nil"/>
              <w:right w:val="nil"/>
            </w:tcBorders>
            <w:vAlign w:val="center"/>
          </w:tcPr>
          <w:p w14:paraId="0E654AF8"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5.55</w:t>
            </w:r>
          </w:p>
        </w:tc>
        <w:tc>
          <w:tcPr>
            <w:tcW w:w="993" w:type="dxa"/>
            <w:tcBorders>
              <w:top w:val="nil"/>
              <w:left w:val="nil"/>
              <w:bottom w:val="nil"/>
              <w:right w:val="nil"/>
            </w:tcBorders>
            <w:vAlign w:val="center"/>
          </w:tcPr>
          <w:p w14:paraId="5EF9BF45"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7/41</w:t>
            </w:r>
          </w:p>
        </w:tc>
        <w:tc>
          <w:tcPr>
            <w:tcW w:w="992" w:type="dxa"/>
            <w:tcBorders>
              <w:top w:val="nil"/>
              <w:left w:val="nil"/>
              <w:bottom w:val="nil"/>
              <w:right w:val="nil"/>
            </w:tcBorders>
            <w:vAlign w:val="center"/>
          </w:tcPr>
          <w:p w14:paraId="2E2B963B"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17.07</w:t>
            </w:r>
          </w:p>
        </w:tc>
        <w:tc>
          <w:tcPr>
            <w:tcW w:w="992" w:type="dxa"/>
            <w:tcBorders>
              <w:top w:val="nil"/>
              <w:left w:val="nil"/>
              <w:bottom w:val="nil"/>
              <w:right w:val="nil"/>
            </w:tcBorders>
            <w:vAlign w:val="center"/>
          </w:tcPr>
          <w:p w14:paraId="592F18F1"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8/44</w:t>
            </w:r>
          </w:p>
        </w:tc>
        <w:tc>
          <w:tcPr>
            <w:tcW w:w="993" w:type="dxa"/>
            <w:tcBorders>
              <w:top w:val="nil"/>
              <w:left w:val="nil"/>
              <w:bottom w:val="nil"/>
            </w:tcBorders>
            <w:vAlign w:val="center"/>
          </w:tcPr>
          <w:p w14:paraId="7EDCC8A3" w14:textId="77777777" w:rsidR="00FA5D02" w:rsidRPr="0066096A" w:rsidRDefault="00FA5D02" w:rsidP="00FA5D02">
            <w:pPr>
              <w:snapToGrid w:val="0"/>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18.18</w:t>
            </w:r>
          </w:p>
        </w:tc>
      </w:tr>
      <w:tr w:rsidR="00FA5D02" w14:paraId="7ACBF1CB" w14:textId="77777777" w:rsidTr="00FA5D02">
        <w:trPr>
          <w:cantSplit/>
          <w:trHeight w:val="28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nil"/>
              <w:bottom w:val="single" w:sz="4" w:space="0" w:color="000000" w:themeColor="text1"/>
            </w:tcBorders>
            <w:vAlign w:val="center"/>
          </w:tcPr>
          <w:p w14:paraId="58E47B9E" w14:textId="77777777" w:rsidR="00FA5D02" w:rsidRPr="0027570F" w:rsidRDefault="00FA5D02" w:rsidP="00FA5D02">
            <w:pPr>
              <w:snapToGrid w:val="0"/>
              <w:spacing w:before="100" w:beforeAutospacing="1" w:after="100" w:afterAutospacing="1" w:line="240" w:lineRule="auto"/>
              <w:rPr>
                <w:b w:val="0"/>
                <w:bCs w:val="0"/>
                <w:i/>
                <w:iCs/>
                <w:sz w:val="20"/>
                <w:szCs w:val="20"/>
              </w:rPr>
            </w:pPr>
            <w:r w:rsidRPr="0027570F">
              <w:rPr>
                <w:b w:val="0"/>
                <w:bCs w:val="0"/>
                <w:i/>
                <w:iCs/>
                <w:sz w:val="20"/>
                <w:szCs w:val="20"/>
              </w:rPr>
              <w:t>6-12 months</w:t>
            </w:r>
          </w:p>
        </w:tc>
        <w:tc>
          <w:tcPr>
            <w:tcW w:w="992" w:type="dxa"/>
            <w:tcBorders>
              <w:top w:val="nil"/>
              <w:left w:val="nil"/>
              <w:bottom w:val="single" w:sz="4" w:space="0" w:color="000000" w:themeColor="text1"/>
              <w:right w:val="nil"/>
            </w:tcBorders>
            <w:vAlign w:val="center"/>
          </w:tcPr>
          <w:p w14:paraId="50673CD5"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1/18</w:t>
            </w:r>
          </w:p>
        </w:tc>
        <w:tc>
          <w:tcPr>
            <w:tcW w:w="992" w:type="dxa"/>
            <w:tcBorders>
              <w:top w:val="nil"/>
              <w:left w:val="nil"/>
              <w:bottom w:val="single" w:sz="4" w:space="0" w:color="000000" w:themeColor="text1"/>
              <w:right w:val="nil"/>
            </w:tcBorders>
            <w:vAlign w:val="center"/>
          </w:tcPr>
          <w:p w14:paraId="23958874"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5.55</w:t>
            </w:r>
          </w:p>
        </w:tc>
        <w:tc>
          <w:tcPr>
            <w:tcW w:w="993" w:type="dxa"/>
            <w:tcBorders>
              <w:top w:val="nil"/>
              <w:left w:val="nil"/>
              <w:bottom w:val="single" w:sz="4" w:space="0" w:color="000000" w:themeColor="text1"/>
              <w:right w:val="nil"/>
            </w:tcBorders>
            <w:vAlign w:val="center"/>
          </w:tcPr>
          <w:p w14:paraId="3AA09226"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2/41</w:t>
            </w:r>
          </w:p>
        </w:tc>
        <w:tc>
          <w:tcPr>
            <w:tcW w:w="992" w:type="dxa"/>
            <w:tcBorders>
              <w:top w:val="nil"/>
              <w:left w:val="nil"/>
              <w:bottom w:val="single" w:sz="4" w:space="0" w:color="000000" w:themeColor="text1"/>
              <w:right w:val="nil"/>
            </w:tcBorders>
            <w:vAlign w:val="center"/>
          </w:tcPr>
          <w:p w14:paraId="3D1384A3"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4.88</w:t>
            </w:r>
          </w:p>
        </w:tc>
        <w:tc>
          <w:tcPr>
            <w:tcW w:w="992" w:type="dxa"/>
            <w:tcBorders>
              <w:top w:val="nil"/>
              <w:left w:val="nil"/>
              <w:bottom w:val="single" w:sz="4" w:space="0" w:color="000000" w:themeColor="text1"/>
              <w:right w:val="nil"/>
            </w:tcBorders>
            <w:vAlign w:val="center"/>
          </w:tcPr>
          <w:p w14:paraId="30D429F9" w14:textId="77777777" w:rsidR="00FA5D02" w:rsidRPr="0066096A" w:rsidRDefault="00FA5D02" w:rsidP="00FA5D02">
            <w:pPr>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2/44</w:t>
            </w:r>
          </w:p>
        </w:tc>
        <w:tc>
          <w:tcPr>
            <w:tcW w:w="993" w:type="dxa"/>
            <w:tcBorders>
              <w:top w:val="nil"/>
              <w:left w:val="nil"/>
              <w:bottom w:val="single" w:sz="4" w:space="0" w:color="000000" w:themeColor="text1"/>
            </w:tcBorders>
            <w:vAlign w:val="center"/>
          </w:tcPr>
          <w:p w14:paraId="565AF73E" w14:textId="77777777" w:rsidR="00FA5D02" w:rsidRPr="0066096A" w:rsidRDefault="00FA5D02" w:rsidP="00F354AA">
            <w:pPr>
              <w:keepLines/>
              <w:snapToGrid w:val="0"/>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4.55</w:t>
            </w:r>
          </w:p>
        </w:tc>
      </w:tr>
    </w:tbl>
    <w:p w14:paraId="29D7A651" w14:textId="77777777" w:rsidR="00995F8C" w:rsidRDefault="00995F8C" w:rsidP="00995F8C"/>
    <w:p w14:paraId="1838B2F5" w14:textId="4C04EDF9" w:rsidR="00995F8C" w:rsidRDefault="00995F8C" w:rsidP="00995F8C">
      <w:r>
        <w:t xml:space="preserve">From these descriptions, a coder compared and categorised the health centre approaches against the typology developed from the QSC and </w:t>
      </w:r>
      <w:r w:rsidR="00FB7687">
        <w:t>i</w:t>
      </w:r>
      <w:r>
        <w:t xml:space="preserve">mplementation interviews, reviewing and noting changes in approach or events that affected how the health centre offered the Alternative Pathway. The results were checked again against the typology developed from the QSC and </w:t>
      </w:r>
      <w:r w:rsidR="00FB7687">
        <w:t>i</w:t>
      </w:r>
      <w:r>
        <w:t xml:space="preserve">mplementation interviews. No new categories were identified but refinements were made within categories. The final typology is shown in Table </w:t>
      </w:r>
      <w:r w:rsidR="00656CC5">
        <w:rPr>
          <w:color w:val="000000" w:themeColor="text1"/>
        </w:rPr>
        <w:t>F</w:t>
      </w:r>
      <w:r w:rsidRPr="00995F8C">
        <w:rPr>
          <w:color w:val="000000" w:themeColor="text1"/>
        </w:rPr>
        <w:t>-2</w:t>
      </w:r>
      <w:r w:rsidRPr="006E464C">
        <w:rPr>
          <w:color w:val="FF0000"/>
        </w:rPr>
        <w:t>.</w:t>
      </w:r>
    </w:p>
    <w:p w14:paraId="52361A53" w14:textId="3782D65C" w:rsidR="00995F8C" w:rsidRPr="00A141EA" w:rsidRDefault="00995F8C" w:rsidP="00586CDD">
      <w:pPr>
        <w:keepNext/>
        <w:rPr>
          <w:b/>
          <w:bCs/>
          <w:sz w:val="20"/>
          <w:szCs w:val="20"/>
        </w:rPr>
      </w:pPr>
      <w:r w:rsidRPr="00A141EA">
        <w:rPr>
          <w:b/>
          <w:bCs/>
          <w:color w:val="000000" w:themeColor="text1"/>
          <w:sz w:val="20"/>
          <w:szCs w:val="20"/>
        </w:rPr>
        <w:lastRenderedPageBreak/>
        <w:t xml:space="preserve">Table </w:t>
      </w:r>
      <w:r w:rsidR="00656CC5">
        <w:rPr>
          <w:b/>
          <w:bCs/>
          <w:color w:val="000000" w:themeColor="text1"/>
          <w:sz w:val="20"/>
          <w:szCs w:val="20"/>
        </w:rPr>
        <w:t>F</w:t>
      </w:r>
      <w:r w:rsidRPr="00A141EA">
        <w:rPr>
          <w:b/>
          <w:bCs/>
          <w:color w:val="000000" w:themeColor="text1"/>
          <w:sz w:val="20"/>
          <w:szCs w:val="20"/>
        </w:rPr>
        <w:t xml:space="preserve">-2: </w:t>
      </w:r>
      <w:r w:rsidRPr="00A141EA">
        <w:rPr>
          <w:b/>
          <w:bCs/>
          <w:sz w:val="20"/>
          <w:szCs w:val="20"/>
        </w:rPr>
        <w:t>Approaches used by health centre staff to offer the Alternative Pathway</w:t>
      </w:r>
    </w:p>
    <w:tbl>
      <w:tblPr>
        <w:tblStyle w:val="ListTable4"/>
        <w:tblW w:w="9493" w:type="dxa"/>
        <w:tblLayout w:type="fixed"/>
        <w:tblCellMar>
          <w:top w:w="113" w:type="dxa"/>
          <w:bottom w:w="113" w:type="dxa"/>
        </w:tblCellMar>
        <w:tblLook w:val="04A0" w:firstRow="1" w:lastRow="0" w:firstColumn="1" w:lastColumn="0" w:noHBand="0" w:noVBand="1"/>
      </w:tblPr>
      <w:tblGrid>
        <w:gridCol w:w="1980"/>
        <w:gridCol w:w="3685"/>
        <w:gridCol w:w="3828"/>
      </w:tblGrid>
      <w:tr w:rsidR="00995F8C" w:rsidRPr="00350F13" w14:paraId="5A9A2E66" w14:textId="77777777" w:rsidTr="00C80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noWrap/>
          </w:tcPr>
          <w:p w14:paraId="009CBA46" w14:textId="77777777" w:rsidR="00995F8C" w:rsidRPr="00350F13" w:rsidRDefault="00995F8C" w:rsidP="00C8027D">
            <w:pPr>
              <w:spacing w:after="0" w:line="240" w:lineRule="auto"/>
              <w:rPr>
                <w:rFonts w:eastAsia="Times New Roman" w:cstheme="minorHAnsi"/>
                <w:color w:val="E7E6E6" w:themeColor="background2"/>
                <w:sz w:val="20"/>
                <w:szCs w:val="20"/>
              </w:rPr>
            </w:pPr>
            <w:r w:rsidRPr="00350F13">
              <w:rPr>
                <w:rFonts w:eastAsia="Times New Roman" w:cstheme="minorHAnsi"/>
                <w:color w:val="E7E6E6" w:themeColor="background2"/>
                <w:sz w:val="20"/>
                <w:szCs w:val="20"/>
              </w:rPr>
              <w:t>Stage of process</w:t>
            </w:r>
          </w:p>
        </w:tc>
        <w:tc>
          <w:tcPr>
            <w:tcW w:w="3685" w:type="dxa"/>
            <w:noWrap/>
          </w:tcPr>
          <w:p w14:paraId="17A2B3EC" w14:textId="77777777" w:rsidR="00995F8C" w:rsidRPr="00350F13" w:rsidRDefault="00995F8C" w:rsidP="00C8027D">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E7E6E6" w:themeColor="background2"/>
                <w:sz w:val="20"/>
                <w:szCs w:val="20"/>
              </w:rPr>
            </w:pPr>
            <w:r w:rsidRPr="00350F13">
              <w:rPr>
                <w:rFonts w:eastAsia="Times New Roman" w:cstheme="minorHAnsi"/>
                <w:color w:val="E7E6E6" w:themeColor="background2"/>
                <w:sz w:val="20"/>
                <w:szCs w:val="20"/>
              </w:rPr>
              <w:t>Approaches used within stage</w:t>
            </w:r>
          </w:p>
        </w:tc>
        <w:tc>
          <w:tcPr>
            <w:tcW w:w="3828" w:type="dxa"/>
            <w:noWrap/>
          </w:tcPr>
          <w:p w14:paraId="57DD29D1" w14:textId="77777777" w:rsidR="00995F8C" w:rsidRPr="00350F13" w:rsidRDefault="00995F8C" w:rsidP="00C8027D">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E7E6E6" w:themeColor="background2"/>
                <w:sz w:val="20"/>
                <w:szCs w:val="20"/>
              </w:rPr>
            </w:pPr>
            <w:r w:rsidRPr="00350F13">
              <w:rPr>
                <w:rFonts w:eastAsia="Times New Roman" w:cstheme="minorHAnsi"/>
                <w:color w:val="E7E6E6" w:themeColor="background2"/>
                <w:sz w:val="20"/>
                <w:szCs w:val="20"/>
              </w:rPr>
              <w:t>Variations within approach</w:t>
            </w:r>
          </w:p>
        </w:tc>
      </w:tr>
      <w:tr w:rsidR="00995F8C" w:rsidRPr="00350F13" w14:paraId="68D7F361" w14:textId="77777777" w:rsidTr="00C8027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noWrap/>
            <w:hideMark/>
          </w:tcPr>
          <w:p w14:paraId="67F2DDC3" w14:textId="77777777" w:rsidR="00995F8C" w:rsidRPr="00350F13" w:rsidRDefault="00995F8C" w:rsidP="00C8027D">
            <w:pPr>
              <w:spacing w:after="0" w:line="240" w:lineRule="auto"/>
              <w:rPr>
                <w:rFonts w:eastAsia="Times New Roman" w:cstheme="minorHAnsi"/>
                <w:color w:val="0D0D0D"/>
                <w:sz w:val="20"/>
                <w:szCs w:val="20"/>
              </w:rPr>
            </w:pPr>
            <w:r w:rsidRPr="00350F13">
              <w:rPr>
                <w:rFonts w:eastAsia="Times New Roman" w:cstheme="minorHAnsi"/>
                <w:color w:val="0D0D0D"/>
                <w:sz w:val="20"/>
                <w:szCs w:val="20"/>
              </w:rPr>
              <w:t>How were eligible patients identified?</w:t>
            </w:r>
          </w:p>
        </w:tc>
        <w:tc>
          <w:tcPr>
            <w:tcW w:w="3685" w:type="dxa"/>
            <w:shd w:val="clear" w:color="auto" w:fill="D9D9D9" w:themeFill="background1" w:themeFillShade="D9"/>
            <w:noWrap/>
            <w:hideMark/>
          </w:tcPr>
          <w:p w14:paraId="6B327274"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 xml:space="preserve">Audit using clinical information system </w:t>
            </w:r>
          </w:p>
          <w:p w14:paraId="095DCC92"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3828" w:type="dxa"/>
            <w:shd w:val="clear" w:color="auto" w:fill="D9D9D9" w:themeFill="background1" w:themeFillShade="D9"/>
            <w:noWrap/>
            <w:hideMark/>
          </w:tcPr>
          <w:p w14:paraId="6E7DBD66"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 xml:space="preserve">Described as audit or described in other terms but included an audit </w:t>
            </w:r>
            <w:r w:rsidRPr="00350F13">
              <w:rPr>
                <w:rFonts w:eastAsia="Times New Roman" w:cstheme="minorHAnsi"/>
                <w:color w:val="000000"/>
                <w:sz w:val="20"/>
                <w:szCs w:val="20"/>
                <w:lang w:eastAsia="en-AU"/>
              </w:rPr>
              <w:t xml:space="preserve"> </w:t>
            </w:r>
          </w:p>
        </w:tc>
      </w:tr>
      <w:tr w:rsidR="00995F8C" w:rsidRPr="00350F13" w14:paraId="1E5EE386" w14:textId="77777777" w:rsidTr="00C8027D">
        <w:trPr>
          <w:cantSplit/>
          <w:trHeight w:val="34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3FA0BDDC"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14A070CC"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From within membership of another group/program (e.g. health assessment)</w:t>
            </w:r>
          </w:p>
        </w:tc>
        <w:tc>
          <w:tcPr>
            <w:tcW w:w="3828" w:type="dxa"/>
            <w:shd w:val="clear" w:color="auto" w:fill="D9D9D9" w:themeFill="background1" w:themeFillShade="D9"/>
            <w:noWrap/>
            <w:hideMark/>
          </w:tcPr>
          <w:p w14:paraId="6A140DB6"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Health assessment or other recurring consultations such as care plan</w:t>
            </w:r>
          </w:p>
        </w:tc>
      </w:tr>
      <w:tr w:rsidR="00995F8C" w:rsidRPr="00350F13" w14:paraId="4CC4A0BF" w14:textId="77777777" w:rsidTr="00995F8C">
        <w:trPr>
          <w:cnfStyle w:val="000000100000" w:firstRow="0" w:lastRow="0" w:firstColumn="0" w:lastColumn="0" w:oddVBand="0" w:evenVBand="0" w:oddHBand="1" w:evenHBand="0" w:firstRowFirstColumn="0" w:firstRowLastColumn="0" w:lastRowFirstColumn="0" w:lastRowLastColumn="0"/>
          <w:cantSplit/>
          <w:trHeight w:hRule="exact" w:val="66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394B4E71"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190D18D3"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 xml:space="preserve">Not reported </w:t>
            </w:r>
          </w:p>
        </w:tc>
        <w:tc>
          <w:tcPr>
            <w:tcW w:w="3828" w:type="dxa"/>
            <w:shd w:val="clear" w:color="auto" w:fill="D9D9D9" w:themeFill="background1" w:themeFillShade="D9"/>
            <w:noWrap/>
            <w:hideMark/>
          </w:tcPr>
          <w:p w14:paraId="267E0CFA"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p>
        </w:tc>
      </w:tr>
      <w:tr w:rsidR="00995F8C" w:rsidRPr="00350F13" w14:paraId="12178014" w14:textId="77777777" w:rsidTr="00995F8C">
        <w:trPr>
          <w:cantSplit/>
          <w:trHeight w:hRule="exact" w:val="78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2E5795A1"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71141DF2"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Other</w:t>
            </w:r>
          </w:p>
        </w:tc>
        <w:tc>
          <w:tcPr>
            <w:tcW w:w="3828" w:type="dxa"/>
            <w:shd w:val="clear" w:color="auto" w:fill="D9D9D9" w:themeFill="background1" w:themeFillShade="D9"/>
            <w:noWrap/>
            <w:hideMark/>
          </w:tcPr>
          <w:p w14:paraId="2BCDD2AA"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p>
        </w:tc>
      </w:tr>
      <w:tr w:rsidR="00995F8C" w:rsidRPr="00350F13" w14:paraId="0A19103A"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noWrap/>
            <w:hideMark/>
          </w:tcPr>
          <w:p w14:paraId="2A993B36" w14:textId="77777777" w:rsidR="00995F8C" w:rsidRPr="00350F13" w:rsidRDefault="00995F8C" w:rsidP="00C8027D">
            <w:pPr>
              <w:spacing w:after="0" w:line="240" w:lineRule="auto"/>
              <w:rPr>
                <w:rFonts w:eastAsia="Times New Roman" w:cstheme="minorHAnsi"/>
                <w:color w:val="0D0D0D"/>
                <w:sz w:val="20"/>
                <w:szCs w:val="20"/>
              </w:rPr>
            </w:pPr>
            <w:r>
              <w:rPr>
                <w:rFonts w:eastAsia="Times New Roman" w:cstheme="minorHAnsi"/>
                <w:color w:val="0D0D0D"/>
                <w:sz w:val="20"/>
                <w:szCs w:val="20"/>
              </w:rPr>
              <w:t>When did bowel screening conversation occur?</w:t>
            </w:r>
          </w:p>
        </w:tc>
        <w:tc>
          <w:tcPr>
            <w:tcW w:w="3685" w:type="dxa"/>
            <w:shd w:val="clear" w:color="auto" w:fill="auto"/>
            <w:hideMark/>
          </w:tcPr>
          <w:p w14:paraId="53814615"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Opportunistic (at attendance at clinic)</w:t>
            </w:r>
          </w:p>
        </w:tc>
        <w:tc>
          <w:tcPr>
            <w:tcW w:w="3828" w:type="dxa"/>
            <w:shd w:val="clear" w:color="auto" w:fill="auto"/>
            <w:noWrap/>
            <w:hideMark/>
          </w:tcPr>
          <w:p w14:paraId="216A67B3"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Opportunistic</w:t>
            </w:r>
          </w:p>
        </w:tc>
      </w:tr>
      <w:tr w:rsidR="00995F8C" w:rsidRPr="00350F13" w14:paraId="0E182D40"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hideMark/>
          </w:tcPr>
          <w:p w14:paraId="7E903E82"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auto"/>
            <w:hideMark/>
          </w:tcPr>
          <w:p w14:paraId="7EBAFF54" w14:textId="248856A0"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Active/targeted (recall, invite etc)</w:t>
            </w:r>
          </w:p>
        </w:tc>
        <w:tc>
          <w:tcPr>
            <w:tcW w:w="3828" w:type="dxa"/>
            <w:shd w:val="clear" w:color="auto" w:fill="auto"/>
            <w:noWrap/>
            <w:hideMark/>
          </w:tcPr>
          <w:p w14:paraId="66E22E54" w14:textId="784DAF3F"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Actively recruited patients/</w:t>
            </w:r>
            <w:r w:rsidR="00A141EA">
              <w:rPr>
                <w:rFonts w:eastAsia="Times New Roman" w:cstheme="minorHAnsi"/>
                <w:color w:val="262626" w:themeColor="text1" w:themeTint="D9"/>
                <w:sz w:val="20"/>
                <w:szCs w:val="20"/>
              </w:rPr>
              <w:t>t</w:t>
            </w:r>
            <w:r w:rsidRPr="00350F13">
              <w:rPr>
                <w:rFonts w:eastAsia="Times New Roman" w:cstheme="minorHAnsi"/>
                <w:color w:val="262626" w:themeColor="text1" w:themeTint="D9"/>
                <w:sz w:val="20"/>
                <w:szCs w:val="20"/>
              </w:rPr>
              <w:t>argeted eligible patients</w:t>
            </w:r>
          </w:p>
        </w:tc>
      </w:tr>
      <w:tr w:rsidR="00995F8C" w:rsidRPr="00350F13" w14:paraId="5814C557"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hideMark/>
          </w:tcPr>
          <w:p w14:paraId="508CB6D5"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auto"/>
            <w:hideMark/>
          </w:tcPr>
          <w:p w14:paraId="414EE744" w14:textId="77777777" w:rsidR="00995F8C" w:rsidRPr="00350F13" w:rsidRDefault="00995F8C" w:rsidP="00C8027D">
            <w:pPr>
              <w:spacing w:before="100" w:beforeAutospacing="1"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As part of h</w:t>
            </w:r>
            <w:r w:rsidRPr="00350F13">
              <w:rPr>
                <w:rFonts w:eastAsia="Times New Roman" w:cstheme="minorHAnsi"/>
                <w:color w:val="000000"/>
                <w:sz w:val="20"/>
                <w:szCs w:val="20"/>
              </w:rPr>
              <w:t>ealth assessment or other routine activity</w:t>
            </w:r>
          </w:p>
        </w:tc>
        <w:tc>
          <w:tcPr>
            <w:tcW w:w="3828" w:type="dxa"/>
            <w:shd w:val="clear" w:color="auto" w:fill="auto"/>
            <w:noWrap/>
            <w:hideMark/>
          </w:tcPr>
          <w:p w14:paraId="0B0AE609" w14:textId="77777777" w:rsidR="00995F8C" w:rsidRPr="00BA0EF1" w:rsidRDefault="00995F8C" w:rsidP="00C8027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BA0EF1">
              <w:rPr>
                <w:rFonts w:eastAsia="Times New Roman" w:cstheme="minorHAnsi"/>
                <w:color w:val="000000"/>
                <w:sz w:val="20"/>
                <w:szCs w:val="20"/>
              </w:rPr>
              <w:t>Health assessment only</w:t>
            </w:r>
          </w:p>
          <w:p w14:paraId="3C27A1F0" w14:textId="77777777" w:rsidR="00995F8C" w:rsidRPr="00BA0EF1" w:rsidRDefault="00995F8C" w:rsidP="00C8027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BA0EF1">
              <w:rPr>
                <w:rFonts w:eastAsia="Times New Roman" w:cstheme="minorHAnsi"/>
                <w:color w:val="000000"/>
                <w:sz w:val="20"/>
                <w:szCs w:val="20"/>
              </w:rPr>
              <w:t>Health assessment at outreach clinic</w:t>
            </w:r>
          </w:p>
          <w:p w14:paraId="577C56A4" w14:textId="77777777" w:rsidR="00995F8C" w:rsidRPr="00350F13" w:rsidRDefault="00995F8C" w:rsidP="00C8027D">
            <w:pPr>
              <w:spacing w:after="6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BA0EF1">
              <w:rPr>
                <w:rFonts w:eastAsia="Times New Roman" w:cstheme="minorHAnsi"/>
                <w:color w:val="000000"/>
                <w:sz w:val="20"/>
                <w:szCs w:val="20"/>
              </w:rPr>
              <w:t xml:space="preserve">Health assessment or other routine assessment such as GP care plans/management plans, immunisations, </w:t>
            </w:r>
            <w:r w:rsidRPr="00BA0EF1">
              <w:rPr>
                <w:rFonts w:eastAsia="Times New Roman"/>
                <w:color w:val="000000"/>
                <w:sz w:val="20"/>
                <w:szCs w:val="20"/>
              </w:rPr>
              <w:t>or at-home care visits</w:t>
            </w:r>
          </w:p>
        </w:tc>
      </w:tr>
      <w:tr w:rsidR="00995F8C" w:rsidRPr="00350F13" w14:paraId="7A6F63B9"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hideMark/>
          </w:tcPr>
          <w:p w14:paraId="2FE38CCC"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auto"/>
            <w:hideMark/>
          </w:tcPr>
          <w:p w14:paraId="479D410E"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Individual education session, before or after consultation</w:t>
            </w:r>
          </w:p>
        </w:tc>
        <w:tc>
          <w:tcPr>
            <w:tcW w:w="3828" w:type="dxa"/>
            <w:shd w:val="clear" w:color="auto" w:fill="auto"/>
            <w:noWrap/>
            <w:hideMark/>
          </w:tcPr>
          <w:p w14:paraId="76D592D8" w14:textId="0E2C6183"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Individual appointments/educ</w:t>
            </w:r>
            <w:r w:rsidR="00A141EA">
              <w:rPr>
                <w:rFonts w:eastAsia="Times New Roman" w:cstheme="minorHAnsi"/>
                <w:color w:val="262626" w:themeColor="text1" w:themeTint="D9"/>
                <w:sz w:val="20"/>
                <w:szCs w:val="20"/>
              </w:rPr>
              <w:t>ation</w:t>
            </w:r>
            <w:r w:rsidRPr="00350F13">
              <w:rPr>
                <w:rFonts w:eastAsia="Times New Roman" w:cstheme="minorHAnsi"/>
                <w:color w:val="262626" w:themeColor="text1" w:themeTint="D9"/>
                <w:sz w:val="20"/>
                <w:szCs w:val="20"/>
              </w:rPr>
              <w:t xml:space="preserve"> </w:t>
            </w:r>
            <w:r>
              <w:rPr>
                <w:rFonts w:eastAsia="Times New Roman" w:cstheme="minorHAnsi"/>
                <w:color w:val="262626" w:themeColor="text1" w:themeTint="D9"/>
                <w:sz w:val="20"/>
                <w:szCs w:val="20"/>
              </w:rPr>
              <w:t>s</w:t>
            </w:r>
            <w:r w:rsidRPr="00350F13">
              <w:rPr>
                <w:rFonts w:eastAsia="Times New Roman" w:cstheme="minorHAnsi"/>
                <w:color w:val="262626" w:themeColor="text1" w:themeTint="D9"/>
                <w:sz w:val="20"/>
                <w:szCs w:val="20"/>
              </w:rPr>
              <w:t>ession</w:t>
            </w:r>
          </w:p>
        </w:tc>
      </w:tr>
      <w:tr w:rsidR="00995F8C" w:rsidRPr="00350F13" w14:paraId="30012ADC"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E51A8C5"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auto"/>
            <w:hideMark/>
          </w:tcPr>
          <w:p w14:paraId="3DC44B15" w14:textId="344BFD39"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Special event (</w:t>
            </w:r>
            <w:r w:rsidR="00A141EA">
              <w:rPr>
                <w:rFonts w:eastAsia="Times New Roman" w:cstheme="minorHAnsi"/>
                <w:color w:val="000000"/>
                <w:sz w:val="20"/>
                <w:szCs w:val="20"/>
              </w:rPr>
              <w:t>p</w:t>
            </w:r>
            <w:r w:rsidRPr="00350F13">
              <w:rPr>
                <w:rFonts w:eastAsia="Times New Roman" w:cstheme="minorHAnsi"/>
                <w:color w:val="000000"/>
                <w:sz w:val="20"/>
                <w:szCs w:val="20"/>
              </w:rPr>
              <w:t xml:space="preserve">romotion </w:t>
            </w:r>
            <w:r>
              <w:rPr>
                <w:rFonts w:eastAsia="Times New Roman" w:cstheme="minorHAnsi"/>
                <w:color w:val="000000"/>
                <w:sz w:val="20"/>
                <w:szCs w:val="20"/>
              </w:rPr>
              <w:t>d</w:t>
            </w:r>
            <w:r w:rsidRPr="00350F13">
              <w:rPr>
                <w:rFonts w:eastAsia="Times New Roman" w:cstheme="minorHAnsi"/>
                <w:color w:val="000000"/>
                <w:sz w:val="20"/>
                <w:szCs w:val="20"/>
              </w:rPr>
              <w:t>ay, NAIDOC, information session)</w:t>
            </w:r>
          </w:p>
        </w:tc>
        <w:tc>
          <w:tcPr>
            <w:tcW w:w="3828" w:type="dxa"/>
            <w:shd w:val="clear" w:color="auto" w:fill="auto"/>
            <w:noWrap/>
            <w:hideMark/>
          </w:tcPr>
          <w:p w14:paraId="2E814357"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 xml:space="preserve">Special event </w:t>
            </w:r>
          </w:p>
        </w:tc>
      </w:tr>
      <w:tr w:rsidR="00995F8C" w:rsidRPr="00350F13" w14:paraId="2469E705"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hideMark/>
          </w:tcPr>
          <w:p w14:paraId="37D613FD"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auto"/>
            <w:hideMark/>
          </w:tcPr>
          <w:p w14:paraId="2AC99120"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Not reported</w:t>
            </w:r>
          </w:p>
        </w:tc>
        <w:tc>
          <w:tcPr>
            <w:tcW w:w="3828" w:type="dxa"/>
            <w:shd w:val="clear" w:color="auto" w:fill="auto"/>
            <w:noWrap/>
            <w:hideMark/>
          </w:tcPr>
          <w:p w14:paraId="11D145A8"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p>
        </w:tc>
      </w:tr>
      <w:tr w:rsidR="00995F8C" w:rsidRPr="00350F13" w14:paraId="7C48002B"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DD06C02"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auto"/>
            <w:hideMark/>
          </w:tcPr>
          <w:p w14:paraId="0FCC3D41"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Other</w:t>
            </w:r>
          </w:p>
        </w:tc>
        <w:tc>
          <w:tcPr>
            <w:tcW w:w="3828" w:type="dxa"/>
            <w:shd w:val="clear" w:color="auto" w:fill="auto"/>
            <w:noWrap/>
            <w:hideMark/>
          </w:tcPr>
          <w:p w14:paraId="2956A6C1"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p>
        </w:tc>
      </w:tr>
      <w:tr w:rsidR="00995F8C" w:rsidRPr="00350F13" w14:paraId="76655F23"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noWrap/>
            <w:hideMark/>
          </w:tcPr>
          <w:p w14:paraId="713B6B74" w14:textId="77777777" w:rsidR="00995F8C" w:rsidRPr="00350F13" w:rsidRDefault="00995F8C" w:rsidP="00C8027D">
            <w:pPr>
              <w:spacing w:after="0" w:line="240" w:lineRule="auto"/>
              <w:rPr>
                <w:rFonts w:eastAsia="Times New Roman" w:cstheme="minorHAnsi"/>
                <w:color w:val="0D0D0D"/>
                <w:sz w:val="20"/>
                <w:szCs w:val="20"/>
              </w:rPr>
            </w:pPr>
            <w:r w:rsidRPr="00350F13">
              <w:rPr>
                <w:rFonts w:eastAsia="Times New Roman" w:cstheme="minorHAnsi"/>
                <w:color w:val="0D0D0D"/>
                <w:sz w:val="20"/>
                <w:szCs w:val="20"/>
              </w:rPr>
              <w:t xml:space="preserve">How was the Participant Details </w:t>
            </w:r>
            <w:r w:rsidRPr="00350F13">
              <w:rPr>
                <w:rFonts w:eastAsia="Times New Roman" w:cstheme="minorHAnsi"/>
                <w:color w:val="0D0D0D"/>
                <w:sz w:val="20"/>
                <w:szCs w:val="20"/>
              </w:rPr>
              <w:lastRenderedPageBreak/>
              <w:t>form completed and provided to clients?</w:t>
            </w:r>
          </w:p>
        </w:tc>
        <w:tc>
          <w:tcPr>
            <w:tcW w:w="3685" w:type="dxa"/>
            <w:shd w:val="clear" w:color="auto" w:fill="D9D9D9" w:themeFill="background1" w:themeFillShade="D9"/>
            <w:hideMark/>
          </w:tcPr>
          <w:p w14:paraId="0F962878"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lastRenderedPageBreak/>
              <w:t>Format</w:t>
            </w:r>
          </w:p>
        </w:tc>
        <w:tc>
          <w:tcPr>
            <w:tcW w:w="3828" w:type="dxa"/>
            <w:shd w:val="clear" w:color="auto" w:fill="D9D9D9" w:themeFill="background1" w:themeFillShade="D9"/>
            <w:noWrap/>
            <w:hideMark/>
          </w:tcPr>
          <w:p w14:paraId="0E9B49A8" w14:textId="3FEB0AD9"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Online</w:t>
            </w:r>
            <w:r w:rsidR="00A141EA">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A141EA">
              <w:rPr>
                <w:rFonts w:eastAsia="Times New Roman" w:cstheme="minorHAnsi"/>
                <w:color w:val="262626" w:themeColor="text1" w:themeTint="D9"/>
                <w:sz w:val="20"/>
                <w:szCs w:val="20"/>
              </w:rPr>
              <w:t>h</w:t>
            </w:r>
            <w:r w:rsidRPr="00350F13">
              <w:rPr>
                <w:rFonts w:eastAsia="Times New Roman" w:cstheme="minorHAnsi"/>
                <w:color w:val="262626" w:themeColor="text1" w:themeTint="D9"/>
                <w:sz w:val="20"/>
                <w:szCs w:val="20"/>
              </w:rPr>
              <w:t>ardcopy</w:t>
            </w:r>
            <w:r w:rsidR="00A141EA">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A141EA">
              <w:rPr>
                <w:rFonts w:eastAsia="Times New Roman" w:cstheme="minorHAnsi"/>
                <w:color w:val="262626" w:themeColor="text1" w:themeTint="D9"/>
                <w:sz w:val="20"/>
                <w:szCs w:val="20"/>
              </w:rPr>
              <w:t>n</w:t>
            </w:r>
            <w:r w:rsidRPr="00350F13">
              <w:rPr>
                <w:rFonts w:eastAsia="Times New Roman" w:cstheme="minorHAnsi"/>
                <w:color w:val="262626" w:themeColor="text1" w:themeTint="D9"/>
                <w:sz w:val="20"/>
                <w:szCs w:val="20"/>
              </w:rPr>
              <w:t>ot at all</w:t>
            </w:r>
          </w:p>
        </w:tc>
      </w:tr>
      <w:tr w:rsidR="00995F8C" w:rsidRPr="00350F13" w14:paraId="7112635B"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29FFA8E5"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4FFF1150" w14:textId="370BEA58"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During a consultation or assessment</w:t>
            </w:r>
          </w:p>
        </w:tc>
        <w:tc>
          <w:tcPr>
            <w:tcW w:w="3828" w:type="dxa"/>
            <w:shd w:val="clear" w:color="auto" w:fill="D9D9D9" w:themeFill="background1" w:themeFillShade="D9"/>
            <w:noWrap/>
            <w:hideMark/>
          </w:tcPr>
          <w:p w14:paraId="074805C7" w14:textId="60D3B0CA"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Before seeing GP</w:t>
            </w:r>
            <w:r w:rsidR="00A141EA">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A141EA">
              <w:rPr>
                <w:rFonts w:eastAsia="Times New Roman" w:cstheme="minorHAnsi"/>
                <w:color w:val="262626" w:themeColor="text1" w:themeTint="D9"/>
                <w:sz w:val="20"/>
                <w:szCs w:val="20"/>
              </w:rPr>
              <w:t>w</w:t>
            </w:r>
            <w:r w:rsidRPr="00350F13">
              <w:rPr>
                <w:rFonts w:eastAsia="Times New Roman" w:cstheme="minorHAnsi"/>
                <w:color w:val="262626" w:themeColor="text1" w:themeTint="D9"/>
                <w:sz w:val="20"/>
                <w:szCs w:val="20"/>
              </w:rPr>
              <w:t>ith GP</w:t>
            </w:r>
            <w:r w:rsidR="00A141EA">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A141EA">
              <w:rPr>
                <w:rFonts w:eastAsia="Times New Roman" w:cstheme="minorHAnsi"/>
                <w:color w:val="262626" w:themeColor="text1" w:themeTint="D9"/>
                <w:sz w:val="20"/>
                <w:szCs w:val="20"/>
              </w:rPr>
              <w:t>a</w:t>
            </w:r>
            <w:r w:rsidRPr="00350F13">
              <w:rPr>
                <w:rFonts w:eastAsia="Times New Roman" w:cstheme="minorHAnsi"/>
                <w:color w:val="262626" w:themeColor="text1" w:themeTint="D9"/>
                <w:sz w:val="20"/>
                <w:szCs w:val="20"/>
              </w:rPr>
              <w:t>fter GP</w:t>
            </w:r>
          </w:p>
        </w:tc>
      </w:tr>
      <w:tr w:rsidR="00995F8C" w:rsidRPr="00350F13" w14:paraId="3A70924E"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697A7F82"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1B7A9C55"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Outside of consultation</w:t>
            </w:r>
          </w:p>
        </w:tc>
        <w:tc>
          <w:tcPr>
            <w:tcW w:w="3828" w:type="dxa"/>
            <w:shd w:val="clear" w:color="auto" w:fill="D9D9D9" w:themeFill="background1" w:themeFillShade="D9"/>
            <w:noWrap/>
            <w:hideMark/>
          </w:tcPr>
          <w:p w14:paraId="49CC3741" w14:textId="3A6DD2D4"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 xml:space="preserve">For example, providing the form to the </w:t>
            </w:r>
            <w:r w:rsidR="00A141EA">
              <w:rPr>
                <w:rFonts w:eastAsia="Times New Roman" w:cstheme="minorHAnsi"/>
                <w:color w:val="262626" w:themeColor="text1" w:themeTint="D9"/>
                <w:sz w:val="20"/>
                <w:szCs w:val="20"/>
              </w:rPr>
              <w:t>patient</w:t>
            </w:r>
            <w:r w:rsidRPr="00350F13">
              <w:rPr>
                <w:rFonts w:eastAsia="Times New Roman" w:cstheme="minorHAnsi"/>
                <w:color w:val="262626" w:themeColor="text1" w:themeTint="D9"/>
                <w:sz w:val="20"/>
                <w:szCs w:val="20"/>
              </w:rPr>
              <w:t xml:space="preserve"> to complete and sign when the </w:t>
            </w:r>
            <w:r w:rsidR="00A141EA">
              <w:rPr>
                <w:rFonts w:eastAsia="Times New Roman" w:cstheme="minorHAnsi"/>
                <w:color w:val="262626" w:themeColor="text1" w:themeTint="D9"/>
                <w:sz w:val="20"/>
                <w:szCs w:val="20"/>
              </w:rPr>
              <w:t>patient</w:t>
            </w:r>
            <w:r w:rsidRPr="00350F13">
              <w:rPr>
                <w:rFonts w:eastAsia="Times New Roman" w:cstheme="minorHAnsi"/>
                <w:color w:val="262626" w:themeColor="text1" w:themeTint="D9"/>
                <w:sz w:val="20"/>
                <w:szCs w:val="20"/>
              </w:rPr>
              <w:t xml:space="preserve"> returned samples to the clinic</w:t>
            </w:r>
          </w:p>
        </w:tc>
      </w:tr>
      <w:tr w:rsidR="00995F8C" w:rsidRPr="00350F13" w14:paraId="7C66DCA9"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0BA97E13"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00565A2D"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 xml:space="preserve">Not specified </w:t>
            </w:r>
          </w:p>
        </w:tc>
        <w:tc>
          <w:tcPr>
            <w:tcW w:w="3828" w:type="dxa"/>
            <w:shd w:val="clear" w:color="auto" w:fill="D9D9D9" w:themeFill="background1" w:themeFillShade="D9"/>
            <w:noWrap/>
            <w:hideMark/>
          </w:tcPr>
          <w:p w14:paraId="0BCE1777"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Not specified</w:t>
            </w:r>
          </w:p>
        </w:tc>
      </w:tr>
      <w:tr w:rsidR="00995F8C" w:rsidRPr="00350F13" w14:paraId="4C07FCC2"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112C42F6"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6A11A092"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Who completed the form?</w:t>
            </w:r>
          </w:p>
        </w:tc>
        <w:tc>
          <w:tcPr>
            <w:tcW w:w="3828" w:type="dxa"/>
            <w:shd w:val="clear" w:color="auto" w:fill="D9D9D9" w:themeFill="background1" w:themeFillShade="D9"/>
            <w:noWrap/>
            <w:hideMark/>
          </w:tcPr>
          <w:p w14:paraId="4149ECA3" w14:textId="281B5955"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000000"/>
                <w:sz w:val="20"/>
                <w:szCs w:val="20"/>
              </w:rPr>
              <w:t>Nurse</w:t>
            </w:r>
            <w:r w:rsidR="00A141EA">
              <w:rPr>
                <w:rFonts w:eastAsia="Times New Roman" w:cstheme="minorHAnsi"/>
                <w:color w:val="000000"/>
                <w:sz w:val="20"/>
                <w:szCs w:val="20"/>
              </w:rPr>
              <w:t>,</w:t>
            </w:r>
            <w:r w:rsidRPr="00350F13">
              <w:rPr>
                <w:rFonts w:eastAsia="Times New Roman" w:cstheme="minorHAnsi"/>
                <w:color w:val="000000"/>
                <w:sz w:val="20"/>
                <w:szCs w:val="20"/>
              </w:rPr>
              <w:t xml:space="preserve"> IHW/IHP</w:t>
            </w:r>
            <w:r w:rsidR="00A141EA">
              <w:rPr>
                <w:rFonts w:eastAsia="Times New Roman" w:cstheme="minorHAnsi"/>
                <w:color w:val="000000"/>
                <w:sz w:val="20"/>
                <w:szCs w:val="20"/>
              </w:rPr>
              <w:t>,</w:t>
            </w:r>
            <w:r w:rsidRPr="00350F13">
              <w:rPr>
                <w:rFonts w:eastAsia="Times New Roman" w:cstheme="minorHAnsi"/>
                <w:color w:val="000000"/>
                <w:sz w:val="20"/>
                <w:szCs w:val="20"/>
              </w:rPr>
              <w:t xml:space="preserve"> GP</w:t>
            </w:r>
            <w:r w:rsidR="00A141EA">
              <w:rPr>
                <w:rFonts w:eastAsia="Times New Roman" w:cstheme="minorHAnsi"/>
                <w:color w:val="000000"/>
                <w:sz w:val="20"/>
                <w:szCs w:val="20"/>
              </w:rPr>
              <w:t>,</w:t>
            </w:r>
            <w:r w:rsidRPr="00350F13">
              <w:rPr>
                <w:rFonts w:eastAsia="Times New Roman" w:cstheme="minorHAnsi"/>
                <w:color w:val="000000"/>
                <w:sz w:val="20"/>
                <w:szCs w:val="20"/>
              </w:rPr>
              <w:t xml:space="preserve"> </w:t>
            </w:r>
            <w:r w:rsidR="00A141EA">
              <w:rPr>
                <w:rFonts w:eastAsia="Times New Roman" w:cstheme="minorHAnsi"/>
                <w:color w:val="000000"/>
                <w:sz w:val="20"/>
                <w:szCs w:val="20"/>
              </w:rPr>
              <w:t>a</w:t>
            </w:r>
            <w:r w:rsidRPr="00350F13">
              <w:rPr>
                <w:rFonts w:eastAsia="Times New Roman" w:cstheme="minorHAnsi"/>
                <w:color w:val="000000"/>
                <w:sz w:val="20"/>
                <w:szCs w:val="20"/>
              </w:rPr>
              <w:t>ll/</w:t>
            </w:r>
            <w:r w:rsidR="00A141EA">
              <w:rPr>
                <w:rFonts w:eastAsia="Times New Roman" w:cstheme="minorHAnsi"/>
                <w:color w:val="000000"/>
                <w:sz w:val="20"/>
                <w:szCs w:val="20"/>
              </w:rPr>
              <w:t>a</w:t>
            </w:r>
            <w:r w:rsidRPr="00350F13">
              <w:rPr>
                <w:rFonts w:eastAsia="Times New Roman" w:cstheme="minorHAnsi"/>
                <w:color w:val="000000"/>
                <w:sz w:val="20"/>
                <w:szCs w:val="20"/>
              </w:rPr>
              <w:t xml:space="preserve">ny </w:t>
            </w:r>
            <w:r w:rsidR="00A141EA">
              <w:rPr>
                <w:rFonts w:eastAsia="Times New Roman" w:cstheme="minorHAnsi"/>
                <w:color w:val="000000"/>
                <w:sz w:val="20"/>
                <w:szCs w:val="20"/>
              </w:rPr>
              <w:t>c</w:t>
            </w:r>
            <w:r w:rsidRPr="00350F13">
              <w:rPr>
                <w:rFonts w:eastAsia="Times New Roman" w:cstheme="minorHAnsi"/>
                <w:color w:val="000000"/>
                <w:sz w:val="20"/>
                <w:szCs w:val="20"/>
              </w:rPr>
              <w:t xml:space="preserve">linical </w:t>
            </w:r>
            <w:r w:rsidR="00A141EA">
              <w:rPr>
                <w:rFonts w:eastAsia="Times New Roman" w:cstheme="minorHAnsi"/>
                <w:color w:val="000000"/>
                <w:sz w:val="20"/>
                <w:szCs w:val="20"/>
              </w:rPr>
              <w:t>s</w:t>
            </w:r>
            <w:r w:rsidRPr="00350F13">
              <w:rPr>
                <w:rFonts w:eastAsia="Times New Roman" w:cstheme="minorHAnsi"/>
                <w:color w:val="000000"/>
                <w:sz w:val="20"/>
                <w:szCs w:val="20"/>
              </w:rPr>
              <w:t>taff (inc</w:t>
            </w:r>
            <w:r w:rsidR="00A141EA">
              <w:rPr>
                <w:rFonts w:eastAsia="Times New Roman" w:cstheme="minorHAnsi"/>
                <w:color w:val="000000"/>
                <w:sz w:val="20"/>
                <w:szCs w:val="20"/>
              </w:rPr>
              <w:t>luding</w:t>
            </w:r>
            <w:r w:rsidRPr="00350F13">
              <w:rPr>
                <w:rFonts w:eastAsia="Times New Roman" w:cstheme="minorHAnsi"/>
                <w:color w:val="000000"/>
                <w:sz w:val="20"/>
                <w:szCs w:val="20"/>
              </w:rPr>
              <w:t xml:space="preserve"> receptionist)</w:t>
            </w:r>
            <w:r w:rsidR="00A141EA">
              <w:rPr>
                <w:rFonts w:eastAsia="Times New Roman" w:cstheme="minorHAnsi"/>
                <w:color w:val="000000"/>
                <w:sz w:val="20"/>
                <w:szCs w:val="20"/>
              </w:rPr>
              <w:t>,</w:t>
            </w:r>
            <w:r w:rsidRPr="00350F13">
              <w:rPr>
                <w:rFonts w:eastAsia="Times New Roman" w:cstheme="minorHAnsi"/>
                <w:color w:val="000000"/>
                <w:sz w:val="20"/>
                <w:szCs w:val="20"/>
              </w:rPr>
              <w:t xml:space="preserve"> </w:t>
            </w:r>
            <w:r w:rsidR="00A141EA">
              <w:rPr>
                <w:rFonts w:eastAsia="Times New Roman" w:cstheme="minorHAnsi"/>
                <w:color w:val="000000"/>
                <w:sz w:val="20"/>
                <w:szCs w:val="20"/>
              </w:rPr>
              <w:t>n</w:t>
            </w:r>
            <w:r w:rsidRPr="00350F13">
              <w:rPr>
                <w:rFonts w:eastAsia="Times New Roman" w:cstheme="minorHAnsi"/>
                <w:color w:val="000000"/>
                <w:sz w:val="20"/>
                <w:szCs w:val="20"/>
              </w:rPr>
              <w:t>ot specified</w:t>
            </w:r>
            <w:r w:rsidR="00A141EA">
              <w:rPr>
                <w:rFonts w:eastAsia="Times New Roman" w:cstheme="minorHAnsi"/>
                <w:color w:val="000000"/>
                <w:sz w:val="20"/>
                <w:szCs w:val="20"/>
              </w:rPr>
              <w:t>,</w:t>
            </w:r>
            <w:r w:rsidRPr="00350F13">
              <w:rPr>
                <w:rFonts w:eastAsia="Times New Roman" w:cstheme="minorHAnsi"/>
                <w:color w:val="000000"/>
                <w:sz w:val="20"/>
                <w:szCs w:val="20"/>
              </w:rPr>
              <w:t xml:space="preserve"> </w:t>
            </w:r>
            <w:r w:rsidR="00A141EA">
              <w:rPr>
                <w:rFonts w:eastAsia="Times New Roman" w:cstheme="minorHAnsi"/>
                <w:color w:val="000000"/>
                <w:sz w:val="20"/>
                <w:szCs w:val="20"/>
              </w:rPr>
              <w:t>o</w:t>
            </w:r>
            <w:r w:rsidRPr="00350F13">
              <w:rPr>
                <w:rFonts w:eastAsia="Times New Roman" w:cstheme="minorHAnsi"/>
                <w:color w:val="000000"/>
                <w:sz w:val="20"/>
                <w:szCs w:val="20"/>
              </w:rPr>
              <w:t>ther (inc</w:t>
            </w:r>
            <w:r w:rsidR="00A141EA">
              <w:rPr>
                <w:rFonts w:eastAsia="Times New Roman" w:cstheme="minorHAnsi"/>
                <w:color w:val="000000"/>
                <w:sz w:val="20"/>
                <w:szCs w:val="20"/>
              </w:rPr>
              <w:t>luding</w:t>
            </w:r>
            <w:r w:rsidRPr="00350F13">
              <w:rPr>
                <w:rFonts w:eastAsia="Times New Roman" w:cstheme="minorHAnsi"/>
                <w:color w:val="000000"/>
                <w:sz w:val="20"/>
                <w:szCs w:val="20"/>
              </w:rPr>
              <w:t xml:space="preserve"> non-clinical staff).</w:t>
            </w:r>
          </w:p>
        </w:tc>
      </w:tr>
      <w:tr w:rsidR="00995F8C" w:rsidRPr="00350F13" w14:paraId="7812C421"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69788C9E"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50B78A0D"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 xml:space="preserve">Prompts used to encourage completion of online form </w:t>
            </w:r>
          </w:p>
        </w:tc>
        <w:tc>
          <w:tcPr>
            <w:tcW w:w="3828" w:type="dxa"/>
            <w:shd w:val="clear" w:color="auto" w:fill="D9D9D9" w:themeFill="background1" w:themeFillShade="D9"/>
            <w:noWrap/>
            <w:hideMark/>
          </w:tcPr>
          <w:p w14:paraId="2C37E9D8" w14:textId="5C5D4D4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Pop up</w:t>
            </w:r>
            <w:r w:rsidR="00A141EA">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A141EA">
              <w:rPr>
                <w:rFonts w:eastAsia="Times New Roman" w:cstheme="minorHAnsi"/>
                <w:color w:val="262626" w:themeColor="text1" w:themeTint="D9"/>
                <w:sz w:val="20"/>
                <w:szCs w:val="20"/>
              </w:rPr>
              <w:t>l</w:t>
            </w:r>
            <w:r w:rsidRPr="00350F13">
              <w:rPr>
                <w:rFonts w:eastAsia="Times New Roman" w:cstheme="minorHAnsi"/>
                <w:color w:val="262626" w:themeColor="text1" w:themeTint="D9"/>
                <w:sz w:val="20"/>
                <w:szCs w:val="20"/>
              </w:rPr>
              <w:t>ink to form</w:t>
            </w:r>
            <w:r w:rsidR="00A141EA">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A141EA">
              <w:rPr>
                <w:rFonts w:eastAsia="Times New Roman" w:cstheme="minorHAnsi"/>
                <w:color w:val="262626" w:themeColor="text1" w:themeTint="D9"/>
                <w:sz w:val="20"/>
                <w:szCs w:val="20"/>
              </w:rPr>
              <w:t>o</w:t>
            </w:r>
            <w:r w:rsidRPr="00350F13">
              <w:rPr>
                <w:rFonts w:eastAsia="Times New Roman" w:cstheme="minorHAnsi"/>
                <w:color w:val="262626" w:themeColor="text1" w:themeTint="D9"/>
                <w:sz w:val="20"/>
                <w:szCs w:val="20"/>
              </w:rPr>
              <w:t>ther</w:t>
            </w:r>
            <w:r w:rsidR="00A141EA">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A141EA">
              <w:rPr>
                <w:rFonts w:eastAsia="Times New Roman" w:cstheme="minorHAnsi"/>
                <w:color w:val="262626" w:themeColor="text1" w:themeTint="D9"/>
                <w:sz w:val="20"/>
                <w:szCs w:val="20"/>
              </w:rPr>
              <w:t>n</w:t>
            </w:r>
            <w:r w:rsidRPr="00350F13">
              <w:rPr>
                <w:rFonts w:eastAsia="Times New Roman" w:cstheme="minorHAnsi"/>
                <w:color w:val="262626" w:themeColor="text1" w:themeTint="D9"/>
                <w:sz w:val="20"/>
                <w:szCs w:val="20"/>
              </w:rPr>
              <w:t>one specified</w:t>
            </w:r>
          </w:p>
        </w:tc>
      </w:tr>
      <w:tr w:rsidR="00995F8C" w:rsidRPr="00350F13" w14:paraId="5FE10326"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02FB1CD4" w14:textId="77777777" w:rsidR="00995F8C" w:rsidRPr="00350F13" w:rsidRDefault="00995F8C" w:rsidP="00C8027D">
            <w:pPr>
              <w:keepNext/>
              <w:spacing w:after="0" w:line="240" w:lineRule="auto"/>
              <w:rPr>
                <w:rFonts w:eastAsia="Times New Roman" w:cstheme="minorHAnsi"/>
                <w:color w:val="0D0D0D"/>
                <w:sz w:val="20"/>
                <w:szCs w:val="20"/>
              </w:rPr>
            </w:pPr>
            <w:r w:rsidRPr="00350F13">
              <w:rPr>
                <w:rFonts w:eastAsia="Times New Roman" w:cstheme="minorHAnsi"/>
                <w:color w:val="0D0D0D"/>
                <w:sz w:val="20"/>
                <w:szCs w:val="20"/>
              </w:rPr>
              <w:t>What client follow up was provided?</w:t>
            </w:r>
          </w:p>
        </w:tc>
        <w:tc>
          <w:tcPr>
            <w:tcW w:w="3685" w:type="dxa"/>
            <w:vMerge w:val="restart"/>
            <w:shd w:val="clear" w:color="auto" w:fill="auto"/>
          </w:tcPr>
          <w:p w14:paraId="768DA7C9" w14:textId="77777777" w:rsidR="00995F8C" w:rsidRPr="00350F13" w:rsidRDefault="00995F8C" w:rsidP="00C8027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Type of follow up</w:t>
            </w:r>
          </w:p>
          <w:p w14:paraId="336AC1C2" w14:textId="77777777" w:rsidR="00995F8C" w:rsidRPr="00350F13" w:rsidRDefault="00995F8C" w:rsidP="00C8027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3828" w:type="dxa"/>
            <w:shd w:val="clear" w:color="auto" w:fill="auto"/>
            <w:noWrap/>
            <w:hideMark/>
          </w:tcPr>
          <w:p w14:paraId="21980413" w14:textId="77777777" w:rsidR="00995F8C" w:rsidRPr="00350F13" w:rsidRDefault="00995F8C" w:rsidP="00C8027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000000"/>
                <w:sz w:val="20"/>
                <w:szCs w:val="20"/>
              </w:rPr>
              <w:t xml:space="preserve">To </w:t>
            </w:r>
            <w:r>
              <w:rPr>
                <w:rFonts w:eastAsia="Times New Roman" w:cstheme="minorHAnsi"/>
                <w:color w:val="000000"/>
                <w:sz w:val="20"/>
                <w:szCs w:val="20"/>
              </w:rPr>
              <w:t>check whether</w:t>
            </w:r>
            <w:r w:rsidRPr="00350F13">
              <w:rPr>
                <w:rFonts w:eastAsia="Times New Roman" w:cstheme="minorHAnsi"/>
                <w:color w:val="000000"/>
                <w:sz w:val="20"/>
                <w:szCs w:val="20"/>
              </w:rPr>
              <w:t xml:space="preserve"> the test was completed</w:t>
            </w:r>
          </w:p>
        </w:tc>
      </w:tr>
      <w:tr w:rsidR="00995F8C" w:rsidRPr="00350F13" w14:paraId="380BC58B"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642B620" w14:textId="77777777" w:rsidR="00995F8C" w:rsidRPr="00350F13" w:rsidRDefault="00995F8C" w:rsidP="00C8027D">
            <w:pPr>
              <w:keepNext/>
              <w:spacing w:after="0" w:line="240" w:lineRule="auto"/>
              <w:rPr>
                <w:rFonts w:eastAsia="Times New Roman" w:cstheme="minorHAnsi"/>
                <w:color w:val="0D0D0D"/>
                <w:sz w:val="20"/>
                <w:szCs w:val="20"/>
              </w:rPr>
            </w:pPr>
          </w:p>
        </w:tc>
        <w:tc>
          <w:tcPr>
            <w:tcW w:w="3685" w:type="dxa"/>
            <w:vMerge/>
            <w:shd w:val="clear" w:color="auto" w:fill="auto"/>
          </w:tcPr>
          <w:p w14:paraId="5851C3FD" w14:textId="77777777" w:rsidR="00995F8C" w:rsidRPr="00350F13" w:rsidRDefault="00995F8C" w:rsidP="00C8027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3828" w:type="dxa"/>
            <w:shd w:val="clear" w:color="auto" w:fill="auto"/>
            <w:noWrap/>
            <w:hideMark/>
          </w:tcPr>
          <w:p w14:paraId="53D89CFF" w14:textId="77777777" w:rsidR="00995F8C" w:rsidRPr="00350F13" w:rsidRDefault="00995F8C" w:rsidP="00C8027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B0F0"/>
                <w:sz w:val="20"/>
                <w:szCs w:val="20"/>
              </w:rPr>
            </w:pPr>
            <w:r w:rsidRPr="00350F13">
              <w:rPr>
                <w:rFonts w:eastAsia="Times New Roman" w:cstheme="minorHAnsi"/>
                <w:color w:val="000000"/>
                <w:sz w:val="20"/>
                <w:szCs w:val="20"/>
              </w:rPr>
              <w:t>To discuss results (if a positive result was received; if other result received)</w:t>
            </w:r>
          </w:p>
        </w:tc>
      </w:tr>
      <w:tr w:rsidR="00995F8C" w:rsidRPr="00350F13" w14:paraId="79040FF2"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hideMark/>
          </w:tcPr>
          <w:p w14:paraId="36A63658" w14:textId="77777777" w:rsidR="00995F8C" w:rsidRPr="00350F13" w:rsidRDefault="00995F8C" w:rsidP="00C8027D">
            <w:pPr>
              <w:keepNext/>
              <w:spacing w:after="0" w:line="240" w:lineRule="auto"/>
              <w:rPr>
                <w:rFonts w:eastAsia="Times New Roman" w:cstheme="minorHAnsi"/>
                <w:color w:val="0D0D0D"/>
                <w:sz w:val="20"/>
                <w:szCs w:val="20"/>
              </w:rPr>
            </w:pPr>
          </w:p>
        </w:tc>
        <w:tc>
          <w:tcPr>
            <w:tcW w:w="3685" w:type="dxa"/>
            <w:vMerge/>
            <w:shd w:val="clear" w:color="auto" w:fill="auto"/>
            <w:hideMark/>
          </w:tcPr>
          <w:p w14:paraId="217FA76F" w14:textId="77777777" w:rsidR="00995F8C" w:rsidRPr="00350F13" w:rsidRDefault="00995F8C" w:rsidP="00C8027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3828" w:type="dxa"/>
            <w:shd w:val="clear" w:color="auto" w:fill="auto"/>
            <w:noWrap/>
            <w:hideMark/>
          </w:tcPr>
          <w:p w14:paraId="39472285" w14:textId="77777777" w:rsidR="00995F8C" w:rsidRPr="00350F13" w:rsidRDefault="00995F8C" w:rsidP="00C8027D">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Not reported</w:t>
            </w:r>
          </w:p>
        </w:tc>
      </w:tr>
      <w:tr w:rsidR="00995F8C" w:rsidRPr="00350F13" w14:paraId="530C44BA"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BE4A9A1" w14:textId="77777777" w:rsidR="00995F8C" w:rsidRPr="00350F13" w:rsidRDefault="00995F8C" w:rsidP="00C8027D">
            <w:pPr>
              <w:keepNext/>
              <w:spacing w:after="0" w:line="240" w:lineRule="auto"/>
              <w:rPr>
                <w:rFonts w:eastAsia="Times New Roman" w:cstheme="minorHAnsi"/>
                <w:color w:val="0D0D0D"/>
                <w:sz w:val="20"/>
                <w:szCs w:val="20"/>
              </w:rPr>
            </w:pPr>
          </w:p>
        </w:tc>
        <w:tc>
          <w:tcPr>
            <w:tcW w:w="3685" w:type="dxa"/>
            <w:shd w:val="clear" w:color="auto" w:fill="auto"/>
            <w:hideMark/>
          </w:tcPr>
          <w:p w14:paraId="7E4C62EC" w14:textId="77777777" w:rsidR="00995F8C" w:rsidRPr="00350F13" w:rsidRDefault="00995F8C" w:rsidP="00C8027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How follow up occurred</w:t>
            </w:r>
          </w:p>
        </w:tc>
        <w:tc>
          <w:tcPr>
            <w:tcW w:w="3828" w:type="dxa"/>
            <w:shd w:val="clear" w:color="auto" w:fill="auto"/>
            <w:noWrap/>
            <w:hideMark/>
          </w:tcPr>
          <w:p w14:paraId="537BE4FB" w14:textId="7D5206BF" w:rsidR="00995F8C" w:rsidRPr="00350F13" w:rsidRDefault="00995F8C" w:rsidP="00C8027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62626" w:themeColor="text1" w:themeTint="D9"/>
                <w:sz w:val="20"/>
                <w:szCs w:val="20"/>
              </w:rPr>
            </w:pPr>
            <w:r w:rsidRPr="00350F13">
              <w:rPr>
                <w:rFonts w:eastAsia="Times New Roman" w:cstheme="minorHAnsi"/>
                <w:color w:val="262626" w:themeColor="text1" w:themeTint="D9"/>
                <w:sz w:val="20"/>
                <w:szCs w:val="20"/>
              </w:rPr>
              <w:t>Opportunistic when patient revisited clinic</w:t>
            </w:r>
            <w:r w:rsidR="00821696">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821696">
              <w:rPr>
                <w:rFonts w:eastAsia="Times New Roman" w:cstheme="minorHAnsi"/>
                <w:color w:val="262626" w:themeColor="text1" w:themeTint="D9"/>
                <w:sz w:val="20"/>
                <w:szCs w:val="20"/>
              </w:rPr>
              <w:t>f</w:t>
            </w:r>
            <w:r w:rsidRPr="00350F13">
              <w:rPr>
                <w:rFonts w:eastAsia="Times New Roman" w:cstheme="minorHAnsi"/>
                <w:color w:val="262626" w:themeColor="text1" w:themeTint="D9"/>
                <w:sz w:val="20"/>
                <w:szCs w:val="20"/>
              </w:rPr>
              <w:t>ollow up from list of kits given out</w:t>
            </w:r>
            <w:r w:rsidR="00821696">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821696">
              <w:rPr>
                <w:rFonts w:eastAsia="Times New Roman" w:cstheme="minorHAnsi"/>
                <w:color w:val="262626" w:themeColor="text1" w:themeTint="D9"/>
                <w:sz w:val="20"/>
                <w:szCs w:val="20"/>
              </w:rPr>
              <w:t>c</w:t>
            </w:r>
            <w:r w:rsidRPr="00350F13">
              <w:rPr>
                <w:rFonts w:eastAsia="Times New Roman" w:cstheme="minorHAnsi"/>
                <w:color w:val="262626" w:themeColor="text1" w:themeTint="D9"/>
                <w:sz w:val="20"/>
                <w:szCs w:val="20"/>
              </w:rPr>
              <w:t>hecking clinical information system to see if results had been received</w:t>
            </w:r>
            <w:r w:rsidR="00821696">
              <w:rPr>
                <w:rFonts w:eastAsia="Times New Roman" w:cstheme="minorHAnsi"/>
                <w:color w:val="262626" w:themeColor="text1" w:themeTint="D9"/>
                <w:sz w:val="20"/>
                <w:szCs w:val="20"/>
              </w:rPr>
              <w:t>,</w:t>
            </w:r>
            <w:r w:rsidRPr="00350F13">
              <w:rPr>
                <w:rFonts w:eastAsia="Times New Roman" w:cstheme="minorHAnsi"/>
                <w:color w:val="262626" w:themeColor="text1" w:themeTint="D9"/>
                <w:sz w:val="20"/>
                <w:szCs w:val="20"/>
              </w:rPr>
              <w:t xml:space="preserve"> </w:t>
            </w:r>
            <w:r w:rsidR="00821696">
              <w:rPr>
                <w:rFonts w:eastAsia="Times New Roman" w:cstheme="minorHAnsi"/>
                <w:color w:val="262626" w:themeColor="text1" w:themeTint="D9"/>
                <w:sz w:val="20"/>
                <w:szCs w:val="20"/>
              </w:rPr>
              <w:t>o</w:t>
            </w:r>
            <w:r w:rsidRPr="00350F13">
              <w:rPr>
                <w:rFonts w:eastAsia="Times New Roman" w:cstheme="minorHAnsi"/>
                <w:color w:val="262626" w:themeColor="text1" w:themeTint="D9"/>
                <w:sz w:val="20"/>
                <w:szCs w:val="20"/>
              </w:rPr>
              <w:t>pportunistic external to clinic</w:t>
            </w:r>
          </w:p>
        </w:tc>
      </w:tr>
      <w:tr w:rsidR="00995F8C" w:rsidRPr="00350F13" w14:paraId="26864D9A"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D9D9" w:themeFill="background1" w:themeFillShade="D9"/>
            <w:noWrap/>
            <w:hideMark/>
          </w:tcPr>
          <w:p w14:paraId="18B581B8" w14:textId="77777777" w:rsidR="00995F8C" w:rsidRPr="00350F13" w:rsidRDefault="00995F8C" w:rsidP="00C8027D">
            <w:pPr>
              <w:spacing w:after="0" w:line="240" w:lineRule="auto"/>
              <w:rPr>
                <w:rFonts w:eastAsia="Times New Roman" w:cstheme="minorHAnsi"/>
                <w:color w:val="0D0D0D"/>
                <w:sz w:val="20"/>
                <w:szCs w:val="20"/>
              </w:rPr>
            </w:pPr>
            <w:r w:rsidRPr="00350F13">
              <w:rPr>
                <w:rFonts w:eastAsia="Times New Roman" w:cstheme="minorHAnsi"/>
                <w:color w:val="0D0D0D"/>
                <w:sz w:val="20"/>
                <w:szCs w:val="20"/>
              </w:rPr>
              <w:t>Did the health centre provide clients with storage or transport of samples?</w:t>
            </w:r>
          </w:p>
        </w:tc>
        <w:tc>
          <w:tcPr>
            <w:tcW w:w="3685" w:type="dxa"/>
            <w:shd w:val="clear" w:color="auto" w:fill="D9D9D9" w:themeFill="background1" w:themeFillShade="D9"/>
            <w:hideMark/>
          </w:tcPr>
          <w:p w14:paraId="063E23C6"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No service provided</w:t>
            </w:r>
          </w:p>
        </w:tc>
        <w:tc>
          <w:tcPr>
            <w:tcW w:w="3828" w:type="dxa"/>
            <w:shd w:val="clear" w:color="auto" w:fill="D9D9D9" w:themeFill="background1" w:themeFillShade="D9"/>
            <w:noWrap/>
          </w:tcPr>
          <w:p w14:paraId="18EF11B0"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05496"/>
                <w:sz w:val="20"/>
                <w:szCs w:val="20"/>
              </w:rPr>
            </w:pPr>
          </w:p>
        </w:tc>
      </w:tr>
      <w:tr w:rsidR="00995F8C" w:rsidRPr="00350F13" w14:paraId="58AD9C2E"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095BDD6C"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244A2EDC"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Storage at health centre</w:t>
            </w:r>
          </w:p>
        </w:tc>
        <w:tc>
          <w:tcPr>
            <w:tcW w:w="3828" w:type="dxa"/>
            <w:shd w:val="clear" w:color="auto" w:fill="D9D9D9" w:themeFill="background1" w:themeFillShade="D9"/>
            <w:noWrap/>
          </w:tcPr>
          <w:p w14:paraId="4CF4715B"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05496"/>
                <w:sz w:val="20"/>
                <w:szCs w:val="20"/>
              </w:rPr>
            </w:pPr>
          </w:p>
        </w:tc>
      </w:tr>
      <w:tr w:rsidR="00995F8C" w:rsidRPr="00350F13" w14:paraId="698AB381"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174D6EAC"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109B8DC9"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Pick up from home</w:t>
            </w:r>
          </w:p>
        </w:tc>
        <w:tc>
          <w:tcPr>
            <w:tcW w:w="3828" w:type="dxa"/>
            <w:shd w:val="clear" w:color="auto" w:fill="D9D9D9" w:themeFill="background1" w:themeFillShade="D9"/>
            <w:noWrap/>
          </w:tcPr>
          <w:p w14:paraId="3A9B0E91"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05496"/>
                <w:sz w:val="20"/>
                <w:szCs w:val="20"/>
              </w:rPr>
            </w:pPr>
          </w:p>
        </w:tc>
      </w:tr>
      <w:tr w:rsidR="00995F8C" w:rsidRPr="00350F13" w14:paraId="230994BF"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09154C1C"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11158566"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Client brought samples to health centre</w:t>
            </w:r>
          </w:p>
        </w:tc>
        <w:tc>
          <w:tcPr>
            <w:tcW w:w="3828" w:type="dxa"/>
            <w:shd w:val="clear" w:color="auto" w:fill="D9D9D9" w:themeFill="background1" w:themeFillShade="D9"/>
            <w:noWrap/>
          </w:tcPr>
          <w:p w14:paraId="01AB4884"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05496"/>
                <w:sz w:val="20"/>
                <w:szCs w:val="20"/>
              </w:rPr>
            </w:pPr>
          </w:p>
        </w:tc>
      </w:tr>
      <w:tr w:rsidR="00995F8C" w:rsidRPr="00350F13" w14:paraId="3C00159D" w14:textId="77777777" w:rsidTr="00C8027D">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419C1DFC"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1D3718AD" w14:textId="09DCD1D6"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 xml:space="preserve">Health centre sent samples to </w:t>
            </w:r>
            <w:r w:rsidR="00C67CA1">
              <w:rPr>
                <w:rFonts w:eastAsia="Times New Roman" w:cstheme="minorHAnsi"/>
                <w:color w:val="000000"/>
                <w:sz w:val="20"/>
                <w:szCs w:val="20"/>
              </w:rPr>
              <w:t>Sonic Healthcare</w:t>
            </w:r>
            <w:r w:rsidRPr="00350F13">
              <w:rPr>
                <w:rFonts w:eastAsia="Times New Roman" w:cstheme="minorHAnsi"/>
                <w:color w:val="000000"/>
                <w:sz w:val="20"/>
                <w:szCs w:val="20"/>
              </w:rPr>
              <w:t xml:space="preserve"> </w:t>
            </w:r>
          </w:p>
        </w:tc>
        <w:tc>
          <w:tcPr>
            <w:tcW w:w="3828" w:type="dxa"/>
            <w:shd w:val="clear" w:color="auto" w:fill="D9D9D9" w:themeFill="background1" w:themeFillShade="D9"/>
            <w:noWrap/>
          </w:tcPr>
          <w:p w14:paraId="65BA6D4D" w14:textId="77777777" w:rsidR="00995F8C" w:rsidRPr="00350F13" w:rsidRDefault="00995F8C" w:rsidP="00C8027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305496"/>
                <w:sz w:val="20"/>
                <w:szCs w:val="20"/>
              </w:rPr>
            </w:pPr>
          </w:p>
        </w:tc>
      </w:tr>
      <w:tr w:rsidR="00995F8C" w:rsidRPr="00350F13" w14:paraId="2EFFDBA6"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D9D9" w:themeFill="background1" w:themeFillShade="D9"/>
            <w:hideMark/>
          </w:tcPr>
          <w:p w14:paraId="6A49FE6D" w14:textId="77777777" w:rsidR="00995F8C" w:rsidRPr="00350F13" w:rsidRDefault="00995F8C" w:rsidP="00C8027D">
            <w:pPr>
              <w:spacing w:after="0" w:line="240" w:lineRule="auto"/>
              <w:rPr>
                <w:rFonts w:eastAsia="Times New Roman" w:cstheme="minorHAnsi"/>
                <w:color w:val="0D0D0D"/>
                <w:sz w:val="20"/>
                <w:szCs w:val="20"/>
              </w:rPr>
            </w:pPr>
          </w:p>
        </w:tc>
        <w:tc>
          <w:tcPr>
            <w:tcW w:w="3685" w:type="dxa"/>
            <w:shd w:val="clear" w:color="auto" w:fill="D9D9D9" w:themeFill="background1" w:themeFillShade="D9"/>
            <w:hideMark/>
          </w:tcPr>
          <w:p w14:paraId="33B285FF"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50F13">
              <w:rPr>
                <w:rFonts w:eastAsia="Times New Roman" w:cstheme="minorHAnsi"/>
                <w:color w:val="000000"/>
                <w:sz w:val="20"/>
                <w:szCs w:val="20"/>
              </w:rPr>
              <w:t>Other</w:t>
            </w:r>
          </w:p>
        </w:tc>
        <w:tc>
          <w:tcPr>
            <w:tcW w:w="3828" w:type="dxa"/>
            <w:shd w:val="clear" w:color="auto" w:fill="D9D9D9" w:themeFill="background1" w:themeFillShade="D9"/>
            <w:noWrap/>
          </w:tcPr>
          <w:p w14:paraId="62CB5EC7" w14:textId="77777777" w:rsidR="00995F8C" w:rsidRPr="00350F13" w:rsidRDefault="00995F8C" w:rsidP="00C8027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305496"/>
                <w:sz w:val="20"/>
                <w:szCs w:val="20"/>
              </w:rPr>
            </w:pPr>
          </w:p>
        </w:tc>
      </w:tr>
    </w:tbl>
    <w:p w14:paraId="289A439A" w14:textId="77777777" w:rsidR="00995F8C" w:rsidRDefault="00995F8C" w:rsidP="00995F8C"/>
    <w:p w14:paraId="41202BAF" w14:textId="7A1DA9E4" w:rsidR="00995F8C" w:rsidRPr="00B604D6" w:rsidRDefault="00995F8C" w:rsidP="00995F8C">
      <w:pPr>
        <w:rPr>
          <w:highlight w:val="yellow"/>
        </w:rPr>
      </w:pPr>
      <w:r>
        <w:lastRenderedPageBreak/>
        <w:t xml:space="preserve">Data collected by DHS during the Pilot, and later checked against the Register by the AIHW, were used to group health centres as described in </w:t>
      </w:r>
      <w:r w:rsidR="00586CDD">
        <w:t>Table</w:t>
      </w:r>
      <w:r>
        <w:t xml:space="preserve"> </w:t>
      </w:r>
      <w:r w:rsidR="00656CC5">
        <w:t>F</w:t>
      </w:r>
      <w:r w:rsidR="00FA5D02">
        <w:t>-3</w:t>
      </w:r>
      <w:r>
        <w:t>.</w:t>
      </w:r>
      <w:r w:rsidR="00656CC5">
        <w:t xml:space="preserve"> </w:t>
      </w:r>
      <w:r>
        <w:t xml:space="preserve">The approaches used by </w:t>
      </w:r>
      <w:r w:rsidRPr="00B604D6">
        <w:t xml:space="preserve">the health centres in each group were then compared to identify differences or similarities. </w:t>
      </w:r>
    </w:p>
    <w:p w14:paraId="0A38B005" w14:textId="3B3D7813" w:rsidR="00995F8C" w:rsidRPr="00821696" w:rsidRDefault="00995F8C" w:rsidP="00586CDD">
      <w:pPr>
        <w:keepNext/>
        <w:rPr>
          <w:b/>
          <w:bCs/>
          <w:sz w:val="20"/>
          <w:szCs w:val="20"/>
        </w:rPr>
      </w:pPr>
      <w:r w:rsidRPr="00821696">
        <w:rPr>
          <w:b/>
          <w:bCs/>
          <w:sz w:val="20"/>
          <w:szCs w:val="20"/>
        </w:rPr>
        <w:t xml:space="preserve">Table </w:t>
      </w:r>
      <w:r w:rsidR="00656CC5">
        <w:rPr>
          <w:b/>
          <w:bCs/>
          <w:sz w:val="20"/>
          <w:szCs w:val="20"/>
        </w:rPr>
        <w:t>F</w:t>
      </w:r>
      <w:r w:rsidR="00FA5D02" w:rsidRPr="00821696">
        <w:rPr>
          <w:b/>
          <w:bCs/>
          <w:sz w:val="20"/>
          <w:szCs w:val="20"/>
        </w:rPr>
        <w:t>-3</w:t>
      </w:r>
      <w:r w:rsidR="00821696" w:rsidRPr="00821696">
        <w:rPr>
          <w:b/>
          <w:bCs/>
          <w:sz w:val="20"/>
          <w:szCs w:val="20"/>
        </w:rPr>
        <w:t>:</w:t>
      </w:r>
      <w:r w:rsidRPr="00821696">
        <w:rPr>
          <w:b/>
          <w:bCs/>
          <w:sz w:val="20"/>
          <w:szCs w:val="20"/>
        </w:rPr>
        <w:t xml:space="preserve"> Groupings by which health centre approaches to offering the Alternative Pathway were compared</w:t>
      </w:r>
    </w:p>
    <w:tbl>
      <w:tblPr>
        <w:tblStyle w:val="GridTable4"/>
        <w:tblW w:w="9493" w:type="dxa"/>
        <w:tblLook w:val="04A0" w:firstRow="1" w:lastRow="0" w:firstColumn="1" w:lastColumn="0" w:noHBand="0" w:noVBand="1"/>
      </w:tblPr>
      <w:tblGrid>
        <w:gridCol w:w="2689"/>
        <w:gridCol w:w="6804"/>
      </w:tblGrid>
      <w:tr w:rsidR="00995F8C" w:rsidRPr="00401AE8" w14:paraId="707F812E" w14:textId="77777777" w:rsidTr="00C80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3BC56252" w14:textId="77777777" w:rsidR="00995F8C" w:rsidRPr="00401AE8" w:rsidRDefault="00995F8C" w:rsidP="00C8027D">
            <w:pPr>
              <w:rPr>
                <w:sz w:val="20"/>
                <w:szCs w:val="20"/>
              </w:rPr>
            </w:pPr>
            <w:r w:rsidRPr="00401AE8">
              <w:rPr>
                <w:sz w:val="20"/>
                <w:szCs w:val="20"/>
              </w:rPr>
              <w:t>Health centre groups compared</w:t>
            </w:r>
          </w:p>
        </w:tc>
        <w:tc>
          <w:tcPr>
            <w:tcW w:w="6804" w:type="dxa"/>
          </w:tcPr>
          <w:p w14:paraId="1E59A79A" w14:textId="77777777" w:rsidR="00995F8C" w:rsidRPr="00401AE8" w:rsidRDefault="00995F8C" w:rsidP="00C8027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Group criteria</w:t>
            </w:r>
          </w:p>
        </w:tc>
      </w:tr>
      <w:tr w:rsidR="00995F8C" w:rsidRPr="00401AE8" w14:paraId="02CF6F87"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0000" w:themeColor="text1"/>
              <w:bottom w:val="single" w:sz="4" w:space="0" w:color="auto"/>
              <w:right w:val="nil"/>
            </w:tcBorders>
          </w:tcPr>
          <w:p w14:paraId="668BB16D" w14:textId="77777777" w:rsidR="00995F8C" w:rsidRPr="00401AE8" w:rsidRDefault="00995F8C" w:rsidP="00C8027D">
            <w:pPr>
              <w:rPr>
                <w:sz w:val="20"/>
                <w:szCs w:val="20"/>
              </w:rPr>
            </w:pPr>
            <w:r w:rsidRPr="00401AE8">
              <w:rPr>
                <w:sz w:val="20"/>
                <w:szCs w:val="20"/>
              </w:rPr>
              <w:t>Did/did not give out kits</w:t>
            </w:r>
          </w:p>
        </w:tc>
        <w:tc>
          <w:tcPr>
            <w:tcW w:w="6804" w:type="dxa"/>
            <w:tcBorders>
              <w:top w:val="single" w:sz="4" w:space="0" w:color="000000" w:themeColor="text1"/>
              <w:left w:val="nil"/>
              <w:bottom w:val="single" w:sz="4" w:space="0" w:color="auto"/>
            </w:tcBorders>
          </w:tcPr>
          <w:p w14:paraId="18229C36" w14:textId="7FA089DA" w:rsidR="00995F8C" w:rsidRPr="00401AE8" w:rsidRDefault="00995F8C" w:rsidP="00C8027D">
            <w:pPr>
              <w:cnfStyle w:val="000000100000" w:firstRow="0" w:lastRow="0" w:firstColumn="0" w:lastColumn="0" w:oddVBand="0" w:evenVBand="0" w:oddHBand="1" w:evenHBand="0" w:firstRowFirstColumn="0" w:firstRowLastColumn="0" w:lastRowFirstColumn="0" w:lastRowLastColumn="0"/>
              <w:rPr>
                <w:sz w:val="20"/>
                <w:szCs w:val="20"/>
              </w:rPr>
            </w:pPr>
            <w:r w:rsidRPr="00401AE8">
              <w:rPr>
                <w:sz w:val="20"/>
                <w:szCs w:val="20"/>
              </w:rPr>
              <w:t>Of the 47 health centres enrolled to take part in the Pilot, three were excluded from this analysis because they did not complete the QSC and were not approved to give out kits. Of the remaining 44 health centres, DHS reported 36 gave out kits and eight (8) did not.</w:t>
            </w:r>
          </w:p>
        </w:tc>
      </w:tr>
      <w:tr w:rsidR="00995F8C" w:rsidRPr="00401AE8" w14:paraId="799F9130" w14:textId="77777777" w:rsidTr="00C8027D">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bottom w:val="single" w:sz="4" w:space="0" w:color="auto"/>
              <w:right w:val="nil"/>
            </w:tcBorders>
          </w:tcPr>
          <w:p w14:paraId="6AF65273" w14:textId="77777777" w:rsidR="00995F8C" w:rsidRPr="00401AE8" w:rsidRDefault="00995F8C" w:rsidP="00C8027D">
            <w:pPr>
              <w:rPr>
                <w:sz w:val="20"/>
                <w:szCs w:val="20"/>
              </w:rPr>
            </w:pPr>
            <w:r w:rsidRPr="00401AE8">
              <w:rPr>
                <w:sz w:val="20"/>
                <w:szCs w:val="20"/>
              </w:rPr>
              <w:t>Did/did not comply with NBCSP requirements</w:t>
            </w:r>
          </w:p>
        </w:tc>
        <w:tc>
          <w:tcPr>
            <w:tcW w:w="6804" w:type="dxa"/>
            <w:tcBorders>
              <w:top w:val="single" w:sz="4" w:space="0" w:color="auto"/>
              <w:left w:val="nil"/>
              <w:bottom w:val="single" w:sz="4" w:space="0" w:color="auto"/>
            </w:tcBorders>
          </w:tcPr>
          <w:p w14:paraId="06C5FFC4" w14:textId="41C8D4D8" w:rsidR="00995F8C" w:rsidRPr="00401AE8" w:rsidRDefault="00995F8C" w:rsidP="00C8027D">
            <w:pPr>
              <w:cnfStyle w:val="000000000000" w:firstRow="0" w:lastRow="0" w:firstColumn="0" w:lastColumn="0" w:oddVBand="0" w:evenVBand="0" w:oddHBand="0" w:evenHBand="0" w:firstRowFirstColumn="0" w:firstRowLastColumn="0" w:lastRowFirstColumn="0" w:lastRowLastColumn="0"/>
              <w:rPr>
                <w:sz w:val="20"/>
                <w:szCs w:val="20"/>
              </w:rPr>
            </w:pPr>
            <w:r w:rsidRPr="00401AE8">
              <w:rPr>
                <w:sz w:val="20"/>
                <w:szCs w:val="20"/>
              </w:rPr>
              <w:t>Health centre staff were required to complete Part A of the Participant Details form and submit it to DHS to notify that a patient had</w:t>
            </w:r>
            <w:r w:rsidR="00FB7687">
              <w:rPr>
                <w:sz w:val="20"/>
                <w:szCs w:val="20"/>
              </w:rPr>
              <w:t>:</w:t>
            </w:r>
            <w:r w:rsidRPr="00401AE8">
              <w:rPr>
                <w:sz w:val="20"/>
                <w:szCs w:val="20"/>
              </w:rPr>
              <w:t xml:space="preserve"> been assessed for screening, accepted a kit, declined a kit, or</w:t>
            </w:r>
            <w:r w:rsidR="00FB7687">
              <w:rPr>
                <w:sz w:val="20"/>
                <w:szCs w:val="20"/>
              </w:rPr>
              <w:t xml:space="preserve"> been</w:t>
            </w:r>
            <w:r w:rsidRPr="00401AE8">
              <w:rPr>
                <w:sz w:val="20"/>
                <w:szCs w:val="20"/>
              </w:rPr>
              <w:t xml:space="preserve"> assessed as unsuitable for screening.  Eleven (11) health centres reported having assessed any clients </w:t>
            </w:r>
            <w:r w:rsidRPr="00401AE8">
              <w:rPr>
                <w:i/>
                <w:iCs/>
                <w:sz w:val="20"/>
                <w:szCs w:val="20"/>
              </w:rPr>
              <w:t xml:space="preserve">other than those who accepted a kit </w:t>
            </w:r>
            <w:r w:rsidRPr="00401AE8">
              <w:rPr>
                <w:sz w:val="20"/>
                <w:szCs w:val="20"/>
              </w:rPr>
              <w:t>and were</w:t>
            </w:r>
            <w:r w:rsidRPr="00401AE8">
              <w:rPr>
                <w:i/>
                <w:iCs/>
                <w:sz w:val="20"/>
                <w:szCs w:val="20"/>
              </w:rPr>
              <w:t xml:space="preserve"> </w:t>
            </w:r>
            <w:r w:rsidRPr="00401AE8">
              <w:rPr>
                <w:sz w:val="20"/>
                <w:szCs w:val="20"/>
              </w:rPr>
              <w:t xml:space="preserve">categorised as having complied with requirements. </w:t>
            </w:r>
          </w:p>
          <w:p w14:paraId="74F1C1AA" w14:textId="2318D272" w:rsidR="00995F8C" w:rsidRPr="00401AE8" w:rsidRDefault="00995F8C" w:rsidP="00C8027D">
            <w:pPr>
              <w:cnfStyle w:val="000000000000" w:firstRow="0" w:lastRow="0" w:firstColumn="0" w:lastColumn="0" w:oddVBand="0" w:evenVBand="0" w:oddHBand="0" w:evenHBand="0" w:firstRowFirstColumn="0" w:firstRowLastColumn="0" w:lastRowFirstColumn="0" w:lastRowLastColumn="0"/>
              <w:rPr>
                <w:sz w:val="20"/>
                <w:szCs w:val="20"/>
              </w:rPr>
            </w:pPr>
            <w:r w:rsidRPr="00401AE8">
              <w:rPr>
                <w:sz w:val="20"/>
                <w:szCs w:val="20"/>
              </w:rPr>
              <w:t>If a patient accepted a kit, Part A and Part B of the form were to be printed and given to the patient to include when they returned their completed samples for testing.</w:t>
            </w:r>
            <w:r w:rsidR="00656CC5">
              <w:rPr>
                <w:sz w:val="20"/>
                <w:szCs w:val="20"/>
              </w:rPr>
              <w:t xml:space="preserve"> </w:t>
            </w:r>
            <w:r w:rsidRPr="00401AE8">
              <w:rPr>
                <w:sz w:val="20"/>
                <w:szCs w:val="20"/>
              </w:rPr>
              <w:t xml:space="preserve">Some health centres reported occasional incidents where the form was not given to the patient. Three (3) health centres gave out substantial numbers of kits without forms and were categorised as not complying with requirements. </w:t>
            </w:r>
          </w:p>
        </w:tc>
      </w:tr>
      <w:tr w:rsidR="00995F8C" w:rsidRPr="00401AE8" w14:paraId="5FFDB71A" w14:textId="77777777" w:rsidTr="00C8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right w:val="nil"/>
            </w:tcBorders>
          </w:tcPr>
          <w:p w14:paraId="7991D725" w14:textId="77777777" w:rsidR="00995F8C" w:rsidRPr="00401AE8" w:rsidRDefault="00995F8C" w:rsidP="00C8027D">
            <w:pPr>
              <w:rPr>
                <w:sz w:val="20"/>
                <w:szCs w:val="20"/>
              </w:rPr>
            </w:pPr>
            <w:r w:rsidRPr="00401AE8">
              <w:rPr>
                <w:sz w:val="20"/>
                <w:szCs w:val="20"/>
              </w:rPr>
              <w:t>High/low screening activity by time available</w:t>
            </w:r>
          </w:p>
        </w:tc>
        <w:tc>
          <w:tcPr>
            <w:tcW w:w="6804" w:type="dxa"/>
            <w:tcBorders>
              <w:top w:val="single" w:sz="4" w:space="0" w:color="auto"/>
              <w:left w:val="nil"/>
            </w:tcBorders>
          </w:tcPr>
          <w:p w14:paraId="6AF79841" w14:textId="09E415A4" w:rsidR="00995F8C" w:rsidRPr="00F6302C" w:rsidRDefault="00995F8C" w:rsidP="00C8027D">
            <w:pPr>
              <w:pStyle w:val="FootnoteText"/>
              <w:spacing w:line="276" w:lineRule="auto"/>
              <w:cnfStyle w:val="000000100000" w:firstRow="0" w:lastRow="0" w:firstColumn="0" w:lastColumn="0" w:oddVBand="0" w:evenVBand="0" w:oddHBand="1" w:evenHBand="0" w:firstRowFirstColumn="0" w:firstRowLastColumn="0" w:lastRowFirstColumn="0" w:lastRowLastColumn="0"/>
            </w:pPr>
            <w:r>
              <w:t>Comparing</w:t>
            </w:r>
            <w:r w:rsidRPr="00F6302C">
              <w:t xml:space="preserve"> health </w:t>
            </w:r>
            <w:proofErr w:type="spellStart"/>
            <w:r w:rsidRPr="00F6302C">
              <w:t>centre</w:t>
            </w:r>
            <w:proofErr w:type="spellEnd"/>
            <w:r w:rsidRPr="00F6302C">
              <w:t xml:space="preserve"> performance by screening activity was complicated by </w:t>
            </w:r>
            <w:r w:rsidR="00821696">
              <w:t>several</w:t>
            </w:r>
            <w:r>
              <w:t xml:space="preserve"> factors: V</w:t>
            </w:r>
            <w:r w:rsidRPr="00F6302C">
              <w:t>ariation in</w:t>
            </w:r>
            <w:r>
              <w:t xml:space="preserve"> </w:t>
            </w:r>
            <w:r w:rsidRPr="00F6302C">
              <w:t xml:space="preserve">health </w:t>
            </w:r>
            <w:proofErr w:type="spellStart"/>
            <w:r w:rsidRPr="00F6302C">
              <w:t>centre</w:t>
            </w:r>
            <w:proofErr w:type="spellEnd"/>
            <w:r>
              <w:t xml:space="preserve"> size</w:t>
            </w:r>
            <w:r w:rsidRPr="00F6302C">
              <w:t xml:space="preserve"> (number of patients)</w:t>
            </w:r>
            <w:r>
              <w:t>;</w:t>
            </w:r>
            <w:r w:rsidRPr="00F6302C">
              <w:t xml:space="preserve"> </w:t>
            </w:r>
            <w:r>
              <w:t>s</w:t>
            </w:r>
            <w:r w:rsidRPr="00F6302C">
              <w:t>mall numbers of kits given out</w:t>
            </w:r>
            <w:r>
              <w:t>;</w:t>
            </w:r>
            <w:r w:rsidRPr="00F6302C">
              <w:t xml:space="preserve"> and time available to distribute kits</w:t>
            </w:r>
            <w:r>
              <w:t xml:space="preserve">. </w:t>
            </w:r>
            <w:r w:rsidRPr="00F6302C">
              <w:t xml:space="preserve">Each of these factors </w:t>
            </w:r>
            <w:r>
              <w:t>had the potential to</w:t>
            </w:r>
            <w:r w:rsidRPr="00F6302C">
              <w:t xml:space="preserve"> </w:t>
            </w:r>
            <w:r>
              <w:t>misrepresent</w:t>
            </w:r>
            <w:r w:rsidRPr="00F6302C">
              <w:t xml:space="preserve"> health </w:t>
            </w:r>
            <w:proofErr w:type="spellStart"/>
            <w:r w:rsidRPr="00F6302C">
              <w:t>centre</w:t>
            </w:r>
            <w:proofErr w:type="spellEnd"/>
            <w:r w:rsidRPr="00F6302C">
              <w:t xml:space="preserve"> performance</w:t>
            </w:r>
            <w:r>
              <w:t>.</w:t>
            </w:r>
          </w:p>
          <w:p w14:paraId="3798F285" w14:textId="77777777" w:rsidR="00995F8C" w:rsidRPr="000513A2" w:rsidRDefault="00995F8C" w:rsidP="00C8027D">
            <w:pPr>
              <w:pStyle w:val="FootnoteText"/>
              <w:spacing w:before="80" w:line="276" w:lineRule="auto"/>
              <w:cnfStyle w:val="000000100000" w:firstRow="0" w:lastRow="0" w:firstColumn="0" w:lastColumn="0" w:oddVBand="0" w:evenVBand="0" w:oddHBand="1" w:evenHBand="0" w:firstRowFirstColumn="0" w:firstRowLastColumn="0" w:lastRowFirstColumn="0" w:lastRowLastColumn="0"/>
              <w:rPr>
                <w:u w:val="single"/>
              </w:rPr>
            </w:pPr>
            <w:r w:rsidRPr="000513A2">
              <w:rPr>
                <w:u w:val="single"/>
              </w:rPr>
              <w:t xml:space="preserve">Variation in health </w:t>
            </w:r>
            <w:proofErr w:type="spellStart"/>
            <w:r w:rsidRPr="000513A2">
              <w:rPr>
                <w:u w:val="single"/>
              </w:rPr>
              <w:t>centre</w:t>
            </w:r>
            <w:proofErr w:type="spellEnd"/>
            <w:r w:rsidRPr="000513A2">
              <w:rPr>
                <w:u w:val="single"/>
              </w:rPr>
              <w:t xml:space="preserve"> size</w:t>
            </w:r>
          </w:p>
          <w:p w14:paraId="019CAA5E" w14:textId="174BD3D6" w:rsidR="00995F8C" w:rsidRDefault="00995F8C" w:rsidP="00C8027D">
            <w:pPr>
              <w:pStyle w:val="FootnoteText"/>
              <w:spacing w:line="276" w:lineRule="auto"/>
              <w:cnfStyle w:val="000000100000" w:firstRow="0" w:lastRow="0" w:firstColumn="0" w:lastColumn="0" w:oddVBand="0" w:evenVBand="0" w:oddHBand="1" w:evenHBand="0" w:firstRowFirstColumn="0" w:firstRowLastColumn="0" w:lastRowFirstColumn="0" w:lastRowLastColumn="0"/>
            </w:pPr>
            <w:r w:rsidRPr="00F6302C">
              <w:t xml:space="preserve">Health </w:t>
            </w:r>
            <w:proofErr w:type="spellStart"/>
            <w:r w:rsidRPr="00F6302C">
              <w:t>centres</w:t>
            </w:r>
            <w:proofErr w:type="spellEnd"/>
            <w:r w:rsidRPr="00F6302C">
              <w:t xml:space="preserve"> ranged in size from 347 Indigenous </w:t>
            </w:r>
            <w:r w:rsidR="00821696">
              <w:t>patients</w:t>
            </w:r>
            <w:r w:rsidRPr="00F6302C">
              <w:t xml:space="preserve"> to more than 11,000</w:t>
            </w:r>
            <w:r>
              <w:t xml:space="preserve">. Comparisons based solely on the number of kits given out or returned reflected the efforts of larger health </w:t>
            </w:r>
            <w:proofErr w:type="spellStart"/>
            <w:r>
              <w:t>centres</w:t>
            </w:r>
            <w:proofErr w:type="spellEnd"/>
            <w:r>
              <w:t xml:space="preserve"> more </w:t>
            </w:r>
            <w:proofErr w:type="spellStart"/>
            <w:r>
              <w:t>favourably</w:t>
            </w:r>
            <w:proofErr w:type="spellEnd"/>
            <w:r>
              <w:t xml:space="preserve"> than smaller </w:t>
            </w:r>
            <w:proofErr w:type="spellStart"/>
            <w:r>
              <w:t>centres</w:t>
            </w:r>
            <w:proofErr w:type="spellEnd"/>
            <w:r>
              <w:t>.</w:t>
            </w:r>
          </w:p>
          <w:p w14:paraId="724087A6" w14:textId="77777777" w:rsidR="00995F8C" w:rsidRPr="000513A2" w:rsidRDefault="00995F8C" w:rsidP="00C8027D">
            <w:pPr>
              <w:pStyle w:val="FootnoteText"/>
              <w:spacing w:before="80" w:line="276" w:lineRule="auto"/>
              <w:cnfStyle w:val="000000100000" w:firstRow="0" w:lastRow="0" w:firstColumn="0" w:lastColumn="0" w:oddVBand="0" w:evenVBand="0" w:oddHBand="1" w:evenHBand="0" w:firstRowFirstColumn="0" w:firstRowLastColumn="0" w:lastRowFirstColumn="0" w:lastRowLastColumn="0"/>
              <w:rPr>
                <w:u w:val="single"/>
              </w:rPr>
            </w:pPr>
            <w:r>
              <w:rPr>
                <w:u w:val="single"/>
              </w:rPr>
              <w:t>S</w:t>
            </w:r>
            <w:r w:rsidRPr="000513A2">
              <w:rPr>
                <w:u w:val="single"/>
              </w:rPr>
              <w:t>mall number</w:t>
            </w:r>
            <w:r>
              <w:rPr>
                <w:u w:val="single"/>
              </w:rPr>
              <w:t>s</w:t>
            </w:r>
            <w:r w:rsidRPr="000513A2">
              <w:rPr>
                <w:u w:val="single"/>
              </w:rPr>
              <w:t xml:space="preserve"> of kits </w:t>
            </w:r>
            <w:r>
              <w:rPr>
                <w:u w:val="single"/>
              </w:rPr>
              <w:t>given out</w:t>
            </w:r>
          </w:p>
          <w:p w14:paraId="30A0F1A7" w14:textId="77777777" w:rsidR="00995F8C" w:rsidRDefault="00995F8C" w:rsidP="00C8027D">
            <w:pPr>
              <w:pStyle w:val="FootnoteText"/>
              <w:spacing w:line="276" w:lineRule="auto"/>
              <w:cnfStyle w:val="000000100000" w:firstRow="0" w:lastRow="0" w:firstColumn="0" w:lastColumn="0" w:oddVBand="0" w:evenVBand="0" w:oddHBand="1" w:evenHBand="0" w:firstRowFirstColumn="0" w:firstRowLastColumn="0" w:lastRowFirstColumn="0" w:lastRowLastColumn="0"/>
            </w:pPr>
            <w:r>
              <w:t>Small numbers of kits given out could result in a high participation rate. A</w:t>
            </w:r>
            <w:r w:rsidRPr="00F6302C">
              <w:t xml:space="preserve"> </w:t>
            </w:r>
            <w:proofErr w:type="spellStart"/>
            <w:r w:rsidRPr="00F6302C">
              <w:t>centre</w:t>
            </w:r>
            <w:proofErr w:type="spellEnd"/>
            <w:r w:rsidRPr="00F6302C">
              <w:t xml:space="preserve"> that gave out one kit</w:t>
            </w:r>
            <w:r>
              <w:t xml:space="preserve">, for example, </w:t>
            </w:r>
            <w:r w:rsidRPr="00F6302C">
              <w:t>and had that kit returned for testing</w:t>
            </w:r>
            <w:r>
              <w:t xml:space="preserve">, </w:t>
            </w:r>
            <w:r w:rsidRPr="00F6302C">
              <w:t>achieved a 100</w:t>
            </w:r>
            <w:r>
              <w:t>%</w:t>
            </w:r>
            <w:r w:rsidRPr="00F6302C">
              <w:t xml:space="preserve"> participation rate; a </w:t>
            </w:r>
            <w:proofErr w:type="spellStart"/>
            <w:r w:rsidRPr="00F6302C">
              <w:t>centre</w:t>
            </w:r>
            <w:proofErr w:type="spellEnd"/>
            <w:r w:rsidRPr="00F6302C">
              <w:t xml:space="preserve"> that gave out 91 kits and had 45 returned achieved a participation rate below 50%. </w:t>
            </w:r>
            <w:r>
              <w:t xml:space="preserve">Comparisons based on participation rate advantaged </w:t>
            </w:r>
            <w:proofErr w:type="spellStart"/>
            <w:r>
              <w:t>centres</w:t>
            </w:r>
            <w:proofErr w:type="spellEnd"/>
            <w:r>
              <w:t xml:space="preserve"> that gave out few kits.</w:t>
            </w:r>
          </w:p>
          <w:p w14:paraId="29636CE9" w14:textId="77777777" w:rsidR="00995F8C" w:rsidRPr="000513A2" w:rsidRDefault="00995F8C" w:rsidP="00C8027D">
            <w:pPr>
              <w:pStyle w:val="FootnoteText"/>
              <w:spacing w:before="80" w:line="276" w:lineRule="auto"/>
              <w:cnfStyle w:val="000000100000" w:firstRow="0" w:lastRow="0" w:firstColumn="0" w:lastColumn="0" w:oddVBand="0" w:evenVBand="0" w:oddHBand="1" w:evenHBand="0" w:firstRowFirstColumn="0" w:firstRowLastColumn="0" w:lastRowFirstColumn="0" w:lastRowLastColumn="0"/>
              <w:rPr>
                <w:u w:val="single"/>
              </w:rPr>
            </w:pPr>
            <w:r w:rsidRPr="000513A2">
              <w:rPr>
                <w:u w:val="single"/>
              </w:rPr>
              <w:t>The time available to distribute kits</w:t>
            </w:r>
          </w:p>
          <w:p w14:paraId="6655E6EE" w14:textId="70CD3E89" w:rsidR="00995F8C" w:rsidRDefault="00995F8C" w:rsidP="00C8027D">
            <w:pPr>
              <w:pStyle w:val="FootnoteText"/>
              <w:spacing w:line="276" w:lineRule="auto"/>
              <w:cnfStyle w:val="000000100000" w:firstRow="0" w:lastRow="0" w:firstColumn="0" w:lastColumn="0" w:oddVBand="0" w:evenVBand="0" w:oddHBand="1" w:evenHBand="0" w:firstRowFirstColumn="0" w:firstRowLastColumn="0" w:lastRowFirstColumn="0" w:lastRowLastColumn="0"/>
            </w:pPr>
            <w:r w:rsidRPr="00F6302C">
              <w:t xml:space="preserve">The time available to distribute kits was affected by the health </w:t>
            </w:r>
            <w:proofErr w:type="spellStart"/>
            <w:r w:rsidRPr="00F6302C">
              <w:t>centre’s</w:t>
            </w:r>
            <w:proofErr w:type="spellEnd"/>
            <w:r w:rsidRPr="00F6302C">
              <w:t xml:space="preserve"> location (whether Hot Zone restrictions applied); governance (which affected the level of ethics and governance approval required) and the time a health </w:t>
            </w:r>
            <w:proofErr w:type="spellStart"/>
            <w:r w:rsidRPr="00F6302C">
              <w:t>centre</w:t>
            </w:r>
            <w:proofErr w:type="spellEnd"/>
            <w:r w:rsidRPr="00F6302C">
              <w:t xml:space="preserve"> took to complete the Quality and Safety Checklist.</w:t>
            </w:r>
            <w:r w:rsidR="00821696">
              <w:t xml:space="preserve"> </w:t>
            </w:r>
            <w:r w:rsidRPr="00F6302C">
              <w:t xml:space="preserve">Time available to distribute kits </w:t>
            </w:r>
            <w:r w:rsidRPr="00F6302C">
              <w:lastRenderedPageBreak/>
              <w:t xml:space="preserve">during the Pilot ranged from 29 working days to 234 working days, with an average of 153.5 working days.  </w:t>
            </w:r>
          </w:p>
          <w:p w14:paraId="088932D3" w14:textId="77777777" w:rsidR="00995F8C" w:rsidRPr="000513A2" w:rsidRDefault="00995F8C" w:rsidP="00C8027D">
            <w:pPr>
              <w:pStyle w:val="FootnoteText"/>
              <w:spacing w:before="80" w:line="276" w:lineRule="auto"/>
              <w:cnfStyle w:val="000000100000" w:firstRow="0" w:lastRow="0" w:firstColumn="0" w:lastColumn="0" w:oddVBand="0" w:evenVBand="0" w:oddHBand="1" w:evenHBand="0" w:firstRowFirstColumn="0" w:firstRowLastColumn="0" w:lastRowFirstColumn="0" w:lastRowLastColumn="0"/>
              <w:rPr>
                <w:u w:val="single"/>
              </w:rPr>
            </w:pPr>
            <w:r w:rsidRPr="000513A2">
              <w:rPr>
                <w:u w:val="single"/>
              </w:rPr>
              <w:t>Method of calculation</w:t>
            </w:r>
          </w:p>
          <w:p w14:paraId="126F6D85" w14:textId="77777777" w:rsidR="00995F8C" w:rsidRPr="00F6302C" w:rsidRDefault="00995F8C" w:rsidP="00C8027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r w:rsidRPr="00F6302C">
              <w:rPr>
                <w:sz w:val="20"/>
                <w:szCs w:val="20"/>
              </w:rPr>
              <w:t xml:space="preserve"> calculation of kits given out by time available to distribute kits </w:t>
            </w:r>
            <w:r>
              <w:rPr>
                <w:sz w:val="20"/>
                <w:szCs w:val="20"/>
              </w:rPr>
              <w:t xml:space="preserve">was used as the prime determinant of health centre performance in this analysis. This measure was considered by the research team to </w:t>
            </w:r>
            <w:r w:rsidRPr="00F6302C">
              <w:rPr>
                <w:sz w:val="20"/>
                <w:szCs w:val="20"/>
              </w:rPr>
              <w:t>provide</w:t>
            </w:r>
            <w:r>
              <w:rPr>
                <w:sz w:val="20"/>
                <w:szCs w:val="20"/>
              </w:rPr>
              <w:t xml:space="preserve"> the</w:t>
            </w:r>
            <w:r w:rsidRPr="00F6302C">
              <w:rPr>
                <w:sz w:val="20"/>
                <w:szCs w:val="20"/>
              </w:rPr>
              <w:t xml:space="preserve"> least </w:t>
            </w:r>
            <w:r>
              <w:rPr>
                <w:sz w:val="20"/>
                <w:szCs w:val="20"/>
              </w:rPr>
              <w:t xml:space="preserve">amount of </w:t>
            </w:r>
            <w:r w:rsidRPr="00F6302C">
              <w:rPr>
                <w:sz w:val="20"/>
                <w:szCs w:val="20"/>
              </w:rPr>
              <w:t>distortion</w:t>
            </w:r>
            <w:r>
              <w:rPr>
                <w:sz w:val="20"/>
                <w:szCs w:val="20"/>
              </w:rPr>
              <w:t xml:space="preserve"> given the variability of the data</w:t>
            </w:r>
            <w:r w:rsidRPr="00F6302C">
              <w:rPr>
                <w:sz w:val="20"/>
                <w:szCs w:val="20"/>
              </w:rPr>
              <w:t>.</w:t>
            </w:r>
          </w:p>
          <w:p w14:paraId="57C948E1" w14:textId="7FAD3B3B" w:rsidR="00995F8C" w:rsidRPr="00845E9D" w:rsidRDefault="00995F8C" w:rsidP="00C8027D">
            <w:pPr>
              <w:cnfStyle w:val="000000100000" w:firstRow="0" w:lastRow="0" w:firstColumn="0" w:lastColumn="0" w:oddVBand="0" w:evenVBand="0" w:oddHBand="1" w:evenHBand="0" w:firstRowFirstColumn="0" w:firstRowLastColumn="0" w:lastRowFirstColumn="0" w:lastRowLastColumn="0"/>
              <w:rPr>
                <w:sz w:val="21"/>
                <w:szCs w:val="21"/>
              </w:rPr>
            </w:pPr>
            <w:r w:rsidRPr="00F6302C">
              <w:rPr>
                <w:sz w:val="20"/>
                <w:szCs w:val="20"/>
              </w:rPr>
              <w:t>The 36 health centres that gave out kits were ranked by number of kits given out by time available, and the approaches of th</w:t>
            </w:r>
            <w:r>
              <w:rPr>
                <w:sz w:val="20"/>
                <w:szCs w:val="20"/>
              </w:rPr>
              <w:t xml:space="preserve">e 12 </w:t>
            </w:r>
            <w:r w:rsidRPr="00F6302C">
              <w:rPr>
                <w:sz w:val="20"/>
                <w:szCs w:val="20"/>
              </w:rPr>
              <w:t xml:space="preserve">health centres with the highest </w:t>
            </w:r>
            <w:r>
              <w:rPr>
                <w:sz w:val="20"/>
                <w:szCs w:val="20"/>
              </w:rPr>
              <w:t>scores and the 12 with the l</w:t>
            </w:r>
            <w:r w:rsidRPr="00F6302C">
              <w:rPr>
                <w:sz w:val="20"/>
                <w:szCs w:val="20"/>
              </w:rPr>
              <w:t>owest scores were compared.</w:t>
            </w:r>
            <w:r>
              <w:rPr>
                <w:sz w:val="21"/>
                <w:szCs w:val="21"/>
              </w:rPr>
              <w:t xml:space="preserve"> </w:t>
            </w:r>
          </w:p>
        </w:tc>
      </w:tr>
    </w:tbl>
    <w:p w14:paraId="6928F05F" w14:textId="1B019EE3" w:rsidR="00773DF5" w:rsidRDefault="00773DF5" w:rsidP="00F354AA">
      <w:pPr>
        <w:rPr>
          <w:rFonts w:cstheme="minorHAnsi"/>
        </w:rPr>
      </w:pPr>
    </w:p>
    <w:p w14:paraId="28392C54" w14:textId="34665F65" w:rsidR="004E7739" w:rsidRDefault="004E7739" w:rsidP="00F354AA">
      <w:pPr>
        <w:rPr>
          <w:rFonts w:cstheme="minorHAnsi"/>
        </w:rPr>
      </w:pPr>
    </w:p>
    <w:p w14:paraId="5666671A" w14:textId="318E403D" w:rsidR="004E7739" w:rsidRDefault="004E7739">
      <w:pPr>
        <w:spacing w:before="0" w:after="0" w:line="240" w:lineRule="auto"/>
        <w:rPr>
          <w:rFonts w:cstheme="minorHAnsi"/>
        </w:rPr>
      </w:pPr>
      <w:r>
        <w:rPr>
          <w:rFonts w:cstheme="minorHAnsi"/>
        </w:rPr>
        <w:br w:type="page"/>
      </w:r>
    </w:p>
    <w:p w14:paraId="39433E4D" w14:textId="25E7AAC0" w:rsidR="004E7739" w:rsidRDefault="004E7739" w:rsidP="00510A67">
      <w:pPr>
        <w:pStyle w:val="Heading1"/>
      </w:pPr>
      <w:bookmarkStart w:id="362" w:name="_Toc45539296"/>
      <w:bookmarkStart w:id="363" w:name="_Toc54954882"/>
      <w:r>
        <w:lastRenderedPageBreak/>
        <w:t>Appendix G</w:t>
      </w:r>
      <w:bookmarkEnd w:id="362"/>
      <w:bookmarkEnd w:id="363"/>
    </w:p>
    <w:p w14:paraId="438E48F0" w14:textId="3826A459" w:rsidR="004E7739" w:rsidRPr="004E7739" w:rsidRDefault="004E7739" w:rsidP="00070C12">
      <w:pPr>
        <w:pStyle w:val="Heading2"/>
      </w:pPr>
      <w:bookmarkStart w:id="364" w:name="_Toc45539297"/>
      <w:bookmarkStart w:id="365" w:name="_Toc54954883"/>
      <w:r>
        <w:t>Supporting Agencies Activity Report</w:t>
      </w:r>
      <w:bookmarkEnd w:id="364"/>
      <w:bookmarkEnd w:id="365"/>
    </w:p>
    <w:p w14:paraId="0BE8D657" w14:textId="77777777" w:rsidR="004E7739" w:rsidRDefault="004E7739" w:rsidP="004E7739">
      <w:pPr>
        <w:rPr>
          <w:lang w:eastAsia="en-AU"/>
        </w:rPr>
      </w:pPr>
      <w:r>
        <w:rPr>
          <w:lang w:eastAsia="en-AU"/>
        </w:rPr>
        <w:t>‘Supporting Agencies’ were a diverse group of organisations identified early in the National Indigenous Bowel Screening Project as important stakeholders and potential contributors to developing or sustaining the Alternative Pathway. They included state and territory health departments, ACCHO peak bodies, Cancer Councils, Primary Health Networks and others. In December 2019 Menzies invited Supporting Agencies located in or active near Pilot health centres to complete an activity report via an online survey. The survey aimed to identify activities that might directly or indirectly have affected the health centres participating in the Pilot or the uptake of the usual pathway.</w:t>
      </w:r>
    </w:p>
    <w:p w14:paraId="7E7382F2" w14:textId="77777777" w:rsidR="004E7739" w:rsidRDefault="004E7739" w:rsidP="004E7739">
      <w:pPr>
        <w:rPr>
          <w:lang w:eastAsia="en-AU"/>
        </w:rPr>
      </w:pPr>
      <w:r>
        <w:rPr>
          <w:lang w:eastAsia="en-AU"/>
        </w:rPr>
        <w:t xml:space="preserve">A total of 34 Supporting Agency Activity reports were received between 16 October 2019 and 7 January 2020. Of the 34 reports received, 5 were duplicates and 9 were incomplete. The duplicate and incomplete reports were not included in the analysis. </w:t>
      </w:r>
    </w:p>
    <w:p w14:paraId="307378B9" w14:textId="29B53900" w:rsidR="004E7739" w:rsidRDefault="004E7739" w:rsidP="004E7739">
      <w:pPr>
        <w:rPr>
          <w:lang w:eastAsia="en-AU"/>
        </w:rPr>
      </w:pPr>
      <w:r>
        <w:rPr>
          <w:lang w:eastAsia="en-AU"/>
        </w:rPr>
        <w:t xml:space="preserve">Duplication of reporting also occurred when multiple officers in a </w:t>
      </w:r>
      <w:r w:rsidR="00CC68AF">
        <w:rPr>
          <w:lang w:eastAsia="en-AU"/>
        </w:rPr>
        <w:t>s</w:t>
      </w:r>
      <w:r>
        <w:rPr>
          <w:lang w:eastAsia="en-AU"/>
        </w:rPr>
        <w:t xml:space="preserve">upporting </w:t>
      </w:r>
      <w:r w:rsidR="00CC68AF">
        <w:rPr>
          <w:lang w:eastAsia="en-AU"/>
        </w:rPr>
        <w:t>a</w:t>
      </w:r>
      <w:r>
        <w:rPr>
          <w:lang w:eastAsia="en-AU"/>
        </w:rPr>
        <w:t xml:space="preserve">gency each submitted the same report. Three staff from the same agency submitted a survey. These surveys were combined because they provided similar information, with only minor differences. Where differences occurred, these were retained. </w:t>
      </w:r>
    </w:p>
    <w:p w14:paraId="58EB1FF5" w14:textId="77777777" w:rsidR="004E7739" w:rsidRDefault="004E7739" w:rsidP="004E7739">
      <w:pPr>
        <w:rPr>
          <w:lang w:eastAsia="en-AU"/>
        </w:rPr>
      </w:pPr>
      <w:r>
        <w:rPr>
          <w:lang w:eastAsia="en-AU"/>
        </w:rPr>
        <w:t>All agencies except one gave their consent for information being used as part of the evaluation of the Pilot.</w:t>
      </w:r>
    </w:p>
    <w:p w14:paraId="4F35D02C" w14:textId="77777777" w:rsidR="004E7739" w:rsidRDefault="004E7739" w:rsidP="004E7739">
      <w:pPr>
        <w:rPr>
          <w:lang w:eastAsia="en-AU"/>
        </w:rPr>
      </w:pPr>
      <w:r>
        <w:rPr>
          <w:lang w:eastAsia="en-AU"/>
        </w:rPr>
        <w:t>A total of 16 reports were analysed to see if there were interactions between health centres and supporting agencies that may have directly or indirectly affected centres participating in the Pilot.</w:t>
      </w:r>
    </w:p>
    <w:p w14:paraId="5E7FFD7A" w14:textId="77777777" w:rsidR="004E7739" w:rsidRDefault="004E7739" w:rsidP="004E7739">
      <w:pPr>
        <w:rPr>
          <w:lang w:eastAsia="en-AU"/>
        </w:rPr>
      </w:pPr>
      <w:r>
        <w:rPr>
          <w:lang w:eastAsia="en-AU"/>
        </w:rPr>
        <w:t xml:space="preserve">Nine of the supporting agencies reported interactions relevant to bowel screening activity with health care centres in their respective areas taking part in the Pilot between the period of 1st November 2018 to 31 October 2019. These interactions involved: </w:t>
      </w:r>
    </w:p>
    <w:p w14:paraId="6F2C14D3" w14:textId="095D18BD" w:rsidR="004E7739" w:rsidRDefault="004E7739" w:rsidP="00C77532">
      <w:pPr>
        <w:pStyle w:val="ListParagraph"/>
        <w:numPr>
          <w:ilvl w:val="0"/>
          <w:numId w:val="52"/>
        </w:numPr>
        <w:rPr>
          <w:lang w:eastAsia="en-AU"/>
        </w:rPr>
      </w:pPr>
      <w:r>
        <w:rPr>
          <w:lang w:eastAsia="en-AU"/>
        </w:rPr>
        <w:t xml:space="preserve">Promotion of the Pilot – which was reported to have happened outside of the Pilot reporting period; </w:t>
      </w:r>
    </w:p>
    <w:p w14:paraId="0927C4E3" w14:textId="5B03AC32" w:rsidR="004E7739" w:rsidRDefault="004E7739" w:rsidP="00C77532">
      <w:pPr>
        <w:pStyle w:val="ListParagraph"/>
        <w:numPr>
          <w:ilvl w:val="0"/>
          <w:numId w:val="52"/>
        </w:numPr>
        <w:rPr>
          <w:lang w:eastAsia="en-AU"/>
        </w:rPr>
      </w:pPr>
      <w:r>
        <w:rPr>
          <w:lang w:eastAsia="en-AU"/>
        </w:rPr>
        <w:t>Attending and supporting face-to-face training;</w:t>
      </w:r>
    </w:p>
    <w:p w14:paraId="55B8F109" w14:textId="140F038A" w:rsidR="004E7739" w:rsidRDefault="004E7739" w:rsidP="00C77532">
      <w:pPr>
        <w:pStyle w:val="ListParagraph"/>
        <w:numPr>
          <w:ilvl w:val="0"/>
          <w:numId w:val="52"/>
        </w:numPr>
        <w:rPr>
          <w:lang w:eastAsia="en-AU"/>
        </w:rPr>
      </w:pPr>
      <w:r>
        <w:rPr>
          <w:lang w:eastAsia="en-AU"/>
        </w:rPr>
        <w:t>Providing support to health centres, that were also Aboriginal Community Controlled Health Organisations who were members organisations) with service improvement activities regarding prevention and management of chronic disease, improving administrative practices and improve data recording;</w:t>
      </w:r>
    </w:p>
    <w:p w14:paraId="61E74DA1" w14:textId="3E3E90CC" w:rsidR="004E7739" w:rsidRDefault="004E7739" w:rsidP="00C77532">
      <w:pPr>
        <w:pStyle w:val="ListParagraph"/>
        <w:numPr>
          <w:ilvl w:val="0"/>
          <w:numId w:val="52"/>
        </w:numPr>
        <w:rPr>
          <w:lang w:eastAsia="en-AU"/>
        </w:rPr>
      </w:pPr>
      <w:r>
        <w:rPr>
          <w:lang w:eastAsia="en-AU"/>
        </w:rPr>
        <w:t>Planning and developing external promotion campaigns or services for bowel cancer screening</w:t>
      </w:r>
      <w:r w:rsidR="00E54FAC">
        <w:rPr>
          <w:lang w:eastAsia="en-AU"/>
        </w:rPr>
        <w:t xml:space="preserve"> – </w:t>
      </w:r>
      <w:r>
        <w:rPr>
          <w:lang w:eastAsia="en-AU"/>
        </w:rPr>
        <w:t xml:space="preserve">for example, advertising campaigns or the One Stop Screening Shop to support increased cancer screening; and </w:t>
      </w:r>
    </w:p>
    <w:p w14:paraId="32B9DAAA" w14:textId="78D36C1B" w:rsidR="004E7739" w:rsidRDefault="004E7739" w:rsidP="00C77532">
      <w:pPr>
        <w:pStyle w:val="ListParagraph"/>
        <w:numPr>
          <w:ilvl w:val="0"/>
          <w:numId w:val="52"/>
        </w:numPr>
        <w:rPr>
          <w:lang w:eastAsia="en-AU"/>
        </w:rPr>
      </w:pPr>
      <w:r>
        <w:rPr>
          <w:lang w:eastAsia="en-AU"/>
        </w:rPr>
        <w:t xml:space="preserve">Funding non-Government organisations to improve cancer screening systems. </w:t>
      </w:r>
    </w:p>
    <w:p w14:paraId="1F066D19" w14:textId="77777777" w:rsidR="004E7739" w:rsidRDefault="004E7739" w:rsidP="004E7739">
      <w:pPr>
        <w:rPr>
          <w:lang w:eastAsia="en-AU"/>
        </w:rPr>
      </w:pPr>
      <w:r>
        <w:rPr>
          <w:lang w:eastAsia="en-AU"/>
        </w:rPr>
        <w:lastRenderedPageBreak/>
        <w:t xml:space="preserve">Seven survey respondents reported their agencies had no bowel screening-related interactions with Pilot health centres in their catchment; however, one respondent stated that ‘though interactions hadn’t occurred, they would follow up with participating services.’ </w:t>
      </w:r>
    </w:p>
    <w:p w14:paraId="54941A8B" w14:textId="77777777" w:rsidR="004E7739" w:rsidRDefault="004E7739" w:rsidP="004E7739">
      <w:pPr>
        <w:rPr>
          <w:lang w:eastAsia="en-AU"/>
        </w:rPr>
      </w:pPr>
      <w:r>
        <w:rPr>
          <w:lang w:eastAsia="en-AU"/>
        </w:rPr>
        <w:t xml:space="preserve">A majority of supporting agencies, 12 of the 16 organisations, reported providing bowel screening support including: </w:t>
      </w:r>
    </w:p>
    <w:p w14:paraId="50CB24C1" w14:textId="3298C5BA" w:rsidR="004E7739" w:rsidRDefault="004E7739" w:rsidP="00C77532">
      <w:pPr>
        <w:pStyle w:val="ListParagraph"/>
        <w:numPr>
          <w:ilvl w:val="0"/>
          <w:numId w:val="53"/>
        </w:numPr>
        <w:rPr>
          <w:lang w:eastAsia="en-AU"/>
        </w:rPr>
      </w:pPr>
      <w:r>
        <w:rPr>
          <w:lang w:eastAsia="en-AU"/>
        </w:rPr>
        <w:t xml:space="preserve">Resource dissemination; </w:t>
      </w:r>
    </w:p>
    <w:p w14:paraId="1C4DED49" w14:textId="3692C149" w:rsidR="004E7739" w:rsidRDefault="004E7739" w:rsidP="00C77532">
      <w:pPr>
        <w:pStyle w:val="ListParagraph"/>
        <w:numPr>
          <w:ilvl w:val="0"/>
          <w:numId w:val="53"/>
        </w:numPr>
        <w:rPr>
          <w:lang w:eastAsia="en-AU"/>
        </w:rPr>
      </w:pPr>
      <w:r>
        <w:rPr>
          <w:lang w:eastAsia="en-AU"/>
        </w:rPr>
        <w:t>Education and training programs/in-services;</w:t>
      </w:r>
    </w:p>
    <w:p w14:paraId="7494D5F2" w14:textId="19EED434" w:rsidR="004E7739" w:rsidRDefault="004E7739" w:rsidP="00C77532">
      <w:pPr>
        <w:pStyle w:val="ListParagraph"/>
        <w:numPr>
          <w:ilvl w:val="0"/>
          <w:numId w:val="53"/>
        </w:numPr>
        <w:rPr>
          <w:lang w:eastAsia="en-AU"/>
        </w:rPr>
      </w:pPr>
      <w:r>
        <w:rPr>
          <w:lang w:eastAsia="en-AU"/>
        </w:rPr>
        <w:t>Funding (e.g. Innovations in Cancer Control Grants 2019</w:t>
      </w:r>
      <w:r w:rsidR="00E54FAC">
        <w:rPr>
          <w:lang w:eastAsia="en-AU"/>
        </w:rPr>
        <w:t xml:space="preserve"> – </w:t>
      </w:r>
      <w:r>
        <w:rPr>
          <w:lang w:eastAsia="en-AU"/>
        </w:rPr>
        <w:t>Bowel screening Aboriginal Community Education grant);</w:t>
      </w:r>
    </w:p>
    <w:p w14:paraId="0CE0893F" w14:textId="2446E858" w:rsidR="004E7739" w:rsidRDefault="004E7739" w:rsidP="00C77532">
      <w:pPr>
        <w:pStyle w:val="ListParagraph"/>
        <w:numPr>
          <w:ilvl w:val="0"/>
          <w:numId w:val="53"/>
        </w:numPr>
        <w:rPr>
          <w:lang w:eastAsia="en-AU"/>
        </w:rPr>
      </w:pPr>
      <w:r>
        <w:rPr>
          <w:lang w:eastAsia="en-AU"/>
        </w:rPr>
        <w:t>Campaign activities (e.g. tailored Aboriginal print, radio, TV and Facebook advertising: ‘Do the test’);</w:t>
      </w:r>
    </w:p>
    <w:p w14:paraId="1CFDF1C2" w14:textId="4C83B559" w:rsidR="004E7739" w:rsidRDefault="004E7739" w:rsidP="00C77532">
      <w:pPr>
        <w:pStyle w:val="ListParagraph"/>
        <w:numPr>
          <w:ilvl w:val="0"/>
          <w:numId w:val="53"/>
        </w:numPr>
        <w:rPr>
          <w:lang w:eastAsia="en-AU"/>
        </w:rPr>
      </w:pPr>
      <w:r>
        <w:rPr>
          <w:lang w:eastAsia="en-AU"/>
        </w:rPr>
        <w:t>Screening programs; and</w:t>
      </w:r>
    </w:p>
    <w:p w14:paraId="553057F9" w14:textId="3F3C72A1" w:rsidR="004E7739" w:rsidRDefault="004E7739" w:rsidP="00C77532">
      <w:pPr>
        <w:pStyle w:val="ListParagraph"/>
        <w:numPr>
          <w:ilvl w:val="0"/>
          <w:numId w:val="53"/>
        </w:numPr>
        <w:rPr>
          <w:lang w:eastAsia="en-AU"/>
        </w:rPr>
      </w:pPr>
      <w:r>
        <w:rPr>
          <w:lang w:eastAsia="en-AU"/>
        </w:rPr>
        <w:t>Community awareness events.</w:t>
      </w:r>
    </w:p>
    <w:p w14:paraId="3AABC3A6" w14:textId="4A1760F3" w:rsidR="004E7739" w:rsidRDefault="004E7739" w:rsidP="00CC68AF">
      <w:pPr>
        <w:rPr>
          <w:lang w:eastAsia="en-AU"/>
        </w:rPr>
      </w:pPr>
      <w:r>
        <w:rPr>
          <w:lang w:eastAsia="en-AU"/>
        </w:rPr>
        <w:t>A further 9 of the 16 supporting agencies reported delivering programs relating to cancer and Aboriginal and Torres Strait Islander peoples, these included:</w:t>
      </w:r>
    </w:p>
    <w:p w14:paraId="6A7D8920" w14:textId="7662FF6C" w:rsidR="004E7739" w:rsidRDefault="004E7739" w:rsidP="00C77532">
      <w:pPr>
        <w:pStyle w:val="ListParagraph"/>
        <w:numPr>
          <w:ilvl w:val="0"/>
          <w:numId w:val="54"/>
        </w:numPr>
        <w:rPr>
          <w:lang w:eastAsia="en-AU"/>
        </w:rPr>
      </w:pPr>
      <w:r>
        <w:rPr>
          <w:lang w:eastAsia="en-AU"/>
        </w:rPr>
        <w:t xml:space="preserve">Health promotion </w:t>
      </w:r>
      <w:r w:rsidR="00315D5B">
        <w:rPr>
          <w:lang w:eastAsia="en-AU"/>
        </w:rPr>
        <w:t>and</w:t>
      </w:r>
      <w:r>
        <w:rPr>
          <w:lang w:eastAsia="en-AU"/>
        </w:rPr>
        <w:t xml:space="preserve"> education sessions; </w:t>
      </w:r>
    </w:p>
    <w:p w14:paraId="6D0277F3" w14:textId="60F55840" w:rsidR="004E7739" w:rsidRDefault="004E7739" w:rsidP="00C77532">
      <w:pPr>
        <w:pStyle w:val="ListParagraph"/>
        <w:numPr>
          <w:ilvl w:val="0"/>
          <w:numId w:val="54"/>
        </w:numPr>
        <w:rPr>
          <w:lang w:eastAsia="en-AU"/>
        </w:rPr>
      </w:pPr>
      <w:r>
        <w:rPr>
          <w:lang w:eastAsia="en-AU"/>
        </w:rPr>
        <w:t>In-services;</w:t>
      </w:r>
    </w:p>
    <w:p w14:paraId="12C091A0" w14:textId="3C900FC1" w:rsidR="004E7739" w:rsidRDefault="004E7739" w:rsidP="00C77532">
      <w:pPr>
        <w:pStyle w:val="ListParagraph"/>
        <w:numPr>
          <w:ilvl w:val="0"/>
          <w:numId w:val="54"/>
        </w:numPr>
        <w:rPr>
          <w:lang w:eastAsia="en-AU"/>
        </w:rPr>
      </w:pPr>
      <w:r>
        <w:rPr>
          <w:lang w:eastAsia="en-AU"/>
        </w:rPr>
        <w:t>Funding; and</w:t>
      </w:r>
    </w:p>
    <w:p w14:paraId="009F73C8" w14:textId="0D795CA3" w:rsidR="004E7739" w:rsidRDefault="004E7739" w:rsidP="00C77532">
      <w:pPr>
        <w:pStyle w:val="ListParagraph"/>
        <w:numPr>
          <w:ilvl w:val="0"/>
          <w:numId w:val="54"/>
        </w:numPr>
        <w:rPr>
          <w:lang w:eastAsia="en-AU"/>
        </w:rPr>
      </w:pPr>
      <w:r>
        <w:rPr>
          <w:lang w:eastAsia="en-AU"/>
        </w:rPr>
        <w:t>Organisational support (e.g. prevention and management of chronic disease, improving health service administrative practices, improving recording).</w:t>
      </w:r>
    </w:p>
    <w:p w14:paraId="00296C2B" w14:textId="77777777" w:rsidR="004E7739" w:rsidRDefault="004E7739" w:rsidP="00675EEA">
      <w:pPr>
        <w:rPr>
          <w:lang w:eastAsia="en-AU"/>
        </w:rPr>
      </w:pPr>
      <w:r>
        <w:rPr>
          <w:lang w:eastAsia="en-AU"/>
        </w:rPr>
        <w:t xml:space="preserve">A total of 10 of the 16 supporting agencies provided preventive health care measures/programs for Aboriginal and Torres Strait Islander people which delivered: </w:t>
      </w:r>
    </w:p>
    <w:p w14:paraId="50275D0D" w14:textId="2F23D037" w:rsidR="004E7739" w:rsidRPr="00675EEA" w:rsidRDefault="004E7739" w:rsidP="00675EEA">
      <w:pPr>
        <w:pStyle w:val="Appendixdotlevel1"/>
      </w:pPr>
      <w:r w:rsidRPr="00675EEA">
        <w:t>Conference presentations, community education sessions, health promotion activities at various health centres;</w:t>
      </w:r>
    </w:p>
    <w:p w14:paraId="1129A03D" w14:textId="6E2FE421" w:rsidR="004E7739" w:rsidRDefault="004E7739" w:rsidP="00675EEA">
      <w:pPr>
        <w:pStyle w:val="Appendixdotlevel1"/>
      </w:pPr>
      <w:r w:rsidRPr="00675EEA">
        <w:t>Support activities (prevention focused Continuous Quality Improvement (CQI) activities); a</w:t>
      </w:r>
    </w:p>
    <w:p w14:paraId="52025B50" w14:textId="63B19992" w:rsidR="00675EEA" w:rsidRDefault="00675EEA" w:rsidP="00675EEA">
      <w:pPr>
        <w:pStyle w:val="Appendixdotlevel1"/>
      </w:pPr>
      <w:r>
        <w:t>A</w:t>
      </w:r>
      <w:r w:rsidR="004E7739" w:rsidRPr="00675EEA">
        <w:t>boriginal and Torres Strait Islander Health checks, and also delivered programs (e.g. Healthy Black and Deadly Lifestyle Program).</w:t>
      </w:r>
    </w:p>
    <w:p w14:paraId="57897268" w14:textId="77777777" w:rsidR="00675EEA" w:rsidRPr="00675EEA" w:rsidRDefault="00675EEA" w:rsidP="00675EEA">
      <w:pPr>
        <w:pStyle w:val="Appendixdotlevel1"/>
        <w:numPr>
          <w:ilvl w:val="0"/>
          <w:numId w:val="0"/>
        </w:numPr>
        <w:ind w:left="720"/>
      </w:pPr>
    </w:p>
    <w:p w14:paraId="48846F14" w14:textId="77777777" w:rsidR="004E7739" w:rsidRDefault="004E7739" w:rsidP="00675EEA">
      <w:pPr>
        <w:pStyle w:val="Appendixdotlevel1"/>
        <w:numPr>
          <w:ilvl w:val="0"/>
          <w:numId w:val="0"/>
        </w:numPr>
      </w:pPr>
      <w:r>
        <w:t xml:space="preserve">A further 10 of the 16 supporting agencies providing activities to strengthen primary health care services for Aboriginal and Torres Strait Islander people; for example, CQI or Information Technology support systems. These activities included: </w:t>
      </w:r>
    </w:p>
    <w:p w14:paraId="1BA63CAB" w14:textId="060DFA48" w:rsidR="004E7739" w:rsidRPr="00675EEA" w:rsidRDefault="004E7739" w:rsidP="00675EEA">
      <w:pPr>
        <w:pStyle w:val="Appendixdotinsetlevel2"/>
      </w:pPr>
      <w:r w:rsidRPr="00675EEA">
        <w:t>Developing a cancer screening quality improvement [QI] toolkit for primary health networks to use with local health practices to implement tailored QI activities;</w:t>
      </w:r>
    </w:p>
    <w:p w14:paraId="53721CE6" w14:textId="3B712CEC" w:rsidR="004E7739" w:rsidRPr="00675EEA" w:rsidRDefault="004E7739" w:rsidP="00675EEA">
      <w:pPr>
        <w:pStyle w:val="Appendixdotinsetlevel2"/>
      </w:pPr>
      <w:r w:rsidRPr="00675EEA">
        <w:t>Increasing the uptake of Health Assessments in the Indigenous population – to support General Practice services to utilise support from an Indigenous Health Project Officer; and</w:t>
      </w:r>
    </w:p>
    <w:p w14:paraId="5BCB86E9" w14:textId="56DA4B71" w:rsidR="004E7739" w:rsidRDefault="004E7739" w:rsidP="00675EEA">
      <w:pPr>
        <w:pStyle w:val="Appendixdotinsetlevel2"/>
      </w:pPr>
      <w:r w:rsidRPr="00675EEA">
        <w:t xml:space="preserve">Use of PEN, or clinical audit tools, for reports and data systems to identify service areas in need of further support for Aboriginal and Torres Strait Islander people. </w:t>
      </w:r>
    </w:p>
    <w:p w14:paraId="2A036CF1" w14:textId="77777777" w:rsidR="004E7739" w:rsidRDefault="004E7739" w:rsidP="00675EEA">
      <w:pPr>
        <w:rPr>
          <w:lang w:eastAsia="en-AU"/>
        </w:rPr>
      </w:pPr>
      <w:r>
        <w:rPr>
          <w:lang w:eastAsia="en-AU"/>
        </w:rPr>
        <w:lastRenderedPageBreak/>
        <w:t>Supporting agencies were also asked to describe programs or activities related to bowel cancer screening conducted by other organisations they were aware of. These activities and/or program reported included:</w:t>
      </w:r>
    </w:p>
    <w:p w14:paraId="60771A4A" w14:textId="7F634F82" w:rsidR="004E7739" w:rsidRPr="00675EEA" w:rsidRDefault="004E7739" w:rsidP="00675EEA">
      <w:pPr>
        <w:pStyle w:val="Appendixdotlevel1"/>
      </w:pPr>
      <w:r w:rsidRPr="00675EEA">
        <w:t xml:space="preserve">Hunter New England Local Health District developed the Aboriginal Cancer Awareness Initiative ‘I’m going to get checked, </w:t>
      </w:r>
      <w:proofErr w:type="spellStart"/>
      <w:r w:rsidRPr="00675EEA">
        <w:t>Wanna</w:t>
      </w:r>
      <w:proofErr w:type="spellEnd"/>
      <w:r w:rsidRPr="00675EEA">
        <w:t xml:space="preserve"> Come?’ program; </w:t>
      </w:r>
    </w:p>
    <w:p w14:paraId="2958AABA" w14:textId="7927D116" w:rsidR="004E7739" w:rsidRPr="00675EEA" w:rsidRDefault="004E7739" w:rsidP="00675EEA">
      <w:pPr>
        <w:pStyle w:val="Appendixdotlevel1"/>
      </w:pPr>
      <w:r w:rsidRPr="00675EEA">
        <w:t>North Sydney Local Health District implemented an Aboriginal and Torres Strait Islander Men’s Health Plan 2015 – 2020 (which includes men's health check days);</w:t>
      </w:r>
    </w:p>
    <w:p w14:paraId="499A6AED" w14:textId="615CAACF" w:rsidR="004E7739" w:rsidRPr="00675EEA" w:rsidRDefault="004E7739" w:rsidP="00675EEA">
      <w:pPr>
        <w:pStyle w:val="Appendixdotlevel1"/>
      </w:pPr>
      <w:r w:rsidRPr="00675EEA">
        <w:t>Cancer Council Victoria promoted a Bowel Comedy which was performed at g three Pilot sites</w:t>
      </w:r>
      <w:r w:rsidR="00E54FAC">
        <w:t xml:space="preserve"> – </w:t>
      </w:r>
      <w:r w:rsidRPr="00675EEA">
        <w:t>Wathaurong (Geelong), Ballarat and District Aboriginal Co-operative (Ballarat) and Mallee District Aboriginal Services (Kerang);</w:t>
      </w:r>
    </w:p>
    <w:p w14:paraId="4404D945" w14:textId="746DE5E5" w:rsidR="004E7739" w:rsidRPr="00675EEA" w:rsidRDefault="004E7739" w:rsidP="00675EEA">
      <w:pPr>
        <w:pStyle w:val="Appendixdotlevel1"/>
      </w:pPr>
      <w:r w:rsidRPr="00675EEA">
        <w:t xml:space="preserve">Gold Coast Public Health Unit held general information and awareness workshops for general practice staff focussed on cancer screening; </w:t>
      </w:r>
    </w:p>
    <w:p w14:paraId="090FF75F" w14:textId="5378D48E" w:rsidR="004E7739" w:rsidRPr="00675EEA" w:rsidRDefault="004E7739" w:rsidP="00675EEA">
      <w:pPr>
        <w:pStyle w:val="Appendixdotlevel1"/>
      </w:pPr>
      <w:r w:rsidRPr="00675EEA">
        <w:t xml:space="preserve">There are six Bowel Health Promotion Officers (HPOs) in Queensland who work to increase participation in bowel cancer screening. There are also three other non-HPO positions who work to a lesser extent to increase participation in the NBCSP. These officers work with different organisations in their communities to increase screening participation. HPOs and non-HPOs reported engaging and working with primary health care centres involved in the Pilot; and </w:t>
      </w:r>
    </w:p>
    <w:p w14:paraId="4491C00B" w14:textId="65FA8AE4" w:rsidR="004E7739" w:rsidRPr="00173EDE" w:rsidRDefault="004E7739" w:rsidP="00675EEA">
      <w:pPr>
        <w:pStyle w:val="Appendixdotlevel1"/>
      </w:pPr>
      <w:r w:rsidRPr="00675EEA">
        <w:t xml:space="preserve">Significant engagement with large GP practices during bowel cancer awareness month to raise awareness and increase participation in the NBCSP. </w:t>
      </w:r>
    </w:p>
    <w:p w14:paraId="2681393E" w14:textId="00DBCF71" w:rsidR="004E7739" w:rsidRDefault="004E7739" w:rsidP="00CC68AF">
      <w:pPr>
        <w:rPr>
          <w:lang w:eastAsia="en-AU"/>
        </w:rPr>
      </w:pPr>
      <w:r>
        <w:rPr>
          <w:lang w:eastAsia="en-AU"/>
        </w:rPr>
        <w:t xml:space="preserve">Survey respondents were </w:t>
      </w:r>
      <w:r w:rsidR="00CC68AF">
        <w:rPr>
          <w:lang w:eastAsia="en-AU"/>
        </w:rPr>
        <w:t xml:space="preserve">also </w:t>
      </w:r>
      <w:r>
        <w:rPr>
          <w:lang w:eastAsia="en-AU"/>
        </w:rPr>
        <w:t xml:space="preserve">asked to rate the ‘usefulness’ of the Pilot to improve bowel screening.  A total of 15 out of 19 respondents gave a mean score of 4.36 (out of 5) to support the efficacy of the Pilot. A number of interview comments underpinning the effectiveness of the Pilot were given: </w:t>
      </w:r>
    </w:p>
    <w:p w14:paraId="467DD1CB" w14:textId="6C51A149" w:rsidR="004E7739" w:rsidRPr="00173EDE" w:rsidRDefault="004E7739" w:rsidP="00173EDE">
      <w:pPr>
        <w:pStyle w:val="Appendixdotlevel1"/>
      </w:pPr>
      <w:r>
        <w:t>‘</w:t>
      </w:r>
      <w:r w:rsidRPr="00173EDE">
        <w:t>NBCSP kits are not always received by the eligible individual</w:t>
      </w:r>
      <w:r w:rsidR="00E54FAC">
        <w:t xml:space="preserve"> – </w:t>
      </w:r>
      <w:r w:rsidRPr="00173EDE">
        <w:t xml:space="preserve">reasons identified include lack of up to date address with Medicare, not residing at documented address, transient lifestyle, lack of awareness of bowel cancer and bowel cancer screening so kit is discarded, instructions and steps to screening may be a barrier, not wanting to post in mail as this brings shame (in smaller towns where everyone knows the post office staff), not wanting to store sample in fridge whilst waiting for second sample etc.  ACCHOs staff are in the position to really support their practice population with screening participation and reduce or mitigate many of the barriers to bowel screening.’ </w:t>
      </w:r>
    </w:p>
    <w:p w14:paraId="63E64384" w14:textId="77777777" w:rsidR="004E7739" w:rsidRPr="00173EDE" w:rsidRDefault="004E7739" w:rsidP="00173EDE">
      <w:pPr>
        <w:pStyle w:val="Appendixdotlevel1"/>
      </w:pPr>
      <w:r w:rsidRPr="00173EDE">
        <w:t xml:space="preserve">‘More Aboriginal people need to be educated in National Indigenous Bowel Screening Pilot, especially Aboriginal health workers.’ </w:t>
      </w:r>
    </w:p>
    <w:p w14:paraId="13B918F0" w14:textId="77777777" w:rsidR="004E7739" w:rsidRPr="00173EDE" w:rsidRDefault="004E7739" w:rsidP="00173EDE">
      <w:pPr>
        <w:pStyle w:val="Appendixdotlevel1"/>
      </w:pPr>
      <w:r w:rsidRPr="00173EDE">
        <w:t>‘An alternative method of providing kits to the Indigenous community is a worthwhile investment and is confirmed by evidence.’</w:t>
      </w:r>
    </w:p>
    <w:p w14:paraId="3EFE7DF0" w14:textId="77777777" w:rsidR="004E7739" w:rsidRPr="00173EDE" w:rsidRDefault="004E7739" w:rsidP="00173EDE">
      <w:pPr>
        <w:pStyle w:val="Appendixdotlevel1"/>
      </w:pPr>
      <w:r w:rsidRPr="00173EDE">
        <w:t xml:space="preserve">‘The Pilot is crucial to building the evidence to support a direct distribution model for Aboriginal people in NSW and across Australia. Direct distribution and the involvement of Aboriginal primary care services is key to addressing barriers to bowel screening within these communities. Given the complexities of health and maintaining health, any processes whereby barriers to access, particularly in bowel screening is removed is paramount. Further </w:t>
      </w:r>
      <w:r w:rsidRPr="00173EDE">
        <w:lastRenderedPageBreak/>
        <w:t xml:space="preserve">consideration needs to occur in regard to further optimal care pathways for bowel screening and bowel cancer treatment, including access to follow up services and addressing associated barriers (financial, distance, travel and cultural safety of organisations).’ </w:t>
      </w:r>
    </w:p>
    <w:p w14:paraId="4432365B" w14:textId="77777777" w:rsidR="004E7739" w:rsidRPr="00173EDE" w:rsidRDefault="004E7739" w:rsidP="00173EDE">
      <w:pPr>
        <w:pStyle w:val="Appendixdotlevel1"/>
      </w:pPr>
      <w:r w:rsidRPr="00173EDE">
        <w:t xml:space="preserve">‘A health professional (from AHW to GP) recommending to do a bowel test and being able to follow up by handing out the kit enforces this as important. It enables the client a chance to ask questions and not be intimidated by it.  It decreases the chance of the test being avoided as they know the health worker may enquire about it. </w:t>
      </w:r>
    </w:p>
    <w:p w14:paraId="555C168D" w14:textId="77777777" w:rsidR="004E7739" w:rsidRPr="00173EDE" w:rsidRDefault="004E7739" w:rsidP="00173EDE">
      <w:pPr>
        <w:pStyle w:val="Appendixdotlevel1"/>
      </w:pPr>
      <w:r w:rsidRPr="00173EDE">
        <w:t>‘Hoping that it will be useful and improve participation rates for Aboriginal people. This is a very important national screening pilot.  The more we can encourage Indigenous people to participate in the pilot the better.’</w:t>
      </w:r>
    </w:p>
    <w:p w14:paraId="48DA02BA" w14:textId="02774DCA" w:rsidR="004E7739" w:rsidRPr="00173EDE" w:rsidRDefault="004E7739" w:rsidP="00173EDE">
      <w:pPr>
        <w:pStyle w:val="Appendixdotlevel1"/>
      </w:pPr>
      <w:r w:rsidRPr="00173EDE">
        <w:t xml:space="preserve">‘I have access[ed] many times Menzies especially the [Site Support Officer] Boden Tighe, who has always </w:t>
      </w:r>
      <w:r w:rsidR="00315D5B" w:rsidRPr="00173EDE">
        <w:t>provided</w:t>
      </w:r>
      <w:r w:rsidRPr="00173EDE">
        <w:t>[d] me with the information very quickly.  The AHW online training [produced for use by health professionals outside of the Pilot] was provided by [Hunter New England Local Health District] to our AHW's as part of the upskilling.  We also have hard copies and soft copies uploaded into our training program from Menzies. Thank you for the amazing resources this has given the tools to educate and change stories.  We have had people go get a bowel test with positive results early that would normally not do the test.’</w:t>
      </w:r>
    </w:p>
    <w:p w14:paraId="6EA77BCC" w14:textId="77777777" w:rsidR="004E7739" w:rsidRPr="00173EDE" w:rsidRDefault="004E7739" w:rsidP="00173EDE">
      <w:pPr>
        <w:pStyle w:val="Appendixdotlevel1"/>
      </w:pPr>
      <w:r w:rsidRPr="00173EDE">
        <w:t xml:space="preserve">‘It is a more culturally appropriate pathway where people can receive kits from a health care facility in their own community and be supported in doing the kit step by step.’ </w:t>
      </w:r>
    </w:p>
    <w:p w14:paraId="2A454655" w14:textId="77777777" w:rsidR="004E7739" w:rsidRPr="00173EDE" w:rsidRDefault="004E7739" w:rsidP="00173EDE">
      <w:pPr>
        <w:pStyle w:val="Appendixdotlevel1"/>
      </w:pPr>
      <w:r w:rsidRPr="00173EDE">
        <w:t>‘The pilot will allow valuable evaluation of alternative methods for increasing bowel cancer screening in the Aboriginal and Torres Strait Islander population.’</w:t>
      </w:r>
    </w:p>
    <w:p w14:paraId="3EA80338" w14:textId="77777777" w:rsidR="004E7739" w:rsidRPr="00173EDE" w:rsidRDefault="004E7739" w:rsidP="00173EDE">
      <w:pPr>
        <w:pStyle w:val="Appendixdotlevel1"/>
      </w:pPr>
      <w:r w:rsidRPr="00173EDE">
        <w:t>‘Positive feedback from services who feel being able to hand out kits is useful for raising participation rates; need to improve systems to record testing if rolled out more widely.’</w:t>
      </w:r>
    </w:p>
    <w:p w14:paraId="4E905B1A" w14:textId="77777777" w:rsidR="004E7739" w:rsidRPr="00173EDE" w:rsidRDefault="004E7739" w:rsidP="00173EDE">
      <w:pPr>
        <w:pStyle w:val="Appendixdotlevel1"/>
      </w:pPr>
      <w:r w:rsidRPr="00173EDE">
        <w:t xml:space="preserve">However, there were some concerns noted. One respondent who strongly supported the Pilot also commented ‘unfortunately, limitations due to research methodology and time frame not imposed by researchers meant the success of this project may have been compromised.’ </w:t>
      </w:r>
    </w:p>
    <w:p w14:paraId="1303D388" w14:textId="3FE2DE03" w:rsidR="004E7739" w:rsidRDefault="004E7739" w:rsidP="00173EDE">
      <w:pPr>
        <w:pStyle w:val="Appendixdotlevel1"/>
      </w:pPr>
      <w:r w:rsidRPr="00173EDE">
        <w:t>Another respondent was keen to hear the results: ‘It would be fantastic to see some results to better understand/evaluate the impact</w:t>
      </w:r>
      <w:r w:rsidR="00E54FAC">
        <w:t xml:space="preserve"> – </w:t>
      </w:r>
      <w:r w:rsidRPr="00173EDE">
        <w:t>has the pilot demonstrated increased participation in the NBCSP by Aboriginal and Torres Strait Islander people in the target population?</w:t>
      </w:r>
      <w:r>
        <w:t>’</w:t>
      </w:r>
    </w:p>
    <w:p w14:paraId="14D6CF24" w14:textId="780E9CE4" w:rsidR="004E7739" w:rsidRDefault="004E7739" w:rsidP="004E7739">
      <w:pPr>
        <w:rPr>
          <w:lang w:eastAsia="en-AU"/>
        </w:rPr>
      </w:pPr>
      <w:r>
        <w:rPr>
          <w:lang w:eastAsia="en-AU"/>
        </w:rPr>
        <w:t>Lastly, supporting agencies were asked: ‘What</w:t>
      </w:r>
      <w:r w:rsidR="00E54FAC">
        <w:rPr>
          <w:lang w:eastAsia="en-AU"/>
        </w:rPr>
        <w:t xml:space="preserve"> – </w:t>
      </w:r>
      <w:r>
        <w:rPr>
          <w:lang w:eastAsia="en-AU"/>
        </w:rPr>
        <w:t>if any</w:t>
      </w:r>
      <w:r w:rsidR="00E54FAC">
        <w:rPr>
          <w:lang w:eastAsia="en-AU"/>
        </w:rPr>
        <w:t xml:space="preserve"> – </w:t>
      </w:r>
      <w:r>
        <w:rPr>
          <w:lang w:eastAsia="en-AU"/>
        </w:rPr>
        <w:t>role do you think your organisation could have in supporting primary health care centres to offer bowel screening for Aboriginal and Torres Strait Islander people beyond the Pilot?’</w:t>
      </w:r>
    </w:p>
    <w:p w14:paraId="0FD55D8A" w14:textId="77777777" w:rsidR="004E7739" w:rsidRDefault="004E7739" w:rsidP="004E7739">
      <w:pPr>
        <w:rPr>
          <w:lang w:eastAsia="en-AU"/>
        </w:rPr>
      </w:pPr>
      <w:r>
        <w:rPr>
          <w:lang w:eastAsia="en-AU"/>
        </w:rPr>
        <w:t xml:space="preserve">A majority of 13 of the 16 respondents stated that beyond the Pilot they would: </w:t>
      </w:r>
    </w:p>
    <w:p w14:paraId="07723939" w14:textId="1C77A555" w:rsidR="004E7739" w:rsidRPr="00173EDE" w:rsidRDefault="004E7739" w:rsidP="00173EDE">
      <w:pPr>
        <w:pStyle w:val="Appendixdotlevel1"/>
      </w:pPr>
      <w:r w:rsidRPr="00173EDE">
        <w:t>Provide education information and advice relating to the NBCSP for Aboriginal Health Workers and Medical Service staff;</w:t>
      </w:r>
    </w:p>
    <w:p w14:paraId="4409FB20" w14:textId="07688751" w:rsidR="004E7739" w:rsidRPr="00173EDE" w:rsidRDefault="004E7739" w:rsidP="00173EDE">
      <w:pPr>
        <w:pStyle w:val="Appendixdotlevel1"/>
      </w:pPr>
      <w:r w:rsidRPr="00173EDE">
        <w:t>Continue to liaise with Pilot sites and encourage their involvement in screening.  To ensure learning and education gained along the way are not lost, especially if staff move on from their roles;</w:t>
      </w:r>
    </w:p>
    <w:p w14:paraId="4DF3D609" w14:textId="574BFCE2" w:rsidR="004E7739" w:rsidRPr="00173EDE" w:rsidRDefault="004E7739" w:rsidP="00173EDE">
      <w:pPr>
        <w:pStyle w:val="Appendixdotlevel1"/>
      </w:pPr>
      <w:r w:rsidRPr="00173EDE">
        <w:lastRenderedPageBreak/>
        <w:t>Develop a co-design model for effective Aboriginal governance and engagement and a framework to oversee cancer control activities for Aboriginal people in NSW. Funding to PHNs to support cancer screening work as well as communicating with PHNs which ACCHO's are part of this project;</w:t>
      </w:r>
    </w:p>
    <w:p w14:paraId="1E670830" w14:textId="19315806" w:rsidR="004E7739" w:rsidRPr="00173EDE" w:rsidRDefault="004E7739" w:rsidP="00173EDE">
      <w:pPr>
        <w:pStyle w:val="Appendixdotlevel1"/>
      </w:pPr>
      <w:r w:rsidRPr="00173EDE">
        <w:t>Advocate for and encourage primary health care centres to promote and encourage patients to screen (and participate in the Pilot);</w:t>
      </w:r>
    </w:p>
    <w:p w14:paraId="71B1E902" w14:textId="150AA391" w:rsidR="004E7739" w:rsidRPr="00173EDE" w:rsidRDefault="004E7739" w:rsidP="00173EDE">
      <w:pPr>
        <w:pStyle w:val="Appendixdotlevel1"/>
      </w:pPr>
      <w:r w:rsidRPr="00173EDE">
        <w:t>Support CQI activities (through Practice Support function) as well as Quality Improvement Activities using practice software including PEN to identify never-screened or under screened clients;</w:t>
      </w:r>
    </w:p>
    <w:p w14:paraId="5144EE2F" w14:textId="10BECDA7" w:rsidR="004E7739" w:rsidRPr="00173EDE" w:rsidRDefault="004E7739" w:rsidP="00173EDE">
      <w:pPr>
        <w:pStyle w:val="Appendixdotlevel1"/>
      </w:pPr>
      <w:r w:rsidRPr="00173EDE">
        <w:t xml:space="preserve">Promote bowel screening for Aboriginal and Torres Strait Islander people through our regular communication channels (e.g. newsletters, Basecamp) and through our Provider Support Team (who visit practices and disseminate resources);  </w:t>
      </w:r>
    </w:p>
    <w:p w14:paraId="5C724FAC" w14:textId="02E43459" w:rsidR="004E7739" w:rsidRPr="00173EDE" w:rsidRDefault="004E7739" w:rsidP="00173EDE">
      <w:pPr>
        <w:pStyle w:val="Appendixdotlevel1"/>
      </w:pPr>
      <w:r w:rsidRPr="00173EDE">
        <w:t xml:space="preserve">Involvement in providing feedback in the development of Health Promotion strategies and resources which may be developed to promote the alternative pathway across Queensland; and  </w:t>
      </w:r>
    </w:p>
    <w:p w14:paraId="28676815" w14:textId="390CB91B" w:rsidR="004E7739" w:rsidRPr="00173EDE" w:rsidRDefault="004E7739" w:rsidP="00173EDE">
      <w:pPr>
        <w:pStyle w:val="Appendixdotlevel1"/>
      </w:pPr>
      <w:r w:rsidRPr="00173EDE">
        <w:t>Support primary health care centres to continue offering bowel screening beyond the pilot</w:t>
      </w:r>
      <w:r w:rsidR="00E54FAC">
        <w:t xml:space="preserve"> – </w:t>
      </w:r>
      <w:r w:rsidRPr="00173EDE">
        <w:t xml:space="preserve">developing new programs (e.g. One Stop Screening Shops will be continuing beyond the end date of the </w:t>
      </w:r>
      <w:r w:rsidR="00173EDE">
        <w:t>P</w:t>
      </w:r>
      <w:r w:rsidRPr="00173EDE">
        <w:t>ilot).</w:t>
      </w:r>
    </w:p>
    <w:p w14:paraId="2210A501" w14:textId="2C4714C5" w:rsidR="004E7739" w:rsidRDefault="004E7739" w:rsidP="00173EDE">
      <w:pPr>
        <w:pStyle w:val="Dotpointslevel1"/>
        <w:numPr>
          <w:ilvl w:val="0"/>
          <w:numId w:val="0"/>
        </w:numPr>
        <w:rPr>
          <w:lang w:eastAsia="en-AU"/>
        </w:rPr>
      </w:pPr>
      <w:r>
        <w:rPr>
          <w:lang w:eastAsia="en-AU"/>
        </w:rPr>
        <w:t xml:space="preserve">Overall, supporting agencies </w:t>
      </w:r>
      <w:r w:rsidR="00173EDE">
        <w:rPr>
          <w:lang w:eastAsia="en-AU"/>
        </w:rPr>
        <w:t>activities were in keeping with the aims of the Pilot, but extended to a broader range of activities. T</w:t>
      </w:r>
      <w:r>
        <w:rPr>
          <w:lang w:eastAsia="en-AU"/>
        </w:rPr>
        <w:t xml:space="preserve">he Pilot period from 31 October 2018 to 1 November 2019 </w:t>
      </w:r>
      <w:r w:rsidR="00173EDE">
        <w:rPr>
          <w:lang w:eastAsia="en-AU"/>
        </w:rPr>
        <w:t>saw</w:t>
      </w:r>
      <w:r>
        <w:rPr>
          <w:lang w:eastAsia="en-AU"/>
        </w:rPr>
        <w:t xml:space="preserve"> growth in:</w:t>
      </w:r>
    </w:p>
    <w:p w14:paraId="7396D3C1" w14:textId="79301E2F" w:rsidR="004E7739" w:rsidRDefault="004E7739" w:rsidP="00173EDE">
      <w:pPr>
        <w:pStyle w:val="Appendixdotlevel1"/>
      </w:pPr>
      <w:r>
        <w:t>Funding (e.g. Innovations in Cancer Control Grants 2019</w:t>
      </w:r>
      <w:r w:rsidR="00E54FAC">
        <w:t xml:space="preserve"> – </w:t>
      </w:r>
      <w:r>
        <w:t>Bowel screening Aboriginal Community Education grant);</w:t>
      </w:r>
    </w:p>
    <w:p w14:paraId="7C467C62" w14:textId="3545F808" w:rsidR="004E7739" w:rsidRDefault="00173EDE" w:rsidP="00173EDE">
      <w:pPr>
        <w:pStyle w:val="Appendixdotlevel1"/>
      </w:pPr>
      <w:r>
        <w:t xml:space="preserve">Advertising </w:t>
      </w:r>
      <w:r w:rsidR="004E7739">
        <w:t xml:space="preserve">campaigns (e.g. tailored Aboriginal print, radio, TV and Facebook advertisements); and </w:t>
      </w:r>
    </w:p>
    <w:p w14:paraId="371EC3BF" w14:textId="067B82F0" w:rsidR="004E7739" w:rsidRDefault="004E7739" w:rsidP="00173EDE">
      <w:pPr>
        <w:pStyle w:val="Appendixdotlevel1"/>
      </w:pPr>
      <w:r>
        <w:t>Screening Programs/Trainings and Community Events (e.g. One Stop Shop).</w:t>
      </w:r>
    </w:p>
    <w:p w14:paraId="324851E0" w14:textId="77777777" w:rsidR="004E7739" w:rsidRDefault="004E7739" w:rsidP="004E7739">
      <w:pPr>
        <w:rPr>
          <w:lang w:eastAsia="en-AU"/>
        </w:rPr>
      </w:pPr>
      <w:r>
        <w:rPr>
          <w:lang w:eastAsia="en-AU"/>
        </w:rPr>
        <w:t xml:space="preserve">The contributions from supporting agencies during the Pilot period may have supported increases to participation rates for bowel screening. For example, advertising campaigns were used to target and improve awareness of bowel screening and to increase participation. </w:t>
      </w:r>
    </w:p>
    <w:p w14:paraId="1B79CFE6" w14:textId="77777777" w:rsidR="004E7739" w:rsidRDefault="004E7739" w:rsidP="004E7739">
      <w:pPr>
        <w:rPr>
          <w:lang w:eastAsia="en-AU"/>
        </w:rPr>
      </w:pPr>
      <w:r>
        <w:rPr>
          <w:lang w:eastAsia="en-AU"/>
        </w:rPr>
        <w:t xml:space="preserve">The Cancer Institute of NSW continued a major bowel cancer awareness campaign called Do the Test which included tailored Aboriginal print, TV, radio and Facebook advertising. Tailored creative materials were tested with Aboriginal audiences to ensure materials were culturally appropriate. The evaluation of the Do the Test campaign is currently underway and it appears the campaign resulted in an increase in the number of bowel screening kits being returned over the campaign period. </w:t>
      </w:r>
    </w:p>
    <w:p w14:paraId="2B297602" w14:textId="266CCE77" w:rsidR="004E7739" w:rsidRDefault="004E7739" w:rsidP="004E7739">
      <w:pPr>
        <w:rPr>
          <w:lang w:eastAsia="en-AU"/>
        </w:rPr>
      </w:pPr>
      <w:r>
        <w:rPr>
          <w:lang w:eastAsia="en-AU"/>
        </w:rPr>
        <w:t xml:space="preserve">Furthermore, the distribution of funding for </w:t>
      </w:r>
      <w:r w:rsidR="00675EEA">
        <w:rPr>
          <w:lang w:eastAsia="en-AU"/>
        </w:rPr>
        <w:t xml:space="preserve">and by </w:t>
      </w:r>
      <w:r>
        <w:rPr>
          <w:lang w:eastAsia="en-AU"/>
        </w:rPr>
        <w:t xml:space="preserve">supporting agencies may also have helped to increase participation (i.e. aimed to build capability within Aboriginal Health Services); for example, the South Eastern Melbourne Primary Health Network (SEMPHN) commissioned Cancer Council Victoria to work towards increasing bowel screening participation rates in the SEMPHN service </w:t>
      </w:r>
      <w:r>
        <w:rPr>
          <w:lang w:eastAsia="en-AU"/>
        </w:rPr>
        <w:lastRenderedPageBreak/>
        <w:t xml:space="preserve">catchment. This program began January 2019 and ends June 2021. One key aim of the funding program is facilitating targeted community engagement to increase Aboriginal and Torres Strait Islander people’s cancer screening rates. </w:t>
      </w:r>
    </w:p>
    <w:p w14:paraId="70A10131" w14:textId="58CD5E7D" w:rsidR="004E7739" w:rsidRDefault="004E7739" w:rsidP="004E7739">
      <w:pPr>
        <w:rPr>
          <w:lang w:eastAsia="en-AU"/>
        </w:rPr>
      </w:pPr>
      <w:r>
        <w:rPr>
          <w:lang w:eastAsia="en-AU"/>
        </w:rPr>
        <w:t xml:space="preserve">The delivery of screening programs, training and a community event may have contributed to localised increases in screening participation rates. For example, Hunter New England Health developed and embedded a ‘I'm going to get checked, </w:t>
      </w:r>
      <w:proofErr w:type="spellStart"/>
      <w:r>
        <w:rPr>
          <w:lang w:eastAsia="en-AU"/>
        </w:rPr>
        <w:t>Wanna</w:t>
      </w:r>
      <w:proofErr w:type="spellEnd"/>
      <w:r>
        <w:rPr>
          <w:lang w:eastAsia="en-AU"/>
        </w:rPr>
        <w:t xml:space="preserve"> Come’ program, which included a comprehensive on-line training program, as well as a toolbox including printed and digital resources for Aboriginal Medical Services to access and promote cancer screenings within their local service areas. The impact of this program on bowel screening participation </w:t>
      </w:r>
      <w:r w:rsidR="00675EEA">
        <w:rPr>
          <w:lang w:eastAsia="en-AU"/>
        </w:rPr>
        <w:t>was not known at the time of the survey</w:t>
      </w:r>
      <w:r>
        <w:rPr>
          <w:lang w:eastAsia="en-AU"/>
        </w:rPr>
        <w:t xml:space="preserve"> as evaluation </w:t>
      </w:r>
      <w:r w:rsidR="00675EEA">
        <w:rPr>
          <w:lang w:eastAsia="en-AU"/>
        </w:rPr>
        <w:t>of the program was still underwa</w:t>
      </w:r>
      <w:r>
        <w:rPr>
          <w:lang w:eastAsia="en-AU"/>
        </w:rPr>
        <w:t>y.</w:t>
      </w:r>
    </w:p>
    <w:p w14:paraId="6BB7A62A" w14:textId="77777777" w:rsidR="004E7739" w:rsidRDefault="004E7739" w:rsidP="004E7739">
      <w:pPr>
        <w:rPr>
          <w:lang w:eastAsia="en-AU"/>
        </w:rPr>
      </w:pPr>
    </w:p>
    <w:p w14:paraId="08D69168" w14:textId="18C2BC27" w:rsidR="007D2181" w:rsidRDefault="007D2181">
      <w:pPr>
        <w:spacing w:before="0" w:after="0" w:line="240" w:lineRule="auto"/>
        <w:rPr>
          <w:lang w:eastAsia="en-AU"/>
        </w:rPr>
      </w:pPr>
      <w:r>
        <w:rPr>
          <w:lang w:eastAsia="en-AU"/>
        </w:rPr>
        <w:br w:type="page"/>
      </w:r>
    </w:p>
    <w:p w14:paraId="2C5239D0" w14:textId="6D465A5C" w:rsidR="007D2181" w:rsidRDefault="006A5376" w:rsidP="00510A67">
      <w:pPr>
        <w:pStyle w:val="Heading1"/>
      </w:pPr>
      <w:bookmarkStart w:id="366" w:name="_Toc45539298"/>
      <w:bookmarkStart w:id="367" w:name="_Toc54954884"/>
      <w:r>
        <w:lastRenderedPageBreak/>
        <w:t>Abbreviations</w:t>
      </w:r>
      <w:bookmarkEnd w:id="366"/>
      <w:bookmarkEnd w:id="367"/>
    </w:p>
    <w:p w14:paraId="01B8DF11" w14:textId="190FAB9D" w:rsidR="004E7739" w:rsidRDefault="004E7739" w:rsidP="004E7739">
      <w:pP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1980"/>
        <w:gridCol w:w="6800"/>
      </w:tblGrid>
      <w:tr w:rsidR="00CA0599" w:rsidRPr="00CA0599" w14:paraId="02CCB9D4" w14:textId="77777777" w:rsidTr="00CA0599">
        <w:trPr>
          <w:tblHeader/>
        </w:trPr>
        <w:tc>
          <w:tcPr>
            <w:tcW w:w="1980" w:type="dxa"/>
          </w:tcPr>
          <w:p w14:paraId="20B1B2B3" w14:textId="45ABA55A" w:rsidR="00CA0599" w:rsidRPr="00CA0599" w:rsidRDefault="00CA0599" w:rsidP="007D2181">
            <w:pPr>
              <w:spacing w:before="20" w:after="80"/>
              <w:rPr>
                <w:rFonts w:cstheme="minorHAnsi"/>
                <w:b/>
                <w:sz w:val="21"/>
                <w:szCs w:val="21"/>
              </w:rPr>
            </w:pPr>
            <w:r w:rsidRPr="00CA0599">
              <w:rPr>
                <w:rFonts w:cstheme="minorHAnsi"/>
                <w:b/>
                <w:sz w:val="21"/>
                <w:szCs w:val="21"/>
              </w:rPr>
              <w:t>Acronym</w:t>
            </w:r>
          </w:p>
        </w:tc>
        <w:tc>
          <w:tcPr>
            <w:tcW w:w="6800" w:type="dxa"/>
          </w:tcPr>
          <w:p w14:paraId="5C214123" w14:textId="4190DFF0" w:rsidR="00CA0599" w:rsidRPr="00CA0599" w:rsidRDefault="00CA0599" w:rsidP="007D2181">
            <w:pPr>
              <w:spacing w:before="20" w:after="80"/>
              <w:rPr>
                <w:rFonts w:cstheme="minorHAnsi"/>
                <w:b/>
                <w:sz w:val="21"/>
                <w:szCs w:val="21"/>
              </w:rPr>
            </w:pPr>
            <w:r w:rsidRPr="00CA0599">
              <w:rPr>
                <w:rFonts w:cstheme="minorHAnsi"/>
                <w:b/>
                <w:sz w:val="21"/>
                <w:szCs w:val="21"/>
              </w:rPr>
              <w:t>Description</w:t>
            </w:r>
          </w:p>
        </w:tc>
      </w:tr>
      <w:tr w:rsidR="0066110E" w:rsidRPr="0066110E" w14:paraId="61F0019D" w14:textId="77777777" w:rsidTr="00CA0599">
        <w:tc>
          <w:tcPr>
            <w:tcW w:w="1980" w:type="dxa"/>
            <w:hideMark/>
          </w:tcPr>
          <w:p w14:paraId="3F495E72" w14:textId="77777777" w:rsidR="0066110E" w:rsidRPr="0066110E" w:rsidRDefault="0066110E" w:rsidP="007D2181">
            <w:pPr>
              <w:spacing w:before="20" w:after="80"/>
              <w:rPr>
                <w:rFonts w:cstheme="minorHAnsi"/>
                <w:sz w:val="21"/>
                <w:szCs w:val="21"/>
              </w:rPr>
            </w:pPr>
            <w:r w:rsidRPr="0066110E">
              <w:rPr>
                <w:rFonts w:cstheme="minorHAnsi"/>
                <w:sz w:val="21"/>
                <w:szCs w:val="21"/>
              </w:rPr>
              <w:t>ACCHOs</w:t>
            </w:r>
          </w:p>
        </w:tc>
        <w:tc>
          <w:tcPr>
            <w:tcW w:w="6800" w:type="dxa"/>
            <w:hideMark/>
          </w:tcPr>
          <w:p w14:paraId="7CB90B36" w14:textId="77777777" w:rsidR="0066110E" w:rsidRPr="0066110E" w:rsidRDefault="0066110E" w:rsidP="007D2181">
            <w:pPr>
              <w:spacing w:before="20" w:after="80"/>
              <w:rPr>
                <w:rFonts w:cstheme="minorHAnsi"/>
                <w:sz w:val="21"/>
                <w:szCs w:val="21"/>
              </w:rPr>
            </w:pPr>
            <w:r w:rsidRPr="0066110E">
              <w:rPr>
                <w:rFonts w:cstheme="minorHAnsi"/>
                <w:sz w:val="21"/>
                <w:szCs w:val="21"/>
              </w:rPr>
              <w:t xml:space="preserve">Aboriginal Community Controlled Health Organisations </w:t>
            </w:r>
          </w:p>
        </w:tc>
      </w:tr>
      <w:tr w:rsidR="0066110E" w:rsidRPr="0066110E" w14:paraId="536B1451" w14:textId="77777777" w:rsidTr="00CA0599">
        <w:tc>
          <w:tcPr>
            <w:tcW w:w="1980" w:type="dxa"/>
            <w:hideMark/>
          </w:tcPr>
          <w:p w14:paraId="4F7ACC8F" w14:textId="77777777" w:rsidR="0066110E" w:rsidRPr="0066110E" w:rsidRDefault="0066110E" w:rsidP="007D2181">
            <w:pPr>
              <w:spacing w:before="20" w:after="80"/>
              <w:rPr>
                <w:rFonts w:cstheme="minorHAnsi"/>
                <w:sz w:val="21"/>
                <w:szCs w:val="21"/>
              </w:rPr>
            </w:pPr>
            <w:r w:rsidRPr="0066110E">
              <w:rPr>
                <w:rFonts w:cstheme="minorHAnsi"/>
                <w:sz w:val="21"/>
                <w:szCs w:val="21"/>
              </w:rPr>
              <w:t>ACCHSs</w:t>
            </w:r>
          </w:p>
        </w:tc>
        <w:tc>
          <w:tcPr>
            <w:tcW w:w="6800" w:type="dxa"/>
            <w:hideMark/>
          </w:tcPr>
          <w:p w14:paraId="350672B3" w14:textId="77777777" w:rsidR="0066110E" w:rsidRPr="0066110E" w:rsidRDefault="0066110E" w:rsidP="007D2181">
            <w:pPr>
              <w:spacing w:before="20" w:after="80"/>
              <w:rPr>
                <w:rFonts w:cstheme="minorHAnsi"/>
                <w:sz w:val="21"/>
                <w:szCs w:val="21"/>
                <w:lang w:val="en-US"/>
              </w:rPr>
            </w:pPr>
            <w:r w:rsidRPr="0066110E">
              <w:rPr>
                <w:rFonts w:cstheme="minorHAnsi"/>
                <w:sz w:val="21"/>
                <w:szCs w:val="21"/>
              </w:rPr>
              <w:t xml:space="preserve">Aboriginal Community Controlled Health Services </w:t>
            </w:r>
          </w:p>
        </w:tc>
      </w:tr>
      <w:tr w:rsidR="0066110E" w:rsidRPr="0066110E" w14:paraId="71F9770A" w14:textId="77777777" w:rsidTr="00CA0599">
        <w:tc>
          <w:tcPr>
            <w:tcW w:w="1980" w:type="dxa"/>
          </w:tcPr>
          <w:p w14:paraId="4DF758B8" w14:textId="77777777" w:rsidR="0066110E" w:rsidRPr="0066110E" w:rsidRDefault="0066110E" w:rsidP="002469AC">
            <w:pPr>
              <w:spacing w:before="20" w:after="80"/>
              <w:rPr>
                <w:rFonts w:cstheme="minorHAnsi"/>
                <w:sz w:val="21"/>
                <w:szCs w:val="21"/>
              </w:rPr>
            </w:pPr>
            <w:r w:rsidRPr="0066110E">
              <w:rPr>
                <w:rFonts w:cstheme="minorHAnsi"/>
                <w:sz w:val="21"/>
                <w:szCs w:val="21"/>
              </w:rPr>
              <w:t>AIHW</w:t>
            </w:r>
          </w:p>
        </w:tc>
        <w:tc>
          <w:tcPr>
            <w:tcW w:w="6800" w:type="dxa"/>
          </w:tcPr>
          <w:p w14:paraId="251356E6" w14:textId="77777777" w:rsidR="0066110E" w:rsidRPr="0066110E" w:rsidRDefault="0066110E" w:rsidP="002469AC">
            <w:pPr>
              <w:spacing w:before="20" w:after="80"/>
              <w:rPr>
                <w:rFonts w:cstheme="minorHAnsi"/>
                <w:sz w:val="21"/>
                <w:szCs w:val="21"/>
              </w:rPr>
            </w:pPr>
            <w:r w:rsidRPr="0066110E">
              <w:rPr>
                <w:rFonts w:cstheme="minorHAnsi"/>
                <w:sz w:val="21"/>
                <w:szCs w:val="21"/>
              </w:rPr>
              <w:t>Australian Institute of Health and Welfare</w:t>
            </w:r>
          </w:p>
        </w:tc>
      </w:tr>
      <w:tr w:rsidR="0066110E" w:rsidRPr="0066110E" w14:paraId="4473FE8B" w14:textId="77777777" w:rsidTr="00CA0599">
        <w:tc>
          <w:tcPr>
            <w:tcW w:w="1980" w:type="dxa"/>
            <w:hideMark/>
          </w:tcPr>
          <w:p w14:paraId="0A58B166" w14:textId="77777777" w:rsidR="0066110E" w:rsidRPr="0066110E" w:rsidRDefault="0066110E" w:rsidP="007D2181">
            <w:pPr>
              <w:spacing w:before="20" w:after="80"/>
              <w:rPr>
                <w:rFonts w:cstheme="minorHAnsi"/>
                <w:sz w:val="21"/>
                <w:szCs w:val="21"/>
              </w:rPr>
            </w:pPr>
            <w:r w:rsidRPr="0066110E">
              <w:rPr>
                <w:rFonts w:cstheme="minorHAnsi"/>
                <w:sz w:val="21"/>
                <w:szCs w:val="21"/>
              </w:rPr>
              <w:t>AMSs</w:t>
            </w:r>
          </w:p>
        </w:tc>
        <w:tc>
          <w:tcPr>
            <w:tcW w:w="6800" w:type="dxa"/>
            <w:hideMark/>
          </w:tcPr>
          <w:p w14:paraId="079A45CA" w14:textId="77777777" w:rsidR="0066110E" w:rsidRPr="0066110E" w:rsidRDefault="0066110E" w:rsidP="007D2181">
            <w:pPr>
              <w:spacing w:before="20" w:after="80"/>
              <w:rPr>
                <w:rFonts w:cstheme="minorHAnsi"/>
                <w:sz w:val="21"/>
                <w:szCs w:val="21"/>
              </w:rPr>
            </w:pPr>
            <w:r w:rsidRPr="0066110E">
              <w:rPr>
                <w:rFonts w:cstheme="minorHAnsi"/>
                <w:sz w:val="21"/>
                <w:szCs w:val="21"/>
              </w:rPr>
              <w:t xml:space="preserve">Aboriginal Medical Services </w:t>
            </w:r>
          </w:p>
        </w:tc>
      </w:tr>
      <w:tr w:rsidR="0066110E" w:rsidRPr="0066110E" w14:paraId="5275FE47" w14:textId="77777777" w:rsidTr="00CA0599">
        <w:tc>
          <w:tcPr>
            <w:tcW w:w="1980" w:type="dxa"/>
            <w:hideMark/>
          </w:tcPr>
          <w:p w14:paraId="30F90220" w14:textId="77777777" w:rsidR="0066110E" w:rsidRPr="0066110E" w:rsidRDefault="0066110E" w:rsidP="007D2181">
            <w:pPr>
              <w:spacing w:before="20" w:after="80"/>
              <w:rPr>
                <w:rFonts w:cstheme="minorHAnsi"/>
                <w:sz w:val="21"/>
                <w:szCs w:val="21"/>
              </w:rPr>
            </w:pPr>
            <w:r w:rsidRPr="0066110E">
              <w:rPr>
                <w:rFonts w:cstheme="minorHAnsi"/>
                <w:sz w:val="21"/>
                <w:szCs w:val="21"/>
              </w:rPr>
              <w:t>ANOVA</w:t>
            </w:r>
          </w:p>
        </w:tc>
        <w:tc>
          <w:tcPr>
            <w:tcW w:w="6800" w:type="dxa"/>
            <w:hideMark/>
          </w:tcPr>
          <w:p w14:paraId="5BD3411E" w14:textId="77777777" w:rsidR="0066110E" w:rsidRPr="0066110E" w:rsidRDefault="0066110E" w:rsidP="007D2181">
            <w:pPr>
              <w:spacing w:before="20" w:after="80"/>
              <w:rPr>
                <w:rFonts w:cstheme="minorHAnsi"/>
                <w:sz w:val="21"/>
                <w:szCs w:val="21"/>
              </w:rPr>
            </w:pPr>
            <w:r w:rsidRPr="0066110E">
              <w:rPr>
                <w:rFonts w:cstheme="minorHAnsi"/>
                <w:sz w:val="21"/>
                <w:szCs w:val="21"/>
              </w:rPr>
              <w:t xml:space="preserve">Analysis of Variation </w:t>
            </w:r>
          </w:p>
        </w:tc>
      </w:tr>
      <w:tr w:rsidR="0066110E" w:rsidRPr="0066110E" w14:paraId="79396767" w14:textId="77777777" w:rsidTr="00CA0599">
        <w:tc>
          <w:tcPr>
            <w:tcW w:w="1980" w:type="dxa"/>
          </w:tcPr>
          <w:p w14:paraId="13A8D698" w14:textId="77777777" w:rsidR="0066110E" w:rsidRPr="0066110E" w:rsidRDefault="0066110E" w:rsidP="002469AC">
            <w:pPr>
              <w:spacing w:before="20" w:after="80"/>
              <w:rPr>
                <w:rFonts w:cstheme="minorHAnsi"/>
                <w:sz w:val="21"/>
                <w:szCs w:val="21"/>
              </w:rPr>
            </w:pPr>
            <w:r w:rsidRPr="0066110E">
              <w:rPr>
                <w:rFonts w:cstheme="minorHAnsi"/>
                <w:sz w:val="21"/>
                <w:szCs w:val="21"/>
              </w:rPr>
              <w:t>ASGC</w:t>
            </w:r>
          </w:p>
        </w:tc>
        <w:tc>
          <w:tcPr>
            <w:tcW w:w="6800" w:type="dxa"/>
          </w:tcPr>
          <w:p w14:paraId="4F3D2ECE" w14:textId="77777777" w:rsidR="0066110E" w:rsidRPr="0066110E" w:rsidRDefault="0066110E" w:rsidP="002469AC">
            <w:pPr>
              <w:spacing w:before="20" w:after="80"/>
              <w:rPr>
                <w:rFonts w:cstheme="minorHAnsi"/>
                <w:sz w:val="21"/>
                <w:szCs w:val="21"/>
              </w:rPr>
            </w:pPr>
            <w:r w:rsidRPr="0066110E">
              <w:rPr>
                <w:rFonts w:cstheme="minorHAnsi"/>
                <w:sz w:val="21"/>
                <w:szCs w:val="21"/>
              </w:rPr>
              <w:t>Australian Standard Geographical Classification</w:t>
            </w:r>
          </w:p>
        </w:tc>
      </w:tr>
      <w:tr w:rsidR="0066110E" w:rsidRPr="0066110E" w14:paraId="2773092F" w14:textId="77777777" w:rsidTr="00CA0599">
        <w:tc>
          <w:tcPr>
            <w:tcW w:w="1980" w:type="dxa"/>
          </w:tcPr>
          <w:p w14:paraId="2A40E111" w14:textId="77777777" w:rsidR="0066110E" w:rsidRPr="0066110E" w:rsidRDefault="0066110E" w:rsidP="002469AC">
            <w:pPr>
              <w:spacing w:before="20" w:after="80"/>
              <w:rPr>
                <w:rFonts w:cstheme="minorHAnsi"/>
                <w:sz w:val="21"/>
                <w:szCs w:val="21"/>
              </w:rPr>
            </w:pPr>
            <w:r w:rsidRPr="0066110E">
              <w:rPr>
                <w:rFonts w:cstheme="minorHAnsi"/>
                <w:sz w:val="21"/>
                <w:szCs w:val="21"/>
              </w:rPr>
              <w:t>CINSW</w:t>
            </w:r>
          </w:p>
        </w:tc>
        <w:tc>
          <w:tcPr>
            <w:tcW w:w="6800" w:type="dxa"/>
          </w:tcPr>
          <w:p w14:paraId="16070C64" w14:textId="77777777" w:rsidR="0066110E" w:rsidRPr="0066110E" w:rsidRDefault="0066110E" w:rsidP="002469AC">
            <w:pPr>
              <w:spacing w:before="20" w:after="80"/>
              <w:rPr>
                <w:rFonts w:cstheme="minorHAnsi"/>
                <w:sz w:val="21"/>
                <w:szCs w:val="21"/>
              </w:rPr>
            </w:pPr>
            <w:r w:rsidRPr="0066110E">
              <w:rPr>
                <w:rFonts w:cstheme="minorHAnsi"/>
                <w:sz w:val="21"/>
                <w:szCs w:val="21"/>
              </w:rPr>
              <w:t>Cancer Institute New South Wales</w:t>
            </w:r>
          </w:p>
        </w:tc>
      </w:tr>
      <w:tr w:rsidR="0066110E" w:rsidRPr="0066110E" w14:paraId="6C006F87" w14:textId="77777777" w:rsidTr="00CA0599">
        <w:tc>
          <w:tcPr>
            <w:tcW w:w="1980" w:type="dxa"/>
            <w:hideMark/>
          </w:tcPr>
          <w:p w14:paraId="0334140A" w14:textId="77777777" w:rsidR="0066110E" w:rsidRPr="0066110E" w:rsidRDefault="0066110E" w:rsidP="007D2181">
            <w:pPr>
              <w:spacing w:before="20" w:after="80"/>
              <w:rPr>
                <w:rFonts w:cstheme="minorHAnsi"/>
                <w:sz w:val="21"/>
                <w:szCs w:val="21"/>
              </w:rPr>
            </w:pPr>
            <w:r w:rsidRPr="0066110E">
              <w:rPr>
                <w:rFonts w:cstheme="minorHAnsi"/>
                <w:sz w:val="21"/>
                <w:szCs w:val="21"/>
              </w:rPr>
              <w:t>CIS</w:t>
            </w:r>
          </w:p>
        </w:tc>
        <w:tc>
          <w:tcPr>
            <w:tcW w:w="6800" w:type="dxa"/>
            <w:hideMark/>
          </w:tcPr>
          <w:p w14:paraId="7FF16D70" w14:textId="77777777" w:rsidR="0066110E" w:rsidRPr="0066110E" w:rsidRDefault="0066110E" w:rsidP="007D2181">
            <w:pPr>
              <w:spacing w:before="20" w:after="80"/>
              <w:rPr>
                <w:rFonts w:cstheme="minorHAnsi"/>
                <w:sz w:val="21"/>
                <w:szCs w:val="21"/>
              </w:rPr>
            </w:pPr>
            <w:r w:rsidRPr="0066110E">
              <w:rPr>
                <w:rFonts w:cstheme="minorHAnsi"/>
                <w:sz w:val="21"/>
                <w:szCs w:val="21"/>
              </w:rPr>
              <w:t>Clinical information system</w:t>
            </w:r>
          </w:p>
        </w:tc>
      </w:tr>
      <w:tr w:rsidR="0066110E" w:rsidRPr="0066110E" w14:paraId="344A2643" w14:textId="77777777" w:rsidTr="00CA0599">
        <w:tc>
          <w:tcPr>
            <w:tcW w:w="1980" w:type="dxa"/>
          </w:tcPr>
          <w:p w14:paraId="67C378F7" w14:textId="77777777" w:rsidR="0066110E" w:rsidRPr="0066110E" w:rsidRDefault="0066110E" w:rsidP="002469AC">
            <w:pPr>
              <w:spacing w:before="20" w:after="80"/>
              <w:rPr>
                <w:rFonts w:cstheme="minorHAnsi"/>
                <w:sz w:val="21"/>
                <w:szCs w:val="21"/>
              </w:rPr>
            </w:pPr>
            <w:r w:rsidRPr="0066110E">
              <w:rPr>
                <w:rFonts w:cstheme="minorHAnsi"/>
                <w:sz w:val="21"/>
                <w:szCs w:val="21"/>
              </w:rPr>
              <w:t>Department of Health</w:t>
            </w:r>
          </w:p>
        </w:tc>
        <w:tc>
          <w:tcPr>
            <w:tcW w:w="6800" w:type="dxa"/>
          </w:tcPr>
          <w:p w14:paraId="51047D5C" w14:textId="77777777" w:rsidR="0066110E" w:rsidRPr="0066110E" w:rsidRDefault="0066110E" w:rsidP="002469AC">
            <w:pPr>
              <w:spacing w:before="20" w:after="80"/>
              <w:rPr>
                <w:rFonts w:cstheme="minorHAnsi"/>
                <w:sz w:val="21"/>
                <w:szCs w:val="21"/>
              </w:rPr>
            </w:pPr>
            <w:r w:rsidRPr="0066110E">
              <w:rPr>
                <w:rFonts w:cstheme="minorHAnsi"/>
                <w:spacing w:val="-3"/>
                <w:sz w:val="21"/>
                <w:szCs w:val="21"/>
                <w:lang w:val="en-US"/>
              </w:rPr>
              <w:t>Australian Government Department of Health</w:t>
            </w:r>
          </w:p>
        </w:tc>
      </w:tr>
      <w:tr w:rsidR="0066110E" w:rsidRPr="0066110E" w14:paraId="6CDD8744" w14:textId="77777777" w:rsidTr="00CA0599">
        <w:tc>
          <w:tcPr>
            <w:tcW w:w="1980" w:type="dxa"/>
          </w:tcPr>
          <w:p w14:paraId="1BAAAB23" w14:textId="77777777" w:rsidR="0066110E" w:rsidRPr="0066110E" w:rsidRDefault="0066110E" w:rsidP="002469AC">
            <w:pPr>
              <w:spacing w:before="20" w:after="80"/>
              <w:rPr>
                <w:rFonts w:cstheme="minorHAnsi"/>
                <w:sz w:val="21"/>
                <w:szCs w:val="21"/>
              </w:rPr>
            </w:pPr>
            <w:r w:rsidRPr="0066110E">
              <w:rPr>
                <w:rFonts w:cstheme="minorHAnsi"/>
                <w:sz w:val="21"/>
                <w:szCs w:val="21"/>
              </w:rPr>
              <w:t>DHS</w:t>
            </w:r>
          </w:p>
        </w:tc>
        <w:tc>
          <w:tcPr>
            <w:tcW w:w="6800" w:type="dxa"/>
          </w:tcPr>
          <w:p w14:paraId="7D742C89" w14:textId="77777777" w:rsidR="0066110E" w:rsidRPr="0066110E" w:rsidRDefault="0066110E" w:rsidP="002469AC">
            <w:pPr>
              <w:spacing w:before="20" w:after="80"/>
              <w:rPr>
                <w:rFonts w:cstheme="minorHAnsi"/>
                <w:sz w:val="21"/>
                <w:szCs w:val="21"/>
              </w:rPr>
            </w:pPr>
            <w:r w:rsidRPr="0066110E">
              <w:rPr>
                <w:rFonts w:cstheme="minorHAnsi"/>
                <w:sz w:val="21"/>
                <w:szCs w:val="21"/>
              </w:rPr>
              <w:t>Department of Human Services (now Services Australia)</w:t>
            </w:r>
          </w:p>
        </w:tc>
      </w:tr>
      <w:tr w:rsidR="0066110E" w:rsidRPr="0066110E" w14:paraId="773D6A25" w14:textId="77777777" w:rsidTr="00CA0599">
        <w:tc>
          <w:tcPr>
            <w:tcW w:w="1980" w:type="dxa"/>
            <w:hideMark/>
          </w:tcPr>
          <w:p w14:paraId="099B3384" w14:textId="77777777" w:rsidR="0066110E" w:rsidRPr="0066110E" w:rsidRDefault="0066110E" w:rsidP="007D2181">
            <w:pPr>
              <w:spacing w:before="20" w:after="80"/>
              <w:rPr>
                <w:rFonts w:cstheme="minorHAnsi"/>
                <w:sz w:val="21"/>
                <w:szCs w:val="21"/>
              </w:rPr>
            </w:pPr>
            <w:r w:rsidRPr="0066110E">
              <w:rPr>
                <w:rFonts w:cstheme="minorHAnsi"/>
                <w:sz w:val="21"/>
                <w:szCs w:val="21"/>
              </w:rPr>
              <w:t>GP</w:t>
            </w:r>
          </w:p>
        </w:tc>
        <w:tc>
          <w:tcPr>
            <w:tcW w:w="6800" w:type="dxa"/>
            <w:hideMark/>
          </w:tcPr>
          <w:p w14:paraId="22141384" w14:textId="77777777" w:rsidR="0066110E" w:rsidRPr="0066110E" w:rsidRDefault="0066110E" w:rsidP="007D2181">
            <w:pPr>
              <w:spacing w:before="20" w:after="80"/>
              <w:rPr>
                <w:rFonts w:cstheme="minorHAnsi"/>
                <w:sz w:val="21"/>
                <w:szCs w:val="21"/>
                <w:lang w:val="en-US"/>
              </w:rPr>
            </w:pPr>
            <w:r w:rsidRPr="0066110E">
              <w:rPr>
                <w:rFonts w:cstheme="minorHAnsi"/>
                <w:sz w:val="21"/>
                <w:szCs w:val="21"/>
                <w:lang w:val="en-US"/>
              </w:rPr>
              <w:t>General Practitioner</w:t>
            </w:r>
          </w:p>
        </w:tc>
      </w:tr>
      <w:tr w:rsidR="0066110E" w:rsidRPr="0066110E" w14:paraId="3BA73C81" w14:textId="77777777" w:rsidTr="00CA0599">
        <w:tc>
          <w:tcPr>
            <w:tcW w:w="1980" w:type="dxa"/>
          </w:tcPr>
          <w:p w14:paraId="0A1DFA51" w14:textId="77777777" w:rsidR="0066110E" w:rsidRPr="0066110E" w:rsidRDefault="0066110E" w:rsidP="002469AC">
            <w:pPr>
              <w:spacing w:before="20" w:after="80"/>
              <w:rPr>
                <w:rFonts w:cstheme="minorHAnsi"/>
                <w:sz w:val="21"/>
                <w:szCs w:val="21"/>
              </w:rPr>
            </w:pPr>
            <w:r w:rsidRPr="0066110E">
              <w:rPr>
                <w:rFonts w:cstheme="minorHAnsi"/>
                <w:sz w:val="21"/>
                <w:szCs w:val="21"/>
              </w:rPr>
              <w:t>HREC</w:t>
            </w:r>
          </w:p>
        </w:tc>
        <w:tc>
          <w:tcPr>
            <w:tcW w:w="6800" w:type="dxa"/>
          </w:tcPr>
          <w:p w14:paraId="3B18A60E" w14:textId="77777777" w:rsidR="0066110E" w:rsidRPr="0066110E" w:rsidRDefault="0066110E" w:rsidP="002469AC">
            <w:pPr>
              <w:spacing w:before="20" w:after="80"/>
              <w:rPr>
                <w:rFonts w:cstheme="minorHAnsi"/>
                <w:sz w:val="21"/>
                <w:szCs w:val="21"/>
              </w:rPr>
            </w:pPr>
            <w:r w:rsidRPr="0066110E">
              <w:rPr>
                <w:rFonts w:eastAsia="Calibri" w:cstheme="minorHAnsi"/>
                <w:sz w:val="21"/>
                <w:szCs w:val="21"/>
                <w:lang w:val="en-US"/>
              </w:rPr>
              <w:t>Human Research Ethics Committee</w:t>
            </w:r>
          </w:p>
        </w:tc>
      </w:tr>
      <w:tr w:rsidR="0066110E" w:rsidRPr="0066110E" w14:paraId="07EB2C45" w14:textId="77777777" w:rsidTr="00CA0599">
        <w:tc>
          <w:tcPr>
            <w:tcW w:w="1980" w:type="dxa"/>
            <w:hideMark/>
          </w:tcPr>
          <w:p w14:paraId="19C8FD67" w14:textId="77777777" w:rsidR="0066110E" w:rsidRPr="0066110E" w:rsidRDefault="0066110E" w:rsidP="007D2181">
            <w:pPr>
              <w:spacing w:before="20" w:after="80"/>
              <w:rPr>
                <w:rFonts w:cstheme="minorHAnsi"/>
                <w:sz w:val="21"/>
                <w:szCs w:val="21"/>
              </w:rPr>
            </w:pPr>
            <w:proofErr w:type="spellStart"/>
            <w:r w:rsidRPr="0066110E">
              <w:rPr>
                <w:rFonts w:cstheme="minorHAnsi"/>
                <w:sz w:val="21"/>
                <w:szCs w:val="21"/>
              </w:rPr>
              <w:t>iFOBT</w:t>
            </w:r>
            <w:proofErr w:type="spellEnd"/>
          </w:p>
        </w:tc>
        <w:tc>
          <w:tcPr>
            <w:tcW w:w="6800" w:type="dxa"/>
            <w:hideMark/>
          </w:tcPr>
          <w:p w14:paraId="4EAE1868" w14:textId="77777777" w:rsidR="0066110E" w:rsidRPr="0066110E" w:rsidRDefault="0066110E" w:rsidP="007D2181">
            <w:pPr>
              <w:spacing w:before="20" w:after="80"/>
              <w:rPr>
                <w:rFonts w:eastAsia="Calibri" w:cstheme="minorHAnsi"/>
                <w:sz w:val="21"/>
                <w:szCs w:val="21"/>
                <w:lang w:val="en-US"/>
              </w:rPr>
            </w:pPr>
            <w:r w:rsidRPr="0066110E">
              <w:rPr>
                <w:rFonts w:eastAsia="Calibri" w:cstheme="minorHAnsi"/>
                <w:sz w:val="21"/>
                <w:szCs w:val="21"/>
                <w:lang w:val="en-US"/>
              </w:rPr>
              <w:t xml:space="preserve">Immunochemical </w:t>
            </w:r>
            <w:proofErr w:type="spellStart"/>
            <w:r w:rsidRPr="0066110E">
              <w:rPr>
                <w:rFonts w:eastAsia="Calibri" w:cstheme="minorHAnsi"/>
                <w:sz w:val="21"/>
                <w:szCs w:val="21"/>
                <w:lang w:val="en-US"/>
              </w:rPr>
              <w:t>faecal</w:t>
            </w:r>
            <w:proofErr w:type="spellEnd"/>
            <w:r w:rsidRPr="0066110E">
              <w:rPr>
                <w:rFonts w:eastAsia="Calibri" w:cstheme="minorHAnsi"/>
                <w:sz w:val="21"/>
                <w:szCs w:val="21"/>
                <w:lang w:val="en-US"/>
              </w:rPr>
              <w:t xml:space="preserve"> occult blood test</w:t>
            </w:r>
          </w:p>
        </w:tc>
      </w:tr>
      <w:tr w:rsidR="0066110E" w:rsidRPr="0066110E" w14:paraId="1D41A648" w14:textId="77777777" w:rsidTr="00CA0599">
        <w:tc>
          <w:tcPr>
            <w:tcW w:w="1980" w:type="dxa"/>
            <w:hideMark/>
          </w:tcPr>
          <w:p w14:paraId="640E086A" w14:textId="77777777" w:rsidR="0066110E" w:rsidRPr="0066110E" w:rsidRDefault="0066110E" w:rsidP="007D2181">
            <w:pPr>
              <w:spacing w:before="20" w:after="80"/>
              <w:rPr>
                <w:rFonts w:cstheme="minorHAnsi"/>
                <w:sz w:val="21"/>
                <w:szCs w:val="21"/>
              </w:rPr>
            </w:pPr>
            <w:r w:rsidRPr="0066110E">
              <w:rPr>
                <w:rFonts w:cstheme="minorHAnsi"/>
                <w:sz w:val="21"/>
                <w:szCs w:val="21"/>
              </w:rPr>
              <w:t>IHW</w:t>
            </w:r>
          </w:p>
        </w:tc>
        <w:tc>
          <w:tcPr>
            <w:tcW w:w="6800" w:type="dxa"/>
            <w:hideMark/>
          </w:tcPr>
          <w:p w14:paraId="0965B0F0" w14:textId="77777777" w:rsidR="0066110E" w:rsidRPr="0066110E" w:rsidRDefault="0066110E" w:rsidP="007D2181">
            <w:pPr>
              <w:spacing w:before="20" w:after="80"/>
              <w:rPr>
                <w:rFonts w:cstheme="minorHAnsi"/>
                <w:sz w:val="21"/>
                <w:szCs w:val="21"/>
                <w:lang w:val="en-US"/>
              </w:rPr>
            </w:pPr>
            <w:r w:rsidRPr="0066110E">
              <w:rPr>
                <w:rFonts w:cstheme="minorHAnsi"/>
                <w:sz w:val="21"/>
                <w:szCs w:val="21"/>
                <w:lang w:val="en-US"/>
              </w:rPr>
              <w:t>Indigenous Health Worker</w:t>
            </w:r>
          </w:p>
        </w:tc>
      </w:tr>
      <w:tr w:rsidR="0066110E" w:rsidRPr="0066110E" w14:paraId="1A9CA05A" w14:textId="77777777" w:rsidTr="00CA0599">
        <w:tc>
          <w:tcPr>
            <w:tcW w:w="1980" w:type="dxa"/>
          </w:tcPr>
          <w:p w14:paraId="7A94C962" w14:textId="77777777" w:rsidR="0066110E" w:rsidRPr="0066110E" w:rsidRDefault="0066110E" w:rsidP="007D2181">
            <w:pPr>
              <w:spacing w:before="20" w:after="80"/>
              <w:rPr>
                <w:rFonts w:cstheme="minorHAnsi"/>
                <w:sz w:val="21"/>
                <w:szCs w:val="21"/>
              </w:rPr>
            </w:pPr>
            <w:r w:rsidRPr="0066110E">
              <w:rPr>
                <w:rFonts w:cstheme="minorHAnsi"/>
                <w:sz w:val="21"/>
                <w:szCs w:val="21"/>
              </w:rPr>
              <w:t>IPHCC</w:t>
            </w:r>
          </w:p>
        </w:tc>
        <w:tc>
          <w:tcPr>
            <w:tcW w:w="6800" w:type="dxa"/>
          </w:tcPr>
          <w:p w14:paraId="38FE9B67" w14:textId="77777777" w:rsidR="0066110E" w:rsidRPr="0066110E" w:rsidRDefault="0066110E" w:rsidP="007D2181">
            <w:pPr>
              <w:spacing w:before="20" w:after="80"/>
              <w:rPr>
                <w:rFonts w:cstheme="minorHAnsi"/>
                <w:sz w:val="21"/>
                <w:szCs w:val="21"/>
                <w:lang w:val="en-US"/>
              </w:rPr>
            </w:pPr>
            <w:r w:rsidRPr="0066110E">
              <w:rPr>
                <w:rFonts w:cstheme="minorHAnsi"/>
                <w:sz w:val="21"/>
                <w:szCs w:val="21"/>
                <w:lang w:val="en-US"/>
              </w:rPr>
              <w:t>Indigenous Primary Health Care Centre</w:t>
            </w:r>
          </w:p>
        </w:tc>
      </w:tr>
      <w:tr w:rsidR="0066110E" w:rsidRPr="0066110E" w14:paraId="2CC79ACA" w14:textId="77777777" w:rsidTr="00CA0599">
        <w:tc>
          <w:tcPr>
            <w:tcW w:w="1980" w:type="dxa"/>
            <w:hideMark/>
          </w:tcPr>
          <w:p w14:paraId="05C05FAF" w14:textId="77777777" w:rsidR="0066110E" w:rsidRPr="0066110E" w:rsidRDefault="0066110E" w:rsidP="007D2181">
            <w:pPr>
              <w:spacing w:before="20" w:after="80"/>
              <w:rPr>
                <w:rFonts w:cstheme="minorHAnsi"/>
                <w:sz w:val="21"/>
                <w:szCs w:val="21"/>
              </w:rPr>
            </w:pPr>
            <w:r w:rsidRPr="0066110E">
              <w:rPr>
                <w:rFonts w:cstheme="minorHAnsi"/>
                <w:sz w:val="21"/>
                <w:szCs w:val="21"/>
              </w:rPr>
              <w:t>NACCHO</w:t>
            </w:r>
          </w:p>
        </w:tc>
        <w:tc>
          <w:tcPr>
            <w:tcW w:w="6800" w:type="dxa"/>
            <w:hideMark/>
          </w:tcPr>
          <w:p w14:paraId="40237EE3" w14:textId="77777777" w:rsidR="0066110E" w:rsidRPr="0066110E" w:rsidRDefault="0066110E" w:rsidP="007D2181">
            <w:pPr>
              <w:spacing w:before="20" w:after="80"/>
              <w:rPr>
                <w:rFonts w:cstheme="minorHAnsi"/>
                <w:sz w:val="21"/>
                <w:szCs w:val="21"/>
              </w:rPr>
            </w:pPr>
            <w:r w:rsidRPr="0066110E">
              <w:rPr>
                <w:rFonts w:cstheme="minorHAnsi"/>
                <w:sz w:val="21"/>
                <w:szCs w:val="21"/>
              </w:rPr>
              <w:t xml:space="preserve">National Aboriginal Community Controlled Health Organisation </w:t>
            </w:r>
          </w:p>
        </w:tc>
      </w:tr>
      <w:tr w:rsidR="0066110E" w:rsidRPr="0066110E" w14:paraId="1FDE9760" w14:textId="77777777" w:rsidTr="00CA0599">
        <w:tc>
          <w:tcPr>
            <w:tcW w:w="1980" w:type="dxa"/>
            <w:hideMark/>
          </w:tcPr>
          <w:p w14:paraId="008A0670" w14:textId="77777777" w:rsidR="0066110E" w:rsidRPr="0066110E" w:rsidRDefault="0066110E" w:rsidP="007D2181">
            <w:pPr>
              <w:spacing w:before="20" w:after="80"/>
              <w:rPr>
                <w:rFonts w:cstheme="minorHAnsi"/>
                <w:sz w:val="21"/>
                <w:szCs w:val="21"/>
              </w:rPr>
            </w:pPr>
            <w:r w:rsidRPr="0066110E">
              <w:rPr>
                <w:rFonts w:cstheme="minorHAnsi"/>
                <w:sz w:val="21"/>
                <w:szCs w:val="21"/>
              </w:rPr>
              <w:t>NBCSP</w:t>
            </w:r>
          </w:p>
        </w:tc>
        <w:tc>
          <w:tcPr>
            <w:tcW w:w="6800" w:type="dxa"/>
            <w:hideMark/>
          </w:tcPr>
          <w:p w14:paraId="4A259C00" w14:textId="77777777" w:rsidR="0066110E" w:rsidRPr="0066110E" w:rsidRDefault="0066110E" w:rsidP="007D2181">
            <w:pPr>
              <w:spacing w:before="20" w:after="80"/>
              <w:rPr>
                <w:rFonts w:cstheme="minorHAnsi"/>
                <w:sz w:val="21"/>
                <w:szCs w:val="21"/>
                <w:lang w:val="en-US"/>
              </w:rPr>
            </w:pPr>
            <w:r w:rsidRPr="0066110E">
              <w:rPr>
                <w:rFonts w:cstheme="minorHAnsi"/>
                <w:sz w:val="21"/>
                <w:szCs w:val="21"/>
                <w:lang w:val="en-US"/>
              </w:rPr>
              <w:t>National Bowel Cancer Screening Program</w:t>
            </w:r>
          </w:p>
        </w:tc>
      </w:tr>
      <w:tr w:rsidR="0066110E" w:rsidRPr="0066110E" w14:paraId="1E216985" w14:textId="77777777" w:rsidTr="00CA0599">
        <w:tc>
          <w:tcPr>
            <w:tcW w:w="1980" w:type="dxa"/>
          </w:tcPr>
          <w:p w14:paraId="396207FB" w14:textId="77777777" w:rsidR="0066110E" w:rsidRPr="0066110E" w:rsidRDefault="0066110E" w:rsidP="007D2181">
            <w:pPr>
              <w:spacing w:before="20" w:after="80"/>
              <w:rPr>
                <w:rFonts w:cstheme="minorHAnsi"/>
                <w:sz w:val="21"/>
                <w:szCs w:val="21"/>
              </w:rPr>
            </w:pPr>
            <w:r w:rsidRPr="0066110E">
              <w:rPr>
                <w:rFonts w:cstheme="minorHAnsi"/>
                <w:sz w:val="21"/>
                <w:szCs w:val="21"/>
              </w:rPr>
              <w:t>NBCSR</w:t>
            </w:r>
          </w:p>
        </w:tc>
        <w:tc>
          <w:tcPr>
            <w:tcW w:w="6800" w:type="dxa"/>
          </w:tcPr>
          <w:p w14:paraId="00D8F451" w14:textId="77777777" w:rsidR="0066110E" w:rsidRPr="0066110E" w:rsidRDefault="0066110E" w:rsidP="007D2181">
            <w:pPr>
              <w:spacing w:before="20" w:after="80"/>
              <w:rPr>
                <w:rFonts w:cstheme="minorHAnsi"/>
                <w:sz w:val="21"/>
                <w:szCs w:val="21"/>
                <w:lang w:val="en-US"/>
              </w:rPr>
            </w:pPr>
            <w:r w:rsidRPr="0066110E">
              <w:rPr>
                <w:rFonts w:cstheme="minorHAnsi"/>
                <w:sz w:val="21"/>
                <w:szCs w:val="21"/>
                <w:lang w:val="en-US"/>
              </w:rPr>
              <w:t>National Bowel Cancer Screening Register</w:t>
            </w:r>
          </w:p>
        </w:tc>
      </w:tr>
      <w:tr w:rsidR="0066110E" w:rsidRPr="0066110E" w14:paraId="39CEA739" w14:textId="77777777" w:rsidTr="00CA0599">
        <w:tc>
          <w:tcPr>
            <w:tcW w:w="1980" w:type="dxa"/>
            <w:hideMark/>
          </w:tcPr>
          <w:p w14:paraId="02D9DF99" w14:textId="77777777" w:rsidR="0066110E" w:rsidRPr="0066110E" w:rsidRDefault="0066110E" w:rsidP="007D2181">
            <w:pPr>
              <w:spacing w:before="20" w:after="80"/>
              <w:rPr>
                <w:rFonts w:cstheme="minorHAnsi"/>
                <w:sz w:val="21"/>
                <w:szCs w:val="21"/>
              </w:rPr>
            </w:pPr>
            <w:r w:rsidRPr="0066110E">
              <w:rPr>
                <w:rFonts w:cstheme="minorHAnsi"/>
                <w:sz w:val="21"/>
                <w:szCs w:val="21"/>
              </w:rPr>
              <w:t>NCSR</w:t>
            </w:r>
          </w:p>
        </w:tc>
        <w:tc>
          <w:tcPr>
            <w:tcW w:w="6800" w:type="dxa"/>
            <w:hideMark/>
          </w:tcPr>
          <w:p w14:paraId="7B63AC1C" w14:textId="77777777" w:rsidR="0066110E" w:rsidRPr="0066110E" w:rsidRDefault="0066110E" w:rsidP="007D2181">
            <w:pPr>
              <w:spacing w:before="20" w:after="80"/>
              <w:rPr>
                <w:rFonts w:cstheme="minorHAnsi"/>
                <w:sz w:val="21"/>
                <w:szCs w:val="21"/>
              </w:rPr>
            </w:pPr>
            <w:r w:rsidRPr="0066110E">
              <w:rPr>
                <w:rFonts w:cstheme="minorHAnsi"/>
                <w:sz w:val="21"/>
                <w:szCs w:val="21"/>
              </w:rPr>
              <w:t>National Cancer Screening Register</w:t>
            </w:r>
          </w:p>
        </w:tc>
      </w:tr>
      <w:tr w:rsidR="0066110E" w:rsidRPr="0066110E" w14:paraId="11745362" w14:textId="77777777" w:rsidTr="00CA0599">
        <w:tc>
          <w:tcPr>
            <w:tcW w:w="1980" w:type="dxa"/>
          </w:tcPr>
          <w:p w14:paraId="47F1FE03" w14:textId="77777777" w:rsidR="0066110E" w:rsidRPr="0066110E" w:rsidRDefault="0066110E" w:rsidP="007D2181">
            <w:pPr>
              <w:spacing w:before="20" w:after="80"/>
              <w:rPr>
                <w:rFonts w:cstheme="minorHAnsi"/>
                <w:sz w:val="21"/>
                <w:szCs w:val="21"/>
              </w:rPr>
            </w:pPr>
            <w:r w:rsidRPr="0066110E">
              <w:rPr>
                <w:rFonts w:cstheme="minorHAnsi"/>
                <w:sz w:val="21"/>
                <w:szCs w:val="21"/>
              </w:rPr>
              <w:t>OSR</w:t>
            </w:r>
          </w:p>
        </w:tc>
        <w:tc>
          <w:tcPr>
            <w:tcW w:w="6800" w:type="dxa"/>
          </w:tcPr>
          <w:p w14:paraId="29AA9DCC" w14:textId="77777777" w:rsidR="0066110E" w:rsidRPr="0066110E" w:rsidRDefault="0066110E" w:rsidP="007D2181">
            <w:pPr>
              <w:spacing w:before="20" w:after="80"/>
              <w:rPr>
                <w:rFonts w:cstheme="minorHAnsi"/>
                <w:sz w:val="21"/>
                <w:szCs w:val="21"/>
              </w:rPr>
            </w:pPr>
            <w:r w:rsidRPr="0066110E">
              <w:rPr>
                <w:rFonts w:cstheme="minorHAnsi"/>
                <w:sz w:val="21"/>
                <w:szCs w:val="21"/>
              </w:rPr>
              <w:t>Online Services Report</w:t>
            </w:r>
          </w:p>
        </w:tc>
      </w:tr>
      <w:tr w:rsidR="0066110E" w:rsidRPr="0066110E" w14:paraId="2B8E0182" w14:textId="77777777" w:rsidTr="00CA0599">
        <w:tc>
          <w:tcPr>
            <w:tcW w:w="1980" w:type="dxa"/>
            <w:hideMark/>
          </w:tcPr>
          <w:p w14:paraId="36AF99E3" w14:textId="77777777" w:rsidR="0066110E" w:rsidRPr="0066110E" w:rsidRDefault="0066110E" w:rsidP="007D2181">
            <w:pPr>
              <w:spacing w:before="20" w:after="80"/>
              <w:rPr>
                <w:rFonts w:cstheme="minorHAnsi"/>
                <w:sz w:val="21"/>
                <w:szCs w:val="21"/>
              </w:rPr>
            </w:pPr>
            <w:r w:rsidRPr="0066110E">
              <w:rPr>
                <w:rFonts w:cstheme="minorHAnsi"/>
                <w:sz w:val="21"/>
                <w:szCs w:val="21"/>
              </w:rPr>
              <w:t>PFUF</w:t>
            </w:r>
          </w:p>
        </w:tc>
        <w:tc>
          <w:tcPr>
            <w:tcW w:w="6800" w:type="dxa"/>
            <w:hideMark/>
          </w:tcPr>
          <w:p w14:paraId="09AF77A7" w14:textId="77777777" w:rsidR="0066110E" w:rsidRPr="0066110E" w:rsidRDefault="0066110E" w:rsidP="007D2181">
            <w:pPr>
              <w:spacing w:before="20" w:after="80"/>
              <w:rPr>
                <w:rFonts w:cstheme="minorHAnsi"/>
                <w:sz w:val="21"/>
                <w:szCs w:val="21"/>
                <w:lang w:val="en-US"/>
              </w:rPr>
            </w:pPr>
            <w:r w:rsidRPr="0066110E">
              <w:rPr>
                <w:rFonts w:cstheme="minorHAnsi"/>
                <w:sz w:val="21"/>
                <w:szCs w:val="21"/>
              </w:rPr>
              <w:t>Participant Follow Up Function</w:t>
            </w:r>
          </w:p>
        </w:tc>
      </w:tr>
      <w:tr w:rsidR="0066110E" w:rsidRPr="0066110E" w14:paraId="01269EC9" w14:textId="77777777" w:rsidTr="00CA0599">
        <w:tc>
          <w:tcPr>
            <w:tcW w:w="1980" w:type="dxa"/>
            <w:hideMark/>
          </w:tcPr>
          <w:p w14:paraId="01DCA8C7" w14:textId="77777777" w:rsidR="0066110E" w:rsidRPr="0066110E" w:rsidRDefault="0066110E" w:rsidP="007D2181">
            <w:pPr>
              <w:spacing w:before="20" w:after="80"/>
              <w:rPr>
                <w:rFonts w:cstheme="minorHAnsi"/>
                <w:sz w:val="21"/>
                <w:szCs w:val="21"/>
              </w:rPr>
            </w:pPr>
            <w:r w:rsidRPr="0066110E">
              <w:rPr>
                <w:rFonts w:cstheme="minorHAnsi"/>
                <w:sz w:val="21"/>
                <w:szCs w:val="21"/>
              </w:rPr>
              <w:t>PHC</w:t>
            </w:r>
          </w:p>
        </w:tc>
        <w:tc>
          <w:tcPr>
            <w:tcW w:w="6800" w:type="dxa"/>
            <w:hideMark/>
          </w:tcPr>
          <w:p w14:paraId="094397E3" w14:textId="77777777" w:rsidR="0066110E" w:rsidRPr="0066110E" w:rsidRDefault="0066110E" w:rsidP="007D2181">
            <w:pPr>
              <w:spacing w:before="20" w:after="80"/>
              <w:rPr>
                <w:rFonts w:cstheme="minorHAnsi"/>
                <w:sz w:val="21"/>
                <w:szCs w:val="21"/>
                <w:lang w:val="en-US"/>
              </w:rPr>
            </w:pPr>
            <w:r w:rsidRPr="0066110E">
              <w:rPr>
                <w:rFonts w:cstheme="minorHAnsi"/>
                <w:sz w:val="21"/>
                <w:szCs w:val="21"/>
              </w:rPr>
              <w:t>Primary Health Care</w:t>
            </w:r>
          </w:p>
        </w:tc>
      </w:tr>
      <w:tr w:rsidR="0066110E" w:rsidRPr="0066110E" w14:paraId="211F1D04" w14:textId="77777777" w:rsidTr="00CA0599">
        <w:tc>
          <w:tcPr>
            <w:tcW w:w="1980" w:type="dxa"/>
          </w:tcPr>
          <w:p w14:paraId="41A63BC8" w14:textId="77777777" w:rsidR="0066110E" w:rsidRPr="0066110E" w:rsidRDefault="0066110E" w:rsidP="007D2181">
            <w:pPr>
              <w:spacing w:before="20" w:after="80"/>
              <w:rPr>
                <w:rFonts w:cstheme="minorHAnsi"/>
                <w:sz w:val="21"/>
                <w:szCs w:val="21"/>
              </w:rPr>
            </w:pPr>
            <w:r w:rsidRPr="0066110E">
              <w:rPr>
                <w:rFonts w:cstheme="minorHAnsi"/>
                <w:sz w:val="21"/>
                <w:szCs w:val="21"/>
              </w:rPr>
              <w:t>PHCC</w:t>
            </w:r>
          </w:p>
        </w:tc>
        <w:tc>
          <w:tcPr>
            <w:tcW w:w="6800" w:type="dxa"/>
          </w:tcPr>
          <w:p w14:paraId="21505023" w14:textId="77777777" w:rsidR="0066110E" w:rsidRPr="0066110E" w:rsidRDefault="0066110E" w:rsidP="007D2181">
            <w:pPr>
              <w:spacing w:before="20" w:after="80"/>
              <w:rPr>
                <w:rFonts w:cstheme="minorHAnsi"/>
                <w:sz w:val="21"/>
                <w:szCs w:val="21"/>
              </w:rPr>
            </w:pPr>
            <w:r w:rsidRPr="0066110E">
              <w:rPr>
                <w:rFonts w:cstheme="minorHAnsi"/>
                <w:sz w:val="21"/>
                <w:szCs w:val="21"/>
              </w:rPr>
              <w:t>Primary Health Care Centre</w:t>
            </w:r>
          </w:p>
        </w:tc>
      </w:tr>
      <w:tr w:rsidR="0066110E" w:rsidRPr="0066110E" w14:paraId="6C99B725" w14:textId="77777777" w:rsidTr="00CA0599">
        <w:tc>
          <w:tcPr>
            <w:tcW w:w="1980" w:type="dxa"/>
          </w:tcPr>
          <w:p w14:paraId="41A8F52D" w14:textId="77777777" w:rsidR="0066110E" w:rsidRPr="0066110E" w:rsidRDefault="0066110E" w:rsidP="002469AC">
            <w:pPr>
              <w:spacing w:before="20" w:after="80"/>
              <w:rPr>
                <w:rFonts w:cstheme="minorHAnsi"/>
                <w:sz w:val="21"/>
                <w:szCs w:val="21"/>
              </w:rPr>
            </w:pPr>
            <w:r w:rsidRPr="0066110E">
              <w:rPr>
                <w:rFonts w:cstheme="minorHAnsi"/>
                <w:sz w:val="21"/>
                <w:szCs w:val="21"/>
              </w:rPr>
              <w:t>PHN</w:t>
            </w:r>
          </w:p>
        </w:tc>
        <w:tc>
          <w:tcPr>
            <w:tcW w:w="6800" w:type="dxa"/>
          </w:tcPr>
          <w:p w14:paraId="09D28735" w14:textId="77777777" w:rsidR="0066110E" w:rsidRPr="0066110E" w:rsidRDefault="0066110E" w:rsidP="002469AC">
            <w:pPr>
              <w:spacing w:before="20" w:after="80"/>
              <w:rPr>
                <w:rFonts w:cstheme="minorHAnsi"/>
                <w:sz w:val="21"/>
                <w:szCs w:val="21"/>
              </w:rPr>
            </w:pPr>
            <w:r w:rsidRPr="0066110E">
              <w:rPr>
                <w:rFonts w:cstheme="minorHAnsi"/>
                <w:sz w:val="21"/>
                <w:szCs w:val="21"/>
              </w:rPr>
              <w:t>Primary Health Network</w:t>
            </w:r>
          </w:p>
        </w:tc>
      </w:tr>
      <w:tr w:rsidR="0066110E" w:rsidRPr="0066110E" w14:paraId="681EA632" w14:textId="77777777" w:rsidTr="00CA0599">
        <w:tc>
          <w:tcPr>
            <w:tcW w:w="1980" w:type="dxa"/>
          </w:tcPr>
          <w:p w14:paraId="6013FDCD" w14:textId="77777777" w:rsidR="0066110E" w:rsidRPr="0066110E" w:rsidRDefault="0066110E" w:rsidP="007D2181">
            <w:pPr>
              <w:spacing w:before="20" w:after="80"/>
              <w:rPr>
                <w:rFonts w:cstheme="minorHAnsi"/>
                <w:sz w:val="21"/>
                <w:szCs w:val="21"/>
              </w:rPr>
            </w:pPr>
            <w:r w:rsidRPr="0066110E">
              <w:rPr>
                <w:rFonts w:cstheme="minorHAnsi"/>
                <w:sz w:val="21"/>
                <w:szCs w:val="21"/>
              </w:rPr>
              <w:t>QSC</w:t>
            </w:r>
          </w:p>
        </w:tc>
        <w:tc>
          <w:tcPr>
            <w:tcW w:w="6800" w:type="dxa"/>
            <w:hideMark/>
          </w:tcPr>
          <w:p w14:paraId="79FC88F2" w14:textId="77777777" w:rsidR="0066110E" w:rsidRPr="0066110E" w:rsidRDefault="0066110E" w:rsidP="007D2181">
            <w:pPr>
              <w:spacing w:before="20" w:after="80"/>
              <w:rPr>
                <w:rFonts w:cstheme="minorHAnsi"/>
                <w:sz w:val="21"/>
                <w:szCs w:val="21"/>
              </w:rPr>
            </w:pPr>
            <w:r w:rsidRPr="0066110E">
              <w:rPr>
                <w:rFonts w:cstheme="minorHAnsi"/>
                <w:sz w:val="21"/>
                <w:szCs w:val="21"/>
              </w:rPr>
              <w:t>Quality and Safety Checklist</w:t>
            </w:r>
          </w:p>
        </w:tc>
      </w:tr>
      <w:tr w:rsidR="0066110E" w:rsidRPr="0066110E" w14:paraId="156B4852" w14:textId="77777777" w:rsidTr="00CA0599">
        <w:tc>
          <w:tcPr>
            <w:tcW w:w="1980" w:type="dxa"/>
          </w:tcPr>
          <w:p w14:paraId="7ADAB6C9" w14:textId="77777777" w:rsidR="0066110E" w:rsidRPr="0066110E" w:rsidRDefault="0066110E" w:rsidP="002469AC">
            <w:pPr>
              <w:spacing w:before="20" w:after="80"/>
              <w:rPr>
                <w:rFonts w:cstheme="minorHAnsi"/>
                <w:sz w:val="21"/>
                <w:szCs w:val="21"/>
              </w:rPr>
            </w:pPr>
            <w:r w:rsidRPr="0066110E">
              <w:rPr>
                <w:rFonts w:cstheme="minorHAnsi"/>
                <w:sz w:val="21"/>
                <w:szCs w:val="21"/>
              </w:rPr>
              <w:t>RACGP</w:t>
            </w:r>
          </w:p>
        </w:tc>
        <w:tc>
          <w:tcPr>
            <w:tcW w:w="6800" w:type="dxa"/>
          </w:tcPr>
          <w:p w14:paraId="33A32911" w14:textId="77777777" w:rsidR="0066110E" w:rsidRPr="0066110E" w:rsidRDefault="0066110E" w:rsidP="002469AC">
            <w:pPr>
              <w:spacing w:before="20" w:after="80"/>
              <w:rPr>
                <w:rFonts w:cstheme="minorHAnsi"/>
                <w:sz w:val="21"/>
                <w:szCs w:val="21"/>
              </w:rPr>
            </w:pPr>
            <w:r w:rsidRPr="0066110E">
              <w:rPr>
                <w:rFonts w:cstheme="minorHAnsi"/>
                <w:sz w:val="21"/>
                <w:szCs w:val="21"/>
              </w:rPr>
              <w:t>Royal Australian College of General Practitioners</w:t>
            </w:r>
          </w:p>
        </w:tc>
      </w:tr>
      <w:tr w:rsidR="0066110E" w:rsidRPr="0066110E" w14:paraId="21718B62" w14:textId="77777777" w:rsidTr="00CA0599">
        <w:tc>
          <w:tcPr>
            <w:tcW w:w="1980" w:type="dxa"/>
          </w:tcPr>
          <w:p w14:paraId="4FC22EC8" w14:textId="77777777" w:rsidR="0066110E" w:rsidRPr="0066110E" w:rsidRDefault="0066110E" w:rsidP="002469AC">
            <w:pPr>
              <w:spacing w:before="20" w:after="80"/>
              <w:rPr>
                <w:rFonts w:cstheme="minorHAnsi"/>
                <w:sz w:val="21"/>
                <w:szCs w:val="21"/>
              </w:rPr>
            </w:pPr>
            <w:r w:rsidRPr="0066110E">
              <w:rPr>
                <w:rFonts w:cstheme="minorHAnsi"/>
                <w:sz w:val="21"/>
                <w:szCs w:val="21"/>
              </w:rPr>
              <w:t>Sonic Healthcare</w:t>
            </w:r>
          </w:p>
        </w:tc>
        <w:tc>
          <w:tcPr>
            <w:tcW w:w="6800" w:type="dxa"/>
          </w:tcPr>
          <w:p w14:paraId="678982F3" w14:textId="77777777" w:rsidR="0066110E" w:rsidRPr="0066110E" w:rsidRDefault="0066110E" w:rsidP="002469AC">
            <w:pPr>
              <w:spacing w:before="20" w:after="80"/>
              <w:rPr>
                <w:rFonts w:cstheme="minorHAnsi"/>
                <w:sz w:val="21"/>
                <w:szCs w:val="21"/>
              </w:rPr>
            </w:pPr>
            <w:r w:rsidRPr="0066110E">
              <w:rPr>
                <w:rFonts w:cstheme="minorHAnsi"/>
                <w:sz w:val="21"/>
                <w:szCs w:val="21"/>
              </w:rPr>
              <w:t xml:space="preserve">Sonic Healthcare Limited </w:t>
            </w:r>
          </w:p>
        </w:tc>
      </w:tr>
    </w:tbl>
    <w:p w14:paraId="7595A2A9" w14:textId="3257A523" w:rsidR="00C67D31" w:rsidRDefault="00C67D31" w:rsidP="007D2181"/>
    <w:sectPr w:rsidR="00C67D31" w:rsidSect="00036A8B">
      <w:footerReference w:type="default" r:id="rId4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9C3D1" w14:textId="77777777" w:rsidR="007F0CCE" w:rsidRDefault="007F0CCE" w:rsidP="00700D85">
      <w:r>
        <w:separator/>
      </w:r>
    </w:p>
    <w:p w14:paraId="053A0863" w14:textId="77777777" w:rsidR="007F0CCE" w:rsidRDefault="007F0CCE"/>
  </w:endnote>
  <w:endnote w:type="continuationSeparator" w:id="0">
    <w:p w14:paraId="77487290" w14:textId="77777777" w:rsidR="007F0CCE" w:rsidRDefault="007F0CCE" w:rsidP="00700D85">
      <w:r>
        <w:continuationSeparator/>
      </w:r>
    </w:p>
    <w:p w14:paraId="315FE8A3" w14:textId="77777777" w:rsidR="007F0CCE" w:rsidRDefault="007F0CCE"/>
  </w:endnote>
  <w:endnote w:type="continuationNotice" w:id="1">
    <w:p w14:paraId="2948EE50" w14:textId="77777777" w:rsidR="007F0CCE" w:rsidRDefault="007F0C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Body CS)">
    <w:altName w:val="Times New Roman"/>
    <w:charset w:val="00"/>
    <w:family w:val="roman"/>
    <w:pitch w:val="default"/>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ngsana New (Headings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5313741"/>
      <w:docPartObj>
        <w:docPartGallery w:val="Page Numbers (Bottom of Page)"/>
        <w:docPartUnique/>
      </w:docPartObj>
    </w:sdtPr>
    <w:sdtEndPr>
      <w:rPr>
        <w:rStyle w:val="PageNumber"/>
      </w:rPr>
    </w:sdtEndPr>
    <w:sdtContent>
      <w:p w14:paraId="76635531" w14:textId="2AB8AA31" w:rsidR="007F0CCE" w:rsidRDefault="007F0CCE" w:rsidP="006168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103A5" w14:textId="77777777" w:rsidR="007F0CCE" w:rsidRDefault="007F0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10B3" w14:textId="27E17E35" w:rsidR="007F0CCE" w:rsidRPr="00284483" w:rsidRDefault="007F0CCE" w:rsidP="002B40D0">
    <w:pPr>
      <w:pStyle w:val="Footer"/>
      <w:framePr w:wrap="none" w:vAnchor="text" w:hAnchor="margin" w:xAlign="center" w:y="1"/>
    </w:pPr>
    <w:r w:rsidRPr="00284483">
      <w:t xml:space="preserve">Page </w:t>
    </w:r>
    <w:r w:rsidRPr="00284483">
      <w:fldChar w:fldCharType="begin"/>
    </w:r>
    <w:r w:rsidRPr="00284483">
      <w:instrText xml:space="preserve"> PAGE  \* Arabic  \* MERGEFORMAT </w:instrText>
    </w:r>
    <w:r w:rsidRPr="00284483">
      <w:fldChar w:fldCharType="separate"/>
    </w:r>
    <w:r>
      <w:rPr>
        <w:noProof/>
      </w:rPr>
      <w:t>76</w:t>
    </w:r>
    <w:r w:rsidRPr="00284483">
      <w:fldChar w:fldCharType="end"/>
    </w:r>
    <w:r w:rsidRPr="00284483">
      <w:t xml:space="preserve"> of </w:t>
    </w:r>
    <w:r w:rsidR="00B7221C">
      <w:fldChar w:fldCharType="begin"/>
    </w:r>
    <w:r w:rsidR="00B7221C">
      <w:instrText>NUMPAGES  \* Arabic  \* MERGEFORMAT</w:instrText>
    </w:r>
    <w:r w:rsidR="00B7221C">
      <w:fldChar w:fldCharType="separate"/>
    </w:r>
    <w:r>
      <w:rPr>
        <w:noProof/>
      </w:rPr>
      <w:t>144</w:t>
    </w:r>
    <w:r w:rsidR="00B7221C">
      <w:rPr>
        <w:noProof/>
      </w:rPr>
      <w:fldChar w:fldCharType="end"/>
    </w:r>
  </w:p>
  <w:p w14:paraId="0AC17363" w14:textId="77777777" w:rsidR="007F0CCE" w:rsidRDefault="007F0CCE">
    <w:pPr>
      <w:pStyle w:val="Footer"/>
    </w:pPr>
  </w:p>
  <w:p w14:paraId="7CAAB372" w14:textId="6D583E84" w:rsidR="007F0CCE" w:rsidRDefault="007F0CCE" w:rsidP="002B40D0">
    <w:pPr>
      <w:tabs>
        <w:tab w:val="left" w:pos="245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DE835" w14:textId="77777777" w:rsidR="007F0CCE" w:rsidRDefault="007F0CCE" w:rsidP="00700D85">
    <w:pPr>
      <w:pStyle w:val="Footer"/>
    </w:pPr>
  </w:p>
  <w:p w14:paraId="745905B8" w14:textId="6243C39B" w:rsidR="007F0CCE" w:rsidRPr="00284483" w:rsidRDefault="007F0CCE" w:rsidP="00700D85">
    <w:pPr>
      <w:pStyle w:val="Footer"/>
    </w:pPr>
    <w:r w:rsidRPr="00284483">
      <w:t xml:space="preserve">Page </w:t>
    </w:r>
    <w:r w:rsidRPr="00284483">
      <w:fldChar w:fldCharType="begin"/>
    </w:r>
    <w:r w:rsidRPr="00284483">
      <w:instrText xml:space="preserve"> PAGE  \* Arabic  \* MERGEFORMAT </w:instrText>
    </w:r>
    <w:r w:rsidRPr="00284483">
      <w:fldChar w:fldCharType="separate"/>
    </w:r>
    <w:r>
      <w:rPr>
        <w:noProof/>
      </w:rPr>
      <w:t>142</w:t>
    </w:r>
    <w:r w:rsidRPr="00284483">
      <w:fldChar w:fldCharType="end"/>
    </w:r>
    <w:r w:rsidRPr="00284483">
      <w:t xml:space="preserve"> of </w:t>
    </w:r>
    <w:r w:rsidR="00B7221C">
      <w:fldChar w:fldCharType="begin"/>
    </w:r>
    <w:r w:rsidR="00B7221C">
      <w:instrText>NUMPAGES  \* Arabic  \* MERGEFORMAT</w:instrText>
    </w:r>
    <w:r w:rsidR="00B7221C">
      <w:fldChar w:fldCharType="separate"/>
    </w:r>
    <w:r>
      <w:rPr>
        <w:noProof/>
      </w:rPr>
      <w:t>144</w:t>
    </w:r>
    <w:r w:rsidR="00B7221C">
      <w:rPr>
        <w:noProof/>
      </w:rPr>
      <w:fldChar w:fldCharType="end"/>
    </w:r>
  </w:p>
  <w:p w14:paraId="69ABDE34" w14:textId="77777777" w:rsidR="007F0CCE" w:rsidRDefault="007F0CCE" w:rsidP="00700D85">
    <w:pPr>
      <w:pStyle w:val="Footer"/>
    </w:pPr>
  </w:p>
  <w:p w14:paraId="556C6254" w14:textId="77777777" w:rsidR="007F0CCE" w:rsidRDefault="007F0C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A46EF" w14:textId="77777777" w:rsidR="007F0CCE" w:rsidRDefault="007F0CCE" w:rsidP="00700D85">
      <w:r>
        <w:separator/>
      </w:r>
    </w:p>
    <w:p w14:paraId="4C1024E0" w14:textId="77777777" w:rsidR="007F0CCE" w:rsidRDefault="007F0CCE"/>
  </w:footnote>
  <w:footnote w:type="continuationSeparator" w:id="0">
    <w:p w14:paraId="6058D887" w14:textId="77777777" w:rsidR="007F0CCE" w:rsidRDefault="007F0CCE" w:rsidP="00700D85">
      <w:r>
        <w:continuationSeparator/>
      </w:r>
    </w:p>
    <w:p w14:paraId="4B7797F9" w14:textId="77777777" w:rsidR="007F0CCE" w:rsidRDefault="007F0CCE"/>
  </w:footnote>
  <w:footnote w:type="continuationNotice" w:id="1">
    <w:p w14:paraId="21083C24" w14:textId="77777777" w:rsidR="007F0CCE" w:rsidRDefault="007F0CCE">
      <w:pPr>
        <w:spacing w:before="0" w:after="0" w:line="240" w:lineRule="auto"/>
      </w:pPr>
    </w:p>
  </w:footnote>
  <w:footnote w:id="2">
    <w:p w14:paraId="7AA32E30" w14:textId="06ABB32A" w:rsidR="007F0CCE" w:rsidRPr="00AB074A" w:rsidRDefault="007F0CCE">
      <w:pPr>
        <w:pStyle w:val="FootnoteText"/>
        <w:rPr>
          <w:lang w:val="en-AU"/>
        </w:rPr>
      </w:pPr>
      <w:r>
        <w:rPr>
          <w:rStyle w:val="FootnoteReference"/>
        </w:rPr>
        <w:footnoteRef/>
      </w:r>
      <w:r>
        <w:t xml:space="preserve"> </w:t>
      </w:r>
      <w:r>
        <w:rPr>
          <w:lang w:val="en-AU"/>
        </w:rPr>
        <w:t>Aboriginal and Torres Strait Islander peoples are respectfully referred to as Indigenous from here on.</w:t>
      </w:r>
    </w:p>
  </w:footnote>
  <w:footnote w:id="3">
    <w:p w14:paraId="66F97895" w14:textId="5EB4D913" w:rsidR="007F0CCE" w:rsidRPr="003229E7" w:rsidRDefault="007F0CCE" w:rsidP="003229E7">
      <w:pPr>
        <w:pStyle w:val="FootnoteText"/>
      </w:pPr>
      <w:r w:rsidRPr="00725D57">
        <w:rPr>
          <w:rStyle w:val="FootnoteReference"/>
          <w:rFonts w:asciiTheme="minorHAnsi" w:hAnsiTheme="minorHAnsi" w:cstheme="minorHAnsi"/>
        </w:rPr>
        <w:footnoteRef/>
      </w:r>
      <w:r w:rsidRPr="001D5481">
        <w:rPr>
          <w:rFonts w:asciiTheme="minorHAnsi" w:hAnsiTheme="minorHAnsi" w:cstheme="minorHAnsi"/>
        </w:rPr>
        <w:t xml:space="preserve"> </w:t>
      </w:r>
      <w:r w:rsidRPr="003229E7">
        <w:t xml:space="preserve">Australian Institute of Health and Welfare. </w:t>
      </w:r>
      <w:r w:rsidRPr="003229E7">
        <w:rPr>
          <w:i/>
          <w:iCs/>
        </w:rPr>
        <w:t>National cancer screening programs participation data.</w:t>
      </w:r>
      <w:r w:rsidRPr="003229E7">
        <w:t xml:space="preserve"> Cat. no. CAN 114. Canberra: AIHW. Viewed 02 July 2020, https://www.aihw.gov.au/reports/cancer-screening/national-cancer-screening-programs-participation </w:t>
      </w:r>
    </w:p>
  </w:footnote>
  <w:footnote w:id="4">
    <w:p w14:paraId="53184C16" w14:textId="310FB175" w:rsidR="007F0CCE" w:rsidRPr="00F001C4" w:rsidRDefault="007F0CCE">
      <w:pPr>
        <w:pStyle w:val="FootnoteText"/>
        <w:rPr>
          <w:lang w:val="en-AU"/>
        </w:rPr>
      </w:pPr>
      <w:r>
        <w:rPr>
          <w:rStyle w:val="FootnoteReference"/>
        </w:rPr>
        <w:footnoteRef/>
      </w:r>
      <w:r>
        <w:t xml:space="preserve"> </w:t>
      </w:r>
      <w:r w:rsidRPr="005C7866">
        <w:rPr>
          <w:lang w:val="en-AU"/>
        </w:rPr>
        <w:t xml:space="preserve">The high positivity rate for Indigenous men may be a result of the small numbers involved, where a few positive cases </w:t>
      </w:r>
      <w:r>
        <w:rPr>
          <w:lang w:val="en-AU"/>
        </w:rPr>
        <w:t>can</w:t>
      </w:r>
      <w:r w:rsidRPr="005C7866">
        <w:rPr>
          <w:lang w:val="en-AU"/>
        </w:rPr>
        <w:t xml:space="preserve"> make a big difference in the rate, and/or the higher rates of positivity often recorded among first-time screeners.</w:t>
      </w:r>
    </w:p>
  </w:footnote>
  <w:footnote w:id="5">
    <w:p w14:paraId="595B50E3" w14:textId="77777777" w:rsidR="007F0CCE" w:rsidRPr="00BC2B66" w:rsidRDefault="007F0CCE" w:rsidP="00DA5348">
      <w:pPr>
        <w:pStyle w:val="FootnoteText"/>
        <w:rPr>
          <w:lang w:val="en-AU"/>
        </w:rPr>
      </w:pPr>
      <w:r>
        <w:rPr>
          <w:rStyle w:val="FootnoteReference"/>
        </w:rPr>
        <w:footnoteRef/>
      </w:r>
      <w:r>
        <w:t xml:space="preserve"> </w:t>
      </w:r>
      <w:r w:rsidRPr="006354D8">
        <w:rPr>
          <w:rFonts w:cstheme="minorHAnsi"/>
          <w:iCs/>
          <w:lang w:eastAsia="en-AU"/>
        </w:rPr>
        <w:t>‘</w:t>
      </w:r>
      <w:r>
        <w:rPr>
          <w:rFonts w:cstheme="minorHAnsi"/>
          <w:iCs/>
          <w:lang w:eastAsia="en-AU"/>
        </w:rPr>
        <w:t>Fi</w:t>
      </w:r>
      <w:r w:rsidRPr="006354D8">
        <w:rPr>
          <w:rFonts w:cstheme="minorHAnsi"/>
          <w:iCs/>
          <w:lang w:eastAsia="en-AU"/>
        </w:rPr>
        <w:t>t for purpose’ was defined as whether the support provided through the Pilot addressed key knowledge and skill requirements to deliver the Alternative Pathway; barriers identified through earlier phases of the project such as lack of motivation</w:t>
      </w:r>
      <w:r>
        <w:rPr>
          <w:rFonts w:cstheme="minorHAnsi"/>
          <w:iCs/>
          <w:lang w:eastAsia="en-AU"/>
        </w:rPr>
        <w:t xml:space="preserve"> or </w:t>
      </w:r>
      <w:r w:rsidRPr="006354D8">
        <w:rPr>
          <w:rFonts w:cstheme="minorHAnsi"/>
          <w:iCs/>
          <w:lang w:eastAsia="en-AU"/>
        </w:rPr>
        <w:t xml:space="preserve">confidence or a shortage of suitable resources for use with Indigenous patients; and was delivered in modes that were suitable for the target audience (primary health care </w:t>
      </w:r>
      <w:r w:rsidRPr="006354D8">
        <w:rPr>
          <w:rFonts w:cstheme="minorHAnsi"/>
          <w:iCs/>
          <w:lang w:eastAsia="en-AU"/>
        </w:rPr>
        <w:t>centre staff</w:t>
      </w:r>
      <w:r>
        <w:rPr>
          <w:rFonts w:cstheme="minorHAnsi"/>
          <w:iCs/>
          <w:lang w:eastAsia="en-AU"/>
        </w:rPr>
        <w:t xml:space="preserve"> including Indigenous Health Workers and Practitioners, nurses and GPs</w:t>
      </w:r>
      <w:r w:rsidRPr="006354D8">
        <w:rPr>
          <w:rFonts w:cstheme="minorHAnsi"/>
          <w:iCs/>
          <w:lang w:eastAsia="en-AU"/>
        </w:rPr>
        <w:t xml:space="preserve">).  </w:t>
      </w:r>
    </w:p>
  </w:footnote>
  <w:footnote w:id="6">
    <w:p w14:paraId="3D05A367" w14:textId="77777777" w:rsidR="007F0CCE" w:rsidRPr="00725D57" w:rsidRDefault="007F0CCE" w:rsidP="006052C9">
      <w:pPr>
        <w:pStyle w:val="FootnoteText"/>
        <w:rPr>
          <w:rFonts w:asciiTheme="minorHAnsi" w:hAnsiTheme="minorHAnsi" w:cstheme="minorHAnsi"/>
          <w:lang w:val="en-AU"/>
        </w:rPr>
      </w:pPr>
      <w:r w:rsidRPr="00725D57">
        <w:rPr>
          <w:rStyle w:val="FootnoteReference"/>
          <w:rFonts w:asciiTheme="minorHAnsi" w:hAnsiTheme="minorHAnsi" w:cstheme="minorHAnsi"/>
        </w:rPr>
        <w:footnoteRef/>
      </w:r>
      <w:r w:rsidRPr="00725D57">
        <w:rPr>
          <w:rFonts w:asciiTheme="minorHAnsi" w:hAnsiTheme="minorHAnsi" w:cstheme="minorHAnsi"/>
        </w:rPr>
        <w:t xml:space="preserve"> Australian Institute of Health and Welfare, </w:t>
      </w:r>
      <w:r w:rsidRPr="00725D57">
        <w:rPr>
          <w:rFonts w:asciiTheme="minorHAnsi" w:hAnsiTheme="minorHAnsi" w:cstheme="minorHAnsi"/>
          <w:i/>
          <w:iCs/>
        </w:rPr>
        <w:t>Cancer in Australia 2019</w:t>
      </w:r>
      <w:r w:rsidRPr="00725D57">
        <w:rPr>
          <w:rFonts w:asciiTheme="minorHAnsi" w:hAnsiTheme="minorHAnsi" w:cstheme="minorHAnsi"/>
        </w:rPr>
        <w:t xml:space="preserve">, AIHW, Canberra, 2019. </w:t>
      </w:r>
    </w:p>
  </w:footnote>
  <w:footnote w:id="7">
    <w:p w14:paraId="1C5A7CF6" w14:textId="77777777" w:rsidR="007F0CCE" w:rsidRPr="0062145C" w:rsidRDefault="007F0CCE" w:rsidP="006052C9">
      <w:pPr>
        <w:pStyle w:val="FootnoteText"/>
        <w:rPr>
          <w:rFonts w:asciiTheme="minorHAnsi" w:hAnsiTheme="minorHAnsi" w:cstheme="minorHAnsi"/>
          <w:lang w:val="en-AU"/>
        </w:rPr>
      </w:pPr>
      <w:r w:rsidRPr="00725D57">
        <w:rPr>
          <w:rStyle w:val="FootnoteReference"/>
          <w:rFonts w:asciiTheme="minorHAnsi" w:hAnsiTheme="minorHAnsi" w:cstheme="minorHAnsi"/>
        </w:rPr>
        <w:footnoteRef/>
      </w:r>
      <w:r w:rsidRPr="00725D57">
        <w:rPr>
          <w:rFonts w:asciiTheme="minorHAnsi" w:hAnsiTheme="minorHAnsi" w:cstheme="minorHAnsi"/>
        </w:rPr>
        <w:t xml:space="preserve"> </w:t>
      </w:r>
      <w:r w:rsidRPr="00725D57">
        <w:rPr>
          <w:rFonts w:asciiTheme="minorHAnsi" w:hAnsiTheme="minorHAnsi" w:cstheme="minorHAnsi"/>
          <w:lang w:val="en-AU"/>
        </w:rPr>
        <w:t xml:space="preserve">Australian Institute of Health and Welfare, </w:t>
      </w:r>
      <w:r w:rsidRPr="00725D57">
        <w:rPr>
          <w:rFonts w:asciiTheme="minorHAnsi" w:hAnsiTheme="minorHAnsi" w:cstheme="minorHAnsi"/>
          <w:i/>
          <w:iCs/>
          <w:lang w:val="en-AU"/>
        </w:rPr>
        <w:t xml:space="preserve">Cancer in Aboriginal &amp; Torres Strait Islander people of Australia </w:t>
      </w:r>
      <w:r w:rsidRPr="00725D57">
        <w:rPr>
          <w:rFonts w:asciiTheme="minorHAnsi" w:hAnsiTheme="minorHAnsi" w:cstheme="minorHAnsi"/>
          <w:lang w:val="en-AU"/>
        </w:rPr>
        <w:t xml:space="preserve">[web report], AIHW, Canberra, 2019. Available from: </w:t>
      </w:r>
      <w:r w:rsidRPr="00725D57">
        <w:rPr>
          <w:rFonts w:asciiTheme="minorHAnsi" w:hAnsiTheme="minorHAnsi" w:cstheme="minorHAnsi"/>
        </w:rPr>
        <w:t>https://www.aihw.gov.au/reports/cancer/cancer-in-indigenous-australians.</w:t>
      </w:r>
    </w:p>
  </w:footnote>
  <w:footnote w:id="8">
    <w:p w14:paraId="4FA0C94A" w14:textId="2E2C39A1" w:rsidR="007F0CCE" w:rsidRPr="00FF06BD" w:rsidRDefault="007F0CCE" w:rsidP="00FF06BD">
      <w:pPr>
        <w:spacing w:before="0" w:after="0" w:line="240" w:lineRule="auto"/>
        <w:rPr>
          <w:rFonts w:ascii="Calibri" w:hAnsi="Calibri" w:cs="Times New Roman"/>
          <w:sz w:val="20"/>
          <w:szCs w:val="20"/>
          <w:lang w:val="en-US"/>
        </w:rPr>
      </w:pPr>
      <w:r>
        <w:rPr>
          <w:rStyle w:val="FootnoteReference"/>
        </w:rPr>
        <w:footnoteRef/>
      </w:r>
      <w:r>
        <w:t xml:space="preserve"> </w:t>
      </w:r>
      <w:r w:rsidRPr="00FF06BD">
        <w:rPr>
          <w:rStyle w:val="FootnoteTextChar"/>
        </w:rPr>
        <w:t xml:space="preserve">Australian Institute of Health and Welfare, </w:t>
      </w:r>
      <w:r w:rsidRPr="00FF06BD">
        <w:rPr>
          <w:rStyle w:val="FootnoteTextChar"/>
          <w:i/>
          <w:iCs/>
        </w:rPr>
        <w:t>Analysis of bowel cancer outcomes for the National Bowel Cancer Screening Program 2018</w:t>
      </w:r>
      <w:r w:rsidRPr="00FF06BD">
        <w:rPr>
          <w:rStyle w:val="FootnoteTextChar"/>
        </w:rPr>
        <w:t xml:space="preserve">. Cat. no. CAN 113. Canberra, AIHW. </w:t>
      </w:r>
    </w:p>
  </w:footnote>
  <w:footnote w:id="9">
    <w:p w14:paraId="5678BB56" w14:textId="77777777" w:rsidR="007F0CCE" w:rsidRPr="00DB6256" w:rsidRDefault="007F0CCE" w:rsidP="006052C9">
      <w:pPr>
        <w:pStyle w:val="FootnoteText"/>
        <w:rPr>
          <w:rFonts w:asciiTheme="minorHAnsi" w:hAnsiTheme="minorHAnsi" w:cstheme="minorHAnsi"/>
          <w:lang w:val="en-AU"/>
        </w:rPr>
      </w:pPr>
      <w:r w:rsidRPr="00DB6256">
        <w:rPr>
          <w:rStyle w:val="FootnoteReference"/>
          <w:rFonts w:asciiTheme="minorHAnsi" w:hAnsiTheme="minorHAnsi" w:cstheme="minorHAnsi"/>
        </w:rPr>
        <w:footnoteRef/>
      </w:r>
      <w:r w:rsidRPr="00DB6256">
        <w:rPr>
          <w:rFonts w:asciiTheme="minorHAnsi" w:hAnsiTheme="minorHAnsi" w:cstheme="minorHAnsi"/>
        </w:rPr>
        <w:t xml:space="preserve"> </w:t>
      </w:r>
      <w:r w:rsidRPr="00DB6256">
        <w:rPr>
          <w:rFonts w:asciiTheme="minorHAnsi" w:hAnsiTheme="minorHAnsi" w:cstheme="minorHAnsi"/>
          <w:lang w:val="en-AU"/>
        </w:rPr>
        <w:t>Australian Institute of Health and Welfare, op cit., footnote 1, p. 43, 2019.</w:t>
      </w:r>
    </w:p>
  </w:footnote>
  <w:footnote w:id="10">
    <w:p w14:paraId="70B7C781" w14:textId="77777777" w:rsidR="007F0CCE" w:rsidRPr="00DB6256" w:rsidRDefault="007F0CCE" w:rsidP="006052C9">
      <w:pPr>
        <w:pStyle w:val="FootnoteText"/>
        <w:rPr>
          <w:rFonts w:asciiTheme="minorHAnsi" w:hAnsiTheme="minorHAnsi" w:cstheme="minorHAnsi"/>
          <w:lang w:val="en-AU"/>
        </w:rPr>
      </w:pPr>
      <w:r w:rsidRPr="00DB6256">
        <w:rPr>
          <w:rStyle w:val="FootnoteReference"/>
          <w:rFonts w:asciiTheme="minorHAnsi" w:hAnsiTheme="minorHAnsi" w:cstheme="minorHAnsi"/>
        </w:rPr>
        <w:footnoteRef/>
      </w:r>
      <w:r w:rsidRPr="00DB6256">
        <w:rPr>
          <w:rFonts w:asciiTheme="minorHAnsi" w:hAnsiTheme="minorHAnsi" w:cstheme="minorHAnsi"/>
        </w:rPr>
        <w:t xml:space="preserve"> C</w:t>
      </w:r>
      <w:r w:rsidRPr="00DB6256">
        <w:rPr>
          <w:rFonts w:asciiTheme="minorHAnsi" w:hAnsiTheme="minorHAnsi" w:cstheme="minorHAnsi"/>
          <w:lang w:val="en-AU"/>
        </w:rPr>
        <w:t xml:space="preserve">ommonwealth of Australia, </w:t>
      </w:r>
      <w:r w:rsidRPr="00DB6256">
        <w:rPr>
          <w:rFonts w:asciiTheme="minorHAnsi" w:hAnsiTheme="minorHAnsi" w:cstheme="minorHAnsi"/>
          <w:i/>
          <w:iCs/>
          <w:lang w:val="en-AU"/>
        </w:rPr>
        <w:t xml:space="preserve">Population Based Screening Framework, </w:t>
      </w:r>
      <w:r w:rsidRPr="00DB6256">
        <w:rPr>
          <w:rFonts w:asciiTheme="minorHAnsi" w:hAnsiTheme="minorHAnsi" w:cstheme="minorHAnsi"/>
          <w:lang w:val="en-AU"/>
        </w:rPr>
        <w:t>prepared by the Clinical Principal Committee, Standing Committee on Screening, Canberra, 2018.</w:t>
      </w:r>
    </w:p>
  </w:footnote>
  <w:footnote w:id="11">
    <w:p w14:paraId="556D83F7" w14:textId="77777777" w:rsidR="007F0CCE" w:rsidRPr="00DB6256" w:rsidRDefault="007F0CCE" w:rsidP="006052C9">
      <w:pPr>
        <w:pStyle w:val="FootnoteText"/>
        <w:rPr>
          <w:rFonts w:asciiTheme="minorHAnsi" w:hAnsiTheme="minorHAnsi" w:cstheme="minorHAnsi"/>
          <w:sz w:val="21"/>
          <w:szCs w:val="21"/>
          <w:lang w:val="en-AU"/>
        </w:rPr>
      </w:pPr>
      <w:r w:rsidRPr="00DB6256">
        <w:rPr>
          <w:rStyle w:val="FootnoteReference"/>
          <w:rFonts w:asciiTheme="minorHAnsi" w:hAnsiTheme="minorHAnsi" w:cstheme="minorHAnsi"/>
        </w:rPr>
        <w:footnoteRef/>
      </w:r>
      <w:r w:rsidRPr="00DB6256">
        <w:rPr>
          <w:rFonts w:asciiTheme="minorHAnsi" w:hAnsiTheme="minorHAnsi" w:cstheme="minorHAnsi"/>
        </w:rPr>
        <w:t xml:space="preserve"> </w:t>
      </w:r>
      <w:r w:rsidRPr="00DB6256">
        <w:rPr>
          <w:rFonts w:asciiTheme="minorHAnsi" w:hAnsiTheme="minorHAnsi" w:cstheme="minorHAnsi"/>
          <w:lang w:val="en-AU"/>
        </w:rPr>
        <w:t xml:space="preserve">Queensland Health, </w:t>
      </w:r>
      <w:r w:rsidRPr="00DB6256">
        <w:rPr>
          <w:rFonts w:asciiTheme="minorHAnsi" w:hAnsiTheme="minorHAnsi" w:cstheme="minorHAnsi"/>
          <w:i/>
          <w:iCs/>
          <w:lang w:val="en-AU"/>
        </w:rPr>
        <w:t>Alternative service delivery model in regional and remote Indigenous communities</w:t>
      </w:r>
      <w:r w:rsidRPr="00DB6256">
        <w:rPr>
          <w:rFonts w:asciiTheme="minorHAnsi" w:hAnsiTheme="minorHAnsi" w:cstheme="minorHAnsi"/>
          <w:lang w:val="en-AU"/>
        </w:rPr>
        <w:t>, report to the Australian Government, prepared by Queensland Bowel Cancer Screening Program, Brisbane, 2010</w:t>
      </w:r>
      <w:r w:rsidRPr="00DB6256">
        <w:rPr>
          <w:rFonts w:asciiTheme="minorHAnsi" w:hAnsiTheme="minorHAnsi" w:cstheme="minorHAnsi"/>
        </w:rPr>
        <w:t xml:space="preserve"> State Government Victoria. </w:t>
      </w:r>
      <w:r w:rsidRPr="00DB6256">
        <w:rPr>
          <w:rFonts w:asciiTheme="minorHAnsi" w:hAnsiTheme="minorHAnsi" w:cstheme="minorHAnsi"/>
          <w:i/>
          <w:iCs/>
        </w:rPr>
        <w:t>Piloting service delivery model with Aboriginal communities in Victoria for the National Bowel Cancer Screening Program</w:t>
      </w:r>
      <w:r w:rsidRPr="00DB6256">
        <w:rPr>
          <w:rFonts w:asciiTheme="minorHAnsi" w:hAnsiTheme="minorHAnsi" w:cstheme="minorHAnsi"/>
        </w:rPr>
        <w:t>, report prepared by Cancer Prevention Centre and Cancer Council Victoria, Melbourne, 2010</w:t>
      </w:r>
      <w:r w:rsidRPr="00DB6256">
        <w:rPr>
          <w:rFonts w:asciiTheme="minorHAnsi" w:hAnsiTheme="minorHAnsi" w:cstheme="minorHAnsi"/>
          <w:lang w:val="en-AU"/>
        </w:rPr>
        <w:t xml:space="preserve">; </w:t>
      </w:r>
      <w:r w:rsidRPr="00DB6256">
        <w:rPr>
          <w:rFonts w:asciiTheme="minorHAnsi" w:hAnsiTheme="minorHAnsi" w:cstheme="minorHAnsi"/>
        </w:rPr>
        <w:t xml:space="preserve">S Flak, D Scrimgeour &amp; D </w:t>
      </w:r>
      <w:r w:rsidRPr="00DB6256">
        <w:rPr>
          <w:rFonts w:asciiTheme="minorHAnsi" w:hAnsiTheme="minorHAnsi" w:cstheme="minorHAnsi"/>
        </w:rPr>
        <w:t xml:space="preserve">Roder, </w:t>
      </w:r>
      <w:r w:rsidRPr="00DB6256">
        <w:rPr>
          <w:rFonts w:asciiTheme="minorHAnsi" w:hAnsiTheme="minorHAnsi" w:cstheme="minorHAnsi"/>
          <w:i/>
          <w:iCs/>
        </w:rPr>
        <w:t>Alternative pathways bowel cancer screening of the Aboriginal population in South Australia – An evaluation,</w:t>
      </w:r>
      <w:r w:rsidRPr="00DB6256">
        <w:rPr>
          <w:rFonts w:asciiTheme="minorHAnsi" w:hAnsiTheme="minorHAnsi" w:cstheme="minorHAnsi"/>
        </w:rPr>
        <w:t xml:space="preserve"> report to the Australian Government, Adelaide, 2011; NT Department of Health, </w:t>
      </w:r>
      <w:r w:rsidRPr="00DB6256">
        <w:rPr>
          <w:rFonts w:asciiTheme="minorHAnsi" w:hAnsiTheme="minorHAnsi" w:cstheme="minorHAnsi"/>
          <w:i/>
          <w:iCs/>
          <w:lang w:val="en-AU"/>
        </w:rPr>
        <w:t xml:space="preserve">NT Bowel Cancer Screening Trial: Aboriginal and Torres Strait Islander Alternate Service Delivery Model, </w:t>
      </w:r>
      <w:r w:rsidRPr="00DB6256">
        <w:rPr>
          <w:rFonts w:asciiTheme="minorHAnsi" w:hAnsiTheme="minorHAnsi" w:cstheme="minorHAnsi"/>
          <w:lang w:val="en-AU"/>
        </w:rPr>
        <w:t>report to the Australian Government, prepared by NT Bowel Cancer Screening Program, Darwin, 2011;</w:t>
      </w:r>
      <w:r w:rsidRPr="00DB6256">
        <w:rPr>
          <w:rFonts w:asciiTheme="minorHAnsi" w:hAnsiTheme="minorHAnsi" w:cstheme="minorHAnsi"/>
        </w:rPr>
        <w:t xml:space="preserve"> Loddon Mallee Murray Medicare Local. </w:t>
      </w:r>
      <w:r w:rsidRPr="00DB6256">
        <w:rPr>
          <w:rFonts w:asciiTheme="minorHAnsi" w:hAnsiTheme="minorHAnsi" w:cstheme="minorHAnsi"/>
          <w:i/>
          <w:iCs/>
        </w:rPr>
        <w:t>General Practices supporting screening for bowel cancer project: Final report.</w:t>
      </w:r>
      <w:r w:rsidRPr="00DB6256">
        <w:rPr>
          <w:rFonts w:asciiTheme="minorHAnsi" w:hAnsiTheme="minorHAnsi" w:cstheme="minorHAnsi"/>
        </w:rPr>
        <w:t xml:space="preserve"> Bendigo, 2015.</w:t>
      </w:r>
    </w:p>
  </w:footnote>
  <w:footnote w:id="12">
    <w:p w14:paraId="656C8E58" w14:textId="22C4A1A6" w:rsidR="007F0CCE" w:rsidRPr="00DB6256" w:rsidRDefault="007F0CCE" w:rsidP="006052C9">
      <w:pPr>
        <w:pStyle w:val="FootnoteText"/>
        <w:rPr>
          <w:rFonts w:asciiTheme="minorHAnsi" w:hAnsiTheme="minorHAnsi" w:cstheme="minorHAnsi"/>
          <w:lang w:val="en-AU"/>
        </w:rPr>
      </w:pPr>
      <w:r w:rsidRPr="00DB6256">
        <w:rPr>
          <w:rStyle w:val="FootnoteReference"/>
          <w:rFonts w:asciiTheme="minorHAnsi" w:hAnsiTheme="minorHAnsi" w:cstheme="minorHAnsi"/>
        </w:rPr>
        <w:footnoteRef/>
      </w:r>
      <w:r w:rsidRPr="00DB6256">
        <w:rPr>
          <w:rFonts w:asciiTheme="minorHAnsi" w:hAnsiTheme="minorHAnsi" w:cstheme="minorHAnsi"/>
        </w:rPr>
        <w:t xml:space="preserve"> </w:t>
      </w:r>
      <w:r w:rsidRPr="00DB6256">
        <w:rPr>
          <w:rFonts w:asciiTheme="minorHAnsi" w:hAnsiTheme="minorHAnsi" w:cstheme="minorHAnsi"/>
          <w:lang w:val="en-AU"/>
        </w:rPr>
        <w:t>Health used the term ‘Indigenous Primary Health Care Centres’ to refer to health centres that it directly funded to provide primary care services to Indigenous Australians. These centres usually had a majority of Indigenous patients, and most, but not all, were Aboriginal Community Controlled Health Organisations (ACCHOs). A substantial proportion of these centres were run by state or territory health services.</w:t>
      </w:r>
    </w:p>
  </w:footnote>
  <w:footnote w:id="13">
    <w:p w14:paraId="42BAEA76" w14:textId="471D4E6B" w:rsidR="007F0CCE" w:rsidRDefault="007F0CCE">
      <w:pPr>
        <w:pStyle w:val="FootnoteText"/>
      </w:pPr>
      <w:r>
        <w:rPr>
          <w:rStyle w:val="FootnoteReference"/>
        </w:rPr>
        <w:footnoteRef/>
      </w:r>
      <w:r>
        <w:t xml:space="preserve"> The original Menzies consortium that tendered for this project is listed in Appendix A. </w:t>
      </w:r>
    </w:p>
  </w:footnote>
  <w:footnote w:id="14">
    <w:p w14:paraId="0F29FD81" w14:textId="756B98B6" w:rsidR="007F0CCE" w:rsidRPr="006F36F5" w:rsidRDefault="007F0CCE" w:rsidP="006F36F5">
      <w:pPr>
        <w:pStyle w:val="FootnoteText"/>
      </w:pPr>
      <w:r>
        <w:rPr>
          <w:rStyle w:val="FootnoteReference"/>
        </w:rPr>
        <w:footnoteRef/>
      </w:r>
      <w:r>
        <w:t xml:space="preserve"> </w:t>
      </w:r>
      <w:r w:rsidRPr="006F36F5">
        <w:t>J Rycroft-Malone</w:t>
      </w:r>
      <w:r>
        <w:t xml:space="preserve">, </w:t>
      </w:r>
      <w:r w:rsidRPr="006F36F5">
        <w:t>The PARIHS framework—a framework for guiding the implementation of evidence-based practice</w:t>
      </w:r>
    </w:p>
    <w:p w14:paraId="65118138" w14:textId="274D5FD9" w:rsidR="007F0CCE" w:rsidRPr="006F36F5" w:rsidRDefault="007F0CCE" w:rsidP="006F36F5">
      <w:pPr>
        <w:pStyle w:val="FootnoteText"/>
      </w:pPr>
      <w:r w:rsidRPr="006F36F5">
        <w:t>Journal of nursing care quality 19 (4), 297-304</w:t>
      </w:r>
      <w:r>
        <w:t>. 2004.</w:t>
      </w:r>
    </w:p>
    <w:p w14:paraId="1982609F" w14:textId="6B973029" w:rsidR="007F0CCE" w:rsidRPr="008D385E" w:rsidRDefault="007F0CCE" w:rsidP="006F36F5">
      <w:pPr>
        <w:pStyle w:val="FootnoteText"/>
        <w:rPr>
          <w:lang w:val="en-AU"/>
        </w:rPr>
      </w:pPr>
    </w:p>
  </w:footnote>
  <w:footnote w:id="15">
    <w:p w14:paraId="748A06BA" w14:textId="48FEA607" w:rsidR="007F0CCE" w:rsidRPr="00245728" w:rsidRDefault="007F0CCE">
      <w:pPr>
        <w:pStyle w:val="FootnoteText"/>
        <w:rPr>
          <w:lang w:val="en-AU"/>
        </w:rPr>
      </w:pPr>
      <w:r>
        <w:rPr>
          <w:rStyle w:val="FootnoteReference"/>
        </w:rPr>
        <w:footnoteRef/>
      </w:r>
      <w:r>
        <w:t xml:space="preserve"> </w:t>
      </w:r>
      <w:r>
        <w:rPr>
          <w:lang w:val="en-AU"/>
        </w:rPr>
        <w:t xml:space="preserve">At the time of the consultations, the kit was in its previous iteration, a more boxlike package than the envelope type packaging adopted in 2019. </w:t>
      </w:r>
    </w:p>
  </w:footnote>
  <w:footnote w:id="16">
    <w:p w14:paraId="75717BA0" w14:textId="53EBC5F1" w:rsidR="007F0CCE" w:rsidRPr="007542D5" w:rsidRDefault="007F0CCE" w:rsidP="00BE2F3C">
      <w:pPr>
        <w:pStyle w:val="FootnoteText"/>
        <w:rPr>
          <w:lang w:val="en-AU"/>
        </w:rPr>
      </w:pPr>
      <w:r>
        <w:rPr>
          <w:rStyle w:val="FootnoteReference"/>
        </w:rPr>
        <w:footnoteRef/>
      </w:r>
      <w:r>
        <w:t xml:space="preserve"> </w:t>
      </w:r>
      <w:r w:rsidRPr="00A91721">
        <w:rPr>
          <w:rFonts w:cstheme="minorHAnsi"/>
        </w:rPr>
        <w:t xml:space="preserve">Menzies School of Health Research, </w:t>
      </w:r>
      <w:r>
        <w:rPr>
          <w:rFonts w:cstheme="minorHAnsi"/>
          <w:i/>
          <w:iCs/>
        </w:rPr>
        <w:t>National Indigenous Bowel Screening Pilot: Report on</w:t>
      </w:r>
      <w:r w:rsidRPr="00A277AC">
        <w:rPr>
          <w:color w:val="000000" w:themeColor="text1"/>
          <w:sz w:val="36"/>
          <w:szCs w:val="36"/>
        </w:rPr>
        <w:t xml:space="preserve"> </w:t>
      </w:r>
      <w:r w:rsidRPr="00A277AC">
        <w:rPr>
          <w:rFonts w:cstheme="minorHAnsi"/>
          <w:i/>
          <w:iCs/>
        </w:rPr>
        <w:t xml:space="preserve">development and testing of training materials for </w:t>
      </w:r>
      <w:r>
        <w:rPr>
          <w:rFonts w:cstheme="minorHAnsi"/>
          <w:i/>
          <w:iCs/>
        </w:rPr>
        <w:t>p</w:t>
      </w:r>
      <w:r w:rsidRPr="00A277AC">
        <w:rPr>
          <w:rFonts w:cstheme="minorHAnsi"/>
          <w:i/>
          <w:iCs/>
        </w:rPr>
        <w:t xml:space="preserve">rimary </w:t>
      </w:r>
      <w:r>
        <w:rPr>
          <w:rFonts w:cstheme="minorHAnsi"/>
          <w:i/>
          <w:iCs/>
        </w:rPr>
        <w:t>h</w:t>
      </w:r>
      <w:r w:rsidRPr="00A277AC">
        <w:rPr>
          <w:rFonts w:cstheme="minorHAnsi"/>
          <w:i/>
          <w:iCs/>
        </w:rPr>
        <w:t xml:space="preserve">ealth </w:t>
      </w:r>
      <w:r>
        <w:rPr>
          <w:rFonts w:cstheme="minorHAnsi"/>
          <w:i/>
          <w:iCs/>
        </w:rPr>
        <w:t>c</w:t>
      </w:r>
      <w:r w:rsidRPr="00A277AC">
        <w:rPr>
          <w:rFonts w:cstheme="minorHAnsi"/>
          <w:i/>
          <w:iCs/>
        </w:rPr>
        <w:t>are practitioners</w:t>
      </w:r>
      <w:r w:rsidRPr="00A91721">
        <w:rPr>
          <w:rFonts w:cstheme="minorHAnsi"/>
        </w:rPr>
        <w:t>, unpublished report to the Australian Government, Canberra, 2016</w:t>
      </w:r>
      <w:r>
        <w:rPr>
          <w:rFonts w:cstheme="minorHAnsi"/>
        </w:rPr>
        <w:t>.</w:t>
      </w:r>
    </w:p>
  </w:footnote>
  <w:footnote w:id="17">
    <w:p w14:paraId="63A70C79" w14:textId="6BA4ED54" w:rsidR="007F0CCE" w:rsidRPr="00FD0429" w:rsidRDefault="007F0CCE" w:rsidP="007E2C1E">
      <w:pPr>
        <w:spacing w:before="0" w:after="0" w:line="240" w:lineRule="auto"/>
        <w:rPr>
          <w:rStyle w:val="FootnoteTextChar"/>
        </w:rPr>
      </w:pPr>
      <w:r>
        <w:rPr>
          <w:rStyle w:val="FootnoteReference"/>
        </w:rPr>
        <w:footnoteRef/>
      </w:r>
      <w:r>
        <w:t xml:space="preserve"> I</w:t>
      </w:r>
      <w:r>
        <w:rPr>
          <w:rStyle w:val="FootnoteTextChar"/>
        </w:rPr>
        <w:t>n its Quality Statement for the NBCSP data for 2016-2018, the AIHW points out that ‘w</w:t>
      </w:r>
      <w:r w:rsidRPr="007E2D0E">
        <w:rPr>
          <w:rStyle w:val="FootnoteTextChar"/>
        </w:rPr>
        <w:t>hile the concept of participation in the NBCSP is easy to interpret, the NBCSP screening pathway and other concepts and statistical calculations are more complex and may be confusing to some users</w:t>
      </w:r>
      <w:r>
        <w:rPr>
          <w:rStyle w:val="FootnoteTextChar"/>
        </w:rPr>
        <w:t>.’ AIHW,</w:t>
      </w:r>
      <w:r w:rsidRPr="0031151A">
        <w:rPr>
          <w:rStyle w:val="FootnoteTextChar"/>
        </w:rPr>
        <w:t xml:space="preserve"> </w:t>
      </w:r>
      <w:r w:rsidRPr="00FD0429">
        <w:rPr>
          <w:rStyle w:val="FootnoteTextChar"/>
          <w:i/>
          <w:iCs/>
        </w:rPr>
        <w:t>National Bowel Cancer Screening Program screening data for 2016–2018: Quality Statement</w:t>
      </w:r>
      <w:r>
        <w:rPr>
          <w:rStyle w:val="FootnoteTextChar"/>
        </w:rPr>
        <w:t>, AIHW, Canberra, 2019.</w:t>
      </w:r>
    </w:p>
    <w:p w14:paraId="3AE133E9" w14:textId="1A965BC5" w:rsidR="007F0CCE" w:rsidRPr="007E2C1E" w:rsidRDefault="007F0CCE">
      <w:pPr>
        <w:pStyle w:val="FootnoteText"/>
        <w:rPr>
          <w:lang w:val="en-AU"/>
        </w:rPr>
      </w:pPr>
    </w:p>
  </w:footnote>
  <w:footnote w:id="18">
    <w:p w14:paraId="2B5548E4" w14:textId="32E9FC11" w:rsidR="007F0CCE" w:rsidRPr="00D26333" w:rsidRDefault="007F0CCE">
      <w:pPr>
        <w:pStyle w:val="FootnoteText"/>
        <w:rPr>
          <w:lang w:val="en-AU"/>
        </w:rPr>
      </w:pPr>
      <w:r>
        <w:rPr>
          <w:rStyle w:val="FootnoteReference"/>
        </w:rPr>
        <w:footnoteRef/>
      </w:r>
      <w:r>
        <w:t xml:space="preserve"> </w:t>
      </w:r>
      <w:r>
        <w:rPr>
          <w:lang w:val="en-AU"/>
        </w:rPr>
        <w:t xml:space="preserve">To clarify the use of terms, the </w:t>
      </w:r>
      <w:r w:rsidRPr="00D26333">
        <w:rPr>
          <w:i/>
          <w:iCs/>
          <w:lang w:val="en-AU"/>
        </w:rPr>
        <w:t>Alternative Pathway</w:t>
      </w:r>
      <w:r>
        <w:rPr>
          <w:lang w:val="en-AU"/>
        </w:rPr>
        <w:t xml:space="preserve"> is the model of offering NBCSP screening to Indigenous patients through primary health care centres; the Pilot is the testing of that model carried out with 47 participating health centres between 1 November 2018 and 31 October 2019. The National Indigenous Bowel Screening Project is the broader five-year project that included consultations, development of the Alternative Pathway model and training and resources to support it, and delivery of the Pilot. </w:t>
      </w:r>
    </w:p>
  </w:footnote>
  <w:footnote w:id="19">
    <w:p w14:paraId="3D754C3C" w14:textId="077AD79F" w:rsidR="007F0CCE" w:rsidRPr="000F0B99" w:rsidRDefault="007F0CCE" w:rsidP="000F0B99">
      <w:pPr>
        <w:pStyle w:val="FootnoteText"/>
        <w:rPr>
          <w:bCs/>
          <w:i/>
          <w:iCs/>
          <w:lang w:val="en-AU"/>
        </w:rPr>
      </w:pPr>
      <w:r>
        <w:rPr>
          <w:rStyle w:val="FootnoteReference"/>
        </w:rPr>
        <w:footnoteRef/>
      </w:r>
      <w:r w:rsidRPr="000F0B99">
        <w:rPr>
          <w:bCs/>
          <w:lang w:val="en-AU"/>
        </w:rPr>
        <w:t>Menzies School of Health Research,</w:t>
      </w:r>
      <w:r>
        <w:rPr>
          <w:bCs/>
          <w:i/>
          <w:iCs/>
          <w:lang w:val="en-AU"/>
        </w:rPr>
        <w:t xml:space="preserve"> </w:t>
      </w:r>
      <w:r w:rsidRPr="000F0B99">
        <w:rPr>
          <w:bCs/>
          <w:i/>
          <w:iCs/>
          <w:lang w:val="en-AU"/>
        </w:rPr>
        <w:t>Talking about bowel screening with Aboriginal and Torres Strait Islander consumers</w:t>
      </w:r>
      <w:r>
        <w:rPr>
          <w:bCs/>
          <w:i/>
          <w:iCs/>
          <w:lang w:val="en-AU"/>
        </w:rPr>
        <w:t xml:space="preserve">: </w:t>
      </w:r>
      <w:r w:rsidRPr="000F0B99">
        <w:rPr>
          <w:bCs/>
          <w:i/>
          <w:iCs/>
          <w:lang w:val="en-AU"/>
        </w:rPr>
        <w:t>Report on testing of resources for use by</w:t>
      </w:r>
      <w:r>
        <w:rPr>
          <w:bCs/>
          <w:i/>
          <w:iCs/>
          <w:lang w:val="en-AU"/>
        </w:rPr>
        <w:t xml:space="preserve"> </w:t>
      </w:r>
      <w:r w:rsidRPr="000F0B99">
        <w:rPr>
          <w:bCs/>
          <w:i/>
          <w:iCs/>
          <w:lang w:val="en-AU"/>
        </w:rPr>
        <w:t>primary health care practitioners</w:t>
      </w:r>
      <w:r>
        <w:rPr>
          <w:bCs/>
          <w:i/>
          <w:iCs/>
          <w:lang w:val="en-AU"/>
        </w:rPr>
        <w:t xml:space="preserve">, </w:t>
      </w:r>
      <w:r>
        <w:rPr>
          <w:bCs/>
          <w:lang w:val="en-AU"/>
        </w:rPr>
        <w:t>Unpublished report to the Australian Government Department of Health, 2016.</w:t>
      </w:r>
      <w:r w:rsidRPr="000F0B99">
        <w:rPr>
          <w:bCs/>
          <w:i/>
          <w:iCs/>
          <w:lang w:val="en-AU"/>
        </w:rPr>
        <w:t xml:space="preserve"> </w:t>
      </w:r>
    </w:p>
    <w:p w14:paraId="35487165" w14:textId="57FA6087" w:rsidR="007F0CCE" w:rsidRPr="004C2AFB" w:rsidRDefault="007F0CCE">
      <w:pPr>
        <w:pStyle w:val="FootnoteText"/>
        <w:rPr>
          <w:lang w:val="en-AU"/>
        </w:rPr>
      </w:pPr>
      <w:r>
        <w:t xml:space="preserve"> </w:t>
      </w:r>
    </w:p>
  </w:footnote>
  <w:footnote w:id="20">
    <w:p w14:paraId="0B9827E6" w14:textId="77777777" w:rsidR="007F0CCE" w:rsidRPr="00A91721" w:rsidRDefault="007F0CCE" w:rsidP="006052C9">
      <w:pPr>
        <w:pStyle w:val="FootnoteText"/>
        <w:rPr>
          <w:rFonts w:asciiTheme="minorHAnsi" w:hAnsiTheme="minorHAnsi" w:cstheme="minorHAnsi"/>
          <w:lang w:val="en-AU"/>
        </w:rPr>
      </w:pPr>
      <w:r w:rsidRPr="00DB6256">
        <w:rPr>
          <w:rStyle w:val="FootnoteReference"/>
          <w:rFonts w:asciiTheme="minorHAnsi" w:hAnsiTheme="minorHAnsi" w:cstheme="minorHAnsi"/>
        </w:rPr>
        <w:footnoteRef/>
      </w:r>
      <w:r w:rsidRPr="00A91721">
        <w:rPr>
          <w:rFonts w:asciiTheme="minorHAnsi" w:hAnsiTheme="minorHAnsi" w:cstheme="minorHAnsi"/>
        </w:rPr>
        <w:t xml:space="preserve"> </w:t>
      </w:r>
      <w:r w:rsidRPr="00A91721">
        <w:rPr>
          <w:rFonts w:asciiTheme="minorHAnsi" w:hAnsiTheme="minorHAnsi" w:cstheme="minorHAnsi"/>
          <w:lang w:val="en-AU"/>
        </w:rPr>
        <w:t xml:space="preserve">Menzies School of Health Research, </w:t>
      </w:r>
      <w:r w:rsidRPr="00A91721">
        <w:rPr>
          <w:rFonts w:asciiTheme="minorHAnsi" w:hAnsiTheme="minorHAnsi" w:cstheme="minorHAnsi"/>
          <w:i/>
          <w:iCs/>
          <w:lang w:val="en-AU"/>
        </w:rPr>
        <w:t>Phase One Report</w:t>
      </w:r>
      <w:r w:rsidRPr="00A91721">
        <w:rPr>
          <w:rFonts w:asciiTheme="minorHAnsi" w:hAnsiTheme="minorHAnsi" w:cstheme="minorHAnsi"/>
          <w:lang w:val="en-AU"/>
        </w:rPr>
        <w:t>, unpublished report to the Australian Government, Canberra, 2016.</w:t>
      </w:r>
    </w:p>
  </w:footnote>
  <w:footnote w:id="21">
    <w:p w14:paraId="7C0EB589" w14:textId="77777777" w:rsidR="007F0CCE" w:rsidRPr="007A4DFC" w:rsidRDefault="007F0CCE" w:rsidP="00843F8F">
      <w:pPr>
        <w:rPr>
          <w:rFonts w:ascii="Times New Roman" w:eastAsia="Times New Roman" w:hAnsi="Times New Roman" w:cs="Times New Roman"/>
          <w:sz w:val="24"/>
        </w:rPr>
      </w:pPr>
      <w:r>
        <w:rPr>
          <w:rStyle w:val="FootnoteReference"/>
        </w:rPr>
        <w:footnoteRef/>
      </w:r>
      <w:r>
        <w:t xml:space="preserve"> </w:t>
      </w:r>
      <w:r w:rsidRPr="00843F8F">
        <w:rPr>
          <w:rStyle w:val="FootnoteTextChar"/>
        </w:rPr>
        <w:t xml:space="preserve">Greenhalgh TRG, MacFarlane F, Bate P, </w:t>
      </w:r>
      <w:r w:rsidRPr="00843F8F">
        <w:rPr>
          <w:rStyle w:val="FootnoteTextChar"/>
        </w:rPr>
        <w:t>Kyriakidou O. Diffusion of Innovations in Service Organisations: Systematic Review and Recommendations. The Milbank Quarterly. 2004, 82 (4): 581-629. 10.1111/j.0887-378X.2004.00325.x.</w:t>
      </w:r>
    </w:p>
  </w:footnote>
  <w:footnote w:id="22">
    <w:p w14:paraId="4D54E8A4" w14:textId="6997ED75" w:rsidR="007F0CCE" w:rsidRPr="00843F8F" w:rsidRDefault="007F0CCE">
      <w:pPr>
        <w:pStyle w:val="FootnoteText"/>
        <w:rPr>
          <w:lang w:val="en-AU"/>
        </w:rPr>
      </w:pPr>
      <w:r>
        <w:rPr>
          <w:rStyle w:val="FootnoteReference"/>
        </w:rPr>
        <w:footnoteRef/>
      </w:r>
      <w:r>
        <w:t xml:space="preserve"> </w:t>
      </w:r>
      <w:r w:rsidRPr="00843F8F">
        <w:t xml:space="preserve">This is a characteristic of innovations that can enable a better ‘fit’ between the innovation and the context in which it is to be used, and had been seen as a useful attribute for application in Indigenous primary health care </w:t>
      </w:r>
      <w:r w:rsidRPr="00843F8F">
        <w:t>centres, as for example in KL Gardner, M Dowden and S Togni, Understanding uptake of continuous quality improvement in Indigenous primary health care: lessons from a multi-site case study of the Audit and Best Practice for Chronic Disease project, Implementation Science, 5, 21, 2010. https://doi.org/10.1186/1748-5908-5-21</w:t>
      </w:r>
    </w:p>
  </w:footnote>
  <w:footnote w:id="23">
    <w:p w14:paraId="7A944A22" w14:textId="6F17D5DF" w:rsidR="007F0CCE" w:rsidRPr="00716982" w:rsidRDefault="007F0CCE" w:rsidP="00716982">
      <w:pPr>
        <w:spacing w:before="0" w:after="200"/>
        <w:rPr>
          <w:rStyle w:val="FootnoteTextChar"/>
        </w:rPr>
      </w:pPr>
      <w:r>
        <w:rPr>
          <w:rStyle w:val="FootnoteReference"/>
        </w:rPr>
        <w:footnoteRef/>
      </w:r>
      <w:r>
        <w:t xml:space="preserve"> </w:t>
      </w:r>
      <w:r w:rsidRPr="00716982">
        <w:rPr>
          <w:rStyle w:val="FootnoteTextChar"/>
        </w:rPr>
        <w:t>This small but important resource was overlooked among all the detail</w:t>
      </w:r>
      <w:r>
        <w:rPr>
          <w:rStyle w:val="FootnoteTextChar"/>
        </w:rPr>
        <w:t>s</w:t>
      </w:r>
      <w:r w:rsidRPr="00716982">
        <w:rPr>
          <w:rStyle w:val="FootnoteTextChar"/>
        </w:rPr>
        <w:t xml:space="preserve"> to be </w:t>
      </w:r>
      <w:r>
        <w:rPr>
          <w:rStyle w:val="FootnoteTextChar"/>
        </w:rPr>
        <w:t>worked through</w:t>
      </w:r>
      <w:r w:rsidRPr="00716982">
        <w:rPr>
          <w:rStyle w:val="FootnoteTextChar"/>
        </w:rPr>
        <w:t xml:space="preserve"> when, after months of delays around the NCSR, </w:t>
      </w:r>
      <w:r>
        <w:rPr>
          <w:rFonts w:cstheme="minorHAnsi"/>
        </w:rPr>
        <w:t xml:space="preserve">the </w:t>
      </w:r>
      <w:r w:rsidRPr="005A509A">
        <w:rPr>
          <w:rFonts w:eastAsiaTheme="majorEastAsia" w:cstheme="minorHAnsi"/>
          <w:sz w:val="20"/>
          <w:szCs w:val="20"/>
        </w:rPr>
        <w:t>Department of Health</w:t>
      </w:r>
      <w:r w:rsidRPr="004E4B3D">
        <w:t xml:space="preserve"> </w:t>
      </w:r>
      <w:r w:rsidRPr="00716982">
        <w:rPr>
          <w:rStyle w:val="FootnoteTextChar"/>
        </w:rPr>
        <w:t xml:space="preserve">decided to proceed with the Pilot before rather than after the NBCSP transitioned to the NCSR. The decision set a finite end date, and therefore a definite start date, before which a completely new set of administrative procedures for the Pilot needed to be developed, concurrent with Menzies </w:t>
      </w:r>
      <w:r>
        <w:rPr>
          <w:rStyle w:val="FootnoteTextChar"/>
        </w:rPr>
        <w:t xml:space="preserve">updating all the health </w:t>
      </w:r>
      <w:r>
        <w:rPr>
          <w:rStyle w:val="FootnoteTextChar"/>
        </w:rPr>
        <w:t xml:space="preserve">centre and research materials in order to </w:t>
      </w:r>
      <w:r w:rsidRPr="00716982">
        <w:rPr>
          <w:rStyle w:val="FootnoteTextChar"/>
        </w:rPr>
        <w:t xml:space="preserve">rollout the Pilot as a clinical trial. </w:t>
      </w:r>
    </w:p>
    <w:p w14:paraId="1B7F0E22" w14:textId="25ECFF93" w:rsidR="007F0CCE" w:rsidRPr="00716982" w:rsidRDefault="007F0CCE">
      <w:pPr>
        <w:pStyle w:val="FootnoteText"/>
        <w:rPr>
          <w:lang w:val="en-AU"/>
        </w:rPr>
      </w:pPr>
    </w:p>
  </w:footnote>
  <w:footnote w:id="24">
    <w:p w14:paraId="6A886FD7" w14:textId="170B9EC3" w:rsidR="007F0CCE" w:rsidRPr="00E66A93" w:rsidRDefault="007F0CCE">
      <w:pPr>
        <w:pStyle w:val="FootnoteText"/>
        <w:rPr>
          <w:lang w:val="en-AU"/>
        </w:rPr>
      </w:pPr>
      <w:r>
        <w:rPr>
          <w:rStyle w:val="FootnoteReference"/>
        </w:rPr>
        <w:footnoteRef/>
      </w:r>
      <w:r>
        <w:t xml:space="preserve"> These stakeholder groups (</w:t>
      </w:r>
      <w:r w:rsidRPr="004E4B3D">
        <w:rPr>
          <w:rFonts w:eastAsia="Times New Roman"/>
          <w:color w:val="000000"/>
          <w:szCs w:val="22"/>
        </w:rPr>
        <w:t xml:space="preserve">state or territory screening services, cancer councils, PHNs </w:t>
      </w:r>
      <w:r>
        <w:rPr>
          <w:rFonts w:eastAsia="Times New Roman"/>
          <w:color w:val="000000"/>
          <w:szCs w:val="22"/>
        </w:rPr>
        <w:t>and</w:t>
      </w:r>
      <w:r w:rsidRPr="004E4B3D">
        <w:rPr>
          <w:rFonts w:eastAsia="Times New Roman"/>
          <w:color w:val="000000"/>
          <w:szCs w:val="22"/>
        </w:rPr>
        <w:t xml:space="preserve"> ACCHO peak bodies</w:t>
      </w:r>
      <w:r>
        <w:rPr>
          <w:rFonts w:eastAsia="Times New Roman"/>
          <w:color w:val="000000"/>
          <w:szCs w:val="22"/>
        </w:rPr>
        <w:t>)</w:t>
      </w:r>
      <w:r>
        <w:t xml:space="preserve"> were identified as critical collaborators for the long-term success of an Alternative Pathway. Within the project they were designated</w:t>
      </w:r>
      <w:r w:rsidRPr="00CC34A8">
        <w:rPr>
          <w:i/>
          <w:iCs/>
        </w:rPr>
        <w:t xml:space="preserve"> Supporting Agencies</w:t>
      </w:r>
      <w:r>
        <w:t xml:space="preserve"> and actively engaged throughout the broader National Indigenous Bowel Screening Project. See Appendix G for further information about the role and activities of Supporting Agencies.</w:t>
      </w:r>
    </w:p>
  </w:footnote>
  <w:footnote w:id="25">
    <w:p w14:paraId="54EB3CF2" w14:textId="67903FC5" w:rsidR="007F0CCE" w:rsidRPr="001F20F7" w:rsidRDefault="007F0CCE" w:rsidP="002C70CB">
      <w:pPr>
        <w:pStyle w:val="FootnoteText"/>
        <w:rPr>
          <w:rFonts w:asciiTheme="minorHAnsi" w:hAnsiTheme="minorHAnsi" w:cstheme="minorHAnsi"/>
          <w:lang w:val="en-AU"/>
        </w:rPr>
      </w:pPr>
      <w:r w:rsidRPr="001F20F7">
        <w:rPr>
          <w:rStyle w:val="FootnoteReference"/>
          <w:rFonts w:asciiTheme="minorHAnsi" w:hAnsiTheme="minorHAnsi" w:cstheme="minorHAnsi"/>
        </w:rPr>
        <w:footnoteRef/>
      </w:r>
      <w:r w:rsidRPr="001F20F7">
        <w:rPr>
          <w:rFonts w:asciiTheme="minorHAnsi" w:hAnsiTheme="minorHAnsi" w:cstheme="minorHAnsi"/>
        </w:rPr>
        <w:t xml:space="preserve"> Australian Institute of Health and Welfare 2018. Aboriginal and Torres Strait Islander health </w:t>
      </w:r>
      <w:r w:rsidRPr="001F20F7">
        <w:rPr>
          <w:rFonts w:asciiTheme="minorHAnsi" w:hAnsiTheme="minorHAnsi" w:cstheme="minorHAnsi"/>
        </w:rPr>
        <w:t>organisations: Online Services Report—key results 2016–17. Aboriginal and Torres Strait Islander health services report no. 9. Cat no. IHW 196. Canberra: AIHW.</w:t>
      </w:r>
    </w:p>
  </w:footnote>
  <w:footnote w:id="26">
    <w:p w14:paraId="5F8DFAAF" w14:textId="77777777" w:rsidR="007F0CCE" w:rsidRPr="001F20F7" w:rsidRDefault="007F0CCE" w:rsidP="002C70CB">
      <w:pPr>
        <w:pStyle w:val="FootnoteText"/>
        <w:rPr>
          <w:rFonts w:asciiTheme="minorHAnsi" w:hAnsiTheme="minorHAnsi" w:cstheme="minorHAnsi"/>
          <w:lang w:val="en-AU"/>
        </w:rPr>
      </w:pPr>
      <w:r w:rsidRPr="001F20F7">
        <w:rPr>
          <w:rStyle w:val="FootnoteReference"/>
          <w:rFonts w:asciiTheme="minorHAnsi" w:hAnsiTheme="minorHAnsi" w:cstheme="minorHAnsi"/>
        </w:rPr>
        <w:footnoteRef/>
      </w:r>
      <w:r w:rsidRPr="001F20F7">
        <w:rPr>
          <w:rFonts w:asciiTheme="minorHAnsi" w:hAnsiTheme="minorHAnsi" w:cstheme="minorHAnsi"/>
        </w:rPr>
        <w:t xml:space="preserve"> </w:t>
      </w:r>
      <w:r w:rsidRPr="001F20F7">
        <w:rPr>
          <w:rFonts w:asciiTheme="minorHAnsi" w:hAnsiTheme="minorHAnsi" w:cstheme="minorHAnsi"/>
          <w:lang w:val="en-AU"/>
        </w:rPr>
        <w:t>These were all factors identified as potential barriers to screening in the pre-Pilot consultations (Menzies School of Health Research 2016. Phase One Report. Unpublished report to the Australian Government Department of Health).</w:t>
      </w:r>
    </w:p>
  </w:footnote>
  <w:footnote w:id="27">
    <w:p w14:paraId="64D7058E" w14:textId="77777777" w:rsidR="007F0CCE" w:rsidRPr="003B08AB" w:rsidRDefault="007F0CCE" w:rsidP="002C70CB">
      <w:pPr>
        <w:pStyle w:val="FootnoteText"/>
        <w:rPr>
          <w:rFonts w:asciiTheme="minorHAnsi" w:hAnsiTheme="minorHAnsi" w:cstheme="minorHAnsi"/>
          <w:lang w:val="en-AU"/>
        </w:rPr>
      </w:pPr>
      <w:r w:rsidRPr="003B08AB">
        <w:rPr>
          <w:rStyle w:val="FootnoteReference"/>
          <w:rFonts w:asciiTheme="minorHAnsi" w:hAnsiTheme="minorHAnsi" w:cstheme="minorHAnsi"/>
        </w:rPr>
        <w:footnoteRef/>
      </w:r>
      <w:r w:rsidRPr="003B08AB">
        <w:rPr>
          <w:rFonts w:asciiTheme="minorHAnsi" w:hAnsiTheme="minorHAnsi" w:cstheme="minorHAnsi"/>
        </w:rPr>
        <w:t xml:space="preserve"> Australian Institute of Health and Welfare 2018. Aboriginal and Torres Strait Islander health </w:t>
      </w:r>
      <w:r w:rsidRPr="003B08AB">
        <w:rPr>
          <w:rFonts w:asciiTheme="minorHAnsi" w:hAnsiTheme="minorHAnsi" w:cstheme="minorHAnsi"/>
        </w:rPr>
        <w:t>organisations: Online Services Report—key results 2016–17.</w:t>
      </w:r>
    </w:p>
  </w:footnote>
  <w:footnote w:id="28">
    <w:p w14:paraId="0588D662" w14:textId="77777777" w:rsidR="007F0CCE" w:rsidRPr="00CD3FE5" w:rsidRDefault="007F0CCE" w:rsidP="00E01583">
      <w:pPr>
        <w:pStyle w:val="FootnoteText"/>
        <w:rPr>
          <w:lang w:val="en-AU"/>
        </w:rPr>
      </w:pPr>
      <w:r>
        <w:rPr>
          <w:rStyle w:val="FootnoteReference"/>
        </w:rPr>
        <w:footnoteRef/>
      </w:r>
      <w:r>
        <w:t xml:space="preserve"> </w:t>
      </w:r>
      <w:r>
        <w:rPr>
          <w:lang w:val="en-AU"/>
        </w:rPr>
        <w:t xml:space="preserve">Health centres reported patient numbers in the Health Centre Profile (at the start of the Pilot) and in the Health Centre Report (collected between August and October 2019). </w:t>
      </w:r>
    </w:p>
  </w:footnote>
  <w:footnote w:id="29">
    <w:p w14:paraId="3BFBFB52" w14:textId="22D6265A" w:rsidR="007F0CCE" w:rsidRPr="0092371E" w:rsidRDefault="007F0CCE">
      <w:pPr>
        <w:pStyle w:val="FootnoteText"/>
        <w:rPr>
          <w:lang w:val="en-AU"/>
        </w:rPr>
      </w:pPr>
      <w:r>
        <w:rPr>
          <w:rStyle w:val="FootnoteReference"/>
        </w:rPr>
        <w:footnoteRef/>
      </w:r>
      <w:r>
        <w:t xml:space="preserve"> However, screening through the </w:t>
      </w:r>
      <w:r w:rsidRPr="0092371E">
        <w:t>Alternative Pathway</w:t>
      </w:r>
      <w:r>
        <w:t xml:space="preserve"> was offered only to Indigenous patients aged 50-74.</w:t>
      </w:r>
    </w:p>
  </w:footnote>
  <w:footnote w:id="30">
    <w:p w14:paraId="28109E14" w14:textId="77777777" w:rsidR="007F0CCE" w:rsidRPr="00FE3D3C" w:rsidRDefault="007F0CCE" w:rsidP="001E50F2">
      <w:pPr>
        <w:pStyle w:val="FootnoteText"/>
        <w:rPr>
          <w:rFonts w:asciiTheme="minorHAnsi" w:hAnsiTheme="minorHAnsi" w:cstheme="minorHAnsi"/>
          <w:lang w:val="en-AU"/>
        </w:rPr>
      </w:pPr>
      <w:r w:rsidRPr="00FE3D3C">
        <w:rPr>
          <w:rStyle w:val="FootnoteReference"/>
          <w:rFonts w:asciiTheme="minorHAnsi" w:hAnsiTheme="minorHAnsi" w:cstheme="minorHAnsi"/>
        </w:rPr>
        <w:footnoteRef/>
      </w:r>
      <w:r w:rsidRPr="00FE3D3C">
        <w:rPr>
          <w:rFonts w:asciiTheme="minorHAnsi" w:hAnsiTheme="minorHAnsi" w:cstheme="minorHAnsi"/>
        </w:rPr>
        <w:t xml:space="preserve"> </w:t>
      </w:r>
      <w:r w:rsidRPr="00FE3D3C">
        <w:rPr>
          <w:rFonts w:asciiTheme="minorHAnsi" w:hAnsiTheme="minorHAnsi" w:cstheme="minorHAnsi"/>
          <w:lang w:val="en-AU"/>
        </w:rPr>
        <w:t>Internal Australian Government Department of Health document.</w:t>
      </w:r>
    </w:p>
  </w:footnote>
  <w:footnote w:id="31">
    <w:p w14:paraId="1A9AACF3" w14:textId="0187FC63" w:rsidR="007F0CCE" w:rsidRPr="000C2BB0" w:rsidRDefault="007F0CCE" w:rsidP="000C2BB0">
      <w:pPr>
        <w:pStyle w:val="Default"/>
      </w:pPr>
      <w:r>
        <w:rPr>
          <w:rStyle w:val="FootnoteReference"/>
        </w:rPr>
        <w:footnoteRef/>
      </w:r>
      <w:r>
        <w:t xml:space="preserve"> </w:t>
      </w:r>
      <w:r w:rsidRPr="00431675">
        <w:rPr>
          <w:rStyle w:val="FootnoteTextChar"/>
        </w:rPr>
        <w:t xml:space="preserve">Cancer Council Australia, </w:t>
      </w:r>
      <w:r w:rsidRPr="00431675">
        <w:rPr>
          <w:rStyle w:val="FootnoteTextChar"/>
          <w:i/>
          <w:iCs/>
        </w:rPr>
        <w:t>Cancer Council aims to combat nation’s second biggest cancer killer - Australia’s first major national campaign promoting bowel cancer screening</w:t>
      </w:r>
      <w:r w:rsidRPr="00431675">
        <w:rPr>
          <w:rStyle w:val="FootnoteTextChar"/>
        </w:rPr>
        <w:t>. Media release, 4 March 2019. www.cancer.org.au.</w:t>
      </w:r>
    </w:p>
  </w:footnote>
  <w:footnote w:id="32">
    <w:p w14:paraId="5F3F3814" w14:textId="49DD08F2" w:rsidR="007F0CCE" w:rsidRPr="002521E4" w:rsidRDefault="007F0CCE" w:rsidP="00CF18D1">
      <w:pPr>
        <w:pStyle w:val="FootnoteText"/>
        <w:rPr>
          <w:lang w:val="en-AU"/>
        </w:rPr>
      </w:pPr>
      <w:r>
        <w:rPr>
          <w:rStyle w:val="FootnoteReference"/>
        </w:rPr>
        <w:footnoteRef/>
      </w:r>
      <w:r>
        <w:t xml:space="preserve">‘Contact’ is used here to include </w:t>
      </w:r>
      <w:r>
        <w:rPr>
          <w:lang w:val="en-AU"/>
        </w:rPr>
        <w:t xml:space="preserve">successful and unsuccessful efforts to contact the Site Coordinator or other identified contact at a health centre. It does not include the provision of feedback on a QSC. </w:t>
      </w:r>
    </w:p>
  </w:footnote>
  <w:footnote w:id="33">
    <w:p w14:paraId="17574BC8" w14:textId="0B763FAF" w:rsidR="007F0CCE" w:rsidRDefault="007F0CCE" w:rsidP="00CF18D1">
      <w:pPr>
        <w:pStyle w:val="FootnoteText"/>
      </w:pPr>
      <w:r>
        <w:rPr>
          <w:rStyle w:val="FootnoteReference"/>
        </w:rPr>
        <w:footnoteRef/>
      </w:r>
      <w:r>
        <w:t xml:space="preserve"> The rationale for allowing four health </w:t>
      </w:r>
      <w:r>
        <w:t xml:space="preserve">centres to enrol during the final weeks of the Pilot was that the Department of Health had by then authorised Pilot sites to continue to give out kits after the Pilot finished, for a limited period. However, to do so, the health centres needed to complete the Quality and Safety Checklist (QSC). Two of the four that enrolled completed the QSC before the end of the Pilot. Menzies undertook to support the remaining two centres to complete the QSC, and as all four sites were in Group B, to deliver face-to-face training if requested. Three of the four requested training, but as these sites were all in hot zones the training did not occur before the Covid-19 pandemic which has delayed its delivery to date.  </w:t>
      </w:r>
    </w:p>
  </w:footnote>
  <w:footnote w:id="34">
    <w:p w14:paraId="0423A20C" w14:textId="77777777" w:rsidR="007F0CCE" w:rsidRDefault="007F0CCE" w:rsidP="00A349AD">
      <w:pPr>
        <w:pStyle w:val="FootnoteText"/>
      </w:pPr>
      <w:r>
        <w:rPr>
          <w:rStyle w:val="FootnoteReference"/>
        </w:rPr>
        <w:footnoteRef/>
      </w:r>
      <w:r>
        <w:t xml:space="preserve"> Reported by Site Coordinators in responses to the Health Centre Report, mid-2019.</w:t>
      </w:r>
    </w:p>
  </w:footnote>
  <w:footnote w:id="35">
    <w:p w14:paraId="56E56BD3" w14:textId="15B3DF25" w:rsidR="007F0CCE" w:rsidRPr="00A442BA" w:rsidRDefault="007F0CCE" w:rsidP="00AA4149">
      <w:pPr>
        <w:pStyle w:val="FootnoteText"/>
        <w:rPr>
          <w:lang w:val="en-AU"/>
        </w:rPr>
      </w:pPr>
      <w:r>
        <w:rPr>
          <w:rStyle w:val="FootnoteReference"/>
        </w:rPr>
        <w:footnoteRef/>
      </w:r>
      <w:r>
        <w:t xml:space="preserve"> </w:t>
      </w:r>
      <w:r>
        <w:rPr>
          <w:lang w:val="en-AU"/>
        </w:rPr>
        <w:t xml:space="preserve">Results were mailed to health centres in hard copy by Sonic Healthcare for all results from samples completed through the Alternative Pathway (positive, negative, no result or inconclusive). However, in some circumstances health centre staff reported that results were not received. This could be explained in a number of ways: Health centre contact details were included in Part A of the Participant Details Form and if this was not submitted, results would only be sent to the patient. Patients could ask that their results be sent to a different health care provider. With the results arriving as hard copies, they were not easily visible when added to some health centre clinical information systems, in comparison to results received electronically. </w:t>
      </w:r>
    </w:p>
  </w:footnote>
  <w:footnote w:id="36">
    <w:p w14:paraId="3EF83476" w14:textId="6555ABF6" w:rsidR="007F0CCE" w:rsidRDefault="007F0CCE" w:rsidP="00A74860">
      <w:pPr>
        <w:pStyle w:val="FootnoteText"/>
        <w:rPr>
          <w:lang w:val="en-AU"/>
        </w:rPr>
      </w:pPr>
      <w:r>
        <w:rPr>
          <w:rStyle w:val="FootnoteReference"/>
        </w:rPr>
        <w:footnoteRef/>
      </w:r>
      <w:r>
        <w:t xml:space="preserve"> There are limitations in the calculation of Indigenous participation in the usual pathway, and the invitation rate for the Alternative Pathway, and as a result the participation rates for neither groups is precise. </w:t>
      </w:r>
      <w:r>
        <w:rPr>
          <w:rFonts w:cstheme="minorHAnsi"/>
        </w:rPr>
        <w:t xml:space="preserve">See below in this section for discussion of these limitations and how the Alternative Pathway participation rate has been calculated. </w:t>
      </w:r>
    </w:p>
  </w:footnote>
  <w:footnote w:id="37">
    <w:p w14:paraId="530162D1" w14:textId="77777777" w:rsidR="007F0CCE" w:rsidRDefault="007F0CCE" w:rsidP="00A74860">
      <w:pPr>
        <w:pStyle w:val="FootnoteText"/>
        <w:rPr>
          <w:lang w:val="en-AU"/>
        </w:rPr>
      </w:pPr>
      <w:r>
        <w:rPr>
          <w:rStyle w:val="FootnoteReference"/>
        </w:rPr>
        <w:footnoteRef/>
      </w:r>
      <w:r>
        <w:t xml:space="preserve"> </w:t>
      </w:r>
      <w:r>
        <w:rPr>
          <w:lang w:val="en-AU"/>
        </w:rPr>
        <w:t xml:space="preserve">The NCSR included plans to broaden the ways in which Indigenous invitees could be identified but we have been unable to ascertain whether these plans have been implemented or the extent to which their implementation might be feasible. </w:t>
      </w:r>
    </w:p>
  </w:footnote>
  <w:footnote w:id="38">
    <w:p w14:paraId="7738BE7E" w14:textId="77777777" w:rsidR="007F0CCE" w:rsidRDefault="007F0CCE" w:rsidP="00A74860">
      <w:pPr>
        <w:pStyle w:val="Default"/>
        <w:rPr>
          <w:rFonts w:ascii="Calibri" w:eastAsiaTheme="minorEastAsia" w:hAnsi="Calibri"/>
          <w:sz w:val="20"/>
          <w:szCs w:val="20"/>
        </w:rPr>
      </w:pPr>
      <w:r>
        <w:rPr>
          <w:rStyle w:val="FootnoteReference"/>
        </w:rPr>
        <w:footnoteRef/>
      </w:r>
      <w:r>
        <w:t xml:space="preserve"> </w:t>
      </w:r>
      <w:r>
        <w:rPr>
          <w:rFonts w:ascii="Calibri" w:eastAsiaTheme="minorEastAsia" w:hAnsi="Calibri"/>
          <w:color w:val="auto"/>
          <w:sz w:val="20"/>
          <w:szCs w:val="20"/>
          <w:lang w:val="en-AU" w:eastAsia="en-GB"/>
        </w:rPr>
        <w:t xml:space="preserve">This method of estimation does not account for the numerous barriers to Indigenous people receiving the invitation to screen, or the limitations identified in Census counts of Indigenous populations, particularly in southern Australia. See for example: Australian Bureau of Statistics, 2018, Estimates of Aboriginal and Torres Strait Islander Australians June 2016, cat. no. 3238.0.55.001, accessed online </w:t>
      </w:r>
      <w:hyperlink r:id="rId1" w:history="1">
        <w:r>
          <w:rPr>
            <w:rStyle w:val="Hyperlink"/>
            <w:rFonts w:ascii="Calibri" w:eastAsiaTheme="minorEastAsia" w:hAnsi="Calibri"/>
            <w:color w:val="auto"/>
            <w:sz w:val="20"/>
            <w:szCs w:val="20"/>
            <w:lang w:eastAsia="en-GB"/>
          </w:rPr>
          <w:t>www.abs.gov.au</w:t>
        </w:r>
      </w:hyperlink>
      <w:r>
        <w:rPr>
          <w:rFonts w:ascii="Calibri" w:eastAsiaTheme="minorEastAsia" w:hAnsi="Calibri"/>
          <w:color w:val="auto"/>
          <w:sz w:val="20"/>
          <w:szCs w:val="20"/>
          <w:lang w:val="en-AU" w:eastAsia="en-GB"/>
        </w:rPr>
        <w:t xml:space="preserve"> 28 August 2020; Taylor, J, </w:t>
      </w:r>
      <w:r>
        <w:rPr>
          <w:rFonts w:ascii="Calibri" w:hAnsi="Calibri"/>
          <w:sz w:val="20"/>
          <w:szCs w:val="20"/>
        </w:rPr>
        <w:t xml:space="preserve">Data for better Indigenous policy evaluation: achievements, constraints and opportunities, in </w:t>
      </w:r>
      <w:r>
        <w:rPr>
          <w:rFonts w:ascii="Calibri" w:eastAsiaTheme="minorEastAsia" w:hAnsi="Calibri"/>
          <w:sz w:val="20"/>
          <w:szCs w:val="20"/>
          <w:lang w:val="en-AU" w:eastAsia="en-GB"/>
        </w:rPr>
        <w:t>Productivity Commission</w:t>
      </w:r>
      <w:r>
        <w:rPr>
          <w:rFonts w:ascii="Calibri" w:hAnsi="Calibri"/>
          <w:sz w:val="20"/>
          <w:szCs w:val="20"/>
        </w:rPr>
        <w:t>,</w:t>
      </w:r>
      <w:r>
        <w:rPr>
          <w:rFonts w:ascii="Calibri" w:eastAsiaTheme="minorEastAsia" w:hAnsi="Calibri"/>
          <w:sz w:val="20"/>
          <w:szCs w:val="20"/>
          <w:lang w:val="en-AU" w:eastAsia="en-GB"/>
        </w:rPr>
        <w:t xml:space="preserve"> 2013, </w:t>
      </w:r>
      <w:r>
        <w:rPr>
          <w:rFonts w:ascii="Calibri" w:eastAsiaTheme="minorEastAsia" w:hAnsi="Calibri"/>
          <w:i/>
          <w:iCs/>
          <w:sz w:val="20"/>
          <w:szCs w:val="20"/>
          <w:lang w:val="en-AU" w:eastAsia="en-GB"/>
        </w:rPr>
        <w:t>Better Indigenous Policies: The Role of Evaluation</w:t>
      </w:r>
      <w:r>
        <w:rPr>
          <w:rFonts w:ascii="Calibri" w:eastAsiaTheme="minorEastAsia" w:hAnsi="Calibri"/>
          <w:sz w:val="20"/>
          <w:szCs w:val="20"/>
          <w:lang w:val="en-AU" w:eastAsia="en-GB"/>
        </w:rPr>
        <w:t>,</w:t>
      </w:r>
      <w:r>
        <w:rPr>
          <w:rFonts w:ascii="Calibri" w:hAnsi="Calibri"/>
          <w:sz w:val="20"/>
          <w:szCs w:val="20"/>
        </w:rPr>
        <w:t xml:space="preserve"> </w:t>
      </w:r>
      <w:r>
        <w:rPr>
          <w:rFonts w:ascii="Calibri" w:eastAsiaTheme="minorEastAsia" w:hAnsi="Calibri"/>
          <w:sz w:val="20"/>
          <w:szCs w:val="20"/>
          <w:lang w:val="en-AU" w:eastAsia="en-GB"/>
        </w:rPr>
        <w:t>Roundtable Proceedings, Productivity Commission, Canberra</w:t>
      </w:r>
      <w:r>
        <w:rPr>
          <w:rFonts w:ascii="Calibri" w:hAnsi="Calibri"/>
          <w:sz w:val="20"/>
          <w:szCs w:val="20"/>
        </w:rPr>
        <w:t>, pp.119-130.)</w:t>
      </w:r>
    </w:p>
    <w:p w14:paraId="56F0EE6B" w14:textId="77777777" w:rsidR="007F0CCE" w:rsidRDefault="007F0CCE" w:rsidP="00A74860">
      <w:pPr>
        <w:spacing w:before="0" w:after="0" w:line="240" w:lineRule="auto"/>
        <w:rPr>
          <w:rFonts w:ascii="Times New Roman" w:eastAsia="Times New Roman" w:hAnsi="Times New Roman" w:cs="Times New Roman"/>
          <w:sz w:val="24"/>
        </w:rPr>
      </w:pPr>
    </w:p>
    <w:p w14:paraId="73F76871" w14:textId="77777777" w:rsidR="007F0CCE" w:rsidRDefault="007F0CCE" w:rsidP="00A74860">
      <w:pPr>
        <w:pStyle w:val="FootnoteText"/>
        <w:rPr>
          <w:lang w:val="en-AU"/>
        </w:rPr>
      </w:pPr>
    </w:p>
  </w:footnote>
  <w:footnote w:id="39">
    <w:p w14:paraId="756EB4A1" w14:textId="77777777" w:rsidR="007F0CCE" w:rsidRDefault="007F0CCE" w:rsidP="00A74860">
      <w:pPr>
        <w:pStyle w:val="FootnoteText"/>
        <w:rPr>
          <w:lang w:val="en-AU"/>
        </w:rPr>
      </w:pPr>
      <w:r>
        <w:rPr>
          <w:rStyle w:val="FootnoteReference"/>
        </w:rPr>
        <w:footnoteRef/>
      </w:r>
      <w:r>
        <w:t xml:space="preserve"> This is the same period the AIHW uses for routine reporting of </w:t>
      </w:r>
      <w:r>
        <w:rPr>
          <w:lang w:val="en-AU"/>
        </w:rPr>
        <w:t>NBCSP participation: two calendar years, plus kits returned up to six months later to allow for those sent out late in the second calendar year. This extra six months of kit returns was able to be reported for the background screening rates, but the full six months was not available at the time the AIHW reported participation for the Pilot period.</w:t>
      </w:r>
    </w:p>
  </w:footnote>
  <w:footnote w:id="40">
    <w:p w14:paraId="33146ED0" w14:textId="77777777" w:rsidR="007F0CCE" w:rsidRDefault="007F0CCE" w:rsidP="00A74860">
      <w:pPr>
        <w:pStyle w:val="FootnoteText"/>
        <w:rPr>
          <w:lang w:val="en-AU"/>
        </w:rPr>
      </w:pPr>
      <w:r>
        <w:rPr>
          <w:rStyle w:val="FootnoteReference"/>
        </w:rPr>
        <w:footnoteRef/>
      </w:r>
      <w:r>
        <w:t xml:space="preserve"> </w:t>
      </w:r>
      <w:r>
        <w:rPr>
          <w:lang w:val="en-AU"/>
        </w:rPr>
        <w:t xml:space="preserve">For the Pilot period, 12 of the areas around Pilot sites that had given out kits had more people invited than the ABS estimate. </w:t>
      </w:r>
    </w:p>
  </w:footnote>
  <w:footnote w:id="41">
    <w:p w14:paraId="20D746EA" w14:textId="77777777" w:rsidR="007F0CCE" w:rsidRDefault="007F0CCE" w:rsidP="009D7489">
      <w:pPr>
        <w:spacing w:before="0" w:after="0" w:line="240" w:lineRule="auto"/>
        <w:rPr>
          <w:rFonts w:ascii="Times New Roman" w:eastAsia="Times New Roman" w:hAnsi="Times New Roman" w:cs="Times New Roman"/>
          <w:sz w:val="24"/>
        </w:rPr>
      </w:pPr>
      <w:r>
        <w:rPr>
          <w:rStyle w:val="FootnoteReference"/>
        </w:rPr>
        <w:footnoteRef/>
      </w:r>
      <w:r>
        <w:t xml:space="preserve"> </w:t>
      </w:r>
      <w:r>
        <w:rPr>
          <w:rFonts w:eastAsia="Times New Roman" w:cstheme="minorHAnsi"/>
          <w:sz w:val="18"/>
          <w:szCs w:val="18"/>
        </w:rPr>
        <w:t xml:space="preserve">Australian Institute of Health and Welfare 2020, </w:t>
      </w:r>
      <w:r>
        <w:rPr>
          <w:rFonts w:eastAsia="Times New Roman" w:cstheme="minorHAnsi"/>
          <w:i/>
          <w:iCs/>
          <w:sz w:val="18"/>
          <w:szCs w:val="18"/>
        </w:rPr>
        <w:t>National Bowel Cancer Screening Program: monitoring report 2020</w:t>
      </w:r>
      <w:r>
        <w:rPr>
          <w:rFonts w:eastAsia="Times New Roman" w:cstheme="minorHAnsi"/>
          <w:sz w:val="18"/>
          <w:szCs w:val="18"/>
        </w:rPr>
        <w:t>, AIHW, Canberra</w:t>
      </w:r>
      <w:r>
        <w:rPr>
          <w:rFonts w:ascii="Times New Roman" w:eastAsia="Times New Roman" w:hAnsi="Times New Roman" w:cs="Times New Roman"/>
          <w:sz w:val="24"/>
        </w:rPr>
        <w:t>.</w:t>
      </w:r>
    </w:p>
    <w:p w14:paraId="7DC84B0E" w14:textId="77777777" w:rsidR="007F0CCE" w:rsidRDefault="007F0CCE" w:rsidP="009D7489">
      <w:pPr>
        <w:pStyle w:val="FootnoteText"/>
        <w:rPr>
          <w:lang w:val="en-AU"/>
        </w:rPr>
      </w:pPr>
    </w:p>
  </w:footnote>
  <w:footnote w:id="42">
    <w:p w14:paraId="2B1050BD" w14:textId="77777777" w:rsidR="007F0CCE" w:rsidRPr="00A61C2A" w:rsidRDefault="007F0CCE" w:rsidP="00443D63">
      <w:pPr>
        <w:pStyle w:val="FootnoteText"/>
        <w:rPr>
          <w:rFonts w:asciiTheme="minorHAnsi" w:hAnsiTheme="minorHAnsi" w:cstheme="minorHAnsi"/>
          <w:sz w:val="12"/>
          <w:szCs w:val="12"/>
        </w:rPr>
      </w:pPr>
      <w:r w:rsidRPr="00A61C2A">
        <w:rPr>
          <w:rStyle w:val="FootnoteReference"/>
          <w:rFonts w:asciiTheme="minorHAnsi" w:hAnsiTheme="minorHAnsi" w:cstheme="minorHAnsi"/>
        </w:rPr>
        <w:footnoteRef/>
      </w:r>
      <w:r w:rsidRPr="00A61C2A">
        <w:rPr>
          <w:rFonts w:asciiTheme="minorHAnsi" w:hAnsiTheme="minorHAnsi" w:cstheme="minorHAnsi"/>
        </w:rPr>
        <w:t xml:space="preserve"> </w:t>
      </w:r>
      <w:r w:rsidRPr="00A75AFA">
        <w:t>Bessarab D, Ng'andu B. Yarning about yarning as a legitimate method in Indigenous research. International Journal of Critical Indigenous Studies 2010; 3 (1),37-50.</w:t>
      </w:r>
    </w:p>
  </w:footnote>
  <w:footnote w:id="43">
    <w:p w14:paraId="31E73269" w14:textId="77777777" w:rsidR="007F0CCE" w:rsidRPr="00BC2B66" w:rsidRDefault="007F0CCE" w:rsidP="00DA5348">
      <w:pPr>
        <w:pStyle w:val="FootnoteText"/>
        <w:rPr>
          <w:lang w:val="en-AU"/>
        </w:rPr>
      </w:pPr>
      <w:r>
        <w:rPr>
          <w:rStyle w:val="FootnoteReference"/>
        </w:rPr>
        <w:footnoteRef/>
      </w:r>
      <w:r>
        <w:t xml:space="preserve"> </w:t>
      </w:r>
      <w:r w:rsidRPr="006354D8">
        <w:rPr>
          <w:rFonts w:cstheme="minorHAnsi"/>
          <w:iCs/>
          <w:lang w:eastAsia="en-AU"/>
        </w:rPr>
        <w:t>‘</w:t>
      </w:r>
      <w:r>
        <w:rPr>
          <w:rFonts w:cstheme="minorHAnsi"/>
          <w:iCs/>
          <w:lang w:eastAsia="en-AU"/>
        </w:rPr>
        <w:t>Fi</w:t>
      </w:r>
      <w:r w:rsidRPr="006354D8">
        <w:rPr>
          <w:rFonts w:cstheme="minorHAnsi"/>
          <w:iCs/>
          <w:lang w:eastAsia="en-AU"/>
        </w:rPr>
        <w:t>t for purpose’ was defined as whether the support provided through the Pilot addressed key knowledge and skill requirements to deliver the Alternative Pathway; barriers identified through earlier phases of the project such as lack of motivation</w:t>
      </w:r>
      <w:r>
        <w:rPr>
          <w:rFonts w:cstheme="minorHAnsi"/>
          <w:iCs/>
          <w:lang w:eastAsia="en-AU"/>
        </w:rPr>
        <w:t xml:space="preserve"> or </w:t>
      </w:r>
      <w:r w:rsidRPr="006354D8">
        <w:rPr>
          <w:rFonts w:cstheme="minorHAnsi"/>
          <w:iCs/>
          <w:lang w:eastAsia="en-AU"/>
        </w:rPr>
        <w:t xml:space="preserve">confidence or a shortage of suitable resources for use with Indigenous patients; and was delivered in modes that were suitable for the target audience (primary health care </w:t>
      </w:r>
      <w:r w:rsidRPr="006354D8">
        <w:rPr>
          <w:rFonts w:cstheme="minorHAnsi"/>
          <w:iCs/>
          <w:lang w:eastAsia="en-AU"/>
        </w:rPr>
        <w:t>centre staff</w:t>
      </w:r>
      <w:r>
        <w:rPr>
          <w:rFonts w:cstheme="minorHAnsi"/>
          <w:iCs/>
          <w:lang w:eastAsia="en-AU"/>
        </w:rPr>
        <w:t xml:space="preserve"> including Indigenous Health Workers and Practitioners, nurses and GPs</w:t>
      </w:r>
      <w:r w:rsidRPr="006354D8">
        <w:rPr>
          <w:rFonts w:cstheme="minorHAnsi"/>
          <w:iCs/>
          <w:lang w:eastAsia="en-AU"/>
        </w:rPr>
        <w:t xml:space="preserve">).  </w:t>
      </w:r>
    </w:p>
  </w:footnote>
  <w:footnote w:id="44">
    <w:p w14:paraId="7242EC69" w14:textId="77777777" w:rsidR="007F0CCE" w:rsidRPr="00917A19" w:rsidRDefault="007F0CCE" w:rsidP="00B84879">
      <w:pPr>
        <w:pStyle w:val="FootnoteText"/>
        <w:rPr>
          <w:lang w:val="en-AU"/>
        </w:rPr>
      </w:pPr>
      <w:r>
        <w:rPr>
          <w:rStyle w:val="FootnoteReference"/>
        </w:rPr>
        <w:footnoteRef/>
      </w:r>
      <w:r>
        <w:t xml:space="preserve"> </w:t>
      </w:r>
      <w:r w:rsidRPr="00F676D8">
        <w:rPr>
          <w:rFonts w:cstheme="minorHAnsi"/>
          <w:lang w:val="en-AU"/>
        </w:rPr>
        <w:t xml:space="preserve">Menzies School of Health Research, </w:t>
      </w:r>
      <w:r w:rsidRPr="00F676D8">
        <w:rPr>
          <w:rFonts w:cstheme="minorHAnsi"/>
          <w:i/>
          <w:iCs/>
          <w:lang w:val="en-AU"/>
        </w:rPr>
        <w:t xml:space="preserve">The Alternative Pathway in your Health Centre: A guide to getting started. </w:t>
      </w:r>
      <w:r w:rsidRPr="00F676D8">
        <w:rPr>
          <w:rFonts w:cstheme="minorHAnsi"/>
          <w:lang w:val="en-AU"/>
        </w:rPr>
        <w:t>Manual for National Indigenous Bowel Screening Pilot, Australian Government Department of Health, Canberra, 2018-19.</w:t>
      </w:r>
    </w:p>
  </w:footnote>
  <w:footnote w:id="45">
    <w:p w14:paraId="3615738A" w14:textId="77777777" w:rsidR="007F0CCE" w:rsidRPr="001716A6" w:rsidRDefault="007F0CCE" w:rsidP="002C6D5C">
      <w:pPr>
        <w:spacing w:before="0" w:after="0" w:line="240" w:lineRule="auto"/>
        <w:rPr>
          <w:rFonts w:ascii="Times New Roman" w:eastAsia="Times New Roman" w:hAnsi="Times New Roman" w:cs="Times New Roman"/>
          <w:sz w:val="24"/>
        </w:rPr>
      </w:pPr>
      <w:r>
        <w:rPr>
          <w:rStyle w:val="FootnoteReference"/>
        </w:rPr>
        <w:footnoteRef/>
      </w:r>
      <w:r>
        <w:t xml:space="preserve"> </w:t>
      </w:r>
      <w:r w:rsidRPr="00A15136">
        <w:rPr>
          <w:rStyle w:val="FootnoteTextChar"/>
        </w:rPr>
        <w:t xml:space="preserve">Australian Institute of Health and Welfare, </w:t>
      </w:r>
      <w:r w:rsidRPr="00A15136">
        <w:rPr>
          <w:rStyle w:val="FootnoteTextChar"/>
          <w:i/>
          <w:iCs/>
        </w:rPr>
        <w:t>Cancer in Aboriginal and Torres Strait Islander people of Australia</w:t>
      </w:r>
      <w:r w:rsidRPr="00A15136">
        <w:rPr>
          <w:rStyle w:val="FootnoteTextChar"/>
        </w:rPr>
        <w:t xml:space="preserve">, Cat. no. CAN 109. Canberra: AIHW. 2018. </w:t>
      </w:r>
    </w:p>
    <w:p w14:paraId="6FFE4CB9" w14:textId="77777777" w:rsidR="007F0CCE" w:rsidRPr="001716A6" w:rsidRDefault="007F0CCE" w:rsidP="002C6D5C">
      <w:pPr>
        <w:pStyle w:val="FootnoteText"/>
        <w:rPr>
          <w:lang w:val="en-AU"/>
        </w:rPr>
      </w:pPr>
    </w:p>
  </w:footnote>
  <w:footnote w:id="46">
    <w:p w14:paraId="586FCDB6" w14:textId="77777777" w:rsidR="007F0CCE" w:rsidRPr="001716A6" w:rsidRDefault="007F0CCE" w:rsidP="00E61828">
      <w:pPr>
        <w:spacing w:before="0" w:after="0" w:line="240" w:lineRule="auto"/>
        <w:rPr>
          <w:rFonts w:ascii="Times New Roman" w:eastAsia="Times New Roman" w:hAnsi="Times New Roman" w:cs="Times New Roman"/>
          <w:sz w:val="24"/>
        </w:rPr>
      </w:pPr>
      <w:r>
        <w:rPr>
          <w:rStyle w:val="FootnoteReference"/>
        </w:rPr>
        <w:footnoteRef/>
      </w:r>
      <w:r>
        <w:t xml:space="preserve"> </w:t>
      </w:r>
      <w:r w:rsidRPr="004241E6">
        <w:rPr>
          <w:rStyle w:val="FootnoteTextChar"/>
        </w:rPr>
        <w:t xml:space="preserve">Australian Institute of Health and Welfare, </w:t>
      </w:r>
      <w:r w:rsidRPr="004241E6">
        <w:rPr>
          <w:rStyle w:val="FootnoteTextChar"/>
          <w:i/>
          <w:iCs/>
        </w:rPr>
        <w:t>Cancer in Aboriginal and Torres Strait Islander people of Australia</w:t>
      </w:r>
      <w:r w:rsidRPr="004241E6">
        <w:rPr>
          <w:rStyle w:val="FootnoteTextChar"/>
        </w:rPr>
        <w:t>, Cat. no. CAN 109. Canberra: AIHW. 2018</w:t>
      </w:r>
      <w:r w:rsidRPr="00A15136">
        <w:t xml:space="preserve">. </w:t>
      </w:r>
    </w:p>
    <w:p w14:paraId="54339702" w14:textId="77777777" w:rsidR="007F0CCE" w:rsidRPr="001716A6" w:rsidRDefault="007F0CCE" w:rsidP="00E61828">
      <w:pPr>
        <w:pStyle w:val="FootnoteText"/>
        <w:rPr>
          <w:lang w:val="en-AU"/>
        </w:rPr>
      </w:pPr>
    </w:p>
  </w:footnote>
  <w:footnote w:id="47">
    <w:p w14:paraId="55A388C3" w14:textId="3FED5224" w:rsidR="007F0CCE" w:rsidRPr="007F4305" w:rsidRDefault="007F0CCE" w:rsidP="007F4305">
      <w:pPr>
        <w:pStyle w:val="FootnoteText"/>
      </w:pPr>
      <w:r>
        <w:rPr>
          <w:rStyle w:val="FootnoteReference"/>
        </w:rPr>
        <w:footnoteRef/>
      </w:r>
      <w:r>
        <w:t xml:space="preserve"> </w:t>
      </w:r>
      <w:r w:rsidRPr="007F4305">
        <w:t xml:space="preserve">J Lew et al. </w:t>
      </w:r>
      <w:r>
        <w:t>‘</w:t>
      </w:r>
      <w:r w:rsidRPr="007F4305">
        <w:t>Long-term evaluation of benefits, harms, and cost-effectiveness of the National Bowel Cancer Screening Program in Australia: a modelling study</w:t>
      </w:r>
      <w:r>
        <w:t xml:space="preserve">,’ </w:t>
      </w:r>
      <w:r w:rsidRPr="007F4305">
        <w:rPr>
          <w:i/>
          <w:iCs/>
        </w:rPr>
        <w:t xml:space="preserve">The Lancet Public Health, </w:t>
      </w:r>
      <w:r w:rsidRPr="007F4305">
        <w:t>Volume 2, Issue 7, e331 - e340</w:t>
      </w:r>
      <w:r>
        <w:t>. 2017.</w:t>
      </w:r>
    </w:p>
    <w:p w14:paraId="683FD44C" w14:textId="7DC290DB" w:rsidR="007F0CCE" w:rsidRPr="007F4305" w:rsidRDefault="007F0CCE">
      <w:pPr>
        <w:pStyle w:val="FootnoteText"/>
        <w:rPr>
          <w:lang w:val="en-AU"/>
        </w:rPr>
      </w:pPr>
    </w:p>
  </w:footnote>
  <w:footnote w:id="48">
    <w:p w14:paraId="7EE52F68" w14:textId="395899B3" w:rsidR="007F0CCE" w:rsidRPr="00427A9E" w:rsidRDefault="007F0CCE" w:rsidP="00864C67">
      <w:pPr>
        <w:rPr>
          <w:rFonts w:cstheme="minorHAnsi"/>
          <w:b/>
          <w:bCs/>
          <w:i/>
          <w:color w:val="000000" w:themeColor="text1"/>
          <w:sz w:val="18"/>
          <w:szCs w:val="13"/>
        </w:rPr>
      </w:pPr>
      <w:r>
        <w:rPr>
          <w:rStyle w:val="FootnoteReference"/>
        </w:rPr>
        <w:footnoteRef/>
      </w:r>
      <w:r>
        <w:t xml:space="preserve"> </w:t>
      </w:r>
      <w:r w:rsidRPr="004241E6">
        <w:rPr>
          <w:rStyle w:val="FootnoteTextChar"/>
        </w:rPr>
        <w:t xml:space="preserve">Australian Government Department of Health, </w:t>
      </w:r>
      <w:r w:rsidRPr="004241E6">
        <w:rPr>
          <w:rStyle w:val="FootnoteTextChar"/>
          <w:i/>
          <w:iCs/>
        </w:rPr>
        <w:t>Evaluation of the National Pilot of an Alternative Pathway for the National Bowel Cancer Screening Program (NBCSP) for Indigenous Australians: Evaluation Plan</w:t>
      </w:r>
      <w:r w:rsidRPr="004241E6">
        <w:rPr>
          <w:rStyle w:val="FootnoteTextChar"/>
        </w:rPr>
        <w:t>. Australian Government, Canberra, 2019</w:t>
      </w:r>
      <w:r w:rsidRPr="00864C67">
        <w:rPr>
          <w:rStyle w:val="FootnoteTextChar"/>
        </w:rPr>
        <w:t>.</w:t>
      </w:r>
    </w:p>
    <w:p w14:paraId="33CE81BB" w14:textId="4E146D6E" w:rsidR="007F0CCE" w:rsidRPr="00F57A2C" w:rsidRDefault="007F0CCE">
      <w:pPr>
        <w:pStyle w:val="FootnoteText"/>
        <w:rPr>
          <w:lang w:val="en-AU"/>
        </w:rPr>
      </w:pPr>
    </w:p>
  </w:footnote>
  <w:footnote w:id="49">
    <w:p w14:paraId="6693E75E" w14:textId="77777777" w:rsidR="007F0CCE" w:rsidRDefault="007F0CCE" w:rsidP="00970511">
      <w:pPr>
        <w:pStyle w:val="FootnoteText"/>
      </w:pPr>
      <w:r>
        <w:rPr>
          <w:rStyle w:val="FootnoteReference"/>
        </w:rPr>
        <w:footnoteRef/>
      </w:r>
      <w:r>
        <w:t xml:space="preserve"> Implementation references</w:t>
      </w:r>
    </w:p>
  </w:footnote>
  <w:footnote w:id="50">
    <w:p w14:paraId="531FE0C2" w14:textId="77777777" w:rsidR="007F0CCE" w:rsidRDefault="007F0CCE" w:rsidP="00970511">
      <w:pPr>
        <w:pStyle w:val="FootnoteText"/>
      </w:pPr>
      <w:r>
        <w:rPr>
          <w:rStyle w:val="FootnoteReference"/>
        </w:rPr>
        <w:footnoteRef/>
      </w:r>
      <w:r>
        <w:t xml:space="preserve"> Australian Government Department of Health, </w:t>
      </w:r>
      <w:r w:rsidRPr="00FE3D3C">
        <w:rPr>
          <w:i/>
          <w:iCs/>
        </w:rPr>
        <w:t xml:space="preserve">The Alternative Pathway in your health </w:t>
      </w:r>
      <w:r w:rsidRPr="00FE3D3C">
        <w:rPr>
          <w:i/>
          <w:iCs/>
        </w:rPr>
        <w:t>centre</w:t>
      </w:r>
      <w:r>
        <w:t>. Menzies School of Health Research. Report to the Department of Health.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6B722" w14:textId="77777777" w:rsidR="007F0CCE" w:rsidRDefault="007F0CCE" w:rsidP="002A20BB">
    <w:pPr>
      <w:tabs>
        <w:tab w:val="left" w:pos="1973"/>
        <w:tab w:val="center" w:pos="4873"/>
      </w:tabs>
      <w:rPr>
        <w:b/>
        <w:bCs/>
        <w:sz w:val="28"/>
        <w:szCs w:val="28"/>
      </w:rPr>
    </w:pPr>
    <w:r>
      <w:rPr>
        <w:b/>
        <w:bCs/>
        <w:sz w:val="28"/>
        <w:szCs w:val="28"/>
      </w:rPr>
      <w:tab/>
    </w:r>
    <w:r>
      <w:rPr>
        <w:b/>
        <w:bCs/>
        <w:sz w:val="28"/>
        <w:szCs w:val="28"/>
      </w:rPr>
      <w:tab/>
    </w:r>
  </w:p>
  <w:p w14:paraId="2A8C5B96" w14:textId="77777777" w:rsidR="007F0CCE" w:rsidRDefault="007F0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76036" w14:textId="708D2D63" w:rsidR="007F0CCE" w:rsidRDefault="007F0CCE" w:rsidP="002A20BB">
    <w:pPr>
      <w:tabs>
        <w:tab w:val="left" w:pos="1973"/>
        <w:tab w:val="center" w:pos="4873"/>
      </w:tabs>
      <w:rPr>
        <w:b/>
        <w:bCs/>
        <w:sz w:val="28"/>
        <w:szCs w:val="28"/>
      </w:rPr>
    </w:pPr>
    <w:r>
      <w:rPr>
        <w:b/>
        <w:bCs/>
        <w:sz w:val="28"/>
        <w:szCs w:val="28"/>
      </w:rPr>
      <w:tab/>
    </w:r>
    <w:r>
      <w:rPr>
        <w:b/>
        <w:bCs/>
        <w:sz w:val="28"/>
        <w:szCs w:val="28"/>
      </w:rPr>
      <w:tab/>
    </w:r>
  </w:p>
  <w:p w14:paraId="0702AEEB" w14:textId="77777777" w:rsidR="007F0CCE" w:rsidRDefault="007F0C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21703"/>
    <w:multiLevelType w:val="hybridMultilevel"/>
    <w:tmpl w:val="10387DF4"/>
    <w:lvl w:ilvl="0" w:tplc="D78A4F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740A0"/>
    <w:multiLevelType w:val="hybridMultilevel"/>
    <w:tmpl w:val="DC1CDF7A"/>
    <w:lvl w:ilvl="0" w:tplc="1FEE3CD4">
      <w:start w:val="12"/>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A8028E"/>
    <w:multiLevelType w:val="hybridMultilevel"/>
    <w:tmpl w:val="4838F6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245C22"/>
    <w:multiLevelType w:val="hybridMultilevel"/>
    <w:tmpl w:val="139C951A"/>
    <w:lvl w:ilvl="0" w:tplc="1FEE3CD4">
      <w:start w:val="12"/>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3910FE"/>
    <w:multiLevelType w:val="hybridMultilevel"/>
    <w:tmpl w:val="1C567CCC"/>
    <w:lvl w:ilvl="0" w:tplc="1FEE3CD4">
      <w:start w:val="12"/>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2C4B23"/>
    <w:multiLevelType w:val="multilevel"/>
    <w:tmpl w:val="4CB87F52"/>
    <w:lvl w:ilvl="0">
      <w:start w:val="1"/>
      <w:numFmt w:val="decimal"/>
      <w:lvlText w:val="%1"/>
      <w:lvlJc w:val="left"/>
      <w:pPr>
        <w:ind w:left="2841"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CC46569"/>
    <w:multiLevelType w:val="hybridMultilevel"/>
    <w:tmpl w:val="64663B94"/>
    <w:lvl w:ilvl="0" w:tplc="0C090019">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6063B"/>
    <w:multiLevelType w:val="hybridMultilevel"/>
    <w:tmpl w:val="046CE5B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67985"/>
    <w:multiLevelType w:val="hybridMultilevel"/>
    <w:tmpl w:val="58982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BA5AC2"/>
    <w:multiLevelType w:val="hybridMultilevel"/>
    <w:tmpl w:val="E3B8CD92"/>
    <w:lvl w:ilvl="0" w:tplc="2AEAC7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B2F83"/>
    <w:multiLevelType w:val="hybridMultilevel"/>
    <w:tmpl w:val="05D637EA"/>
    <w:lvl w:ilvl="0" w:tplc="943AE45E">
      <w:numFmt w:val="bullet"/>
      <w:lvlText w:val="•"/>
      <w:lvlJc w:val="left"/>
      <w:pPr>
        <w:ind w:left="360" w:hanging="360"/>
      </w:pPr>
      <w:rPr>
        <w:rFonts w:ascii="Calibri" w:eastAsiaTheme="minorEastAsia" w:hAnsi="Calibri" w:cs="Calibri" w:hint="default"/>
      </w:rPr>
    </w:lvl>
    <w:lvl w:ilvl="1" w:tplc="1FEE3CD4">
      <w:start w:val="12"/>
      <w:numFmt w:val="bullet"/>
      <w:lvlText w:val="-"/>
      <w:lvlJc w:val="left"/>
      <w:pPr>
        <w:ind w:left="1080" w:hanging="360"/>
      </w:pPr>
      <w:rPr>
        <w:rFonts w:ascii="Calibri" w:eastAsia="Times New Roman" w:hAnsi="Calibri"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C554B4"/>
    <w:multiLevelType w:val="hybridMultilevel"/>
    <w:tmpl w:val="9524EF28"/>
    <w:lvl w:ilvl="0" w:tplc="1FEE3CD4">
      <w:start w:val="12"/>
      <w:numFmt w:val="bullet"/>
      <w:lvlText w:val="-"/>
      <w:lvlJc w:val="left"/>
      <w:pPr>
        <w:ind w:left="360" w:hanging="360"/>
      </w:pPr>
      <w:rPr>
        <w:rFonts w:ascii="Calibri" w:eastAsia="Times New Roman" w:hAnsi="Calibri" w:cs="Arial" w:hint="default"/>
      </w:rPr>
    </w:lvl>
    <w:lvl w:ilvl="1" w:tplc="D78A4F08">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1D692E"/>
    <w:multiLevelType w:val="multilevel"/>
    <w:tmpl w:val="685C0E4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pStyle w:val="level3textandnumber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1E4B65"/>
    <w:multiLevelType w:val="hybridMultilevel"/>
    <w:tmpl w:val="3580E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822D9E"/>
    <w:multiLevelType w:val="hybridMultilevel"/>
    <w:tmpl w:val="A17C9BD8"/>
    <w:lvl w:ilvl="0" w:tplc="564C0850">
      <w:start w:val="1"/>
      <w:numFmt w:val="bullet"/>
      <w:lvlText w:val="-"/>
      <w:lvlJc w:val="left"/>
      <w:pPr>
        <w:ind w:left="720" w:hanging="360"/>
      </w:pPr>
      <w:rPr>
        <w:rFonts w:ascii="Courier New" w:hAnsi="Courier New" w:hint="default"/>
      </w:rPr>
    </w:lvl>
    <w:lvl w:ilvl="1" w:tplc="D78A4F08">
      <w:numFmt w:val="bullet"/>
      <w:lvlText w:val="-"/>
      <w:lvlJc w:val="left"/>
      <w:pPr>
        <w:ind w:left="1440" w:hanging="360"/>
      </w:pPr>
      <w:rPr>
        <w:rFonts w:ascii="Calibri" w:eastAsiaTheme="minorHAnsi" w:hAnsi="Calibri" w:cs="Calibri" w:hint="default"/>
      </w:rPr>
    </w:lvl>
    <w:lvl w:ilvl="2" w:tplc="F146BF2A">
      <w:start w:val="6"/>
      <w:numFmt w:val="bullet"/>
      <w:lvlText w:val=""/>
      <w:lvlJc w:val="left"/>
      <w:pPr>
        <w:ind w:left="2160" w:hanging="360"/>
      </w:pPr>
      <w:rPr>
        <w:rFonts w:ascii="Wingdings" w:eastAsiaTheme="minorEastAsia" w:hAnsi="Wingdings" w:cstheme="minorHAns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83636"/>
    <w:multiLevelType w:val="hybridMultilevel"/>
    <w:tmpl w:val="F7400094"/>
    <w:lvl w:ilvl="0" w:tplc="1FEE3CD4">
      <w:start w:val="12"/>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756353D"/>
    <w:multiLevelType w:val="hybridMultilevel"/>
    <w:tmpl w:val="A4BA18D8"/>
    <w:lvl w:ilvl="0" w:tplc="1FEE3CD4">
      <w:start w:val="12"/>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9265918"/>
    <w:multiLevelType w:val="hybridMultilevel"/>
    <w:tmpl w:val="6F2673E0"/>
    <w:lvl w:ilvl="0" w:tplc="1FEE3CD4">
      <w:start w:val="12"/>
      <w:numFmt w:val="bullet"/>
      <w:lvlText w:val="-"/>
      <w:lvlJc w:val="left"/>
      <w:pPr>
        <w:ind w:left="360" w:hanging="360"/>
      </w:pPr>
      <w:rPr>
        <w:rFonts w:ascii="Calibri" w:eastAsia="Times New Roman" w:hAnsi="Calibri" w:cs="Arial" w:hint="default"/>
      </w:rPr>
    </w:lvl>
    <w:lvl w:ilvl="1" w:tplc="1FEE3CD4">
      <w:start w:val="12"/>
      <w:numFmt w:val="bullet"/>
      <w:lvlText w:val="-"/>
      <w:lvlJc w:val="left"/>
      <w:pPr>
        <w:ind w:left="1080" w:hanging="360"/>
      </w:pPr>
      <w:rPr>
        <w:rFonts w:ascii="Calibri" w:eastAsia="Times New Roman" w:hAnsi="Calibri"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1C1D71"/>
    <w:multiLevelType w:val="hybridMultilevel"/>
    <w:tmpl w:val="715EA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284C15"/>
    <w:multiLevelType w:val="hybridMultilevel"/>
    <w:tmpl w:val="FA38E7F6"/>
    <w:lvl w:ilvl="0" w:tplc="943AE45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46227"/>
    <w:multiLevelType w:val="hybridMultilevel"/>
    <w:tmpl w:val="7C928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C30314"/>
    <w:multiLevelType w:val="hybridMultilevel"/>
    <w:tmpl w:val="9ED27074"/>
    <w:lvl w:ilvl="0" w:tplc="7E5636F6">
      <w:start w:val="1"/>
      <w:numFmt w:val="decimal"/>
      <w:lvlText w:val="%1."/>
      <w:lvlJc w:val="left"/>
      <w:pPr>
        <w:ind w:left="720" w:hanging="360"/>
      </w:pPr>
      <w:rPr>
        <w:rFonts w:asciiTheme="minorHAnsi" w:eastAsiaTheme="minorEastAsia"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321D8C"/>
    <w:multiLevelType w:val="hybridMultilevel"/>
    <w:tmpl w:val="6836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7C31FB"/>
    <w:multiLevelType w:val="hybridMultilevel"/>
    <w:tmpl w:val="9CA01B0C"/>
    <w:lvl w:ilvl="0" w:tplc="564C085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CB5A36"/>
    <w:multiLevelType w:val="multilevel"/>
    <w:tmpl w:val="33F2407E"/>
    <w:lvl w:ilvl="0">
      <w:start w:val="1"/>
      <w:numFmt w:val="decimal"/>
      <w:lvlText w:val="%1."/>
      <w:lvlJc w:val="left"/>
      <w:pPr>
        <w:ind w:left="720" w:hanging="360"/>
      </w:pPr>
      <w:rPr>
        <w:rFonts w:hint="default"/>
      </w:r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25" w15:restartNumberingAfterBreak="0">
    <w:nsid w:val="32D9675B"/>
    <w:multiLevelType w:val="hybridMultilevel"/>
    <w:tmpl w:val="A8C89904"/>
    <w:lvl w:ilvl="0" w:tplc="0C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3C96C5D"/>
    <w:multiLevelType w:val="hybridMultilevel"/>
    <w:tmpl w:val="E932CA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4B07A6D"/>
    <w:multiLevelType w:val="hybridMultilevel"/>
    <w:tmpl w:val="0C3A60B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4A7E54"/>
    <w:multiLevelType w:val="multilevel"/>
    <w:tmpl w:val="E076CC18"/>
    <w:lvl w:ilvl="0">
      <w:start w:val="1"/>
      <w:numFmt w:val="lowerLetter"/>
      <w:pStyle w:val="Alphabetlist"/>
      <w:lvlText w:val="%1)"/>
      <w:lvlJc w:val="left"/>
      <w:pPr>
        <w:ind w:left="108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040" w:hanging="1800"/>
      </w:pPr>
      <w:rPr>
        <w:rFonts w:hint="default"/>
      </w:rPr>
    </w:lvl>
    <w:lvl w:ilvl="8">
      <w:start w:val="1"/>
      <w:numFmt w:val="decimal"/>
      <w:lvlText w:val="%1.%2.%3.%4.%5.%6.%7.%8.%9"/>
      <w:lvlJc w:val="left"/>
      <w:pPr>
        <w:ind w:left="5760" w:hanging="2160"/>
      </w:pPr>
      <w:rPr>
        <w:rFonts w:hint="default"/>
      </w:rPr>
    </w:lvl>
  </w:abstractNum>
  <w:abstractNum w:abstractNumId="29" w15:restartNumberingAfterBreak="0">
    <w:nsid w:val="37AB6CFC"/>
    <w:multiLevelType w:val="hybridMultilevel"/>
    <w:tmpl w:val="3C8E80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A37A81"/>
    <w:multiLevelType w:val="hybridMultilevel"/>
    <w:tmpl w:val="DB90AAB8"/>
    <w:lvl w:ilvl="0" w:tplc="1FEE3CD4">
      <w:start w:val="12"/>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CE27A8C"/>
    <w:multiLevelType w:val="hybridMultilevel"/>
    <w:tmpl w:val="4BE061EE"/>
    <w:lvl w:ilvl="0" w:tplc="BFFA66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DD31161"/>
    <w:multiLevelType w:val="hybridMultilevel"/>
    <w:tmpl w:val="E63C1BDE"/>
    <w:lvl w:ilvl="0" w:tplc="1FEE3CD4">
      <w:start w:val="12"/>
      <w:numFmt w:val="bullet"/>
      <w:lvlText w:val="-"/>
      <w:lvlJc w:val="left"/>
      <w:pPr>
        <w:ind w:left="720" w:hanging="360"/>
      </w:pPr>
      <w:rPr>
        <w:rFonts w:ascii="Calibri" w:eastAsia="Times New Roman" w:hAnsi="Calibri" w:cs="Arial" w:hint="default"/>
      </w:rPr>
    </w:lvl>
    <w:lvl w:ilvl="1" w:tplc="943AE45E">
      <w:numFmt w:val="bullet"/>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072B5E"/>
    <w:multiLevelType w:val="hybridMultilevel"/>
    <w:tmpl w:val="F19EF9A6"/>
    <w:lvl w:ilvl="0" w:tplc="1FEE3CD4">
      <w:start w:val="12"/>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627AC"/>
    <w:multiLevelType w:val="hybridMultilevel"/>
    <w:tmpl w:val="E35609D8"/>
    <w:lvl w:ilvl="0" w:tplc="BF524698">
      <w:start w:val="1"/>
      <w:numFmt w:val="bullet"/>
      <w:lvlText w:val=""/>
      <w:lvlJc w:val="left"/>
      <w:pPr>
        <w:ind w:left="720" w:hanging="360"/>
      </w:pPr>
      <w:rPr>
        <w:rFonts w:ascii="Symbol" w:hAnsi="Symbol" w:hint="default"/>
      </w:rPr>
    </w:lvl>
    <w:lvl w:ilvl="1" w:tplc="D78A4F08">
      <w:numFmt w:val="bullet"/>
      <w:lvlText w:val="-"/>
      <w:lvlJc w:val="left"/>
      <w:pPr>
        <w:ind w:left="1440" w:hanging="360"/>
      </w:pPr>
      <w:rPr>
        <w:rFonts w:ascii="Calibri" w:eastAsiaTheme="minorHAnsi" w:hAnsi="Calibri" w:cs="Calibri" w:hint="default"/>
      </w:rPr>
    </w:lvl>
    <w:lvl w:ilvl="2" w:tplc="F146BF2A">
      <w:start w:val="6"/>
      <w:numFmt w:val="bullet"/>
      <w:lvlText w:val=""/>
      <w:lvlJc w:val="left"/>
      <w:pPr>
        <w:ind w:left="2160" w:hanging="360"/>
      </w:pPr>
      <w:rPr>
        <w:rFonts w:ascii="Wingdings" w:eastAsiaTheme="minorEastAsia" w:hAnsi="Wingdings" w:cstheme="minorHAns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D1215A"/>
    <w:multiLevelType w:val="hybridMultilevel"/>
    <w:tmpl w:val="719E2094"/>
    <w:lvl w:ilvl="0" w:tplc="1FEE3CD4">
      <w:start w:val="1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7B17E1"/>
    <w:multiLevelType w:val="hybridMultilevel"/>
    <w:tmpl w:val="74E4BADA"/>
    <w:lvl w:ilvl="0" w:tplc="08090001">
      <w:start w:val="1"/>
      <w:numFmt w:val="bullet"/>
      <w:lvlText w:val=""/>
      <w:lvlJc w:val="left"/>
      <w:pPr>
        <w:ind w:left="720" w:hanging="360"/>
      </w:pPr>
      <w:rPr>
        <w:rFonts w:ascii="Symbol" w:hAnsi="Symbol" w:hint="default"/>
      </w:rPr>
    </w:lvl>
    <w:lvl w:ilvl="1" w:tplc="1FEE3CD4">
      <w:start w:val="12"/>
      <w:numFmt w:val="bullet"/>
      <w:lvlText w:val="-"/>
      <w:lvlJc w:val="left"/>
      <w:pPr>
        <w:ind w:left="1080" w:hanging="360"/>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CD634C"/>
    <w:multiLevelType w:val="hybridMultilevel"/>
    <w:tmpl w:val="E2B4971E"/>
    <w:lvl w:ilvl="0" w:tplc="943AE45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D3525B9"/>
    <w:multiLevelType w:val="hybridMultilevel"/>
    <w:tmpl w:val="B32ACE6A"/>
    <w:lvl w:ilvl="0" w:tplc="F84623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365C99"/>
    <w:multiLevelType w:val="hybridMultilevel"/>
    <w:tmpl w:val="1F3247CA"/>
    <w:lvl w:ilvl="0" w:tplc="363AB07A">
      <w:start w:val="1"/>
      <w:numFmt w:val="bullet"/>
      <w:pStyle w:val="Dotpoints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BB3294"/>
    <w:multiLevelType w:val="hybridMultilevel"/>
    <w:tmpl w:val="0A96A260"/>
    <w:lvl w:ilvl="0" w:tplc="1FEE3CD4">
      <w:start w:val="12"/>
      <w:numFmt w:val="bullet"/>
      <w:lvlText w:val="-"/>
      <w:lvlJc w:val="left"/>
      <w:pPr>
        <w:ind w:left="1077" w:hanging="360"/>
      </w:pPr>
      <w:rPr>
        <w:rFonts w:ascii="Calibri" w:eastAsia="Times New Roman" w:hAnsi="Calibri"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1" w15:restartNumberingAfterBreak="0">
    <w:nsid w:val="4DEF11E8"/>
    <w:multiLevelType w:val="hybridMultilevel"/>
    <w:tmpl w:val="258CCC12"/>
    <w:lvl w:ilvl="0" w:tplc="564C085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6631D7"/>
    <w:multiLevelType w:val="hybridMultilevel"/>
    <w:tmpl w:val="2488F216"/>
    <w:lvl w:ilvl="0" w:tplc="1FEE3CD4">
      <w:start w:val="1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F7624C"/>
    <w:multiLevelType w:val="hybridMultilevel"/>
    <w:tmpl w:val="A270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C57A1E"/>
    <w:multiLevelType w:val="hybridMultilevel"/>
    <w:tmpl w:val="58F06BAE"/>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8F29BB"/>
    <w:multiLevelType w:val="hybridMultilevel"/>
    <w:tmpl w:val="4330D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600761B"/>
    <w:multiLevelType w:val="hybridMultilevel"/>
    <w:tmpl w:val="4C4C7764"/>
    <w:lvl w:ilvl="0" w:tplc="34C83D28">
      <w:start w:val="1"/>
      <w:numFmt w:val="bullet"/>
      <w:pStyle w:val="Dotpoints15lines"/>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CC4105"/>
    <w:multiLevelType w:val="hybridMultilevel"/>
    <w:tmpl w:val="04A6AC22"/>
    <w:lvl w:ilvl="0" w:tplc="1E8C581E">
      <w:start w:val="12"/>
      <w:numFmt w:val="bullet"/>
      <w:pStyle w:val="Appendixdotlevel1"/>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3A45F9"/>
    <w:multiLevelType w:val="hybridMultilevel"/>
    <w:tmpl w:val="97CE61CC"/>
    <w:lvl w:ilvl="0" w:tplc="2DD0EDF6">
      <w:start w:val="1"/>
      <w:numFmt w:val="bullet"/>
      <w:pStyle w:val="Tabledo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3E4B18"/>
    <w:multiLevelType w:val="hybridMultilevel"/>
    <w:tmpl w:val="74009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9A29A1"/>
    <w:multiLevelType w:val="hybridMultilevel"/>
    <w:tmpl w:val="1C6002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0306C2B"/>
    <w:multiLevelType w:val="hybridMultilevel"/>
    <w:tmpl w:val="903E10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1EF5F7E"/>
    <w:multiLevelType w:val="hybridMultilevel"/>
    <w:tmpl w:val="201AE2DA"/>
    <w:lvl w:ilvl="0" w:tplc="1FEE3CD4">
      <w:start w:val="12"/>
      <w:numFmt w:val="bullet"/>
      <w:lvlText w:val="-"/>
      <w:lvlJc w:val="left"/>
      <w:pPr>
        <w:ind w:left="360" w:hanging="360"/>
      </w:pPr>
      <w:rPr>
        <w:rFonts w:ascii="Calibri" w:eastAsia="Times New Roman" w:hAnsi="Calibri" w:cs="Arial" w:hint="default"/>
      </w:rPr>
    </w:lvl>
    <w:lvl w:ilvl="1" w:tplc="1FEE3CD4">
      <w:start w:val="12"/>
      <w:numFmt w:val="bullet"/>
      <w:lvlText w:val="-"/>
      <w:lvlJc w:val="left"/>
      <w:pPr>
        <w:ind w:left="1080" w:hanging="360"/>
      </w:pPr>
      <w:rPr>
        <w:rFonts w:ascii="Calibri" w:eastAsia="Times New Roman" w:hAnsi="Calibri"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3BD1003"/>
    <w:multiLevelType w:val="hybridMultilevel"/>
    <w:tmpl w:val="8CB8FBB2"/>
    <w:lvl w:ilvl="0" w:tplc="BF52469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3B09B1"/>
    <w:multiLevelType w:val="hybridMultilevel"/>
    <w:tmpl w:val="F7BC920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E97C5B"/>
    <w:multiLevelType w:val="hybridMultilevel"/>
    <w:tmpl w:val="599C17BA"/>
    <w:lvl w:ilvl="0" w:tplc="0C090017">
      <w:start w:val="1"/>
      <w:numFmt w:val="lowerLetter"/>
      <w:lvlText w:val="%1)"/>
      <w:lvlJc w:val="left"/>
      <w:pPr>
        <w:ind w:left="720" w:hanging="360"/>
      </w:pPr>
      <w:rPr>
        <w:rFonts w:hint="default"/>
      </w:rPr>
    </w:lvl>
    <w:lvl w:ilvl="1" w:tplc="B89E153C">
      <w:numFmt w:val="bullet"/>
      <w:pStyle w:val="Appendixdotinsetlevel2"/>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7351AF9"/>
    <w:multiLevelType w:val="hybridMultilevel"/>
    <w:tmpl w:val="91CCD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F96773"/>
    <w:multiLevelType w:val="hybridMultilevel"/>
    <w:tmpl w:val="581CB9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94F376E"/>
    <w:multiLevelType w:val="hybridMultilevel"/>
    <w:tmpl w:val="757A54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A2A0EA5"/>
    <w:multiLevelType w:val="hybridMultilevel"/>
    <w:tmpl w:val="07CC6344"/>
    <w:lvl w:ilvl="0" w:tplc="B18492BA">
      <w:start w:val="1"/>
      <w:numFmt w:val="decimal"/>
      <w:lvlText w:val="%1."/>
      <w:lvlJc w:val="left"/>
      <w:pPr>
        <w:ind w:left="720" w:hanging="360"/>
      </w:pPr>
      <w:rPr>
        <w:rFonts w:asciiTheme="minorHAnsi" w:eastAsiaTheme="minorEastAsia"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866143"/>
    <w:multiLevelType w:val="hybridMultilevel"/>
    <w:tmpl w:val="05282A26"/>
    <w:lvl w:ilvl="0" w:tplc="1FEE3CD4">
      <w:start w:val="12"/>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6E835D25"/>
    <w:multiLevelType w:val="hybridMultilevel"/>
    <w:tmpl w:val="CC26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DF3AF5"/>
    <w:multiLevelType w:val="hybridMultilevel"/>
    <w:tmpl w:val="2D380D60"/>
    <w:lvl w:ilvl="0" w:tplc="1FEE3CD4">
      <w:start w:val="12"/>
      <w:numFmt w:val="bullet"/>
      <w:pStyle w:val="BodyforCA"/>
      <w:lvlText w:val="-"/>
      <w:lvlJc w:val="left"/>
      <w:pPr>
        <w:ind w:left="720" w:hanging="360"/>
      </w:pPr>
      <w:rPr>
        <w:rFonts w:ascii="Calibri" w:eastAsia="Times New Roman" w:hAnsi="Calibri" w:cs="Arial" w:hint="default"/>
      </w:rPr>
    </w:lvl>
    <w:lvl w:ilvl="1" w:tplc="564C085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4E3FEA"/>
    <w:multiLevelType w:val="hybridMultilevel"/>
    <w:tmpl w:val="1C3A3B1E"/>
    <w:lvl w:ilvl="0" w:tplc="F84623B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C43D14"/>
    <w:multiLevelType w:val="hybridMultilevel"/>
    <w:tmpl w:val="32708030"/>
    <w:lvl w:ilvl="0" w:tplc="04090001">
      <w:start w:val="1"/>
      <w:numFmt w:val="bullet"/>
      <w:lvlText w:val=""/>
      <w:lvlJc w:val="left"/>
      <w:pPr>
        <w:ind w:left="720" w:hanging="360"/>
      </w:pPr>
      <w:rPr>
        <w:rFonts w:ascii="Symbol" w:hAnsi="Symbol" w:hint="default"/>
      </w:rPr>
    </w:lvl>
    <w:lvl w:ilvl="1" w:tplc="1FEE3CD4">
      <w:start w:val="12"/>
      <w:numFmt w:val="bullet"/>
      <w:lvlText w:val="-"/>
      <w:lvlJc w:val="left"/>
      <w:pPr>
        <w:ind w:left="720" w:hanging="360"/>
      </w:pPr>
      <w:rPr>
        <w:rFonts w:ascii="Calibri" w:eastAsia="Times New Roman" w:hAnsi="Calibr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8F15E7"/>
    <w:multiLevelType w:val="hybridMultilevel"/>
    <w:tmpl w:val="D35CF436"/>
    <w:lvl w:ilvl="0" w:tplc="943AE45E">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45069A9"/>
    <w:multiLevelType w:val="hybridMultilevel"/>
    <w:tmpl w:val="6F4C4350"/>
    <w:lvl w:ilvl="0" w:tplc="0C090019">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46D4F56"/>
    <w:multiLevelType w:val="hybridMultilevel"/>
    <w:tmpl w:val="624A2FEC"/>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5CE2935"/>
    <w:multiLevelType w:val="hybridMultilevel"/>
    <w:tmpl w:val="7ED2B906"/>
    <w:lvl w:ilvl="0" w:tplc="E11215BC">
      <w:start w:val="1"/>
      <w:numFmt w:val="bullet"/>
      <w:pStyle w:val="Insetdotpoints1"/>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Symbol" w:hAnsi="Symbol"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79132F30"/>
    <w:multiLevelType w:val="hybridMultilevel"/>
    <w:tmpl w:val="04C8AE08"/>
    <w:lvl w:ilvl="0" w:tplc="1FEE3CD4">
      <w:start w:val="12"/>
      <w:numFmt w:val="bullet"/>
      <w:lvlText w:val="-"/>
      <w:lvlJc w:val="left"/>
      <w:pPr>
        <w:ind w:left="720" w:hanging="360"/>
      </w:pPr>
      <w:rPr>
        <w:rFonts w:ascii="Calibri" w:eastAsia="Times New Roman" w:hAnsi="Calibri" w:cs="Arial" w:hint="default"/>
      </w:rPr>
    </w:lvl>
    <w:lvl w:ilvl="1" w:tplc="943AE45E">
      <w:numFmt w:val="bullet"/>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63"/>
  </w:num>
  <w:num w:numId="3">
    <w:abstractNumId w:val="38"/>
  </w:num>
  <w:num w:numId="4">
    <w:abstractNumId w:val="62"/>
  </w:num>
  <w:num w:numId="5">
    <w:abstractNumId w:val="59"/>
  </w:num>
  <w:num w:numId="6">
    <w:abstractNumId w:val="23"/>
  </w:num>
  <w:num w:numId="7">
    <w:abstractNumId w:val="41"/>
  </w:num>
  <w:num w:numId="8">
    <w:abstractNumId w:val="5"/>
  </w:num>
  <w:num w:numId="9">
    <w:abstractNumId w:val="0"/>
  </w:num>
  <w:num w:numId="10">
    <w:abstractNumId w:val="21"/>
  </w:num>
  <w:num w:numId="11">
    <w:abstractNumId w:val="2"/>
  </w:num>
  <w:num w:numId="12">
    <w:abstractNumId w:val="27"/>
  </w:num>
  <w:num w:numId="13">
    <w:abstractNumId w:val="55"/>
  </w:num>
  <w:num w:numId="14">
    <w:abstractNumId w:val="29"/>
  </w:num>
  <w:num w:numId="15">
    <w:abstractNumId w:val="61"/>
  </w:num>
  <w:num w:numId="16">
    <w:abstractNumId w:val="46"/>
  </w:num>
  <w:num w:numId="17">
    <w:abstractNumId w:val="24"/>
  </w:num>
  <w:num w:numId="18">
    <w:abstractNumId w:val="54"/>
  </w:num>
  <w:num w:numId="19">
    <w:abstractNumId w:val="53"/>
  </w:num>
  <w:num w:numId="20">
    <w:abstractNumId w:val="34"/>
  </w:num>
  <w:num w:numId="21">
    <w:abstractNumId w:val="12"/>
  </w:num>
  <w:num w:numId="22">
    <w:abstractNumId w:val="28"/>
  </w:num>
  <w:num w:numId="23">
    <w:abstractNumId w:val="18"/>
  </w:num>
  <w:num w:numId="24">
    <w:abstractNumId w:val="44"/>
  </w:num>
  <w:num w:numId="25">
    <w:abstractNumId w:val="67"/>
  </w:num>
  <w:num w:numId="26">
    <w:abstractNumId w:val="58"/>
  </w:num>
  <w:num w:numId="27">
    <w:abstractNumId w:val="13"/>
  </w:num>
  <w:num w:numId="28">
    <w:abstractNumId w:val="20"/>
  </w:num>
  <w:num w:numId="29">
    <w:abstractNumId w:val="31"/>
  </w:num>
  <w:num w:numId="30">
    <w:abstractNumId w:val="64"/>
  </w:num>
  <w:num w:numId="31">
    <w:abstractNumId w:val="7"/>
  </w:num>
  <w:num w:numId="32">
    <w:abstractNumId w:val="25"/>
  </w:num>
  <w:num w:numId="33">
    <w:abstractNumId w:val="57"/>
  </w:num>
  <w:num w:numId="34">
    <w:abstractNumId w:val="43"/>
  </w:num>
  <w:num w:numId="35">
    <w:abstractNumId w:val="14"/>
  </w:num>
  <w:num w:numId="36">
    <w:abstractNumId w:val="48"/>
  </w:num>
  <w:num w:numId="37">
    <w:abstractNumId w:val="50"/>
  </w:num>
  <w:num w:numId="38">
    <w:abstractNumId w:val="60"/>
  </w:num>
  <w:num w:numId="39">
    <w:abstractNumId w:val="22"/>
  </w:num>
  <w:num w:numId="40">
    <w:abstractNumId w:val="56"/>
  </w:num>
  <w:num w:numId="41">
    <w:abstractNumId w:val="1"/>
  </w:num>
  <w:num w:numId="42">
    <w:abstractNumId w:val="16"/>
  </w:num>
  <w:num w:numId="43">
    <w:abstractNumId w:val="30"/>
  </w:num>
  <w:num w:numId="44">
    <w:abstractNumId w:val="40"/>
  </w:num>
  <w:num w:numId="45">
    <w:abstractNumId w:val="4"/>
  </w:num>
  <w:num w:numId="46">
    <w:abstractNumId w:val="15"/>
  </w:num>
  <w:num w:numId="47">
    <w:abstractNumId w:val="68"/>
  </w:num>
  <w:num w:numId="48">
    <w:abstractNumId w:val="6"/>
  </w:num>
  <w:num w:numId="49">
    <w:abstractNumId w:val="66"/>
  </w:num>
  <w:num w:numId="50">
    <w:abstractNumId w:val="42"/>
  </w:num>
  <w:num w:numId="51">
    <w:abstractNumId w:val="9"/>
  </w:num>
  <w:num w:numId="52">
    <w:abstractNumId w:val="32"/>
  </w:num>
  <w:num w:numId="53">
    <w:abstractNumId w:val="69"/>
  </w:num>
  <w:num w:numId="54">
    <w:abstractNumId w:val="35"/>
  </w:num>
  <w:num w:numId="55">
    <w:abstractNumId w:val="47"/>
  </w:num>
  <w:num w:numId="56">
    <w:abstractNumId w:val="39"/>
  </w:num>
  <w:num w:numId="57">
    <w:abstractNumId w:val="19"/>
  </w:num>
  <w:num w:numId="58">
    <w:abstractNumId w:val="65"/>
  </w:num>
  <w:num w:numId="59">
    <w:abstractNumId w:val="17"/>
  </w:num>
  <w:num w:numId="60">
    <w:abstractNumId w:val="11"/>
  </w:num>
  <w:num w:numId="61">
    <w:abstractNumId w:val="52"/>
  </w:num>
  <w:num w:numId="62">
    <w:abstractNumId w:val="37"/>
  </w:num>
  <w:num w:numId="63">
    <w:abstractNumId w:val="10"/>
  </w:num>
  <w:num w:numId="64">
    <w:abstractNumId w:val="3"/>
  </w:num>
  <w:num w:numId="65">
    <w:abstractNumId w:val="51"/>
  </w:num>
  <w:num w:numId="66">
    <w:abstractNumId w:val="49"/>
  </w:num>
  <w:num w:numId="67">
    <w:abstractNumId w:val="45"/>
  </w:num>
  <w:num w:numId="68">
    <w:abstractNumId w:val="8"/>
  </w:num>
  <w:num w:numId="69">
    <w:abstractNumId w:val="26"/>
  </w:num>
  <w:num w:numId="70">
    <w:abstractNumId w:val="3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5"/>
  <w:printPostScriptOverText/>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3C"/>
    <w:rsid w:val="000002BD"/>
    <w:rsid w:val="000024FC"/>
    <w:rsid w:val="000026DD"/>
    <w:rsid w:val="000029C8"/>
    <w:rsid w:val="000039DA"/>
    <w:rsid w:val="00003C7E"/>
    <w:rsid w:val="000046FE"/>
    <w:rsid w:val="00004E19"/>
    <w:rsid w:val="00005C7F"/>
    <w:rsid w:val="0000647D"/>
    <w:rsid w:val="000074AE"/>
    <w:rsid w:val="00010BBE"/>
    <w:rsid w:val="000122F2"/>
    <w:rsid w:val="00013CE5"/>
    <w:rsid w:val="00015F21"/>
    <w:rsid w:val="00016BC3"/>
    <w:rsid w:val="00020A50"/>
    <w:rsid w:val="00022537"/>
    <w:rsid w:val="00022B1F"/>
    <w:rsid w:val="00022DCE"/>
    <w:rsid w:val="000235A3"/>
    <w:rsid w:val="00023CA9"/>
    <w:rsid w:val="0002488D"/>
    <w:rsid w:val="000253F0"/>
    <w:rsid w:val="000269A2"/>
    <w:rsid w:val="00026D93"/>
    <w:rsid w:val="00031A01"/>
    <w:rsid w:val="00032160"/>
    <w:rsid w:val="000329C9"/>
    <w:rsid w:val="000329ED"/>
    <w:rsid w:val="00036A8B"/>
    <w:rsid w:val="0004053E"/>
    <w:rsid w:val="0004084D"/>
    <w:rsid w:val="00040BDB"/>
    <w:rsid w:val="0004265E"/>
    <w:rsid w:val="000427D6"/>
    <w:rsid w:val="00042818"/>
    <w:rsid w:val="00050AF9"/>
    <w:rsid w:val="000510F0"/>
    <w:rsid w:val="00051252"/>
    <w:rsid w:val="00051F53"/>
    <w:rsid w:val="00052AD1"/>
    <w:rsid w:val="00054890"/>
    <w:rsid w:val="00054B37"/>
    <w:rsid w:val="00055372"/>
    <w:rsid w:val="00055D23"/>
    <w:rsid w:val="00060EF4"/>
    <w:rsid w:val="000610B8"/>
    <w:rsid w:val="000628C7"/>
    <w:rsid w:val="00062EAE"/>
    <w:rsid w:val="00062F75"/>
    <w:rsid w:val="00065308"/>
    <w:rsid w:val="00065B21"/>
    <w:rsid w:val="00065EE3"/>
    <w:rsid w:val="0006667A"/>
    <w:rsid w:val="00066B5E"/>
    <w:rsid w:val="00066F9C"/>
    <w:rsid w:val="000679AB"/>
    <w:rsid w:val="00070C12"/>
    <w:rsid w:val="0007114A"/>
    <w:rsid w:val="00071618"/>
    <w:rsid w:val="00071EC5"/>
    <w:rsid w:val="000727F7"/>
    <w:rsid w:val="00073EB1"/>
    <w:rsid w:val="0007417C"/>
    <w:rsid w:val="00077FA7"/>
    <w:rsid w:val="000800ED"/>
    <w:rsid w:val="000803D2"/>
    <w:rsid w:val="00080545"/>
    <w:rsid w:val="00080761"/>
    <w:rsid w:val="00080E89"/>
    <w:rsid w:val="00081494"/>
    <w:rsid w:val="00082430"/>
    <w:rsid w:val="00082848"/>
    <w:rsid w:val="00083DD8"/>
    <w:rsid w:val="0008477C"/>
    <w:rsid w:val="000850A9"/>
    <w:rsid w:val="000857EF"/>
    <w:rsid w:val="00085A0B"/>
    <w:rsid w:val="00085CBF"/>
    <w:rsid w:val="00086C56"/>
    <w:rsid w:val="000872C3"/>
    <w:rsid w:val="00090840"/>
    <w:rsid w:val="00090B75"/>
    <w:rsid w:val="00090D6F"/>
    <w:rsid w:val="000915DC"/>
    <w:rsid w:val="00091AA1"/>
    <w:rsid w:val="000920C7"/>
    <w:rsid w:val="00092987"/>
    <w:rsid w:val="00092B21"/>
    <w:rsid w:val="00094054"/>
    <w:rsid w:val="00094307"/>
    <w:rsid w:val="00094315"/>
    <w:rsid w:val="00095FD8"/>
    <w:rsid w:val="000970CC"/>
    <w:rsid w:val="000A0083"/>
    <w:rsid w:val="000A0315"/>
    <w:rsid w:val="000A1CA4"/>
    <w:rsid w:val="000A46ED"/>
    <w:rsid w:val="000A4FA8"/>
    <w:rsid w:val="000A52B0"/>
    <w:rsid w:val="000A56E8"/>
    <w:rsid w:val="000A6DB5"/>
    <w:rsid w:val="000A73D0"/>
    <w:rsid w:val="000A7500"/>
    <w:rsid w:val="000A7E9F"/>
    <w:rsid w:val="000A7EAD"/>
    <w:rsid w:val="000B01F9"/>
    <w:rsid w:val="000B0202"/>
    <w:rsid w:val="000B16B5"/>
    <w:rsid w:val="000B1FA8"/>
    <w:rsid w:val="000B23DB"/>
    <w:rsid w:val="000B25C3"/>
    <w:rsid w:val="000B33E5"/>
    <w:rsid w:val="000B38C5"/>
    <w:rsid w:val="000B3CA9"/>
    <w:rsid w:val="000B4697"/>
    <w:rsid w:val="000B4C3A"/>
    <w:rsid w:val="000B4EDB"/>
    <w:rsid w:val="000B511C"/>
    <w:rsid w:val="000B51C0"/>
    <w:rsid w:val="000B53A2"/>
    <w:rsid w:val="000B54B5"/>
    <w:rsid w:val="000B598C"/>
    <w:rsid w:val="000B5BEC"/>
    <w:rsid w:val="000B6BFA"/>
    <w:rsid w:val="000B758C"/>
    <w:rsid w:val="000C05F0"/>
    <w:rsid w:val="000C1AFA"/>
    <w:rsid w:val="000C2BB0"/>
    <w:rsid w:val="000C2E41"/>
    <w:rsid w:val="000C3B58"/>
    <w:rsid w:val="000C5502"/>
    <w:rsid w:val="000C5EA5"/>
    <w:rsid w:val="000C629F"/>
    <w:rsid w:val="000D0E61"/>
    <w:rsid w:val="000D0E77"/>
    <w:rsid w:val="000D2D26"/>
    <w:rsid w:val="000D3364"/>
    <w:rsid w:val="000D375B"/>
    <w:rsid w:val="000D3E50"/>
    <w:rsid w:val="000D485D"/>
    <w:rsid w:val="000D4EB8"/>
    <w:rsid w:val="000D4ECA"/>
    <w:rsid w:val="000D5C5B"/>
    <w:rsid w:val="000D5D99"/>
    <w:rsid w:val="000D681A"/>
    <w:rsid w:val="000D6B11"/>
    <w:rsid w:val="000D6FCE"/>
    <w:rsid w:val="000D7805"/>
    <w:rsid w:val="000E0321"/>
    <w:rsid w:val="000E34ED"/>
    <w:rsid w:val="000E3E49"/>
    <w:rsid w:val="000E3E61"/>
    <w:rsid w:val="000E3FB4"/>
    <w:rsid w:val="000E405C"/>
    <w:rsid w:val="000E472F"/>
    <w:rsid w:val="000E48A1"/>
    <w:rsid w:val="000E6282"/>
    <w:rsid w:val="000E673F"/>
    <w:rsid w:val="000E6906"/>
    <w:rsid w:val="000E6F20"/>
    <w:rsid w:val="000E73BD"/>
    <w:rsid w:val="000E7475"/>
    <w:rsid w:val="000E77B5"/>
    <w:rsid w:val="000E7BCE"/>
    <w:rsid w:val="000E7D4D"/>
    <w:rsid w:val="000F04E0"/>
    <w:rsid w:val="000F0773"/>
    <w:rsid w:val="000F0B99"/>
    <w:rsid w:val="000F127C"/>
    <w:rsid w:val="000F1800"/>
    <w:rsid w:val="000F2412"/>
    <w:rsid w:val="000F3238"/>
    <w:rsid w:val="000F3328"/>
    <w:rsid w:val="000F3912"/>
    <w:rsid w:val="000F61CB"/>
    <w:rsid w:val="000F6501"/>
    <w:rsid w:val="000F6700"/>
    <w:rsid w:val="001010CB"/>
    <w:rsid w:val="00101B3E"/>
    <w:rsid w:val="0010283B"/>
    <w:rsid w:val="00102D83"/>
    <w:rsid w:val="00103E27"/>
    <w:rsid w:val="00104AF2"/>
    <w:rsid w:val="00104BF2"/>
    <w:rsid w:val="00104FA5"/>
    <w:rsid w:val="001054A7"/>
    <w:rsid w:val="0010633F"/>
    <w:rsid w:val="00106718"/>
    <w:rsid w:val="0010675D"/>
    <w:rsid w:val="00107236"/>
    <w:rsid w:val="0010792D"/>
    <w:rsid w:val="0011067D"/>
    <w:rsid w:val="00110684"/>
    <w:rsid w:val="001110AA"/>
    <w:rsid w:val="0011141C"/>
    <w:rsid w:val="00111E50"/>
    <w:rsid w:val="00112980"/>
    <w:rsid w:val="001132B2"/>
    <w:rsid w:val="00113ACE"/>
    <w:rsid w:val="001153CC"/>
    <w:rsid w:val="001157A1"/>
    <w:rsid w:val="00115C0B"/>
    <w:rsid w:val="00116274"/>
    <w:rsid w:val="00117270"/>
    <w:rsid w:val="00117E87"/>
    <w:rsid w:val="0012001C"/>
    <w:rsid w:val="001208D7"/>
    <w:rsid w:val="00121828"/>
    <w:rsid w:val="001225AD"/>
    <w:rsid w:val="00123EB5"/>
    <w:rsid w:val="00125048"/>
    <w:rsid w:val="00125672"/>
    <w:rsid w:val="00126084"/>
    <w:rsid w:val="00127308"/>
    <w:rsid w:val="001303CB"/>
    <w:rsid w:val="00130B3A"/>
    <w:rsid w:val="00131003"/>
    <w:rsid w:val="00131CD0"/>
    <w:rsid w:val="00132041"/>
    <w:rsid w:val="00132044"/>
    <w:rsid w:val="00132732"/>
    <w:rsid w:val="00133F58"/>
    <w:rsid w:val="001350D8"/>
    <w:rsid w:val="0013582D"/>
    <w:rsid w:val="00135E75"/>
    <w:rsid w:val="00135F72"/>
    <w:rsid w:val="001360FF"/>
    <w:rsid w:val="0013663B"/>
    <w:rsid w:val="001373F2"/>
    <w:rsid w:val="00142393"/>
    <w:rsid w:val="001444FD"/>
    <w:rsid w:val="00145438"/>
    <w:rsid w:val="00145CE3"/>
    <w:rsid w:val="001463AA"/>
    <w:rsid w:val="00146B58"/>
    <w:rsid w:val="001470BA"/>
    <w:rsid w:val="00147E57"/>
    <w:rsid w:val="00147F88"/>
    <w:rsid w:val="0015100B"/>
    <w:rsid w:val="00152AA2"/>
    <w:rsid w:val="00152D83"/>
    <w:rsid w:val="001538B2"/>
    <w:rsid w:val="00153E2E"/>
    <w:rsid w:val="001543FD"/>
    <w:rsid w:val="001546E6"/>
    <w:rsid w:val="001554DB"/>
    <w:rsid w:val="00155927"/>
    <w:rsid w:val="001560EF"/>
    <w:rsid w:val="001561F5"/>
    <w:rsid w:val="0015640A"/>
    <w:rsid w:val="001607D2"/>
    <w:rsid w:val="00162288"/>
    <w:rsid w:val="001635E1"/>
    <w:rsid w:val="00163FAF"/>
    <w:rsid w:val="001649D4"/>
    <w:rsid w:val="001651E3"/>
    <w:rsid w:val="001654F6"/>
    <w:rsid w:val="001660B9"/>
    <w:rsid w:val="00167FDA"/>
    <w:rsid w:val="0017021F"/>
    <w:rsid w:val="001717CB"/>
    <w:rsid w:val="001721DB"/>
    <w:rsid w:val="00172790"/>
    <w:rsid w:val="0017285D"/>
    <w:rsid w:val="00173EDE"/>
    <w:rsid w:val="00175084"/>
    <w:rsid w:val="001752F6"/>
    <w:rsid w:val="00176845"/>
    <w:rsid w:val="00176B7E"/>
    <w:rsid w:val="001777B8"/>
    <w:rsid w:val="0018075E"/>
    <w:rsid w:val="00180B76"/>
    <w:rsid w:val="00182F82"/>
    <w:rsid w:val="00185500"/>
    <w:rsid w:val="00185CD3"/>
    <w:rsid w:val="00186B0B"/>
    <w:rsid w:val="00186FA3"/>
    <w:rsid w:val="00186FC8"/>
    <w:rsid w:val="00187BDD"/>
    <w:rsid w:val="00187C09"/>
    <w:rsid w:val="0019030A"/>
    <w:rsid w:val="00190A6B"/>
    <w:rsid w:val="00190B67"/>
    <w:rsid w:val="001911AC"/>
    <w:rsid w:val="00193EED"/>
    <w:rsid w:val="00195AF1"/>
    <w:rsid w:val="00197349"/>
    <w:rsid w:val="00197752"/>
    <w:rsid w:val="001A0DF1"/>
    <w:rsid w:val="001A28D1"/>
    <w:rsid w:val="001A2E77"/>
    <w:rsid w:val="001A32D8"/>
    <w:rsid w:val="001A3A1B"/>
    <w:rsid w:val="001A61BF"/>
    <w:rsid w:val="001A646C"/>
    <w:rsid w:val="001A781E"/>
    <w:rsid w:val="001A7D6E"/>
    <w:rsid w:val="001B0DF7"/>
    <w:rsid w:val="001B1050"/>
    <w:rsid w:val="001B1EB9"/>
    <w:rsid w:val="001B20E8"/>
    <w:rsid w:val="001B2188"/>
    <w:rsid w:val="001B29EF"/>
    <w:rsid w:val="001B4521"/>
    <w:rsid w:val="001B466B"/>
    <w:rsid w:val="001B54B6"/>
    <w:rsid w:val="001B5E51"/>
    <w:rsid w:val="001B6505"/>
    <w:rsid w:val="001B773C"/>
    <w:rsid w:val="001C1B2C"/>
    <w:rsid w:val="001C2B1D"/>
    <w:rsid w:val="001C5CAE"/>
    <w:rsid w:val="001C60AE"/>
    <w:rsid w:val="001C61CD"/>
    <w:rsid w:val="001C65F9"/>
    <w:rsid w:val="001C6675"/>
    <w:rsid w:val="001C6898"/>
    <w:rsid w:val="001C6AD0"/>
    <w:rsid w:val="001C6E8E"/>
    <w:rsid w:val="001C6F1A"/>
    <w:rsid w:val="001C7C9A"/>
    <w:rsid w:val="001C7F50"/>
    <w:rsid w:val="001D2150"/>
    <w:rsid w:val="001D3261"/>
    <w:rsid w:val="001D5481"/>
    <w:rsid w:val="001D5559"/>
    <w:rsid w:val="001D5646"/>
    <w:rsid w:val="001D58BA"/>
    <w:rsid w:val="001D617A"/>
    <w:rsid w:val="001D628A"/>
    <w:rsid w:val="001D6845"/>
    <w:rsid w:val="001D69F4"/>
    <w:rsid w:val="001E0EAC"/>
    <w:rsid w:val="001E2B6A"/>
    <w:rsid w:val="001E30EC"/>
    <w:rsid w:val="001E377E"/>
    <w:rsid w:val="001E3A3C"/>
    <w:rsid w:val="001E4F92"/>
    <w:rsid w:val="001E50F2"/>
    <w:rsid w:val="001E5696"/>
    <w:rsid w:val="001E7355"/>
    <w:rsid w:val="001E79C1"/>
    <w:rsid w:val="001F091D"/>
    <w:rsid w:val="001F1C8D"/>
    <w:rsid w:val="001F20F7"/>
    <w:rsid w:val="001F27BC"/>
    <w:rsid w:val="001F27D2"/>
    <w:rsid w:val="001F3091"/>
    <w:rsid w:val="001F4C15"/>
    <w:rsid w:val="001F4C91"/>
    <w:rsid w:val="001F5A14"/>
    <w:rsid w:val="001F64A2"/>
    <w:rsid w:val="001F6697"/>
    <w:rsid w:val="001F66CF"/>
    <w:rsid w:val="001F69D7"/>
    <w:rsid w:val="001F6B23"/>
    <w:rsid w:val="001F760D"/>
    <w:rsid w:val="001F784E"/>
    <w:rsid w:val="0020222A"/>
    <w:rsid w:val="002026D1"/>
    <w:rsid w:val="0020303B"/>
    <w:rsid w:val="00203675"/>
    <w:rsid w:val="0020433C"/>
    <w:rsid w:val="0020492D"/>
    <w:rsid w:val="00204B35"/>
    <w:rsid w:val="00204BA2"/>
    <w:rsid w:val="0020637C"/>
    <w:rsid w:val="0020652A"/>
    <w:rsid w:val="002066AA"/>
    <w:rsid w:val="00206C83"/>
    <w:rsid w:val="002077FC"/>
    <w:rsid w:val="002119D6"/>
    <w:rsid w:val="00215245"/>
    <w:rsid w:val="00216A53"/>
    <w:rsid w:val="0021726C"/>
    <w:rsid w:val="00217327"/>
    <w:rsid w:val="0021753F"/>
    <w:rsid w:val="002202D8"/>
    <w:rsid w:val="002209AB"/>
    <w:rsid w:val="00220E14"/>
    <w:rsid w:val="00221967"/>
    <w:rsid w:val="00221B8D"/>
    <w:rsid w:val="002249F4"/>
    <w:rsid w:val="00225CE2"/>
    <w:rsid w:val="00226108"/>
    <w:rsid w:val="00226274"/>
    <w:rsid w:val="00226CDE"/>
    <w:rsid w:val="00226D06"/>
    <w:rsid w:val="0023072F"/>
    <w:rsid w:val="002308CB"/>
    <w:rsid w:val="00230B4E"/>
    <w:rsid w:val="0023190A"/>
    <w:rsid w:val="002324F5"/>
    <w:rsid w:val="002328BB"/>
    <w:rsid w:val="00232D2A"/>
    <w:rsid w:val="002331D4"/>
    <w:rsid w:val="00234130"/>
    <w:rsid w:val="0023438C"/>
    <w:rsid w:val="002343F1"/>
    <w:rsid w:val="0023699C"/>
    <w:rsid w:val="00240279"/>
    <w:rsid w:val="0024046D"/>
    <w:rsid w:val="00242191"/>
    <w:rsid w:val="00242314"/>
    <w:rsid w:val="00242DAA"/>
    <w:rsid w:val="002448B8"/>
    <w:rsid w:val="00245728"/>
    <w:rsid w:val="002461A9"/>
    <w:rsid w:val="00246319"/>
    <w:rsid w:val="002469AC"/>
    <w:rsid w:val="002477D8"/>
    <w:rsid w:val="00251108"/>
    <w:rsid w:val="002512DF"/>
    <w:rsid w:val="00251E7F"/>
    <w:rsid w:val="0025206A"/>
    <w:rsid w:val="00252521"/>
    <w:rsid w:val="00252AE7"/>
    <w:rsid w:val="002532C1"/>
    <w:rsid w:val="00253BD4"/>
    <w:rsid w:val="00254BA7"/>
    <w:rsid w:val="00254EB8"/>
    <w:rsid w:val="00256ACE"/>
    <w:rsid w:val="002574C7"/>
    <w:rsid w:val="002579BB"/>
    <w:rsid w:val="00260721"/>
    <w:rsid w:val="00261040"/>
    <w:rsid w:val="002610ED"/>
    <w:rsid w:val="00263B34"/>
    <w:rsid w:val="00264053"/>
    <w:rsid w:val="00264065"/>
    <w:rsid w:val="00264CFB"/>
    <w:rsid w:val="00265A7B"/>
    <w:rsid w:val="00265CF8"/>
    <w:rsid w:val="00266048"/>
    <w:rsid w:val="002665FE"/>
    <w:rsid w:val="0027084C"/>
    <w:rsid w:val="00272707"/>
    <w:rsid w:val="00272E8C"/>
    <w:rsid w:val="002744CC"/>
    <w:rsid w:val="00276D8B"/>
    <w:rsid w:val="0027747A"/>
    <w:rsid w:val="00277D08"/>
    <w:rsid w:val="002800C6"/>
    <w:rsid w:val="00280B7A"/>
    <w:rsid w:val="00280F14"/>
    <w:rsid w:val="00281065"/>
    <w:rsid w:val="002824CE"/>
    <w:rsid w:val="00283648"/>
    <w:rsid w:val="002838BE"/>
    <w:rsid w:val="00284332"/>
    <w:rsid w:val="00284483"/>
    <w:rsid w:val="0028477E"/>
    <w:rsid w:val="002848D8"/>
    <w:rsid w:val="002850B4"/>
    <w:rsid w:val="002856EB"/>
    <w:rsid w:val="00287378"/>
    <w:rsid w:val="00290546"/>
    <w:rsid w:val="00293990"/>
    <w:rsid w:val="00294C7C"/>
    <w:rsid w:val="002961E8"/>
    <w:rsid w:val="00297AB6"/>
    <w:rsid w:val="002A09C9"/>
    <w:rsid w:val="002A14B4"/>
    <w:rsid w:val="002A1B33"/>
    <w:rsid w:val="002A20BB"/>
    <w:rsid w:val="002A49A2"/>
    <w:rsid w:val="002A4BE0"/>
    <w:rsid w:val="002A5482"/>
    <w:rsid w:val="002A7984"/>
    <w:rsid w:val="002B0159"/>
    <w:rsid w:val="002B05F3"/>
    <w:rsid w:val="002B064D"/>
    <w:rsid w:val="002B0C43"/>
    <w:rsid w:val="002B1C51"/>
    <w:rsid w:val="002B21CB"/>
    <w:rsid w:val="002B3FFF"/>
    <w:rsid w:val="002B40D0"/>
    <w:rsid w:val="002B60D1"/>
    <w:rsid w:val="002B6182"/>
    <w:rsid w:val="002B683F"/>
    <w:rsid w:val="002C03AE"/>
    <w:rsid w:val="002C0A1E"/>
    <w:rsid w:val="002C18F2"/>
    <w:rsid w:val="002C2328"/>
    <w:rsid w:val="002C265C"/>
    <w:rsid w:val="002C27F7"/>
    <w:rsid w:val="002C301A"/>
    <w:rsid w:val="002C3688"/>
    <w:rsid w:val="002C415F"/>
    <w:rsid w:val="002C4250"/>
    <w:rsid w:val="002C45AB"/>
    <w:rsid w:val="002C4763"/>
    <w:rsid w:val="002C477A"/>
    <w:rsid w:val="002C4A2C"/>
    <w:rsid w:val="002C53D6"/>
    <w:rsid w:val="002C546F"/>
    <w:rsid w:val="002C549D"/>
    <w:rsid w:val="002C6D5C"/>
    <w:rsid w:val="002C70CB"/>
    <w:rsid w:val="002C717B"/>
    <w:rsid w:val="002C7F02"/>
    <w:rsid w:val="002C7FC0"/>
    <w:rsid w:val="002D0127"/>
    <w:rsid w:val="002D070A"/>
    <w:rsid w:val="002D135C"/>
    <w:rsid w:val="002D285C"/>
    <w:rsid w:val="002D2B56"/>
    <w:rsid w:val="002D2FD0"/>
    <w:rsid w:val="002D3612"/>
    <w:rsid w:val="002D5F02"/>
    <w:rsid w:val="002D5F20"/>
    <w:rsid w:val="002D65F3"/>
    <w:rsid w:val="002D6845"/>
    <w:rsid w:val="002D7526"/>
    <w:rsid w:val="002D7755"/>
    <w:rsid w:val="002D79A9"/>
    <w:rsid w:val="002D7AEC"/>
    <w:rsid w:val="002E023A"/>
    <w:rsid w:val="002E09DC"/>
    <w:rsid w:val="002E1A50"/>
    <w:rsid w:val="002E28E5"/>
    <w:rsid w:val="002E33D5"/>
    <w:rsid w:val="002E48FA"/>
    <w:rsid w:val="002E4BF1"/>
    <w:rsid w:val="002E54D6"/>
    <w:rsid w:val="002E5561"/>
    <w:rsid w:val="002E6714"/>
    <w:rsid w:val="002E69E0"/>
    <w:rsid w:val="002E6EF8"/>
    <w:rsid w:val="002E74E6"/>
    <w:rsid w:val="002E7C77"/>
    <w:rsid w:val="002E7F8F"/>
    <w:rsid w:val="002F06B6"/>
    <w:rsid w:val="002F117F"/>
    <w:rsid w:val="002F23AD"/>
    <w:rsid w:val="002F6041"/>
    <w:rsid w:val="002F6554"/>
    <w:rsid w:val="003009DC"/>
    <w:rsid w:val="00300B19"/>
    <w:rsid w:val="003013FF"/>
    <w:rsid w:val="00301AF5"/>
    <w:rsid w:val="00301B3D"/>
    <w:rsid w:val="00301F1D"/>
    <w:rsid w:val="003020AF"/>
    <w:rsid w:val="00302CB1"/>
    <w:rsid w:val="00303F39"/>
    <w:rsid w:val="00304ADB"/>
    <w:rsid w:val="0030545B"/>
    <w:rsid w:val="00306806"/>
    <w:rsid w:val="00310684"/>
    <w:rsid w:val="00310A36"/>
    <w:rsid w:val="00310F1A"/>
    <w:rsid w:val="0031173B"/>
    <w:rsid w:val="003119EB"/>
    <w:rsid w:val="003141F4"/>
    <w:rsid w:val="003149F5"/>
    <w:rsid w:val="00315867"/>
    <w:rsid w:val="00315D5B"/>
    <w:rsid w:val="00316A89"/>
    <w:rsid w:val="00316E47"/>
    <w:rsid w:val="003213E9"/>
    <w:rsid w:val="00321EE3"/>
    <w:rsid w:val="003229E7"/>
    <w:rsid w:val="00322AEA"/>
    <w:rsid w:val="003243CE"/>
    <w:rsid w:val="00325219"/>
    <w:rsid w:val="00327C44"/>
    <w:rsid w:val="00327CAA"/>
    <w:rsid w:val="00327FE2"/>
    <w:rsid w:val="00330254"/>
    <w:rsid w:val="00332EA8"/>
    <w:rsid w:val="0033376C"/>
    <w:rsid w:val="00333A51"/>
    <w:rsid w:val="00333E89"/>
    <w:rsid w:val="003341BA"/>
    <w:rsid w:val="00334604"/>
    <w:rsid w:val="00335E8B"/>
    <w:rsid w:val="003369D7"/>
    <w:rsid w:val="00336B20"/>
    <w:rsid w:val="0033731B"/>
    <w:rsid w:val="00340635"/>
    <w:rsid w:val="0034109C"/>
    <w:rsid w:val="00343C62"/>
    <w:rsid w:val="00344946"/>
    <w:rsid w:val="003453E8"/>
    <w:rsid w:val="003466DB"/>
    <w:rsid w:val="003472DF"/>
    <w:rsid w:val="00347DF6"/>
    <w:rsid w:val="003508D4"/>
    <w:rsid w:val="00350B85"/>
    <w:rsid w:val="00350BED"/>
    <w:rsid w:val="0035134E"/>
    <w:rsid w:val="00351447"/>
    <w:rsid w:val="00352367"/>
    <w:rsid w:val="003542AF"/>
    <w:rsid w:val="00354473"/>
    <w:rsid w:val="0035453D"/>
    <w:rsid w:val="003573BE"/>
    <w:rsid w:val="00357812"/>
    <w:rsid w:val="0036012F"/>
    <w:rsid w:val="0036115C"/>
    <w:rsid w:val="00361F1C"/>
    <w:rsid w:val="00362479"/>
    <w:rsid w:val="0036507D"/>
    <w:rsid w:val="00366EAB"/>
    <w:rsid w:val="003670F3"/>
    <w:rsid w:val="00367179"/>
    <w:rsid w:val="00367863"/>
    <w:rsid w:val="00370486"/>
    <w:rsid w:val="00370BAC"/>
    <w:rsid w:val="00371A5B"/>
    <w:rsid w:val="00372130"/>
    <w:rsid w:val="003722A8"/>
    <w:rsid w:val="00374D8F"/>
    <w:rsid w:val="00376A56"/>
    <w:rsid w:val="00376D90"/>
    <w:rsid w:val="00377282"/>
    <w:rsid w:val="00380A90"/>
    <w:rsid w:val="00380C60"/>
    <w:rsid w:val="00380F67"/>
    <w:rsid w:val="003811CB"/>
    <w:rsid w:val="00381299"/>
    <w:rsid w:val="0038131A"/>
    <w:rsid w:val="00381374"/>
    <w:rsid w:val="003818C9"/>
    <w:rsid w:val="00381F78"/>
    <w:rsid w:val="00382121"/>
    <w:rsid w:val="00383F8F"/>
    <w:rsid w:val="003842E1"/>
    <w:rsid w:val="0038462D"/>
    <w:rsid w:val="003849C8"/>
    <w:rsid w:val="00384CDC"/>
    <w:rsid w:val="00386353"/>
    <w:rsid w:val="00386480"/>
    <w:rsid w:val="00386C51"/>
    <w:rsid w:val="00387FA4"/>
    <w:rsid w:val="0039074A"/>
    <w:rsid w:val="0039139D"/>
    <w:rsid w:val="00393AF4"/>
    <w:rsid w:val="00393CA6"/>
    <w:rsid w:val="00394BCD"/>
    <w:rsid w:val="003952C8"/>
    <w:rsid w:val="003952D6"/>
    <w:rsid w:val="003961D0"/>
    <w:rsid w:val="00396396"/>
    <w:rsid w:val="0039789D"/>
    <w:rsid w:val="0039795F"/>
    <w:rsid w:val="003A0348"/>
    <w:rsid w:val="003A0D27"/>
    <w:rsid w:val="003A0FCC"/>
    <w:rsid w:val="003A1358"/>
    <w:rsid w:val="003A26E8"/>
    <w:rsid w:val="003A3859"/>
    <w:rsid w:val="003A6089"/>
    <w:rsid w:val="003A6217"/>
    <w:rsid w:val="003A6EE0"/>
    <w:rsid w:val="003A7A96"/>
    <w:rsid w:val="003A7B1C"/>
    <w:rsid w:val="003B08AB"/>
    <w:rsid w:val="003B0F50"/>
    <w:rsid w:val="003B2CB5"/>
    <w:rsid w:val="003B346B"/>
    <w:rsid w:val="003B3975"/>
    <w:rsid w:val="003B3E16"/>
    <w:rsid w:val="003B40D2"/>
    <w:rsid w:val="003B4563"/>
    <w:rsid w:val="003B45E7"/>
    <w:rsid w:val="003B6EC0"/>
    <w:rsid w:val="003B759E"/>
    <w:rsid w:val="003B7D5B"/>
    <w:rsid w:val="003C117C"/>
    <w:rsid w:val="003C149F"/>
    <w:rsid w:val="003C14A8"/>
    <w:rsid w:val="003C158B"/>
    <w:rsid w:val="003C2022"/>
    <w:rsid w:val="003C2312"/>
    <w:rsid w:val="003C254F"/>
    <w:rsid w:val="003C2AE6"/>
    <w:rsid w:val="003C3F7C"/>
    <w:rsid w:val="003C419E"/>
    <w:rsid w:val="003C4476"/>
    <w:rsid w:val="003C5848"/>
    <w:rsid w:val="003C59BD"/>
    <w:rsid w:val="003C7C56"/>
    <w:rsid w:val="003D0976"/>
    <w:rsid w:val="003D3671"/>
    <w:rsid w:val="003D37EB"/>
    <w:rsid w:val="003D3AB3"/>
    <w:rsid w:val="003D46F1"/>
    <w:rsid w:val="003D73B4"/>
    <w:rsid w:val="003D76BC"/>
    <w:rsid w:val="003D76E7"/>
    <w:rsid w:val="003D7D58"/>
    <w:rsid w:val="003D7DD5"/>
    <w:rsid w:val="003E0090"/>
    <w:rsid w:val="003E0703"/>
    <w:rsid w:val="003E0B6B"/>
    <w:rsid w:val="003E0E28"/>
    <w:rsid w:val="003E1C2C"/>
    <w:rsid w:val="003E214F"/>
    <w:rsid w:val="003E23B7"/>
    <w:rsid w:val="003E2EBC"/>
    <w:rsid w:val="003E32FB"/>
    <w:rsid w:val="003E394B"/>
    <w:rsid w:val="003E3CF1"/>
    <w:rsid w:val="003E59C4"/>
    <w:rsid w:val="003E5E9A"/>
    <w:rsid w:val="003E738B"/>
    <w:rsid w:val="003F0C1E"/>
    <w:rsid w:val="003F139D"/>
    <w:rsid w:val="003F13DA"/>
    <w:rsid w:val="003F3C94"/>
    <w:rsid w:val="003F3D80"/>
    <w:rsid w:val="003F3E82"/>
    <w:rsid w:val="003F4227"/>
    <w:rsid w:val="003F42CA"/>
    <w:rsid w:val="003F4DD7"/>
    <w:rsid w:val="003F5A11"/>
    <w:rsid w:val="003F5FF5"/>
    <w:rsid w:val="003F6792"/>
    <w:rsid w:val="003F69C5"/>
    <w:rsid w:val="003F7F49"/>
    <w:rsid w:val="004013B3"/>
    <w:rsid w:val="0040295C"/>
    <w:rsid w:val="00402DA7"/>
    <w:rsid w:val="00402F9A"/>
    <w:rsid w:val="004033C6"/>
    <w:rsid w:val="004039E5"/>
    <w:rsid w:val="00403B1F"/>
    <w:rsid w:val="00404139"/>
    <w:rsid w:val="00404DFB"/>
    <w:rsid w:val="004050B8"/>
    <w:rsid w:val="00405F21"/>
    <w:rsid w:val="00406BF2"/>
    <w:rsid w:val="00410CE8"/>
    <w:rsid w:val="00411865"/>
    <w:rsid w:val="00411D4A"/>
    <w:rsid w:val="00411FDB"/>
    <w:rsid w:val="00412689"/>
    <w:rsid w:val="00412879"/>
    <w:rsid w:val="0041493B"/>
    <w:rsid w:val="00414B04"/>
    <w:rsid w:val="004159A3"/>
    <w:rsid w:val="0041656F"/>
    <w:rsid w:val="004168DA"/>
    <w:rsid w:val="00421FE6"/>
    <w:rsid w:val="0042232C"/>
    <w:rsid w:val="00422D27"/>
    <w:rsid w:val="00423424"/>
    <w:rsid w:val="004241E6"/>
    <w:rsid w:val="004257B1"/>
    <w:rsid w:val="00425CB0"/>
    <w:rsid w:val="00426908"/>
    <w:rsid w:val="004269BD"/>
    <w:rsid w:val="00426D58"/>
    <w:rsid w:val="00426EED"/>
    <w:rsid w:val="00427327"/>
    <w:rsid w:val="00427FA4"/>
    <w:rsid w:val="00430C35"/>
    <w:rsid w:val="0043109A"/>
    <w:rsid w:val="004315DC"/>
    <w:rsid w:val="00431675"/>
    <w:rsid w:val="00431B98"/>
    <w:rsid w:val="00431CDD"/>
    <w:rsid w:val="00432A01"/>
    <w:rsid w:val="00432A0F"/>
    <w:rsid w:val="00432EA9"/>
    <w:rsid w:val="00433BF1"/>
    <w:rsid w:val="00434185"/>
    <w:rsid w:val="00434D1A"/>
    <w:rsid w:val="00434D75"/>
    <w:rsid w:val="004406EC"/>
    <w:rsid w:val="00443205"/>
    <w:rsid w:val="004432FE"/>
    <w:rsid w:val="00443D63"/>
    <w:rsid w:val="004446BE"/>
    <w:rsid w:val="004449AA"/>
    <w:rsid w:val="00446AD2"/>
    <w:rsid w:val="0044722B"/>
    <w:rsid w:val="00447897"/>
    <w:rsid w:val="004502AF"/>
    <w:rsid w:val="00451228"/>
    <w:rsid w:val="00451788"/>
    <w:rsid w:val="00451ECC"/>
    <w:rsid w:val="00452333"/>
    <w:rsid w:val="004527D9"/>
    <w:rsid w:val="004539BF"/>
    <w:rsid w:val="00454115"/>
    <w:rsid w:val="0045496B"/>
    <w:rsid w:val="00454FA4"/>
    <w:rsid w:val="004566A4"/>
    <w:rsid w:val="0045714B"/>
    <w:rsid w:val="00457A26"/>
    <w:rsid w:val="00457E79"/>
    <w:rsid w:val="00460525"/>
    <w:rsid w:val="004619CF"/>
    <w:rsid w:val="00463DF2"/>
    <w:rsid w:val="00465401"/>
    <w:rsid w:val="004672A0"/>
    <w:rsid w:val="00467764"/>
    <w:rsid w:val="00467DF2"/>
    <w:rsid w:val="00467E11"/>
    <w:rsid w:val="00471DE9"/>
    <w:rsid w:val="004720F3"/>
    <w:rsid w:val="00472924"/>
    <w:rsid w:val="00473217"/>
    <w:rsid w:val="00474A0A"/>
    <w:rsid w:val="00475099"/>
    <w:rsid w:val="00475366"/>
    <w:rsid w:val="004756AB"/>
    <w:rsid w:val="0047598E"/>
    <w:rsid w:val="004765F1"/>
    <w:rsid w:val="00480596"/>
    <w:rsid w:val="00480BCE"/>
    <w:rsid w:val="0048394E"/>
    <w:rsid w:val="00484299"/>
    <w:rsid w:val="00485655"/>
    <w:rsid w:val="00487758"/>
    <w:rsid w:val="00490E56"/>
    <w:rsid w:val="00491B9D"/>
    <w:rsid w:val="00494F88"/>
    <w:rsid w:val="0049584C"/>
    <w:rsid w:val="0049628F"/>
    <w:rsid w:val="00496832"/>
    <w:rsid w:val="00496B85"/>
    <w:rsid w:val="00496C26"/>
    <w:rsid w:val="00496EC2"/>
    <w:rsid w:val="00496FAC"/>
    <w:rsid w:val="00496FCF"/>
    <w:rsid w:val="00497112"/>
    <w:rsid w:val="0049750E"/>
    <w:rsid w:val="00497AC1"/>
    <w:rsid w:val="00497F75"/>
    <w:rsid w:val="004A17D7"/>
    <w:rsid w:val="004A1999"/>
    <w:rsid w:val="004A2843"/>
    <w:rsid w:val="004A67FA"/>
    <w:rsid w:val="004A725E"/>
    <w:rsid w:val="004A750B"/>
    <w:rsid w:val="004B099D"/>
    <w:rsid w:val="004B1A5C"/>
    <w:rsid w:val="004B2147"/>
    <w:rsid w:val="004B3E86"/>
    <w:rsid w:val="004B4513"/>
    <w:rsid w:val="004B5097"/>
    <w:rsid w:val="004B5D2F"/>
    <w:rsid w:val="004B6EA2"/>
    <w:rsid w:val="004B71AC"/>
    <w:rsid w:val="004B7B3C"/>
    <w:rsid w:val="004C0731"/>
    <w:rsid w:val="004C0D5F"/>
    <w:rsid w:val="004C18B1"/>
    <w:rsid w:val="004C27FD"/>
    <w:rsid w:val="004C2861"/>
    <w:rsid w:val="004C2AFB"/>
    <w:rsid w:val="004C2C54"/>
    <w:rsid w:val="004C4585"/>
    <w:rsid w:val="004C5571"/>
    <w:rsid w:val="004C6263"/>
    <w:rsid w:val="004C63A8"/>
    <w:rsid w:val="004C6CC4"/>
    <w:rsid w:val="004C7072"/>
    <w:rsid w:val="004C7585"/>
    <w:rsid w:val="004D0E45"/>
    <w:rsid w:val="004D0E90"/>
    <w:rsid w:val="004D2FA6"/>
    <w:rsid w:val="004D5727"/>
    <w:rsid w:val="004D6706"/>
    <w:rsid w:val="004D6C42"/>
    <w:rsid w:val="004D7391"/>
    <w:rsid w:val="004E1940"/>
    <w:rsid w:val="004E1C41"/>
    <w:rsid w:val="004E23D8"/>
    <w:rsid w:val="004E3FD3"/>
    <w:rsid w:val="004E40B2"/>
    <w:rsid w:val="004E43C8"/>
    <w:rsid w:val="004E4B3D"/>
    <w:rsid w:val="004E4C07"/>
    <w:rsid w:val="004E5B28"/>
    <w:rsid w:val="004E7739"/>
    <w:rsid w:val="004E77C3"/>
    <w:rsid w:val="004F1873"/>
    <w:rsid w:val="004F1897"/>
    <w:rsid w:val="004F30F5"/>
    <w:rsid w:val="004F3A83"/>
    <w:rsid w:val="004F4922"/>
    <w:rsid w:val="004F4C20"/>
    <w:rsid w:val="004F4D82"/>
    <w:rsid w:val="004F6103"/>
    <w:rsid w:val="004F63D6"/>
    <w:rsid w:val="005004A6"/>
    <w:rsid w:val="00500A91"/>
    <w:rsid w:val="00500D98"/>
    <w:rsid w:val="00501089"/>
    <w:rsid w:val="00501F92"/>
    <w:rsid w:val="005024B2"/>
    <w:rsid w:val="00502859"/>
    <w:rsid w:val="005035F4"/>
    <w:rsid w:val="00504152"/>
    <w:rsid w:val="00505974"/>
    <w:rsid w:val="00505FED"/>
    <w:rsid w:val="00506EB8"/>
    <w:rsid w:val="005076AA"/>
    <w:rsid w:val="00507F5C"/>
    <w:rsid w:val="00510A67"/>
    <w:rsid w:val="00511E36"/>
    <w:rsid w:val="00511F3E"/>
    <w:rsid w:val="005125FC"/>
    <w:rsid w:val="005127C8"/>
    <w:rsid w:val="0051340B"/>
    <w:rsid w:val="005138A6"/>
    <w:rsid w:val="005139F9"/>
    <w:rsid w:val="005141F4"/>
    <w:rsid w:val="00514698"/>
    <w:rsid w:val="00514A80"/>
    <w:rsid w:val="00514B3F"/>
    <w:rsid w:val="00514FC3"/>
    <w:rsid w:val="00515600"/>
    <w:rsid w:val="00516D7E"/>
    <w:rsid w:val="00517B2C"/>
    <w:rsid w:val="00523B70"/>
    <w:rsid w:val="00523FC9"/>
    <w:rsid w:val="00524433"/>
    <w:rsid w:val="00526343"/>
    <w:rsid w:val="005263B6"/>
    <w:rsid w:val="00526421"/>
    <w:rsid w:val="005300C1"/>
    <w:rsid w:val="0053011C"/>
    <w:rsid w:val="00530D61"/>
    <w:rsid w:val="00530E7C"/>
    <w:rsid w:val="0053127B"/>
    <w:rsid w:val="0053133D"/>
    <w:rsid w:val="00531CB2"/>
    <w:rsid w:val="00531F87"/>
    <w:rsid w:val="00532DA0"/>
    <w:rsid w:val="00533186"/>
    <w:rsid w:val="00534DBA"/>
    <w:rsid w:val="00536204"/>
    <w:rsid w:val="00536C0F"/>
    <w:rsid w:val="00536F52"/>
    <w:rsid w:val="00536FE0"/>
    <w:rsid w:val="005370A3"/>
    <w:rsid w:val="005372D5"/>
    <w:rsid w:val="00541D35"/>
    <w:rsid w:val="00541EA9"/>
    <w:rsid w:val="00543066"/>
    <w:rsid w:val="005446E4"/>
    <w:rsid w:val="00544F5B"/>
    <w:rsid w:val="0054594F"/>
    <w:rsid w:val="00546278"/>
    <w:rsid w:val="00546AD8"/>
    <w:rsid w:val="00547128"/>
    <w:rsid w:val="00550905"/>
    <w:rsid w:val="00550CD6"/>
    <w:rsid w:val="00551181"/>
    <w:rsid w:val="00552061"/>
    <w:rsid w:val="005521DA"/>
    <w:rsid w:val="00554C04"/>
    <w:rsid w:val="00555559"/>
    <w:rsid w:val="00555BE6"/>
    <w:rsid w:val="0055756B"/>
    <w:rsid w:val="00561C04"/>
    <w:rsid w:val="0056429B"/>
    <w:rsid w:val="0056483D"/>
    <w:rsid w:val="00564B99"/>
    <w:rsid w:val="0056551F"/>
    <w:rsid w:val="00565D1E"/>
    <w:rsid w:val="00565E81"/>
    <w:rsid w:val="00566716"/>
    <w:rsid w:val="005671E3"/>
    <w:rsid w:val="00570845"/>
    <w:rsid w:val="00571641"/>
    <w:rsid w:val="00571A54"/>
    <w:rsid w:val="0057444A"/>
    <w:rsid w:val="00574A0E"/>
    <w:rsid w:val="00574F5C"/>
    <w:rsid w:val="00575343"/>
    <w:rsid w:val="00576ADB"/>
    <w:rsid w:val="0058115C"/>
    <w:rsid w:val="00581EA1"/>
    <w:rsid w:val="0058553B"/>
    <w:rsid w:val="0058563E"/>
    <w:rsid w:val="00585965"/>
    <w:rsid w:val="00585E32"/>
    <w:rsid w:val="00585EE2"/>
    <w:rsid w:val="00586CDD"/>
    <w:rsid w:val="0059062E"/>
    <w:rsid w:val="005924EC"/>
    <w:rsid w:val="005928E0"/>
    <w:rsid w:val="0059365E"/>
    <w:rsid w:val="00594009"/>
    <w:rsid w:val="00596278"/>
    <w:rsid w:val="00597D4E"/>
    <w:rsid w:val="005A0259"/>
    <w:rsid w:val="005A03E3"/>
    <w:rsid w:val="005A2B76"/>
    <w:rsid w:val="005A2D87"/>
    <w:rsid w:val="005A31E4"/>
    <w:rsid w:val="005A31F9"/>
    <w:rsid w:val="005A3CC6"/>
    <w:rsid w:val="005A3CDD"/>
    <w:rsid w:val="005A509A"/>
    <w:rsid w:val="005A5DCB"/>
    <w:rsid w:val="005A691A"/>
    <w:rsid w:val="005A77D8"/>
    <w:rsid w:val="005B085D"/>
    <w:rsid w:val="005B0BA1"/>
    <w:rsid w:val="005B2344"/>
    <w:rsid w:val="005B3123"/>
    <w:rsid w:val="005B3A01"/>
    <w:rsid w:val="005B4873"/>
    <w:rsid w:val="005B6AA7"/>
    <w:rsid w:val="005B70D2"/>
    <w:rsid w:val="005B71AA"/>
    <w:rsid w:val="005B75B9"/>
    <w:rsid w:val="005B781E"/>
    <w:rsid w:val="005B7AB2"/>
    <w:rsid w:val="005C0AC3"/>
    <w:rsid w:val="005C281E"/>
    <w:rsid w:val="005C49CF"/>
    <w:rsid w:val="005C4ADF"/>
    <w:rsid w:val="005C5512"/>
    <w:rsid w:val="005C5D87"/>
    <w:rsid w:val="005C6657"/>
    <w:rsid w:val="005C6DE1"/>
    <w:rsid w:val="005C7866"/>
    <w:rsid w:val="005D090C"/>
    <w:rsid w:val="005D0CE1"/>
    <w:rsid w:val="005D1233"/>
    <w:rsid w:val="005D14B2"/>
    <w:rsid w:val="005D18E5"/>
    <w:rsid w:val="005D2B11"/>
    <w:rsid w:val="005D31A4"/>
    <w:rsid w:val="005D3707"/>
    <w:rsid w:val="005D4926"/>
    <w:rsid w:val="005D663A"/>
    <w:rsid w:val="005D67B9"/>
    <w:rsid w:val="005D6F9D"/>
    <w:rsid w:val="005D7B43"/>
    <w:rsid w:val="005D7D8C"/>
    <w:rsid w:val="005E2732"/>
    <w:rsid w:val="005E33DC"/>
    <w:rsid w:val="005E4040"/>
    <w:rsid w:val="005E450A"/>
    <w:rsid w:val="005E4CE0"/>
    <w:rsid w:val="005E5297"/>
    <w:rsid w:val="005E64A6"/>
    <w:rsid w:val="005F06BF"/>
    <w:rsid w:val="005F10D5"/>
    <w:rsid w:val="005F4601"/>
    <w:rsid w:val="005F77D7"/>
    <w:rsid w:val="005F7EB9"/>
    <w:rsid w:val="00600462"/>
    <w:rsid w:val="006027C0"/>
    <w:rsid w:val="00602E6D"/>
    <w:rsid w:val="006044E5"/>
    <w:rsid w:val="00604962"/>
    <w:rsid w:val="006052C9"/>
    <w:rsid w:val="006065AE"/>
    <w:rsid w:val="0060790C"/>
    <w:rsid w:val="00610A51"/>
    <w:rsid w:val="00610F50"/>
    <w:rsid w:val="00612783"/>
    <w:rsid w:val="00612EED"/>
    <w:rsid w:val="00615CB6"/>
    <w:rsid w:val="00616150"/>
    <w:rsid w:val="006168C2"/>
    <w:rsid w:val="00616ED6"/>
    <w:rsid w:val="00617F82"/>
    <w:rsid w:val="00620BEF"/>
    <w:rsid w:val="0062145C"/>
    <w:rsid w:val="00621621"/>
    <w:rsid w:val="00621687"/>
    <w:rsid w:val="00621A50"/>
    <w:rsid w:val="006227DB"/>
    <w:rsid w:val="00623482"/>
    <w:rsid w:val="00623CFE"/>
    <w:rsid w:val="006245F2"/>
    <w:rsid w:val="00625525"/>
    <w:rsid w:val="0062597A"/>
    <w:rsid w:val="00627237"/>
    <w:rsid w:val="00627515"/>
    <w:rsid w:val="00627630"/>
    <w:rsid w:val="0063027B"/>
    <w:rsid w:val="0063162E"/>
    <w:rsid w:val="0063206B"/>
    <w:rsid w:val="006327A1"/>
    <w:rsid w:val="00632BEF"/>
    <w:rsid w:val="00632CA0"/>
    <w:rsid w:val="00633C45"/>
    <w:rsid w:val="0063517C"/>
    <w:rsid w:val="006354D8"/>
    <w:rsid w:val="00635F94"/>
    <w:rsid w:val="00641840"/>
    <w:rsid w:val="006421E8"/>
    <w:rsid w:val="00642A1F"/>
    <w:rsid w:val="00642A9D"/>
    <w:rsid w:val="00642EBF"/>
    <w:rsid w:val="00643737"/>
    <w:rsid w:val="0064376E"/>
    <w:rsid w:val="006438C7"/>
    <w:rsid w:val="00643FBE"/>
    <w:rsid w:val="006442DB"/>
    <w:rsid w:val="00644F30"/>
    <w:rsid w:val="006458A3"/>
    <w:rsid w:val="0064694A"/>
    <w:rsid w:val="00650A64"/>
    <w:rsid w:val="00651EAB"/>
    <w:rsid w:val="00652AF3"/>
    <w:rsid w:val="00653215"/>
    <w:rsid w:val="00656CC5"/>
    <w:rsid w:val="0065703C"/>
    <w:rsid w:val="00657A57"/>
    <w:rsid w:val="00657B63"/>
    <w:rsid w:val="00657E7F"/>
    <w:rsid w:val="0066005B"/>
    <w:rsid w:val="00660C67"/>
    <w:rsid w:val="00660F97"/>
    <w:rsid w:val="00661079"/>
    <w:rsid w:val="0066110E"/>
    <w:rsid w:val="00661F5C"/>
    <w:rsid w:val="00662987"/>
    <w:rsid w:val="00662D3D"/>
    <w:rsid w:val="00663AEB"/>
    <w:rsid w:val="0066477B"/>
    <w:rsid w:val="00664DF6"/>
    <w:rsid w:val="00665FAC"/>
    <w:rsid w:val="006666DE"/>
    <w:rsid w:val="00666F42"/>
    <w:rsid w:val="006675EB"/>
    <w:rsid w:val="006678C4"/>
    <w:rsid w:val="0067107C"/>
    <w:rsid w:val="00671C7D"/>
    <w:rsid w:val="00671F7F"/>
    <w:rsid w:val="00672326"/>
    <w:rsid w:val="00673109"/>
    <w:rsid w:val="00675EEA"/>
    <w:rsid w:val="00677546"/>
    <w:rsid w:val="00677823"/>
    <w:rsid w:val="006805BD"/>
    <w:rsid w:val="0068299F"/>
    <w:rsid w:val="00682BEC"/>
    <w:rsid w:val="0068331A"/>
    <w:rsid w:val="006833C1"/>
    <w:rsid w:val="00683FA3"/>
    <w:rsid w:val="00684C8A"/>
    <w:rsid w:val="0068519D"/>
    <w:rsid w:val="00685735"/>
    <w:rsid w:val="006865B9"/>
    <w:rsid w:val="00686A00"/>
    <w:rsid w:val="006870C0"/>
    <w:rsid w:val="0068722A"/>
    <w:rsid w:val="0069068F"/>
    <w:rsid w:val="006922EB"/>
    <w:rsid w:val="00692488"/>
    <w:rsid w:val="0069397C"/>
    <w:rsid w:val="006943D1"/>
    <w:rsid w:val="0069479D"/>
    <w:rsid w:val="00694FAE"/>
    <w:rsid w:val="00695F40"/>
    <w:rsid w:val="00696400"/>
    <w:rsid w:val="0069783C"/>
    <w:rsid w:val="006979AC"/>
    <w:rsid w:val="006A01D7"/>
    <w:rsid w:val="006A05EC"/>
    <w:rsid w:val="006A07C1"/>
    <w:rsid w:val="006A0E8E"/>
    <w:rsid w:val="006A10AF"/>
    <w:rsid w:val="006A18C6"/>
    <w:rsid w:val="006A1AFE"/>
    <w:rsid w:val="006A3F6A"/>
    <w:rsid w:val="006A3F7D"/>
    <w:rsid w:val="006A4053"/>
    <w:rsid w:val="006A5376"/>
    <w:rsid w:val="006A5C87"/>
    <w:rsid w:val="006A5D8E"/>
    <w:rsid w:val="006A6220"/>
    <w:rsid w:val="006A71E1"/>
    <w:rsid w:val="006A72D1"/>
    <w:rsid w:val="006A73C3"/>
    <w:rsid w:val="006B022B"/>
    <w:rsid w:val="006B0254"/>
    <w:rsid w:val="006B05C6"/>
    <w:rsid w:val="006B142E"/>
    <w:rsid w:val="006B1F40"/>
    <w:rsid w:val="006B3F01"/>
    <w:rsid w:val="006B428C"/>
    <w:rsid w:val="006B4E43"/>
    <w:rsid w:val="006B567A"/>
    <w:rsid w:val="006B5ADF"/>
    <w:rsid w:val="006B7739"/>
    <w:rsid w:val="006C1094"/>
    <w:rsid w:val="006C1595"/>
    <w:rsid w:val="006C29FD"/>
    <w:rsid w:val="006C2A3E"/>
    <w:rsid w:val="006C2A54"/>
    <w:rsid w:val="006C2BD0"/>
    <w:rsid w:val="006C2D16"/>
    <w:rsid w:val="006C3A04"/>
    <w:rsid w:val="006C4065"/>
    <w:rsid w:val="006C57D9"/>
    <w:rsid w:val="006C5BE4"/>
    <w:rsid w:val="006C5F3E"/>
    <w:rsid w:val="006C6838"/>
    <w:rsid w:val="006C69CC"/>
    <w:rsid w:val="006C717E"/>
    <w:rsid w:val="006C7A5F"/>
    <w:rsid w:val="006D10F8"/>
    <w:rsid w:val="006D1C24"/>
    <w:rsid w:val="006D1E65"/>
    <w:rsid w:val="006D2591"/>
    <w:rsid w:val="006D5131"/>
    <w:rsid w:val="006D55D0"/>
    <w:rsid w:val="006D5D43"/>
    <w:rsid w:val="006D63F7"/>
    <w:rsid w:val="006D7DA2"/>
    <w:rsid w:val="006D7E87"/>
    <w:rsid w:val="006E0A8D"/>
    <w:rsid w:val="006E2F38"/>
    <w:rsid w:val="006E33D5"/>
    <w:rsid w:val="006E47A7"/>
    <w:rsid w:val="006E66A5"/>
    <w:rsid w:val="006E6B84"/>
    <w:rsid w:val="006E7292"/>
    <w:rsid w:val="006E753B"/>
    <w:rsid w:val="006E7789"/>
    <w:rsid w:val="006E7BC2"/>
    <w:rsid w:val="006F0B1B"/>
    <w:rsid w:val="006F12D0"/>
    <w:rsid w:val="006F16FB"/>
    <w:rsid w:val="006F1CF7"/>
    <w:rsid w:val="006F20EE"/>
    <w:rsid w:val="006F22AA"/>
    <w:rsid w:val="006F2D4D"/>
    <w:rsid w:val="006F2DA0"/>
    <w:rsid w:val="006F3176"/>
    <w:rsid w:val="006F31A6"/>
    <w:rsid w:val="006F36F5"/>
    <w:rsid w:val="006F4454"/>
    <w:rsid w:val="006F45A4"/>
    <w:rsid w:val="006F46E9"/>
    <w:rsid w:val="006F4A19"/>
    <w:rsid w:val="006F4C64"/>
    <w:rsid w:val="006F576C"/>
    <w:rsid w:val="00700D85"/>
    <w:rsid w:val="007010FD"/>
    <w:rsid w:val="0070149E"/>
    <w:rsid w:val="00701C30"/>
    <w:rsid w:val="00702995"/>
    <w:rsid w:val="007031D7"/>
    <w:rsid w:val="00703256"/>
    <w:rsid w:val="00703443"/>
    <w:rsid w:val="007051D6"/>
    <w:rsid w:val="00705526"/>
    <w:rsid w:val="00706CEF"/>
    <w:rsid w:val="007076F5"/>
    <w:rsid w:val="00707738"/>
    <w:rsid w:val="00707BD9"/>
    <w:rsid w:val="00710F1B"/>
    <w:rsid w:val="0071101B"/>
    <w:rsid w:val="007128E4"/>
    <w:rsid w:val="00712A3E"/>
    <w:rsid w:val="00713B4F"/>
    <w:rsid w:val="00713CE6"/>
    <w:rsid w:val="00713FF3"/>
    <w:rsid w:val="007142DA"/>
    <w:rsid w:val="007147A8"/>
    <w:rsid w:val="00714BB8"/>
    <w:rsid w:val="007161D4"/>
    <w:rsid w:val="00716982"/>
    <w:rsid w:val="00717380"/>
    <w:rsid w:val="00717633"/>
    <w:rsid w:val="007177D0"/>
    <w:rsid w:val="0072002B"/>
    <w:rsid w:val="007202C0"/>
    <w:rsid w:val="00720D14"/>
    <w:rsid w:val="00721FCE"/>
    <w:rsid w:val="00722CD5"/>
    <w:rsid w:val="00724E8B"/>
    <w:rsid w:val="00725D57"/>
    <w:rsid w:val="007272D6"/>
    <w:rsid w:val="00727B08"/>
    <w:rsid w:val="00731EBA"/>
    <w:rsid w:val="007320F0"/>
    <w:rsid w:val="00733028"/>
    <w:rsid w:val="00733AB3"/>
    <w:rsid w:val="007355C6"/>
    <w:rsid w:val="00735697"/>
    <w:rsid w:val="00735AA3"/>
    <w:rsid w:val="007360DD"/>
    <w:rsid w:val="00736BC0"/>
    <w:rsid w:val="0074036B"/>
    <w:rsid w:val="00740C31"/>
    <w:rsid w:val="00741F51"/>
    <w:rsid w:val="007424BC"/>
    <w:rsid w:val="007425D2"/>
    <w:rsid w:val="00742AF2"/>
    <w:rsid w:val="007447D0"/>
    <w:rsid w:val="00744AE0"/>
    <w:rsid w:val="00744CEB"/>
    <w:rsid w:val="00745D31"/>
    <w:rsid w:val="00745EA8"/>
    <w:rsid w:val="00746E72"/>
    <w:rsid w:val="0075061F"/>
    <w:rsid w:val="00750E84"/>
    <w:rsid w:val="0075276C"/>
    <w:rsid w:val="00752CFC"/>
    <w:rsid w:val="007537FA"/>
    <w:rsid w:val="00753898"/>
    <w:rsid w:val="007542D5"/>
    <w:rsid w:val="007547A5"/>
    <w:rsid w:val="00755753"/>
    <w:rsid w:val="00755DA0"/>
    <w:rsid w:val="00755E7C"/>
    <w:rsid w:val="00756058"/>
    <w:rsid w:val="007565A1"/>
    <w:rsid w:val="00756D13"/>
    <w:rsid w:val="00757130"/>
    <w:rsid w:val="00761130"/>
    <w:rsid w:val="00763C22"/>
    <w:rsid w:val="007643DD"/>
    <w:rsid w:val="00764E6A"/>
    <w:rsid w:val="007653AE"/>
    <w:rsid w:val="00766800"/>
    <w:rsid w:val="00766890"/>
    <w:rsid w:val="0076783F"/>
    <w:rsid w:val="00767886"/>
    <w:rsid w:val="00767E6B"/>
    <w:rsid w:val="0077038D"/>
    <w:rsid w:val="0077118B"/>
    <w:rsid w:val="00772F2B"/>
    <w:rsid w:val="00773C70"/>
    <w:rsid w:val="00773DF5"/>
    <w:rsid w:val="00774448"/>
    <w:rsid w:val="007756FB"/>
    <w:rsid w:val="00775769"/>
    <w:rsid w:val="00776334"/>
    <w:rsid w:val="007764F7"/>
    <w:rsid w:val="00776B6C"/>
    <w:rsid w:val="0078199C"/>
    <w:rsid w:val="007822D8"/>
    <w:rsid w:val="00783321"/>
    <w:rsid w:val="00784459"/>
    <w:rsid w:val="007847A0"/>
    <w:rsid w:val="00786030"/>
    <w:rsid w:val="007903CE"/>
    <w:rsid w:val="00790B94"/>
    <w:rsid w:val="0079342E"/>
    <w:rsid w:val="00793560"/>
    <w:rsid w:val="00793771"/>
    <w:rsid w:val="0079406A"/>
    <w:rsid w:val="0079599A"/>
    <w:rsid w:val="00796409"/>
    <w:rsid w:val="00796A21"/>
    <w:rsid w:val="007973AD"/>
    <w:rsid w:val="007973C9"/>
    <w:rsid w:val="007A04F7"/>
    <w:rsid w:val="007A0736"/>
    <w:rsid w:val="007A0E0B"/>
    <w:rsid w:val="007A3618"/>
    <w:rsid w:val="007A3D9A"/>
    <w:rsid w:val="007A425D"/>
    <w:rsid w:val="007A4A22"/>
    <w:rsid w:val="007A5B65"/>
    <w:rsid w:val="007A5BE4"/>
    <w:rsid w:val="007A5FB4"/>
    <w:rsid w:val="007A7854"/>
    <w:rsid w:val="007A790D"/>
    <w:rsid w:val="007B0C0D"/>
    <w:rsid w:val="007B1466"/>
    <w:rsid w:val="007B1D1F"/>
    <w:rsid w:val="007B1FA4"/>
    <w:rsid w:val="007B2420"/>
    <w:rsid w:val="007B266D"/>
    <w:rsid w:val="007B3697"/>
    <w:rsid w:val="007B43C5"/>
    <w:rsid w:val="007B67F1"/>
    <w:rsid w:val="007B6D2C"/>
    <w:rsid w:val="007B7114"/>
    <w:rsid w:val="007B73B5"/>
    <w:rsid w:val="007B7CD0"/>
    <w:rsid w:val="007C03CE"/>
    <w:rsid w:val="007C194E"/>
    <w:rsid w:val="007C245E"/>
    <w:rsid w:val="007C3F1D"/>
    <w:rsid w:val="007C437C"/>
    <w:rsid w:val="007C474E"/>
    <w:rsid w:val="007C5765"/>
    <w:rsid w:val="007C6BAA"/>
    <w:rsid w:val="007C77E8"/>
    <w:rsid w:val="007C79C6"/>
    <w:rsid w:val="007D12A8"/>
    <w:rsid w:val="007D2181"/>
    <w:rsid w:val="007D2B35"/>
    <w:rsid w:val="007D3F8D"/>
    <w:rsid w:val="007D4A2A"/>
    <w:rsid w:val="007D4A64"/>
    <w:rsid w:val="007D4B5C"/>
    <w:rsid w:val="007D50C3"/>
    <w:rsid w:val="007D5A72"/>
    <w:rsid w:val="007D5D65"/>
    <w:rsid w:val="007D604C"/>
    <w:rsid w:val="007D7673"/>
    <w:rsid w:val="007E02AC"/>
    <w:rsid w:val="007E05A7"/>
    <w:rsid w:val="007E11F1"/>
    <w:rsid w:val="007E2C1E"/>
    <w:rsid w:val="007E4FED"/>
    <w:rsid w:val="007E51A3"/>
    <w:rsid w:val="007E5761"/>
    <w:rsid w:val="007E5A5D"/>
    <w:rsid w:val="007E5C39"/>
    <w:rsid w:val="007E6850"/>
    <w:rsid w:val="007F077B"/>
    <w:rsid w:val="007F0CCE"/>
    <w:rsid w:val="007F0D6A"/>
    <w:rsid w:val="007F1735"/>
    <w:rsid w:val="007F41AC"/>
    <w:rsid w:val="007F4305"/>
    <w:rsid w:val="007F4AD2"/>
    <w:rsid w:val="007F5410"/>
    <w:rsid w:val="007F5490"/>
    <w:rsid w:val="007F5AFD"/>
    <w:rsid w:val="0080134B"/>
    <w:rsid w:val="008017F9"/>
    <w:rsid w:val="00802311"/>
    <w:rsid w:val="00803040"/>
    <w:rsid w:val="00803115"/>
    <w:rsid w:val="00803721"/>
    <w:rsid w:val="00803A1D"/>
    <w:rsid w:val="0080464B"/>
    <w:rsid w:val="00805FB9"/>
    <w:rsid w:val="00806656"/>
    <w:rsid w:val="00806C00"/>
    <w:rsid w:val="0081127C"/>
    <w:rsid w:val="00812EB0"/>
    <w:rsid w:val="00813CF6"/>
    <w:rsid w:val="0081472C"/>
    <w:rsid w:val="00814BA2"/>
    <w:rsid w:val="00816146"/>
    <w:rsid w:val="00816D7F"/>
    <w:rsid w:val="00816DDA"/>
    <w:rsid w:val="00820402"/>
    <w:rsid w:val="00820530"/>
    <w:rsid w:val="0082072B"/>
    <w:rsid w:val="008210F7"/>
    <w:rsid w:val="00821696"/>
    <w:rsid w:val="00822354"/>
    <w:rsid w:val="00822EC9"/>
    <w:rsid w:val="00824DD1"/>
    <w:rsid w:val="00825474"/>
    <w:rsid w:val="00825D80"/>
    <w:rsid w:val="008266E6"/>
    <w:rsid w:val="00827046"/>
    <w:rsid w:val="00827D48"/>
    <w:rsid w:val="00830946"/>
    <w:rsid w:val="00830EB0"/>
    <w:rsid w:val="00831F89"/>
    <w:rsid w:val="0083215B"/>
    <w:rsid w:val="008329A7"/>
    <w:rsid w:val="00832DA4"/>
    <w:rsid w:val="00833343"/>
    <w:rsid w:val="00834D63"/>
    <w:rsid w:val="00834EA3"/>
    <w:rsid w:val="00834F30"/>
    <w:rsid w:val="00836B5D"/>
    <w:rsid w:val="00836C2B"/>
    <w:rsid w:val="00837771"/>
    <w:rsid w:val="0084090D"/>
    <w:rsid w:val="008409A9"/>
    <w:rsid w:val="008411A7"/>
    <w:rsid w:val="00841303"/>
    <w:rsid w:val="00842831"/>
    <w:rsid w:val="00842FF9"/>
    <w:rsid w:val="00843F8F"/>
    <w:rsid w:val="00845097"/>
    <w:rsid w:val="0084545B"/>
    <w:rsid w:val="00845C0D"/>
    <w:rsid w:val="00846039"/>
    <w:rsid w:val="0084612E"/>
    <w:rsid w:val="00846F18"/>
    <w:rsid w:val="00847AB5"/>
    <w:rsid w:val="0085047E"/>
    <w:rsid w:val="008507CE"/>
    <w:rsid w:val="008525B5"/>
    <w:rsid w:val="00852711"/>
    <w:rsid w:val="00852F63"/>
    <w:rsid w:val="008532E0"/>
    <w:rsid w:val="00853CFA"/>
    <w:rsid w:val="00855778"/>
    <w:rsid w:val="008602D5"/>
    <w:rsid w:val="0086057F"/>
    <w:rsid w:val="0086242E"/>
    <w:rsid w:val="00863437"/>
    <w:rsid w:val="00864C67"/>
    <w:rsid w:val="00865733"/>
    <w:rsid w:val="008657FA"/>
    <w:rsid w:val="00867323"/>
    <w:rsid w:val="00870883"/>
    <w:rsid w:val="0087092E"/>
    <w:rsid w:val="008719FC"/>
    <w:rsid w:val="00871AA2"/>
    <w:rsid w:val="00871B36"/>
    <w:rsid w:val="00871C68"/>
    <w:rsid w:val="008720F3"/>
    <w:rsid w:val="00872C76"/>
    <w:rsid w:val="00874345"/>
    <w:rsid w:val="008743EB"/>
    <w:rsid w:val="0087450B"/>
    <w:rsid w:val="008753CA"/>
    <w:rsid w:val="00876E36"/>
    <w:rsid w:val="00877DBF"/>
    <w:rsid w:val="00880215"/>
    <w:rsid w:val="00880D48"/>
    <w:rsid w:val="008821A2"/>
    <w:rsid w:val="00882311"/>
    <w:rsid w:val="008824B3"/>
    <w:rsid w:val="008830FB"/>
    <w:rsid w:val="00883476"/>
    <w:rsid w:val="00884727"/>
    <w:rsid w:val="00885CD9"/>
    <w:rsid w:val="00885DF6"/>
    <w:rsid w:val="00886063"/>
    <w:rsid w:val="00887960"/>
    <w:rsid w:val="00887B92"/>
    <w:rsid w:val="00890146"/>
    <w:rsid w:val="00890AC4"/>
    <w:rsid w:val="008913E0"/>
    <w:rsid w:val="008930DA"/>
    <w:rsid w:val="0089459D"/>
    <w:rsid w:val="0089478F"/>
    <w:rsid w:val="008948D2"/>
    <w:rsid w:val="00894A83"/>
    <w:rsid w:val="00895A6F"/>
    <w:rsid w:val="00896D91"/>
    <w:rsid w:val="0089772A"/>
    <w:rsid w:val="008A05AF"/>
    <w:rsid w:val="008A0834"/>
    <w:rsid w:val="008A0B59"/>
    <w:rsid w:val="008A1463"/>
    <w:rsid w:val="008A15C1"/>
    <w:rsid w:val="008A2F2C"/>
    <w:rsid w:val="008A2F48"/>
    <w:rsid w:val="008A3B33"/>
    <w:rsid w:val="008A44EE"/>
    <w:rsid w:val="008A5434"/>
    <w:rsid w:val="008A68D9"/>
    <w:rsid w:val="008A6961"/>
    <w:rsid w:val="008A6AB0"/>
    <w:rsid w:val="008A6ABA"/>
    <w:rsid w:val="008A7CDA"/>
    <w:rsid w:val="008B20DD"/>
    <w:rsid w:val="008B28DB"/>
    <w:rsid w:val="008B2BF4"/>
    <w:rsid w:val="008B38CA"/>
    <w:rsid w:val="008B4606"/>
    <w:rsid w:val="008B61EA"/>
    <w:rsid w:val="008B6AA2"/>
    <w:rsid w:val="008B7612"/>
    <w:rsid w:val="008B7AB4"/>
    <w:rsid w:val="008C03EE"/>
    <w:rsid w:val="008C066E"/>
    <w:rsid w:val="008C0DB0"/>
    <w:rsid w:val="008C21BE"/>
    <w:rsid w:val="008C26DA"/>
    <w:rsid w:val="008C2A9F"/>
    <w:rsid w:val="008C3596"/>
    <w:rsid w:val="008C3B72"/>
    <w:rsid w:val="008C4A47"/>
    <w:rsid w:val="008C5171"/>
    <w:rsid w:val="008C6709"/>
    <w:rsid w:val="008C6B92"/>
    <w:rsid w:val="008C7E40"/>
    <w:rsid w:val="008D02BF"/>
    <w:rsid w:val="008D173B"/>
    <w:rsid w:val="008D1868"/>
    <w:rsid w:val="008D385E"/>
    <w:rsid w:val="008D52A4"/>
    <w:rsid w:val="008D5B7C"/>
    <w:rsid w:val="008D5BCB"/>
    <w:rsid w:val="008D6319"/>
    <w:rsid w:val="008E3C69"/>
    <w:rsid w:val="008E7C35"/>
    <w:rsid w:val="008F074A"/>
    <w:rsid w:val="008F1456"/>
    <w:rsid w:val="008F1810"/>
    <w:rsid w:val="008F25FB"/>
    <w:rsid w:val="008F348E"/>
    <w:rsid w:val="008F439D"/>
    <w:rsid w:val="008F4E8D"/>
    <w:rsid w:val="008F5E35"/>
    <w:rsid w:val="008F5FD0"/>
    <w:rsid w:val="008F6ACE"/>
    <w:rsid w:val="008F7E6B"/>
    <w:rsid w:val="009007DD"/>
    <w:rsid w:val="00900F09"/>
    <w:rsid w:val="0090131B"/>
    <w:rsid w:val="00902A94"/>
    <w:rsid w:val="00902CA3"/>
    <w:rsid w:val="009039E8"/>
    <w:rsid w:val="00903F61"/>
    <w:rsid w:val="0090426E"/>
    <w:rsid w:val="00904726"/>
    <w:rsid w:val="0090629D"/>
    <w:rsid w:val="009070B4"/>
    <w:rsid w:val="00907151"/>
    <w:rsid w:val="009072D3"/>
    <w:rsid w:val="00907452"/>
    <w:rsid w:val="009076F9"/>
    <w:rsid w:val="0090772A"/>
    <w:rsid w:val="00907849"/>
    <w:rsid w:val="00907C9F"/>
    <w:rsid w:val="009101F0"/>
    <w:rsid w:val="00912775"/>
    <w:rsid w:val="0091313E"/>
    <w:rsid w:val="009135D6"/>
    <w:rsid w:val="0091387D"/>
    <w:rsid w:val="00914472"/>
    <w:rsid w:val="0091571E"/>
    <w:rsid w:val="009159E4"/>
    <w:rsid w:val="00915B66"/>
    <w:rsid w:val="00915E04"/>
    <w:rsid w:val="009167B1"/>
    <w:rsid w:val="00916C98"/>
    <w:rsid w:val="00916E46"/>
    <w:rsid w:val="00916E72"/>
    <w:rsid w:val="0091744E"/>
    <w:rsid w:val="00917BDF"/>
    <w:rsid w:val="00917F76"/>
    <w:rsid w:val="00920B74"/>
    <w:rsid w:val="00920C20"/>
    <w:rsid w:val="00920F28"/>
    <w:rsid w:val="009211ED"/>
    <w:rsid w:val="0092277A"/>
    <w:rsid w:val="00922FCC"/>
    <w:rsid w:val="0092371E"/>
    <w:rsid w:val="009238E4"/>
    <w:rsid w:val="00923960"/>
    <w:rsid w:val="0092428A"/>
    <w:rsid w:val="009244F0"/>
    <w:rsid w:val="0092450C"/>
    <w:rsid w:val="009246E4"/>
    <w:rsid w:val="009303E3"/>
    <w:rsid w:val="009316A1"/>
    <w:rsid w:val="00933177"/>
    <w:rsid w:val="0093472A"/>
    <w:rsid w:val="0093488C"/>
    <w:rsid w:val="009358E4"/>
    <w:rsid w:val="009360E2"/>
    <w:rsid w:val="00937199"/>
    <w:rsid w:val="009375DA"/>
    <w:rsid w:val="0093796C"/>
    <w:rsid w:val="00940005"/>
    <w:rsid w:val="00941356"/>
    <w:rsid w:val="009419E5"/>
    <w:rsid w:val="009427E3"/>
    <w:rsid w:val="00943224"/>
    <w:rsid w:val="00943DED"/>
    <w:rsid w:val="00944E04"/>
    <w:rsid w:val="00945E4F"/>
    <w:rsid w:val="00946521"/>
    <w:rsid w:val="00947DC2"/>
    <w:rsid w:val="009509E3"/>
    <w:rsid w:val="009523B1"/>
    <w:rsid w:val="00952876"/>
    <w:rsid w:val="00953205"/>
    <w:rsid w:val="00953FB2"/>
    <w:rsid w:val="00954519"/>
    <w:rsid w:val="009547D1"/>
    <w:rsid w:val="00954FC0"/>
    <w:rsid w:val="00955AE6"/>
    <w:rsid w:val="009561F3"/>
    <w:rsid w:val="00957F13"/>
    <w:rsid w:val="0096190B"/>
    <w:rsid w:val="00961A7C"/>
    <w:rsid w:val="00961FBA"/>
    <w:rsid w:val="00962065"/>
    <w:rsid w:val="00962CDD"/>
    <w:rsid w:val="0096346F"/>
    <w:rsid w:val="00963FEC"/>
    <w:rsid w:val="00964E18"/>
    <w:rsid w:val="009656F7"/>
    <w:rsid w:val="00966D29"/>
    <w:rsid w:val="009676FC"/>
    <w:rsid w:val="009679E1"/>
    <w:rsid w:val="00970511"/>
    <w:rsid w:val="009706D8"/>
    <w:rsid w:val="00970DB2"/>
    <w:rsid w:val="00970E0A"/>
    <w:rsid w:val="00971516"/>
    <w:rsid w:val="009721D5"/>
    <w:rsid w:val="009731D5"/>
    <w:rsid w:val="00973244"/>
    <w:rsid w:val="00973A39"/>
    <w:rsid w:val="00975B8B"/>
    <w:rsid w:val="009761DE"/>
    <w:rsid w:val="00976413"/>
    <w:rsid w:val="00977832"/>
    <w:rsid w:val="0098000C"/>
    <w:rsid w:val="009813BE"/>
    <w:rsid w:val="0098386D"/>
    <w:rsid w:val="00983F25"/>
    <w:rsid w:val="009845E8"/>
    <w:rsid w:val="009848CA"/>
    <w:rsid w:val="0098493E"/>
    <w:rsid w:val="00985266"/>
    <w:rsid w:val="009855BD"/>
    <w:rsid w:val="00985E5F"/>
    <w:rsid w:val="0098600A"/>
    <w:rsid w:val="009867D5"/>
    <w:rsid w:val="00986C7D"/>
    <w:rsid w:val="00990570"/>
    <w:rsid w:val="00990FEC"/>
    <w:rsid w:val="009928A7"/>
    <w:rsid w:val="00994D39"/>
    <w:rsid w:val="00995EE7"/>
    <w:rsid w:val="00995F8C"/>
    <w:rsid w:val="009A08B9"/>
    <w:rsid w:val="009A1286"/>
    <w:rsid w:val="009A1470"/>
    <w:rsid w:val="009A1F74"/>
    <w:rsid w:val="009A2088"/>
    <w:rsid w:val="009A323A"/>
    <w:rsid w:val="009A634F"/>
    <w:rsid w:val="009A65DB"/>
    <w:rsid w:val="009A6E6F"/>
    <w:rsid w:val="009B2C4C"/>
    <w:rsid w:val="009B33F6"/>
    <w:rsid w:val="009B4108"/>
    <w:rsid w:val="009B4D26"/>
    <w:rsid w:val="009C0C43"/>
    <w:rsid w:val="009C132E"/>
    <w:rsid w:val="009C1643"/>
    <w:rsid w:val="009C19E2"/>
    <w:rsid w:val="009C1A06"/>
    <w:rsid w:val="009C1D8C"/>
    <w:rsid w:val="009C2719"/>
    <w:rsid w:val="009C29ED"/>
    <w:rsid w:val="009C3022"/>
    <w:rsid w:val="009C46CE"/>
    <w:rsid w:val="009C5544"/>
    <w:rsid w:val="009C5D5C"/>
    <w:rsid w:val="009C6234"/>
    <w:rsid w:val="009C6489"/>
    <w:rsid w:val="009C6741"/>
    <w:rsid w:val="009C6CAB"/>
    <w:rsid w:val="009C7CBC"/>
    <w:rsid w:val="009D04C8"/>
    <w:rsid w:val="009D056B"/>
    <w:rsid w:val="009D0A9B"/>
    <w:rsid w:val="009D0B3C"/>
    <w:rsid w:val="009D0CD2"/>
    <w:rsid w:val="009D2623"/>
    <w:rsid w:val="009D2647"/>
    <w:rsid w:val="009D2D4E"/>
    <w:rsid w:val="009D3B20"/>
    <w:rsid w:val="009D40F5"/>
    <w:rsid w:val="009D478B"/>
    <w:rsid w:val="009D4A42"/>
    <w:rsid w:val="009D53EB"/>
    <w:rsid w:val="009D6CC7"/>
    <w:rsid w:val="009D7334"/>
    <w:rsid w:val="009D7489"/>
    <w:rsid w:val="009D7CDD"/>
    <w:rsid w:val="009D7DE2"/>
    <w:rsid w:val="009E0ADD"/>
    <w:rsid w:val="009E1772"/>
    <w:rsid w:val="009E1D0C"/>
    <w:rsid w:val="009E2A5A"/>
    <w:rsid w:val="009E2C0C"/>
    <w:rsid w:val="009E39C3"/>
    <w:rsid w:val="009E571F"/>
    <w:rsid w:val="009E5728"/>
    <w:rsid w:val="009E6620"/>
    <w:rsid w:val="009F0247"/>
    <w:rsid w:val="009F2726"/>
    <w:rsid w:val="009F4F09"/>
    <w:rsid w:val="009F691F"/>
    <w:rsid w:val="009F6E4D"/>
    <w:rsid w:val="009F7271"/>
    <w:rsid w:val="009F73E2"/>
    <w:rsid w:val="009F7523"/>
    <w:rsid w:val="009F75BD"/>
    <w:rsid w:val="00A024E7"/>
    <w:rsid w:val="00A02FB1"/>
    <w:rsid w:val="00A0328B"/>
    <w:rsid w:val="00A03D40"/>
    <w:rsid w:val="00A04263"/>
    <w:rsid w:val="00A053B6"/>
    <w:rsid w:val="00A05928"/>
    <w:rsid w:val="00A06919"/>
    <w:rsid w:val="00A104D4"/>
    <w:rsid w:val="00A118BE"/>
    <w:rsid w:val="00A11FA7"/>
    <w:rsid w:val="00A12BA0"/>
    <w:rsid w:val="00A13568"/>
    <w:rsid w:val="00A13CB9"/>
    <w:rsid w:val="00A1407B"/>
    <w:rsid w:val="00A141EA"/>
    <w:rsid w:val="00A145A1"/>
    <w:rsid w:val="00A147C5"/>
    <w:rsid w:val="00A165F0"/>
    <w:rsid w:val="00A16CAF"/>
    <w:rsid w:val="00A1743F"/>
    <w:rsid w:val="00A2002F"/>
    <w:rsid w:val="00A21475"/>
    <w:rsid w:val="00A2158D"/>
    <w:rsid w:val="00A22DFE"/>
    <w:rsid w:val="00A23904"/>
    <w:rsid w:val="00A23B85"/>
    <w:rsid w:val="00A23C81"/>
    <w:rsid w:val="00A25045"/>
    <w:rsid w:val="00A254EE"/>
    <w:rsid w:val="00A26BF6"/>
    <w:rsid w:val="00A31727"/>
    <w:rsid w:val="00A321EC"/>
    <w:rsid w:val="00A321F6"/>
    <w:rsid w:val="00A32577"/>
    <w:rsid w:val="00A32677"/>
    <w:rsid w:val="00A3267A"/>
    <w:rsid w:val="00A32976"/>
    <w:rsid w:val="00A33CAB"/>
    <w:rsid w:val="00A33D89"/>
    <w:rsid w:val="00A349AD"/>
    <w:rsid w:val="00A35820"/>
    <w:rsid w:val="00A36887"/>
    <w:rsid w:val="00A37780"/>
    <w:rsid w:val="00A377FF"/>
    <w:rsid w:val="00A37DCD"/>
    <w:rsid w:val="00A41094"/>
    <w:rsid w:val="00A413B4"/>
    <w:rsid w:val="00A413C7"/>
    <w:rsid w:val="00A42028"/>
    <w:rsid w:val="00A42822"/>
    <w:rsid w:val="00A43F82"/>
    <w:rsid w:val="00A450D4"/>
    <w:rsid w:val="00A460CF"/>
    <w:rsid w:val="00A4668B"/>
    <w:rsid w:val="00A47043"/>
    <w:rsid w:val="00A476BE"/>
    <w:rsid w:val="00A50C53"/>
    <w:rsid w:val="00A5145B"/>
    <w:rsid w:val="00A53994"/>
    <w:rsid w:val="00A547D5"/>
    <w:rsid w:val="00A550DC"/>
    <w:rsid w:val="00A55CD7"/>
    <w:rsid w:val="00A55EA8"/>
    <w:rsid w:val="00A562A1"/>
    <w:rsid w:val="00A563F9"/>
    <w:rsid w:val="00A574A3"/>
    <w:rsid w:val="00A57D64"/>
    <w:rsid w:val="00A61C2A"/>
    <w:rsid w:val="00A621DC"/>
    <w:rsid w:val="00A625A8"/>
    <w:rsid w:val="00A62BDF"/>
    <w:rsid w:val="00A63564"/>
    <w:rsid w:val="00A636DD"/>
    <w:rsid w:val="00A65F38"/>
    <w:rsid w:val="00A666DD"/>
    <w:rsid w:val="00A66901"/>
    <w:rsid w:val="00A70099"/>
    <w:rsid w:val="00A70BC8"/>
    <w:rsid w:val="00A70E5F"/>
    <w:rsid w:val="00A70F84"/>
    <w:rsid w:val="00A718D0"/>
    <w:rsid w:val="00A72F1C"/>
    <w:rsid w:val="00A73D1A"/>
    <w:rsid w:val="00A74860"/>
    <w:rsid w:val="00A75331"/>
    <w:rsid w:val="00A75AFA"/>
    <w:rsid w:val="00A77AA0"/>
    <w:rsid w:val="00A82D04"/>
    <w:rsid w:val="00A84714"/>
    <w:rsid w:val="00A85E58"/>
    <w:rsid w:val="00A9078C"/>
    <w:rsid w:val="00A90DE6"/>
    <w:rsid w:val="00A912AD"/>
    <w:rsid w:val="00A91721"/>
    <w:rsid w:val="00A922B5"/>
    <w:rsid w:val="00A93405"/>
    <w:rsid w:val="00A93E1C"/>
    <w:rsid w:val="00A95EC2"/>
    <w:rsid w:val="00A977C8"/>
    <w:rsid w:val="00AA04D7"/>
    <w:rsid w:val="00AA1194"/>
    <w:rsid w:val="00AA240E"/>
    <w:rsid w:val="00AA4149"/>
    <w:rsid w:val="00AA4310"/>
    <w:rsid w:val="00AA4471"/>
    <w:rsid w:val="00AA49C8"/>
    <w:rsid w:val="00AA5151"/>
    <w:rsid w:val="00AA5405"/>
    <w:rsid w:val="00AA5DD0"/>
    <w:rsid w:val="00AA65B8"/>
    <w:rsid w:val="00AA6905"/>
    <w:rsid w:val="00AA6A48"/>
    <w:rsid w:val="00AA787F"/>
    <w:rsid w:val="00AA78E5"/>
    <w:rsid w:val="00AB074A"/>
    <w:rsid w:val="00AB0CA5"/>
    <w:rsid w:val="00AB1C1E"/>
    <w:rsid w:val="00AB29A6"/>
    <w:rsid w:val="00AB35A8"/>
    <w:rsid w:val="00AB56C0"/>
    <w:rsid w:val="00AB5F0C"/>
    <w:rsid w:val="00AB762C"/>
    <w:rsid w:val="00AC110C"/>
    <w:rsid w:val="00AC1777"/>
    <w:rsid w:val="00AC2087"/>
    <w:rsid w:val="00AC23BC"/>
    <w:rsid w:val="00AC24B1"/>
    <w:rsid w:val="00AC2E0A"/>
    <w:rsid w:val="00AC30B6"/>
    <w:rsid w:val="00AC30C5"/>
    <w:rsid w:val="00AC41A1"/>
    <w:rsid w:val="00AC471D"/>
    <w:rsid w:val="00AC5E35"/>
    <w:rsid w:val="00AC7D7E"/>
    <w:rsid w:val="00AD0FAE"/>
    <w:rsid w:val="00AD12F0"/>
    <w:rsid w:val="00AD3203"/>
    <w:rsid w:val="00AD55A8"/>
    <w:rsid w:val="00AD55AE"/>
    <w:rsid w:val="00AD5688"/>
    <w:rsid w:val="00AD64FC"/>
    <w:rsid w:val="00AD70DD"/>
    <w:rsid w:val="00AD7938"/>
    <w:rsid w:val="00AD7C27"/>
    <w:rsid w:val="00AE0850"/>
    <w:rsid w:val="00AE1768"/>
    <w:rsid w:val="00AE1CA8"/>
    <w:rsid w:val="00AE1D97"/>
    <w:rsid w:val="00AE28FC"/>
    <w:rsid w:val="00AE2D83"/>
    <w:rsid w:val="00AE3A68"/>
    <w:rsid w:val="00AE3A6A"/>
    <w:rsid w:val="00AE3C41"/>
    <w:rsid w:val="00AE4072"/>
    <w:rsid w:val="00AE4088"/>
    <w:rsid w:val="00AE4FB1"/>
    <w:rsid w:val="00AE742C"/>
    <w:rsid w:val="00AE7910"/>
    <w:rsid w:val="00AF048F"/>
    <w:rsid w:val="00AF1333"/>
    <w:rsid w:val="00AF21F2"/>
    <w:rsid w:val="00AF4EE9"/>
    <w:rsid w:val="00AF53F7"/>
    <w:rsid w:val="00AF571B"/>
    <w:rsid w:val="00AF66F8"/>
    <w:rsid w:val="00AF7346"/>
    <w:rsid w:val="00B012FF"/>
    <w:rsid w:val="00B01D05"/>
    <w:rsid w:val="00B05043"/>
    <w:rsid w:val="00B051BD"/>
    <w:rsid w:val="00B0564C"/>
    <w:rsid w:val="00B05BE7"/>
    <w:rsid w:val="00B06304"/>
    <w:rsid w:val="00B0634B"/>
    <w:rsid w:val="00B06854"/>
    <w:rsid w:val="00B06D52"/>
    <w:rsid w:val="00B070FD"/>
    <w:rsid w:val="00B07395"/>
    <w:rsid w:val="00B0768D"/>
    <w:rsid w:val="00B103E8"/>
    <w:rsid w:val="00B12577"/>
    <w:rsid w:val="00B148AE"/>
    <w:rsid w:val="00B15774"/>
    <w:rsid w:val="00B1599D"/>
    <w:rsid w:val="00B15C12"/>
    <w:rsid w:val="00B165F0"/>
    <w:rsid w:val="00B169C1"/>
    <w:rsid w:val="00B211E3"/>
    <w:rsid w:val="00B21575"/>
    <w:rsid w:val="00B2253F"/>
    <w:rsid w:val="00B22AF0"/>
    <w:rsid w:val="00B268D3"/>
    <w:rsid w:val="00B274AE"/>
    <w:rsid w:val="00B27745"/>
    <w:rsid w:val="00B325D9"/>
    <w:rsid w:val="00B34129"/>
    <w:rsid w:val="00B34874"/>
    <w:rsid w:val="00B34A0A"/>
    <w:rsid w:val="00B34F51"/>
    <w:rsid w:val="00B35651"/>
    <w:rsid w:val="00B35906"/>
    <w:rsid w:val="00B35E71"/>
    <w:rsid w:val="00B362CC"/>
    <w:rsid w:val="00B366DA"/>
    <w:rsid w:val="00B40895"/>
    <w:rsid w:val="00B41BDE"/>
    <w:rsid w:val="00B425A3"/>
    <w:rsid w:val="00B4317A"/>
    <w:rsid w:val="00B43181"/>
    <w:rsid w:val="00B44321"/>
    <w:rsid w:val="00B44CEB"/>
    <w:rsid w:val="00B4710D"/>
    <w:rsid w:val="00B47421"/>
    <w:rsid w:val="00B53CB4"/>
    <w:rsid w:val="00B56BEF"/>
    <w:rsid w:val="00B64303"/>
    <w:rsid w:val="00B66622"/>
    <w:rsid w:val="00B67129"/>
    <w:rsid w:val="00B7221C"/>
    <w:rsid w:val="00B72AD0"/>
    <w:rsid w:val="00B7303A"/>
    <w:rsid w:val="00B7380D"/>
    <w:rsid w:val="00B73CF5"/>
    <w:rsid w:val="00B74416"/>
    <w:rsid w:val="00B74536"/>
    <w:rsid w:val="00B76A8A"/>
    <w:rsid w:val="00B76AFB"/>
    <w:rsid w:val="00B76EBD"/>
    <w:rsid w:val="00B774C2"/>
    <w:rsid w:val="00B8033D"/>
    <w:rsid w:val="00B80C72"/>
    <w:rsid w:val="00B80ED0"/>
    <w:rsid w:val="00B819DA"/>
    <w:rsid w:val="00B83AE8"/>
    <w:rsid w:val="00B83ED3"/>
    <w:rsid w:val="00B84879"/>
    <w:rsid w:val="00B85929"/>
    <w:rsid w:val="00B85AE7"/>
    <w:rsid w:val="00B86861"/>
    <w:rsid w:val="00B86BAD"/>
    <w:rsid w:val="00B87387"/>
    <w:rsid w:val="00B9096F"/>
    <w:rsid w:val="00B93071"/>
    <w:rsid w:val="00B936CC"/>
    <w:rsid w:val="00B94191"/>
    <w:rsid w:val="00B95386"/>
    <w:rsid w:val="00B9562F"/>
    <w:rsid w:val="00B95ADB"/>
    <w:rsid w:val="00B95B37"/>
    <w:rsid w:val="00B95D55"/>
    <w:rsid w:val="00B96660"/>
    <w:rsid w:val="00BA09AD"/>
    <w:rsid w:val="00BA1531"/>
    <w:rsid w:val="00BA1787"/>
    <w:rsid w:val="00BA1B7A"/>
    <w:rsid w:val="00BA2334"/>
    <w:rsid w:val="00BA239D"/>
    <w:rsid w:val="00BA2CEB"/>
    <w:rsid w:val="00BA2E13"/>
    <w:rsid w:val="00BA3A87"/>
    <w:rsid w:val="00BA58CD"/>
    <w:rsid w:val="00BA5CC5"/>
    <w:rsid w:val="00BA6427"/>
    <w:rsid w:val="00BB118B"/>
    <w:rsid w:val="00BB17F1"/>
    <w:rsid w:val="00BB2803"/>
    <w:rsid w:val="00BB442E"/>
    <w:rsid w:val="00BB45AE"/>
    <w:rsid w:val="00BB45ED"/>
    <w:rsid w:val="00BB49C8"/>
    <w:rsid w:val="00BB5A6F"/>
    <w:rsid w:val="00BB6276"/>
    <w:rsid w:val="00BB751F"/>
    <w:rsid w:val="00BB7671"/>
    <w:rsid w:val="00BC041E"/>
    <w:rsid w:val="00BC17C8"/>
    <w:rsid w:val="00BC1868"/>
    <w:rsid w:val="00BC2B66"/>
    <w:rsid w:val="00BC316E"/>
    <w:rsid w:val="00BC3995"/>
    <w:rsid w:val="00BC488C"/>
    <w:rsid w:val="00BC4BD4"/>
    <w:rsid w:val="00BC4E36"/>
    <w:rsid w:val="00BC4FBD"/>
    <w:rsid w:val="00BC5A8D"/>
    <w:rsid w:val="00BC614B"/>
    <w:rsid w:val="00BC6561"/>
    <w:rsid w:val="00BC666D"/>
    <w:rsid w:val="00BC7138"/>
    <w:rsid w:val="00BC7F7A"/>
    <w:rsid w:val="00BD0B58"/>
    <w:rsid w:val="00BD0D41"/>
    <w:rsid w:val="00BD328E"/>
    <w:rsid w:val="00BD3C5E"/>
    <w:rsid w:val="00BD4DBE"/>
    <w:rsid w:val="00BD6BDC"/>
    <w:rsid w:val="00BD75DD"/>
    <w:rsid w:val="00BD7B20"/>
    <w:rsid w:val="00BE0824"/>
    <w:rsid w:val="00BE0D1D"/>
    <w:rsid w:val="00BE18AD"/>
    <w:rsid w:val="00BE2C74"/>
    <w:rsid w:val="00BE2F04"/>
    <w:rsid w:val="00BE2F3C"/>
    <w:rsid w:val="00BE3218"/>
    <w:rsid w:val="00BE33D6"/>
    <w:rsid w:val="00BE3E05"/>
    <w:rsid w:val="00BE59C4"/>
    <w:rsid w:val="00BE5AB0"/>
    <w:rsid w:val="00BE600F"/>
    <w:rsid w:val="00BE711F"/>
    <w:rsid w:val="00BE73E5"/>
    <w:rsid w:val="00BE77B1"/>
    <w:rsid w:val="00BE7FE9"/>
    <w:rsid w:val="00BF054E"/>
    <w:rsid w:val="00BF064B"/>
    <w:rsid w:val="00BF2036"/>
    <w:rsid w:val="00BF25AF"/>
    <w:rsid w:val="00BF343E"/>
    <w:rsid w:val="00BF3B81"/>
    <w:rsid w:val="00BF42E4"/>
    <w:rsid w:val="00C001F7"/>
    <w:rsid w:val="00C00A97"/>
    <w:rsid w:val="00C00AC5"/>
    <w:rsid w:val="00C00D13"/>
    <w:rsid w:val="00C0147D"/>
    <w:rsid w:val="00C01F6D"/>
    <w:rsid w:val="00C040AC"/>
    <w:rsid w:val="00C04C25"/>
    <w:rsid w:val="00C0500A"/>
    <w:rsid w:val="00C10D27"/>
    <w:rsid w:val="00C10D8D"/>
    <w:rsid w:val="00C12ADD"/>
    <w:rsid w:val="00C12BC2"/>
    <w:rsid w:val="00C12C09"/>
    <w:rsid w:val="00C13A77"/>
    <w:rsid w:val="00C16B48"/>
    <w:rsid w:val="00C17739"/>
    <w:rsid w:val="00C178F5"/>
    <w:rsid w:val="00C20182"/>
    <w:rsid w:val="00C202ED"/>
    <w:rsid w:val="00C231D8"/>
    <w:rsid w:val="00C244FD"/>
    <w:rsid w:val="00C24975"/>
    <w:rsid w:val="00C266BE"/>
    <w:rsid w:val="00C310A2"/>
    <w:rsid w:val="00C31517"/>
    <w:rsid w:val="00C3187A"/>
    <w:rsid w:val="00C33009"/>
    <w:rsid w:val="00C342EB"/>
    <w:rsid w:val="00C34EA1"/>
    <w:rsid w:val="00C353B9"/>
    <w:rsid w:val="00C3714D"/>
    <w:rsid w:val="00C379A4"/>
    <w:rsid w:val="00C41DB5"/>
    <w:rsid w:val="00C43963"/>
    <w:rsid w:val="00C45035"/>
    <w:rsid w:val="00C4658E"/>
    <w:rsid w:val="00C4785E"/>
    <w:rsid w:val="00C47C2D"/>
    <w:rsid w:val="00C47D05"/>
    <w:rsid w:val="00C50025"/>
    <w:rsid w:val="00C50F0D"/>
    <w:rsid w:val="00C5403E"/>
    <w:rsid w:val="00C546D7"/>
    <w:rsid w:val="00C548B4"/>
    <w:rsid w:val="00C5561C"/>
    <w:rsid w:val="00C5605E"/>
    <w:rsid w:val="00C567F7"/>
    <w:rsid w:val="00C56DF9"/>
    <w:rsid w:val="00C60836"/>
    <w:rsid w:val="00C60E28"/>
    <w:rsid w:val="00C61066"/>
    <w:rsid w:val="00C61E46"/>
    <w:rsid w:val="00C61EF7"/>
    <w:rsid w:val="00C622DE"/>
    <w:rsid w:val="00C6458E"/>
    <w:rsid w:val="00C65F95"/>
    <w:rsid w:val="00C66763"/>
    <w:rsid w:val="00C67086"/>
    <w:rsid w:val="00C67CA1"/>
    <w:rsid w:val="00C67D31"/>
    <w:rsid w:val="00C70BA5"/>
    <w:rsid w:val="00C74DE1"/>
    <w:rsid w:val="00C74EB4"/>
    <w:rsid w:val="00C75679"/>
    <w:rsid w:val="00C7579D"/>
    <w:rsid w:val="00C75A7A"/>
    <w:rsid w:val="00C76328"/>
    <w:rsid w:val="00C76DFA"/>
    <w:rsid w:val="00C77532"/>
    <w:rsid w:val="00C77896"/>
    <w:rsid w:val="00C8027D"/>
    <w:rsid w:val="00C8086F"/>
    <w:rsid w:val="00C80C67"/>
    <w:rsid w:val="00C81175"/>
    <w:rsid w:val="00C82D5D"/>
    <w:rsid w:val="00C84BD1"/>
    <w:rsid w:val="00C84ED6"/>
    <w:rsid w:val="00C8564E"/>
    <w:rsid w:val="00C877A7"/>
    <w:rsid w:val="00C90224"/>
    <w:rsid w:val="00C905A1"/>
    <w:rsid w:val="00C91120"/>
    <w:rsid w:val="00C913FA"/>
    <w:rsid w:val="00C92596"/>
    <w:rsid w:val="00C92906"/>
    <w:rsid w:val="00C92A50"/>
    <w:rsid w:val="00C93B89"/>
    <w:rsid w:val="00C93C54"/>
    <w:rsid w:val="00C94D22"/>
    <w:rsid w:val="00C94F1F"/>
    <w:rsid w:val="00C96D39"/>
    <w:rsid w:val="00C975C6"/>
    <w:rsid w:val="00C97A72"/>
    <w:rsid w:val="00CA0599"/>
    <w:rsid w:val="00CA227D"/>
    <w:rsid w:val="00CA3AD3"/>
    <w:rsid w:val="00CA43C5"/>
    <w:rsid w:val="00CA503A"/>
    <w:rsid w:val="00CA6733"/>
    <w:rsid w:val="00CA6A8D"/>
    <w:rsid w:val="00CA78A6"/>
    <w:rsid w:val="00CB082B"/>
    <w:rsid w:val="00CB0C70"/>
    <w:rsid w:val="00CB13C7"/>
    <w:rsid w:val="00CB1E1D"/>
    <w:rsid w:val="00CB2573"/>
    <w:rsid w:val="00CB2E3B"/>
    <w:rsid w:val="00CB34E4"/>
    <w:rsid w:val="00CB387F"/>
    <w:rsid w:val="00CB3FEA"/>
    <w:rsid w:val="00CB5A64"/>
    <w:rsid w:val="00CB6337"/>
    <w:rsid w:val="00CB6872"/>
    <w:rsid w:val="00CB6DE6"/>
    <w:rsid w:val="00CC0374"/>
    <w:rsid w:val="00CC0A05"/>
    <w:rsid w:val="00CC1AFF"/>
    <w:rsid w:val="00CC1E0A"/>
    <w:rsid w:val="00CC20D4"/>
    <w:rsid w:val="00CC26ED"/>
    <w:rsid w:val="00CC34A8"/>
    <w:rsid w:val="00CC3B4D"/>
    <w:rsid w:val="00CC3B98"/>
    <w:rsid w:val="00CC3D10"/>
    <w:rsid w:val="00CC3F33"/>
    <w:rsid w:val="00CC41C7"/>
    <w:rsid w:val="00CC6892"/>
    <w:rsid w:val="00CC68AF"/>
    <w:rsid w:val="00CD1159"/>
    <w:rsid w:val="00CD1ADD"/>
    <w:rsid w:val="00CD321D"/>
    <w:rsid w:val="00CD35B8"/>
    <w:rsid w:val="00CD71D3"/>
    <w:rsid w:val="00CD7ADB"/>
    <w:rsid w:val="00CD7BD2"/>
    <w:rsid w:val="00CE03D8"/>
    <w:rsid w:val="00CE09A8"/>
    <w:rsid w:val="00CE129B"/>
    <w:rsid w:val="00CE2F14"/>
    <w:rsid w:val="00CE3008"/>
    <w:rsid w:val="00CE33FD"/>
    <w:rsid w:val="00CE3421"/>
    <w:rsid w:val="00CE3D54"/>
    <w:rsid w:val="00CE6974"/>
    <w:rsid w:val="00CF0C48"/>
    <w:rsid w:val="00CF0E66"/>
    <w:rsid w:val="00CF18D1"/>
    <w:rsid w:val="00CF1B85"/>
    <w:rsid w:val="00CF1F40"/>
    <w:rsid w:val="00CF1FB5"/>
    <w:rsid w:val="00CF2791"/>
    <w:rsid w:val="00CF2BE9"/>
    <w:rsid w:val="00CF2C51"/>
    <w:rsid w:val="00CF2CFF"/>
    <w:rsid w:val="00CF3200"/>
    <w:rsid w:val="00CF37E8"/>
    <w:rsid w:val="00CF46F6"/>
    <w:rsid w:val="00CF47E4"/>
    <w:rsid w:val="00CF4FA8"/>
    <w:rsid w:val="00CF51F7"/>
    <w:rsid w:val="00CF5663"/>
    <w:rsid w:val="00CF5C72"/>
    <w:rsid w:val="00CF6E7B"/>
    <w:rsid w:val="00D00254"/>
    <w:rsid w:val="00D00379"/>
    <w:rsid w:val="00D00430"/>
    <w:rsid w:val="00D018A0"/>
    <w:rsid w:val="00D01975"/>
    <w:rsid w:val="00D026A9"/>
    <w:rsid w:val="00D03418"/>
    <w:rsid w:val="00D03E5C"/>
    <w:rsid w:val="00D044AE"/>
    <w:rsid w:val="00D04B23"/>
    <w:rsid w:val="00D05511"/>
    <w:rsid w:val="00D05772"/>
    <w:rsid w:val="00D05AA2"/>
    <w:rsid w:val="00D05DF2"/>
    <w:rsid w:val="00D05F48"/>
    <w:rsid w:val="00D06E67"/>
    <w:rsid w:val="00D0757D"/>
    <w:rsid w:val="00D100E1"/>
    <w:rsid w:val="00D11004"/>
    <w:rsid w:val="00D1224A"/>
    <w:rsid w:val="00D12931"/>
    <w:rsid w:val="00D133AB"/>
    <w:rsid w:val="00D13F0D"/>
    <w:rsid w:val="00D1534A"/>
    <w:rsid w:val="00D15A98"/>
    <w:rsid w:val="00D15BEA"/>
    <w:rsid w:val="00D16251"/>
    <w:rsid w:val="00D1628A"/>
    <w:rsid w:val="00D16762"/>
    <w:rsid w:val="00D17AD2"/>
    <w:rsid w:val="00D200B0"/>
    <w:rsid w:val="00D21B84"/>
    <w:rsid w:val="00D21CB8"/>
    <w:rsid w:val="00D24F27"/>
    <w:rsid w:val="00D25BA8"/>
    <w:rsid w:val="00D25CAC"/>
    <w:rsid w:val="00D2611C"/>
    <w:rsid w:val="00D26333"/>
    <w:rsid w:val="00D2671D"/>
    <w:rsid w:val="00D26A7C"/>
    <w:rsid w:val="00D27142"/>
    <w:rsid w:val="00D27D48"/>
    <w:rsid w:val="00D27E8F"/>
    <w:rsid w:val="00D30650"/>
    <w:rsid w:val="00D32029"/>
    <w:rsid w:val="00D32578"/>
    <w:rsid w:val="00D32A35"/>
    <w:rsid w:val="00D34288"/>
    <w:rsid w:val="00D34468"/>
    <w:rsid w:val="00D34616"/>
    <w:rsid w:val="00D34BD3"/>
    <w:rsid w:val="00D35847"/>
    <w:rsid w:val="00D364EC"/>
    <w:rsid w:val="00D36555"/>
    <w:rsid w:val="00D36C15"/>
    <w:rsid w:val="00D37503"/>
    <w:rsid w:val="00D378E5"/>
    <w:rsid w:val="00D40D6A"/>
    <w:rsid w:val="00D40DBD"/>
    <w:rsid w:val="00D41F4F"/>
    <w:rsid w:val="00D425CC"/>
    <w:rsid w:val="00D42906"/>
    <w:rsid w:val="00D43537"/>
    <w:rsid w:val="00D44B32"/>
    <w:rsid w:val="00D46880"/>
    <w:rsid w:val="00D47693"/>
    <w:rsid w:val="00D5024D"/>
    <w:rsid w:val="00D50360"/>
    <w:rsid w:val="00D504E9"/>
    <w:rsid w:val="00D5119F"/>
    <w:rsid w:val="00D516F1"/>
    <w:rsid w:val="00D5176C"/>
    <w:rsid w:val="00D525BF"/>
    <w:rsid w:val="00D52BA7"/>
    <w:rsid w:val="00D52D21"/>
    <w:rsid w:val="00D54413"/>
    <w:rsid w:val="00D54803"/>
    <w:rsid w:val="00D55C35"/>
    <w:rsid w:val="00D55F7B"/>
    <w:rsid w:val="00D5731E"/>
    <w:rsid w:val="00D57385"/>
    <w:rsid w:val="00D57E82"/>
    <w:rsid w:val="00D60301"/>
    <w:rsid w:val="00D60412"/>
    <w:rsid w:val="00D60C78"/>
    <w:rsid w:val="00D60C8E"/>
    <w:rsid w:val="00D60DBA"/>
    <w:rsid w:val="00D61653"/>
    <w:rsid w:val="00D61802"/>
    <w:rsid w:val="00D6477E"/>
    <w:rsid w:val="00D64A13"/>
    <w:rsid w:val="00D64CBA"/>
    <w:rsid w:val="00D65109"/>
    <w:rsid w:val="00D66533"/>
    <w:rsid w:val="00D66C3A"/>
    <w:rsid w:val="00D673AC"/>
    <w:rsid w:val="00D676DD"/>
    <w:rsid w:val="00D67B64"/>
    <w:rsid w:val="00D67D39"/>
    <w:rsid w:val="00D70FD9"/>
    <w:rsid w:val="00D7113B"/>
    <w:rsid w:val="00D7169A"/>
    <w:rsid w:val="00D7251D"/>
    <w:rsid w:val="00D72580"/>
    <w:rsid w:val="00D74AD3"/>
    <w:rsid w:val="00D74F35"/>
    <w:rsid w:val="00D7581C"/>
    <w:rsid w:val="00D758DC"/>
    <w:rsid w:val="00D76883"/>
    <w:rsid w:val="00D76889"/>
    <w:rsid w:val="00D76BB0"/>
    <w:rsid w:val="00D77A01"/>
    <w:rsid w:val="00D80063"/>
    <w:rsid w:val="00D81482"/>
    <w:rsid w:val="00D8154B"/>
    <w:rsid w:val="00D82783"/>
    <w:rsid w:val="00D83809"/>
    <w:rsid w:val="00D84416"/>
    <w:rsid w:val="00D8472D"/>
    <w:rsid w:val="00D84CA1"/>
    <w:rsid w:val="00D8634A"/>
    <w:rsid w:val="00D87156"/>
    <w:rsid w:val="00D8776A"/>
    <w:rsid w:val="00D90B1D"/>
    <w:rsid w:val="00D9266A"/>
    <w:rsid w:val="00D92CB7"/>
    <w:rsid w:val="00D9451E"/>
    <w:rsid w:val="00D949D2"/>
    <w:rsid w:val="00D966F8"/>
    <w:rsid w:val="00DA1082"/>
    <w:rsid w:val="00DA13A8"/>
    <w:rsid w:val="00DA1E57"/>
    <w:rsid w:val="00DA3FDA"/>
    <w:rsid w:val="00DA52E7"/>
    <w:rsid w:val="00DA5348"/>
    <w:rsid w:val="00DA6A4B"/>
    <w:rsid w:val="00DA73F4"/>
    <w:rsid w:val="00DA7C69"/>
    <w:rsid w:val="00DB0C15"/>
    <w:rsid w:val="00DB0D37"/>
    <w:rsid w:val="00DB145B"/>
    <w:rsid w:val="00DB279A"/>
    <w:rsid w:val="00DB2ABF"/>
    <w:rsid w:val="00DB37F0"/>
    <w:rsid w:val="00DB6256"/>
    <w:rsid w:val="00DB66F9"/>
    <w:rsid w:val="00DB68F1"/>
    <w:rsid w:val="00DB7195"/>
    <w:rsid w:val="00DB79C2"/>
    <w:rsid w:val="00DB7CD6"/>
    <w:rsid w:val="00DC0794"/>
    <w:rsid w:val="00DC0C36"/>
    <w:rsid w:val="00DC3EC8"/>
    <w:rsid w:val="00DC4022"/>
    <w:rsid w:val="00DC5950"/>
    <w:rsid w:val="00DC6BDA"/>
    <w:rsid w:val="00DC723D"/>
    <w:rsid w:val="00DC74E1"/>
    <w:rsid w:val="00DC7BDF"/>
    <w:rsid w:val="00DC7D05"/>
    <w:rsid w:val="00DD0B1E"/>
    <w:rsid w:val="00DD130F"/>
    <w:rsid w:val="00DD13CA"/>
    <w:rsid w:val="00DD2DC3"/>
    <w:rsid w:val="00DD3E19"/>
    <w:rsid w:val="00DD464A"/>
    <w:rsid w:val="00DD6BBE"/>
    <w:rsid w:val="00DD6F37"/>
    <w:rsid w:val="00DD734B"/>
    <w:rsid w:val="00DE4308"/>
    <w:rsid w:val="00DE4B05"/>
    <w:rsid w:val="00DE5DB6"/>
    <w:rsid w:val="00DE64EA"/>
    <w:rsid w:val="00DE66B7"/>
    <w:rsid w:val="00DE68B1"/>
    <w:rsid w:val="00DE78DB"/>
    <w:rsid w:val="00DE7D3D"/>
    <w:rsid w:val="00DF0560"/>
    <w:rsid w:val="00DF059B"/>
    <w:rsid w:val="00DF1974"/>
    <w:rsid w:val="00DF3929"/>
    <w:rsid w:val="00DF3E0E"/>
    <w:rsid w:val="00DF5DD3"/>
    <w:rsid w:val="00DF6473"/>
    <w:rsid w:val="00DF65E4"/>
    <w:rsid w:val="00DF6855"/>
    <w:rsid w:val="00DF6E9C"/>
    <w:rsid w:val="00DF7176"/>
    <w:rsid w:val="00E0106C"/>
    <w:rsid w:val="00E0142E"/>
    <w:rsid w:val="00E01583"/>
    <w:rsid w:val="00E01CC4"/>
    <w:rsid w:val="00E024E5"/>
    <w:rsid w:val="00E02B21"/>
    <w:rsid w:val="00E02D5C"/>
    <w:rsid w:val="00E0353A"/>
    <w:rsid w:val="00E0359D"/>
    <w:rsid w:val="00E0390F"/>
    <w:rsid w:val="00E05393"/>
    <w:rsid w:val="00E057FD"/>
    <w:rsid w:val="00E0706B"/>
    <w:rsid w:val="00E07F6F"/>
    <w:rsid w:val="00E104A3"/>
    <w:rsid w:val="00E1112F"/>
    <w:rsid w:val="00E113D2"/>
    <w:rsid w:val="00E12BD9"/>
    <w:rsid w:val="00E137F3"/>
    <w:rsid w:val="00E13967"/>
    <w:rsid w:val="00E13F4E"/>
    <w:rsid w:val="00E151C3"/>
    <w:rsid w:val="00E15D3E"/>
    <w:rsid w:val="00E16DEA"/>
    <w:rsid w:val="00E17DAA"/>
    <w:rsid w:val="00E21A16"/>
    <w:rsid w:val="00E21BD3"/>
    <w:rsid w:val="00E22398"/>
    <w:rsid w:val="00E23BC4"/>
    <w:rsid w:val="00E25321"/>
    <w:rsid w:val="00E25F86"/>
    <w:rsid w:val="00E2609B"/>
    <w:rsid w:val="00E26284"/>
    <w:rsid w:val="00E26837"/>
    <w:rsid w:val="00E26B9E"/>
    <w:rsid w:val="00E30FE0"/>
    <w:rsid w:val="00E31083"/>
    <w:rsid w:val="00E318AC"/>
    <w:rsid w:val="00E31C73"/>
    <w:rsid w:val="00E324EA"/>
    <w:rsid w:val="00E329DF"/>
    <w:rsid w:val="00E32E93"/>
    <w:rsid w:val="00E3321F"/>
    <w:rsid w:val="00E33679"/>
    <w:rsid w:val="00E33D08"/>
    <w:rsid w:val="00E3498D"/>
    <w:rsid w:val="00E34FBB"/>
    <w:rsid w:val="00E35126"/>
    <w:rsid w:val="00E360F8"/>
    <w:rsid w:val="00E369C7"/>
    <w:rsid w:val="00E36BE6"/>
    <w:rsid w:val="00E37C6E"/>
    <w:rsid w:val="00E41093"/>
    <w:rsid w:val="00E41B48"/>
    <w:rsid w:val="00E41D93"/>
    <w:rsid w:val="00E420CD"/>
    <w:rsid w:val="00E44358"/>
    <w:rsid w:val="00E444AC"/>
    <w:rsid w:val="00E45571"/>
    <w:rsid w:val="00E4704B"/>
    <w:rsid w:val="00E47ACD"/>
    <w:rsid w:val="00E47DCC"/>
    <w:rsid w:val="00E5055B"/>
    <w:rsid w:val="00E51433"/>
    <w:rsid w:val="00E51C64"/>
    <w:rsid w:val="00E51E3B"/>
    <w:rsid w:val="00E51F47"/>
    <w:rsid w:val="00E529A1"/>
    <w:rsid w:val="00E539AA"/>
    <w:rsid w:val="00E53A65"/>
    <w:rsid w:val="00E54121"/>
    <w:rsid w:val="00E5419B"/>
    <w:rsid w:val="00E54504"/>
    <w:rsid w:val="00E54C8B"/>
    <w:rsid w:val="00E54FAC"/>
    <w:rsid w:val="00E55075"/>
    <w:rsid w:val="00E56932"/>
    <w:rsid w:val="00E5700A"/>
    <w:rsid w:val="00E576FD"/>
    <w:rsid w:val="00E579AA"/>
    <w:rsid w:val="00E57C3C"/>
    <w:rsid w:val="00E57E50"/>
    <w:rsid w:val="00E61164"/>
    <w:rsid w:val="00E61828"/>
    <w:rsid w:val="00E623FD"/>
    <w:rsid w:val="00E63835"/>
    <w:rsid w:val="00E640F8"/>
    <w:rsid w:val="00E6468B"/>
    <w:rsid w:val="00E65329"/>
    <w:rsid w:val="00E66A93"/>
    <w:rsid w:val="00E67412"/>
    <w:rsid w:val="00E708E2"/>
    <w:rsid w:val="00E709EC"/>
    <w:rsid w:val="00E71920"/>
    <w:rsid w:val="00E71BCC"/>
    <w:rsid w:val="00E71C0D"/>
    <w:rsid w:val="00E71C2A"/>
    <w:rsid w:val="00E73FEB"/>
    <w:rsid w:val="00E741A5"/>
    <w:rsid w:val="00E74952"/>
    <w:rsid w:val="00E74EB4"/>
    <w:rsid w:val="00E75CBA"/>
    <w:rsid w:val="00E7609D"/>
    <w:rsid w:val="00E77DC9"/>
    <w:rsid w:val="00E8058E"/>
    <w:rsid w:val="00E81025"/>
    <w:rsid w:val="00E82ADF"/>
    <w:rsid w:val="00E83B7E"/>
    <w:rsid w:val="00E84BF2"/>
    <w:rsid w:val="00E86CB3"/>
    <w:rsid w:val="00E873A5"/>
    <w:rsid w:val="00E87C00"/>
    <w:rsid w:val="00E90AE9"/>
    <w:rsid w:val="00E91DBD"/>
    <w:rsid w:val="00E92159"/>
    <w:rsid w:val="00E925B5"/>
    <w:rsid w:val="00E928C1"/>
    <w:rsid w:val="00E94DBC"/>
    <w:rsid w:val="00E95CFE"/>
    <w:rsid w:val="00E96A8F"/>
    <w:rsid w:val="00E9728D"/>
    <w:rsid w:val="00EA35EA"/>
    <w:rsid w:val="00EA3934"/>
    <w:rsid w:val="00EA3EE5"/>
    <w:rsid w:val="00EA436C"/>
    <w:rsid w:val="00EA4907"/>
    <w:rsid w:val="00EA4B6E"/>
    <w:rsid w:val="00EA4BE4"/>
    <w:rsid w:val="00EA5000"/>
    <w:rsid w:val="00EA56DB"/>
    <w:rsid w:val="00EA64FF"/>
    <w:rsid w:val="00EA7B89"/>
    <w:rsid w:val="00EB2063"/>
    <w:rsid w:val="00EB2248"/>
    <w:rsid w:val="00EB2EF3"/>
    <w:rsid w:val="00EB34B0"/>
    <w:rsid w:val="00EB599B"/>
    <w:rsid w:val="00EC074D"/>
    <w:rsid w:val="00EC0B03"/>
    <w:rsid w:val="00EC2567"/>
    <w:rsid w:val="00EC2831"/>
    <w:rsid w:val="00EC3047"/>
    <w:rsid w:val="00EC394B"/>
    <w:rsid w:val="00EC3A75"/>
    <w:rsid w:val="00EC3C6D"/>
    <w:rsid w:val="00EC402F"/>
    <w:rsid w:val="00EC4AA8"/>
    <w:rsid w:val="00EC6429"/>
    <w:rsid w:val="00EC658E"/>
    <w:rsid w:val="00EC6B80"/>
    <w:rsid w:val="00EC7BAC"/>
    <w:rsid w:val="00ED0CF2"/>
    <w:rsid w:val="00ED1D82"/>
    <w:rsid w:val="00ED27A0"/>
    <w:rsid w:val="00ED379C"/>
    <w:rsid w:val="00ED3ABC"/>
    <w:rsid w:val="00ED3B24"/>
    <w:rsid w:val="00ED3B36"/>
    <w:rsid w:val="00ED3F01"/>
    <w:rsid w:val="00ED426B"/>
    <w:rsid w:val="00ED42B2"/>
    <w:rsid w:val="00ED54D2"/>
    <w:rsid w:val="00ED6067"/>
    <w:rsid w:val="00ED7743"/>
    <w:rsid w:val="00EE1341"/>
    <w:rsid w:val="00EE27F9"/>
    <w:rsid w:val="00EE30AA"/>
    <w:rsid w:val="00EE33F7"/>
    <w:rsid w:val="00EE42C4"/>
    <w:rsid w:val="00EE499C"/>
    <w:rsid w:val="00EE4F93"/>
    <w:rsid w:val="00EE4FCE"/>
    <w:rsid w:val="00EE51B4"/>
    <w:rsid w:val="00EE549C"/>
    <w:rsid w:val="00EE77D3"/>
    <w:rsid w:val="00EE7A43"/>
    <w:rsid w:val="00EE7BB9"/>
    <w:rsid w:val="00EF016D"/>
    <w:rsid w:val="00EF0CDF"/>
    <w:rsid w:val="00EF0D3A"/>
    <w:rsid w:val="00EF1B31"/>
    <w:rsid w:val="00EF1ED0"/>
    <w:rsid w:val="00EF3842"/>
    <w:rsid w:val="00EF4776"/>
    <w:rsid w:val="00EF494A"/>
    <w:rsid w:val="00EF5005"/>
    <w:rsid w:val="00EF5271"/>
    <w:rsid w:val="00EF56DD"/>
    <w:rsid w:val="00EF59D5"/>
    <w:rsid w:val="00EF628C"/>
    <w:rsid w:val="00EF7A79"/>
    <w:rsid w:val="00EF7B68"/>
    <w:rsid w:val="00F001C4"/>
    <w:rsid w:val="00F0062C"/>
    <w:rsid w:val="00F00A46"/>
    <w:rsid w:val="00F01EAB"/>
    <w:rsid w:val="00F02202"/>
    <w:rsid w:val="00F022C9"/>
    <w:rsid w:val="00F02F2A"/>
    <w:rsid w:val="00F0562D"/>
    <w:rsid w:val="00F06FA3"/>
    <w:rsid w:val="00F07877"/>
    <w:rsid w:val="00F118B0"/>
    <w:rsid w:val="00F118DA"/>
    <w:rsid w:val="00F124EE"/>
    <w:rsid w:val="00F13511"/>
    <w:rsid w:val="00F13530"/>
    <w:rsid w:val="00F14285"/>
    <w:rsid w:val="00F15AD5"/>
    <w:rsid w:val="00F16252"/>
    <w:rsid w:val="00F16DA4"/>
    <w:rsid w:val="00F16E18"/>
    <w:rsid w:val="00F174B4"/>
    <w:rsid w:val="00F200F3"/>
    <w:rsid w:val="00F218D8"/>
    <w:rsid w:val="00F21EA5"/>
    <w:rsid w:val="00F22488"/>
    <w:rsid w:val="00F224A8"/>
    <w:rsid w:val="00F22F4F"/>
    <w:rsid w:val="00F2383E"/>
    <w:rsid w:val="00F23BAA"/>
    <w:rsid w:val="00F23E2B"/>
    <w:rsid w:val="00F23EB4"/>
    <w:rsid w:val="00F24C4E"/>
    <w:rsid w:val="00F256DA"/>
    <w:rsid w:val="00F258D0"/>
    <w:rsid w:val="00F25E4F"/>
    <w:rsid w:val="00F262AA"/>
    <w:rsid w:val="00F263FB"/>
    <w:rsid w:val="00F2654D"/>
    <w:rsid w:val="00F26556"/>
    <w:rsid w:val="00F26F53"/>
    <w:rsid w:val="00F2733A"/>
    <w:rsid w:val="00F303EF"/>
    <w:rsid w:val="00F30E9B"/>
    <w:rsid w:val="00F31407"/>
    <w:rsid w:val="00F314F6"/>
    <w:rsid w:val="00F32684"/>
    <w:rsid w:val="00F32696"/>
    <w:rsid w:val="00F32757"/>
    <w:rsid w:val="00F32C88"/>
    <w:rsid w:val="00F34C72"/>
    <w:rsid w:val="00F354AA"/>
    <w:rsid w:val="00F372FE"/>
    <w:rsid w:val="00F37576"/>
    <w:rsid w:val="00F409A3"/>
    <w:rsid w:val="00F40F49"/>
    <w:rsid w:val="00F41576"/>
    <w:rsid w:val="00F416E1"/>
    <w:rsid w:val="00F4178D"/>
    <w:rsid w:val="00F41806"/>
    <w:rsid w:val="00F4397B"/>
    <w:rsid w:val="00F43C85"/>
    <w:rsid w:val="00F444C2"/>
    <w:rsid w:val="00F449CA"/>
    <w:rsid w:val="00F44F00"/>
    <w:rsid w:val="00F464AF"/>
    <w:rsid w:val="00F5047A"/>
    <w:rsid w:val="00F51040"/>
    <w:rsid w:val="00F52DA1"/>
    <w:rsid w:val="00F535E1"/>
    <w:rsid w:val="00F53DC7"/>
    <w:rsid w:val="00F54D5C"/>
    <w:rsid w:val="00F55CDA"/>
    <w:rsid w:val="00F562B0"/>
    <w:rsid w:val="00F57A2C"/>
    <w:rsid w:val="00F61F1D"/>
    <w:rsid w:val="00F628E9"/>
    <w:rsid w:val="00F62D9B"/>
    <w:rsid w:val="00F638A3"/>
    <w:rsid w:val="00F63943"/>
    <w:rsid w:val="00F64288"/>
    <w:rsid w:val="00F64CF9"/>
    <w:rsid w:val="00F65FA6"/>
    <w:rsid w:val="00F66991"/>
    <w:rsid w:val="00F66FB0"/>
    <w:rsid w:val="00F67598"/>
    <w:rsid w:val="00F67A4F"/>
    <w:rsid w:val="00F71085"/>
    <w:rsid w:val="00F72C82"/>
    <w:rsid w:val="00F73192"/>
    <w:rsid w:val="00F7333A"/>
    <w:rsid w:val="00F73D57"/>
    <w:rsid w:val="00F77352"/>
    <w:rsid w:val="00F77D90"/>
    <w:rsid w:val="00F8250E"/>
    <w:rsid w:val="00F85126"/>
    <w:rsid w:val="00F856F5"/>
    <w:rsid w:val="00F8572E"/>
    <w:rsid w:val="00F85B9E"/>
    <w:rsid w:val="00F85CE1"/>
    <w:rsid w:val="00F861E6"/>
    <w:rsid w:val="00F86397"/>
    <w:rsid w:val="00F86A3E"/>
    <w:rsid w:val="00F90A58"/>
    <w:rsid w:val="00F90B46"/>
    <w:rsid w:val="00F91CC0"/>
    <w:rsid w:val="00F92577"/>
    <w:rsid w:val="00F92786"/>
    <w:rsid w:val="00F92C85"/>
    <w:rsid w:val="00F93EC1"/>
    <w:rsid w:val="00F940A5"/>
    <w:rsid w:val="00F942A7"/>
    <w:rsid w:val="00F94376"/>
    <w:rsid w:val="00F948F6"/>
    <w:rsid w:val="00F94F53"/>
    <w:rsid w:val="00F94FD2"/>
    <w:rsid w:val="00F96441"/>
    <w:rsid w:val="00F9777F"/>
    <w:rsid w:val="00F97F8F"/>
    <w:rsid w:val="00FA0769"/>
    <w:rsid w:val="00FA2F5B"/>
    <w:rsid w:val="00FA2FAD"/>
    <w:rsid w:val="00FA37BD"/>
    <w:rsid w:val="00FA38CB"/>
    <w:rsid w:val="00FA3FE0"/>
    <w:rsid w:val="00FA4385"/>
    <w:rsid w:val="00FA45DC"/>
    <w:rsid w:val="00FA5590"/>
    <w:rsid w:val="00FA56E2"/>
    <w:rsid w:val="00FA575E"/>
    <w:rsid w:val="00FA5D02"/>
    <w:rsid w:val="00FB00CC"/>
    <w:rsid w:val="00FB150A"/>
    <w:rsid w:val="00FB43B6"/>
    <w:rsid w:val="00FB5C81"/>
    <w:rsid w:val="00FB6030"/>
    <w:rsid w:val="00FB7687"/>
    <w:rsid w:val="00FB7D8A"/>
    <w:rsid w:val="00FC2E7A"/>
    <w:rsid w:val="00FC307E"/>
    <w:rsid w:val="00FC48E0"/>
    <w:rsid w:val="00FC4BFD"/>
    <w:rsid w:val="00FC4C1E"/>
    <w:rsid w:val="00FC54D4"/>
    <w:rsid w:val="00FC5952"/>
    <w:rsid w:val="00FC5ED3"/>
    <w:rsid w:val="00FD024F"/>
    <w:rsid w:val="00FD05C2"/>
    <w:rsid w:val="00FD110C"/>
    <w:rsid w:val="00FD1478"/>
    <w:rsid w:val="00FD1F96"/>
    <w:rsid w:val="00FD2697"/>
    <w:rsid w:val="00FD2E8C"/>
    <w:rsid w:val="00FD4DDE"/>
    <w:rsid w:val="00FD598A"/>
    <w:rsid w:val="00FD6D21"/>
    <w:rsid w:val="00FD7360"/>
    <w:rsid w:val="00FD7AA8"/>
    <w:rsid w:val="00FD7BF7"/>
    <w:rsid w:val="00FE0B6E"/>
    <w:rsid w:val="00FE1564"/>
    <w:rsid w:val="00FE161F"/>
    <w:rsid w:val="00FE1AC6"/>
    <w:rsid w:val="00FE3622"/>
    <w:rsid w:val="00FE383C"/>
    <w:rsid w:val="00FE462B"/>
    <w:rsid w:val="00FE47BA"/>
    <w:rsid w:val="00FE4801"/>
    <w:rsid w:val="00FE4A9E"/>
    <w:rsid w:val="00FE542D"/>
    <w:rsid w:val="00FE55A7"/>
    <w:rsid w:val="00FE687F"/>
    <w:rsid w:val="00FE75D0"/>
    <w:rsid w:val="00FF06BD"/>
    <w:rsid w:val="00FF0AE9"/>
    <w:rsid w:val="00FF3368"/>
    <w:rsid w:val="00FF3408"/>
    <w:rsid w:val="00FF3A59"/>
    <w:rsid w:val="00FF3CE6"/>
    <w:rsid w:val="00FF4A41"/>
    <w:rsid w:val="00FF57E3"/>
    <w:rsid w:val="00FF5834"/>
    <w:rsid w:val="00FF7745"/>
    <w:rsid w:val="1393F60D"/>
    <w:rsid w:val="1A620967"/>
    <w:rsid w:val="1ADB9BB4"/>
    <w:rsid w:val="1B37F3F9"/>
    <w:rsid w:val="20048F06"/>
    <w:rsid w:val="2330BFD7"/>
    <w:rsid w:val="2547FC6C"/>
    <w:rsid w:val="2D5BF97E"/>
    <w:rsid w:val="2DC37C65"/>
    <w:rsid w:val="309EB272"/>
    <w:rsid w:val="32C12D63"/>
    <w:rsid w:val="37FC9FE1"/>
    <w:rsid w:val="391EE710"/>
    <w:rsid w:val="3FE09F0B"/>
    <w:rsid w:val="42D2A6F8"/>
    <w:rsid w:val="44061571"/>
    <w:rsid w:val="4860C05F"/>
    <w:rsid w:val="4B01DC6E"/>
    <w:rsid w:val="4E13AFDD"/>
    <w:rsid w:val="500FF1D4"/>
    <w:rsid w:val="506AAC2D"/>
    <w:rsid w:val="51A7AE98"/>
    <w:rsid w:val="6C5AA82A"/>
    <w:rsid w:val="6E195E73"/>
    <w:rsid w:val="70387B1E"/>
    <w:rsid w:val="7299BE83"/>
    <w:rsid w:val="7761847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F97002"/>
  <w15:chartTrackingRefBased/>
  <w15:docId w15:val="{0223462B-2BA5-384E-A902-67640A15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8AE"/>
    <w:pPr>
      <w:spacing w:before="120" w:after="180" w:line="276" w:lineRule="auto"/>
    </w:pPr>
    <w:rPr>
      <w:rFonts w:eastAsiaTheme="minorEastAsia"/>
      <w:sz w:val="22"/>
      <w:lang w:eastAsia="en-GB"/>
    </w:rPr>
  </w:style>
  <w:style w:type="paragraph" w:styleId="Heading1">
    <w:name w:val="heading 1"/>
    <w:basedOn w:val="Normal"/>
    <w:next w:val="Normal"/>
    <w:link w:val="Heading1Char"/>
    <w:autoRedefine/>
    <w:uiPriority w:val="9"/>
    <w:qFormat/>
    <w:rsid w:val="009D53EB"/>
    <w:pPr>
      <w:keepNext/>
      <w:keepLines/>
      <w:pBdr>
        <w:bottom w:val="single" w:sz="4" w:space="0" w:color="C45911" w:themeColor="accent2" w:themeShade="BF"/>
      </w:pBdr>
      <w:spacing w:before="480" w:line="240" w:lineRule="auto"/>
      <w:outlineLvl w:val="0"/>
    </w:pPr>
    <w:rPr>
      <w:rFonts w:asciiTheme="majorHAnsi" w:eastAsiaTheme="majorEastAsia" w:hAnsiTheme="majorHAnsi" w:cstheme="majorBidi"/>
      <w:b/>
      <w:color w:val="C45911" w:themeColor="accent2" w:themeShade="BF"/>
      <w:sz w:val="48"/>
      <w:szCs w:val="32"/>
      <w:lang w:eastAsia="en-AU"/>
    </w:rPr>
  </w:style>
  <w:style w:type="paragraph" w:styleId="Heading2">
    <w:name w:val="heading 2"/>
    <w:basedOn w:val="Normal"/>
    <w:next w:val="Normal"/>
    <w:link w:val="Heading2Char"/>
    <w:autoRedefine/>
    <w:uiPriority w:val="9"/>
    <w:unhideWhenUsed/>
    <w:qFormat/>
    <w:rsid w:val="00070C12"/>
    <w:pPr>
      <w:keepNext/>
      <w:keepLines/>
      <w:spacing w:before="360" w:after="360" w:line="240" w:lineRule="auto"/>
      <w:outlineLvl w:val="1"/>
    </w:pPr>
    <w:rPr>
      <w:rFonts w:eastAsiaTheme="majorEastAsia" w:cstheme="minorHAnsi"/>
      <w:b/>
      <w:color w:val="C45911" w:themeColor="accent2" w:themeShade="BF"/>
      <w:szCs w:val="22"/>
      <w:lang w:eastAsia="en-AU"/>
    </w:rPr>
  </w:style>
  <w:style w:type="paragraph" w:styleId="Heading3">
    <w:name w:val="heading 3"/>
    <w:basedOn w:val="Normal"/>
    <w:next w:val="Normal"/>
    <w:link w:val="Heading3Char"/>
    <w:autoRedefine/>
    <w:uiPriority w:val="9"/>
    <w:unhideWhenUsed/>
    <w:qFormat/>
    <w:rsid w:val="00366EAB"/>
    <w:pPr>
      <w:keepNext/>
      <w:keepLines/>
      <w:spacing w:before="360" w:after="360"/>
      <w:outlineLvl w:val="2"/>
    </w:pPr>
    <w:rPr>
      <w:rFonts w:cstheme="minorHAnsi"/>
      <w:b/>
      <w:bCs/>
      <w:lang w:eastAsia="en-AU"/>
    </w:rPr>
  </w:style>
  <w:style w:type="paragraph" w:styleId="Heading4">
    <w:name w:val="heading 4"/>
    <w:basedOn w:val="Normal"/>
    <w:next w:val="Normal"/>
    <w:link w:val="Heading4Char"/>
    <w:autoRedefine/>
    <w:uiPriority w:val="9"/>
    <w:unhideWhenUsed/>
    <w:qFormat/>
    <w:rsid w:val="004257B1"/>
    <w:pPr>
      <w:keepNext/>
      <w:keepLines/>
      <w:spacing w:before="280" w:line="240" w:lineRule="auto"/>
      <w:outlineLvl w:val="3"/>
    </w:pPr>
    <w:rPr>
      <w:rFonts w:eastAsiaTheme="majorEastAsia" w:cstheme="minorHAnsi"/>
      <w:b/>
      <w:szCs w:val="22"/>
      <w:lang w:val="en-US" w:eastAsia="en-AU"/>
    </w:rPr>
  </w:style>
  <w:style w:type="paragraph" w:styleId="Heading5">
    <w:name w:val="heading 5"/>
    <w:basedOn w:val="Normal"/>
    <w:next w:val="Normal"/>
    <w:link w:val="Heading5Char"/>
    <w:uiPriority w:val="9"/>
    <w:unhideWhenUsed/>
    <w:qFormat/>
    <w:rsid w:val="00F9777F"/>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9777F"/>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9777F"/>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9777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9777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3EB"/>
    <w:rPr>
      <w:rFonts w:asciiTheme="majorHAnsi" w:eastAsiaTheme="majorEastAsia" w:hAnsiTheme="majorHAnsi" w:cstheme="majorBidi"/>
      <w:b/>
      <w:color w:val="C45911" w:themeColor="accent2" w:themeShade="BF"/>
      <w:sz w:val="48"/>
      <w:szCs w:val="32"/>
      <w:lang w:eastAsia="en-AU"/>
    </w:rPr>
  </w:style>
  <w:style w:type="character" w:customStyle="1" w:styleId="Heading2Char">
    <w:name w:val="Heading 2 Char"/>
    <w:basedOn w:val="DefaultParagraphFont"/>
    <w:link w:val="Heading2"/>
    <w:uiPriority w:val="9"/>
    <w:rsid w:val="00070C12"/>
    <w:rPr>
      <w:rFonts w:eastAsiaTheme="majorEastAsia" w:cstheme="minorHAnsi"/>
      <w:b/>
      <w:color w:val="C45911" w:themeColor="accent2" w:themeShade="BF"/>
      <w:sz w:val="22"/>
      <w:szCs w:val="22"/>
      <w:lang w:eastAsia="en-AU"/>
    </w:rPr>
  </w:style>
  <w:style w:type="character" w:customStyle="1" w:styleId="Heading3Char">
    <w:name w:val="Heading 3 Char"/>
    <w:basedOn w:val="DefaultParagraphFont"/>
    <w:link w:val="Heading3"/>
    <w:uiPriority w:val="9"/>
    <w:rsid w:val="00366EAB"/>
    <w:rPr>
      <w:rFonts w:eastAsiaTheme="minorEastAsia" w:cstheme="minorHAnsi"/>
      <w:b/>
      <w:bCs/>
      <w:sz w:val="22"/>
      <w:lang w:eastAsia="en-AU"/>
    </w:rPr>
  </w:style>
  <w:style w:type="character" w:customStyle="1" w:styleId="Heading4Char">
    <w:name w:val="Heading 4 Char"/>
    <w:basedOn w:val="DefaultParagraphFont"/>
    <w:link w:val="Heading4"/>
    <w:uiPriority w:val="9"/>
    <w:rsid w:val="004257B1"/>
    <w:rPr>
      <w:rFonts w:eastAsiaTheme="majorEastAsia" w:cstheme="minorHAnsi"/>
      <w:b/>
      <w:sz w:val="22"/>
      <w:szCs w:val="22"/>
      <w:lang w:val="en-US" w:eastAsia="en-AU"/>
    </w:rPr>
  </w:style>
  <w:style w:type="character" w:customStyle="1" w:styleId="Heading5Char">
    <w:name w:val="Heading 5 Char"/>
    <w:basedOn w:val="DefaultParagraphFont"/>
    <w:link w:val="Heading5"/>
    <w:uiPriority w:val="9"/>
    <w:rsid w:val="00F9777F"/>
    <w:rPr>
      <w:rFonts w:asciiTheme="majorHAnsi" w:eastAsiaTheme="majorEastAsia" w:hAnsiTheme="majorHAnsi" w:cstheme="majorBidi"/>
      <w:color w:val="2F5496" w:themeColor="accent1" w:themeShade="BF"/>
      <w:sz w:val="22"/>
      <w:lang w:eastAsia="en-GB"/>
    </w:rPr>
  </w:style>
  <w:style w:type="character" w:customStyle="1" w:styleId="Heading6Char">
    <w:name w:val="Heading 6 Char"/>
    <w:basedOn w:val="DefaultParagraphFont"/>
    <w:link w:val="Heading6"/>
    <w:uiPriority w:val="9"/>
    <w:semiHidden/>
    <w:rsid w:val="00F9777F"/>
    <w:rPr>
      <w:rFonts w:asciiTheme="majorHAnsi" w:eastAsiaTheme="majorEastAsia" w:hAnsiTheme="majorHAnsi" w:cstheme="majorBidi"/>
      <w:color w:val="1F3763" w:themeColor="accent1" w:themeShade="7F"/>
      <w:sz w:val="22"/>
      <w:lang w:eastAsia="en-GB"/>
    </w:rPr>
  </w:style>
  <w:style w:type="character" w:customStyle="1" w:styleId="Heading7Char">
    <w:name w:val="Heading 7 Char"/>
    <w:basedOn w:val="DefaultParagraphFont"/>
    <w:link w:val="Heading7"/>
    <w:uiPriority w:val="9"/>
    <w:semiHidden/>
    <w:rsid w:val="00F9777F"/>
    <w:rPr>
      <w:rFonts w:asciiTheme="majorHAnsi" w:eastAsiaTheme="majorEastAsia" w:hAnsiTheme="majorHAnsi" w:cstheme="majorBidi"/>
      <w:i/>
      <w:iCs/>
      <w:color w:val="1F3763" w:themeColor="accent1" w:themeShade="7F"/>
      <w:sz w:val="22"/>
      <w:lang w:eastAsia="en-GB"/>
    </w:rPr>
  </w:style>
  <w:style w:type="character" w:customStyle="1" w:styleId="Heading8Char">
    <w:name w:val="Heading 8 Char"/>
    <w:basedOn w:val="DefaultParagraphFont"/>
    <w:link w:val="Heading8"/>
    <w:uiPriority w:val="9"/>
    <w:semiHidden/>
    <w:rsid w:val="00F9777F"/>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F9777F"/>
    <w:rPr>
      <w:rFonts w:asciiTheme="majorHAnsi" w:eastAsiaTheme="majorEastAsia" w:hAnsiTheme="majorHAnsi" w:cstheme="majorBidi"/>
      <w:i/>
      <w:iCs/>
      <w:color w:val="272727" w:themeColor="text1" w:themeTint="D8"/>
      <w:sz w:val="21"/>
      <w:szCs w:val="21"/>
      <w:lang w:eastAsia="en-GB"/>
    </w:rPr>
  </w:style>
  <w:style w:type="paragraph" w:styleId="Quote">
    <w:name w:val="Quote"/>
    <w:basedOn w:val="Normal"/>
    <w:next w:val="Normal"/>
    <w:link w:val="QuoteChar"/>
    <w:autoRedefine/>
    <w:uiPriority w:val="29"/>
    <w:qFormat/>
    <w:rsid w:val="00543066"/>
    <w:pPr>
      <w:ind w:left="709"/>
    </w:pPr>
    <w:rPr>
      <w:i/>
      <w:lang w:val="en-GB"/>
    </w:rPr>
  </w:style>
  <w:style w:type="character" w:customStyle="1" w:styleId="QuoteChar">
    <w:name w:val="Quote Char"/>
    <w:basedOn w:val="DefaultParagraphFont"/>
    <w:link w:val="Quote"/>
    <w:uiPriority w:val="29"/>
    <w:rsid w:val="00543066"/>
    <w:rPr>
      <w:rFonts w:eastAsiaTheme="minorEastAsia"/>
      <w:i/>
      <w:sz w:val="22"/>
      <w:lang w:val="en-GB" w:eastAsia="en-GB"/>
    </w:rPr>
  </w:style>
  <w:style w:type="paragraph" w:customStyle="1" w:styleId="TableHeading">
    <w:name w:val="Table Heading"/>
    <w:basedOn w:val="Normal"/>
    <w:qFormat/>
    <w:rsid w:val="00896D91"/>
    <w:pPr>
      <w:spacing w:before="0" w:after="0" w:line="240" w:lineRule="auto"/>
    </w:pPr>
    <w:rPr>
      <w:rFonts w:asciiTheme="majorHAnsi" w:hAnsiTheme="majorHAnsi" w:cs="Times New Roman"/>
      <w:bCs/>
      <w:i/>
      <w:iCs/>
      <w:color w:val="C45911" w:themeColor="accent2" w:themeShade="BF"/>
    </w:rPr>
  </w:style>
  <w:style w:type="paragraph" w:styleId="NoSpacing">
    <w:name w:val="No Spacing"/>
    <w:link w:val="NoSpacingChar"/>
    <w:uiPriority w:val="1"/>
    <w:qFormat/>
    <w:rsid w:val="009D0B3C"/>
    <w:rPr>
      <w:rFonts w:eastAsiaTheme="minorEastAsia"/>
      <w:sz w:val="22"/>
      <w:szCs w:val="22"/>
      <w:lang w:val="en-US" w:eastAsia="zh-CN"/>
    </w:rPr>
  </w:style>
  <w:style w:type="character" w:customStyle="1" w:styleId="NoSpacingChar">
    <w:name w:val="No Spacing Char"/>
    <w:basedOn w:val="DefaultParagraphFont"/>
    <w:link w:val="NoSpacing"/>
    <w:uiPriority w:val="1"/>
    <w:rsid w:val="009D0B3C"/>
    <w:rPr>
      <w:rFonts w:eastAsiaTheme="minorEastAsia"/>
      <w:sz w:val="22"/>
      <w:szCs w:val="22"/>
      <w:lang w:val="en-US" w:eastAsia="zh-CN"/>
    </w:rPr>
  </w:style>
  <w:style w:type="paragraph" w:styleId="BalloonText">
    <w:name w:val="Balloon Text"/>
    <w:basedOn w:val="Normal"/>
    <w:link w:val="BalloonTextChar"/>
    <w:uiPriority w:val="99"/>
    <w:semiHidden/>
    <w:unhideWhenUsed/>
    <w:rsid w:val="009D0B3C"/>
    <w:rPr>
      <w:rFonts w:cs="Times New Roman"/>
      <w:sz w:val="18"/>
      <w:szCs w:val="18"/>
    </w:rPr>
  </w:style>
  <w:style w:type="character" w:customStyle="1" w:styleId="BalloonTextChar">
    <w:name w:val="Balloon Text Char"/>
    <w:basedOn w:val="DefaultParagraphFont"/>
    <w:link w:val="BalloonText"/>
    <w:uiPriority w:val="99"/>
    <w:semiHidden/>
    <w:rsid w:val="009D0B3C"/>
    <w:rPr>
      <w:rFonts w:ascii="Times New Roman" w:hAnsi="Times New Roman" w:cs="Times New Roman"/>
      <w:b/>
      <w:sz w:val="18"/>
      <w:szCs w:val="18"/>
    </w:rPr>
  </w:style>
  <w:style w:type="paragraph" w:styleId="Caption">
    <w:name w:val="caption"/>
    <w:basedOn w:val="Normal"/>
    <w:next w:val="Normal"/>
    <w:autoRedefine/>
    <w:uiPriority w:val="35"/>
    <w:unhideWhenUsed/>
    <w:qFormat/>
    <w:rsid w:val="002E74E6"/>
    <w:pPr>
      <w:keepNext/>
      <w:spacing w:before="0" w:after="200" w:line="240" w:lineRule="auto"/>
    </w:pPr>
    <w:rPr>
      <w:b/>
      <w:bCs/>
      <w:iCs/>
      <w:color w:val="000000" w:themeColor="text1"/>
      <w:sz w:val="20"/>
      <w:szCs w:val="20"/>
    </w:rPr>
  </w:style>
  <w:style w:type="paragraph" w:styleId="TOC1">
    <w:name w:val="toc 1"/>
    <w:basedOn w:val="Normal"/>
    <w:next w:val="Normal"/>
    <w:autoRedefine/>
    <w:uiPriority w:val="39"/>
    <w:unhideWhenUsed/>
    <w:rsid w:val="00604962"/>
    <w:pPr>
      <w:keepNext/>
      <w:tabs>
        <w:tab w:val="left" w:pos="440"/>
        <w:tab w:val="right" w:pos="9735"/>
      </w:tabs>
      <w:spacing w:before="0" w:after="0"/>
    </w:pPr>
    <w:rPr>
      <w:rFonts w:ascii="Calibri" w:hAnsi="Calibri"/>
      <w:b/>
      <w:noProof/>
      <w:szCs w:val="20"/>
    </w:rPr>
  </w:style>
  <w:style w:type="paragraph" w:styleId="TOC2">
    <w:name w:val="toc 2"/>
    <w:basedOn w:val="Normal"/>
    <w:next w:val="Normal"/>
    <w:autoRedefine/>
    <w:uiPriority w:val="39"/>
    <w:unhideWhenUsed/>
    <w:rsid w:val="00E2609B"/>
    <w:pPr>
      <w:tabs>
        <w:tab w:val="right" w:leader="dot" w:pos="9736"/>
      </w:tabs>
      <w:spacing w:before="0" w:after="0"/>
    </w:pPr>
    <w:rPr>
      <w:szCs w:val="20"/>
    </w:rPr>
  </w:style>
  <w:style w:type="paragraph" w:styleId="TOC3">
    <w:name w:val="toc 3"/>
    <w:basedOn w:val="Normal"/>
    <w:next w:val="Normal"/>
    <w:autoRedefine/>
    <w:uiPriority w:val="39"/>
    <w:unhideWhenUsed/>
    <w:rsid w:val="0063206B"/>
    <w:pPr>
      <w:tabs>
        <w:tab w:val="right" w:leader="dot" w:pos="9010"/>
      </w:tabs>
      <w:spacing w:before="0" w:after="0"/>
      <w:ind w:left="440"/>
    </w:pPr>
    <w:rPr>
      <w:iCs/>
      <w:szCs w:val="20"/>
    </w:rPr>
  </w:style>
  <w:style w:type="paragraph" w:styleId="TOC4">
    <w:name w:val="toc 4"/>
    <w:basedOn w:val="Normal"/>
    <w:next w:val="Normal"/>
    <w:autoRedefine/>
    <w:uiPriority w:val="39"/>
    <w:unhideWhenUsed/>
    <w:rsid w:val="00773DF5"/>
    <w:pPr>
      <w:ind w:left="660"/>
    </w:pPr>
    <w:rPr>
      <w:sz w:val="18"/>
      <w:szCs w:val="18"/>
    </w:rPr>
  </w:style>
  <w:style w:type="paragraph" w:styleId="TOC5">
    <w:name w:val="toc 5"/>
    <w:basedOn w:val="Normal"/>
    <w:next w:val="Normal"/>
    <w:autoRedefine/>
    <w:uiPriority w:val="39"/>
    <w:unhideWhenUsed/>
    <w:rsid w:val="00773DF5"/>
    <w:pPr>
      <w:ind w:left="880"/>
    </w:pPr>
    <w:rPr>
      <w:sz w:val="18"/>
      <w:szCs w:val="18"/>
    </w:rPr>
  </w:style>
  <w:style w:type="paragraph" w:styleId="TOC6">
    <w:name w:val="toc 6"/>
    <w:basedOn w:val="Normal"/>
    <w:next w:val="Normal"/>
    <w:autoRedefine/>
    <w:uiPriority w:val="39"/>
    <w:unhideWhenUsed/>
    <w:rsid w:val="00773DF5"/>
    <w:pPr>
      <w:ind w:left="1100"/>
    </w:pPr>
    <w:rPr>
      <w:sz w:val="18"/>
      <w:szCs w:val="18"/>
    </w:rPr>
  </w:style>
  <w:style w:type="paragraph" w:styleId="TOC7">
    <w:name w:val="toc 7"/>
    <w:basedOn w:val="Normal"/>
    <w:next w:val="Normal"/>
    <w:autoRedefine/>
    <w:uiPriority w:val="39"/>
    <w:unhideWhenUsed/>
    <w:rsid w:val="00773DF5"/>
    <w:pPr>
      <w:ind w:left="1320"/>
    </w:pPr>
    <w:rPr>
      <w:sz w:val="18"/>
      <w:szCs w:val="18"/>
    </w:rPr>
  </w:style>
  <w:style w:type="paragraph" w:styleId="TOC8">
    <w:name w:val="toc 8"/>
    <w:basedOn w:val="Normal"/>
    <w:next w:val="Normal"/>
    <w:autoRedefine/>
    <w:uiPriority w:val="39"/>
    <w:unhideWhenUsed/>
    <w:rsid w:val="00773DF5"/>
    <w:pPr>
      <w:ind w:left="1540"/>
    </w:pPr>
    <w:rPr>
      <w:sz w:val="18"/>
      <w:szCs w:val="18"/>
    </w:rPr>
  </w:style>
  <w:style w:type="paragraph" w:styleId="TOC9">
    <w:name w:val="toc 9"/>
    <w:basedOn w:val="Normal"/>
    <w:next w:val="Normal"/>
    <w:autoRedefine/>
    <w:uiPriority w:val="39"/>
    <w:unhideWhenUsed/>
    <w:rsid w:val="00773DF5"/>
    <w:pPr>
      <w:ind w:left="1760"/>
    </w:pPr>
    <w:rPr>
      <w:sz w:val="18"/>
      <w:szCs w:val="18"/>
    </w:rPr>
  </w:style>
  <w:style w:type="character" w:styleId="Hyperlink">
    <w:name w:val="Hyperlink"/>
    <w:basedOn w:val="DefaultParagraphFont"/>
    <w:uiPriority w:val="99"/>
    <w:unhideWhenUsed/>
    <w:rsid w:val="00773DF5"/>
    <w:rPr>
      <w:color w:val="0563C1" w:themeColor="hyperlink"/>
      <w:u w:val="single"/>
    </w:rPr>
  </w:style>
  <w:style w:type="paragraph" w:customStyle="1" w:styleId="FigureCaptions">
    <w:name w:val="Figure Captions"/>
    <w:basedOn w:val="Caption"/>
    <w:next w:val="Normal"/>
    <w:autoRedefine/>
    <w:qFormat/>
    <w:rsid w:val="004C2AFB"/>
    <w:rPr>
      <w:rFonts w:cs="Cordia New (Body CS)"/>
      <w:bCs w:val="0"/>
      <w:iCs w:val="0"/>
      <w:color w:val="auto"/>
    </w:rPr>
  </w:style>
  <w:style w:type="paragraph" w:customStyle="1" w:styleId="tabletext-leftaligned">
    <w:name w:val="table text - left aligned"/>
    <w:basedOn w:val="Normal"/>
    <w:autoRedefine/>
    <w:qFormat/>
    <w:rsid w:val="00EF494A"/>
    <w:pPr>
      <w:keepLines/>
      <w:framePr w:hSpace="180" w:wrap="around" w:vAnchor="text" w:hAnchor="margin" w:y="141"/>
      <w:spacing w:after="0" w:line="240" w:lineRule="auto"/>
    </w:pPr>
    <w:rPr>
      <w:rFonts w:ascii="Calibri Light" w:hAnsi="Calibri Light" w:cs="Calibri Light"/>
      <w:i/>
      <w:szCs w:val="21"/>
    </w:rPr>
  </w:style>
  <w:style w:type="paragraph" w:customStyle="1" w:styleId="TitlePageHeading">
    <w:name w:val="Title Page Heading"/>
    <w:basedOn w:val="Normal"/>
    <w:next w:val="Normal"/>
    <w:qFormat/>
    <w:rsid w:val="00284483"/>
    <w:pPr>
      <w:spacing w:line="240" w:lineRule="auto"/>
      <w:jc w:val="center"/>
    </w:pPr>
    <w:rPr>
      <w:color w:val="FFFFFF" w:themeColor="background1"/>
      <w:sz w:val="48"/>
    </w:rPr>
  </w:style>
  <w:style w:type="paragraph" w:styleId="Header">
    <w:name w:val="header"/>
    <w:basedOn w:val="Normal"/>
    <w:link w:val="HeaderChar"/>
    <w:uiPriority w:val="99"/>
    <w:unhideWhenUsed/>
    <w:rsid w:val="0028448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84483"/>
    <w:rPr>
      <w:rFonts w:cs="Arial"/>
      <w:sz w:val="22"/>
      <w:szCs w:val="22"/>
    </w:rPr>
  </w:style>
  <w:style w:type="paragraph" w:styleId="Footer">
    <w:name w:val="footer"/>
    <w:basedOn w:val="Normal"/>
    <w:link w:val="FooterChar"/>
    <w:uiPriority w:val="99"/>
    <w:unhideWhenUsed/>
    <w:rsid w:val="00284483"/>
    <w:pPr>
      <w:tabs>
        <w:tab w:val="center" w:pos="4513"/>
        <w:tab w:val="right" w:pos="9026"/>
      </w:tabs>
      <w:spacing w:before="0" w:after="0" w:line="240" w:lineRule="auto"/>
      <w:jc w:val="center"/>
    </w:pPr>
  </w:style>
  <w:style w:type="character" w:customStyle="1" w:styleId="FooterChar">
    <w:name w:val="Footer Char"/>
    <w:basedOn w:val="DefaultParagraphFont"/>
    <w:link w:val="Footer"/>
    <w:uiPriority w:val="99"/>
    <w:rsid w:val="00284483"/>
    <w:rPr>
      <w:rFonts w:cs="Arial"/>
      <w:sz w:val="22"/>
      <w:szCs w:val="22"/>
    </w:rPr>
  </w:style>
  <w:style w:type="paragraph" w:styleId="ListParagraph">
    <w:name w:val="List Paragraph"/>
    <w:aliases w:val="List Paragraph1,Recommendation,Bullet Point,Bullet point,Bulletr List Paragraph,Content descriptions,FooterText,L,List Bullet 1,List Paragraph11,List Paragraph2,List Paragraph21,Listeafsnit1,NFP GP Bulleted List,Paragraphe de liste1,リスト段落"/>
    <w:basedOn w:val="Normal"/>
    <w:link w:val="ListParagraphChar"/>
    <w:uiPriority w:val="34"/>
    <w:qFormat/>
    <w:rsid w:val="009C5544"/>
    <w:pPr>
      <w:numPr>
        <w:numId w:val="19"/>
      </w:numPr>
      <w:contextualSpacing/>
    </w:pPr>
  </w:style>
  <w:style w:type="character" w:customStyle="1" w:styleId="ListParagraphChar">
    <w:name w:val="List Paragraph Char"/>
    <w:aliases w:val="List Paragraph1 Char,Recommendation Char,Bullet Point Char,Bullet point Char,Bulletr List Paragraph Char,Content descriptions Char,FooterText Char,L Char,List Bullet 1 Char,List Paragraph11 Char,List Paragraph2 Char,Listeafsnit1 Char"/>
    <w:link w:val="ListParagraph"/>
    <w:uiPriority w:val="34"/>
    <w:locked/>
    <w:rsid w:val="009C5544"/>
    <w:rPr>
      <w:rFonts w:eastAsiaTheme="minorEastAsia"/>
      <w:sz w:val="22"/>
      <w:lang w:eastAsia="en-GB"/>
    </w:rPr>
  </w:style>
  <w:style w:type="table" w:styleId="GridTable2-Accent2">
    <w:name w:val="Grid Table 2 Accent 2"/>
    <w:basedOn w:val="TableNormal"/>
    <w:uiPriority w:val="47"/>
    <w:rsid w:val="00054B37"/>
    <w:rPr>
      <w:rFonts w:cs="Times New Roman (Body CS)"/>
      <w:sz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cPr>
      <w:vAlign w:val="center"/>
    </w:tc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19734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Text">
    <w:name w:val="Table Text"/>
    <w:basedOn w:val="Normal"/>
    <w:qFormat/>
    <w:rsid w:val="00197349"/>
    <w:pPr>
      <w:framePr w:hSpace="180" w:wrap="around" w:vAnchor="text" w:hAnchor="margin" w:y="141"/>
      <w:spacing w:line="240" w:lineRule="auto"/>
    </w:pPr>
    <w:rPr>
      <w:i/>
      <w:iCs/>
      <w:sz w:val="20"/>
      <w:szCs w:val="20"/>
    </w:rPr>
  </w:style>
  <w:style w:type="character" w:styleId="CommentReference">
    <w:name w:val="annotation reference"/>
    <w:uiPriority w:val="99"/>
    <w:semiHidden/>
    <w:unhideWhenUsed/>
    <w:rsid w:val="0055756B"/>
    <w:rPr>
      <w:sz w:val="16"/>
    </w:rPr>
  </w:style>
  <w:style w:type="paragraph" w:styleId="CommentText">
    <w:name w:val="annotation text"/>
    <w:basedOn w:val="Normal"/>
    <w:link w:val="CommentTextChar"/>
    <w:uiPriority w:val="99"/>
    <w:unhideWhenUsed/>
    <w:rsid w:val="0055756B"/>
    <w:pPr>
      <w:snapToGrid w:val="0"/>
      <w:spacing w:before="0" w:line="240" w:lineRule="auto"/>
    </w:pPr>
    <w:rPr>
      <w:rFonts w:ascii="Calibri" w:hAnsi="Calibri" w:cs="Times New Roman"/>
    </w:rPr>
  </w:style>
  <w:style w:type="character" w:customStyle="1" w:styleId="CommentTextChar">
    <w:name w:val="Comment Text Char"/>
    <w:basedOn w:val="DefaultParagraphFont"/>
    <w:link w:val="CommentText"/>
    <w:uiPriority w:val="99"/>
    <w:rsid w:val="0055756B"/>
    <w:rPr>
      <w:rFonts w:ascii="Calibri" w:hAnsi="Calibri" w:cs="Times New Roman"/>
    </w:rPr>
  </w:style>
  <w:style w:type="paragraph" w:styleId="CommentSubject">
    <w:name w:val="annotation subject"/>
    <w:basedOn w:val="CommentText"/>
    <w:next w:val="CommentText"/>
    <w:link w:val="CommentSubjectChar"/>
    <w:uiPriority w:val="99"/>
    <w:semiHidden/>
    <w:unhideWhenUsed/>
    <w:rsid w:val="0055756B"/>
    <w:pPr>
      <w:snapToGrid/>
      <w:spacing w:before="120"/>
    </w:pPr>
    <w:rPr>
      <w:rFonts w:asciiTheme="minorHAnsi" w:hAnsiTheme="minorHAnsi" w:cs="Arial"/>
      <w:b/>
      <w:bCs/>
      <w:sz w:val="20"/>
      <w:szCs w:val="20"/>
    </w:rPr>
  </w:style>
  <w:style w:type="character" w:customStyle="1" w:styleId="CommentSubjectChar">
    <w:name w:val="Comment Subject Char"/>
    <w:basedOn w:val="CommentTextChar"/>
    <w:link w:val="CommentSubject"/>
    <w:uiPriority w:val="99"/>
    <w:semiHidden/>
    <w:rsid w:val="0055756B"/>
    <w:rPr>
      <w:rFonts w:ascii="Calibri" w:hAnsi="Calibri" w:cs="Arial"/>
      <w:b/>
      <w:bCs/>
      <w:sz w:val="20"/>
      <w:szCs w:val="20"/>
    </w:rPr>
  </w:style>
  <w:style w:type="table" w:styleId="GridTable3-Accent2">
    <w:name w:val="Grid Table 3 Accent 2"/>
    <w:basedOn w:val="TableNormal"/>
    <w:uiPriority w:val="48"/>
    <w:rsid w:val="00054B3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Normaltextfortables">
    <w:name w:val="Normal text for tables"/>
    <w:basedOn w:val="Normal"/>
    <w:next w:val="Normal"/>
    <w:qFormat/>
    <w:rsid w:val="00EF494A"/>
    <w:pPr>
      <w:keepLines/>
      <w:framePr w:hSpace="180" w:wrap="around" w:vAnchor="text" w:hAnchor="margin" w:y="1010"/>
      <w:snapToGrid w:val="0"/>
      <w:spacing w:before="60" w:after="40" w:line="240" w:lineRule="auto"/>
    </w:pPr>
    <w:rPr>
      <w:rFonts w:ascii="Calibri" w:hAnsi="Calibri" w:cs="Times New Roman"/>
      <w:sz w:val="20"/>
    </w:rPr>
  </w:style>
  <w:style w:type="table" w:styleId="TableGrid">
    <w:name w:val="Table Grid"/>
    <w:basedOn w:val="TableNormal"/>
    <w:uiPriority w:val="39"/>
    <w:rsid w:val="00054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ocumenttitlesnotonTOC">
    <w:name w:val="In-document titles (not on TOC)"/>
    <w:basedOn w:val="TableHeading"/>
    <w:autoRedefine/>
    <w:qFormat/>
    <w:rsid w:val="00065308"/>
    <w:pPr>
      <w:framePr w:hSpace="180" w:wrap="around" w:vAnchor="text" w:hAnchor="margin" w:y="141"/>
    </w:pPr>
    <w:rPr>
      <w:b/>
      <w:bCs w:val="0"/>
    </w:rPr>
  </w:style>
  <w:style w:type="paragraph" w:styleId="FootnoteText">
    <w:name w:val="footnote text"/>
    <w:basedOn w:val="Normal"/>
    <w:link w:val="FootnoteTextChar"/>
    <w:uiPriority w:val="99"/>
    <w:unhideWhenUsed/>
    <w:qFormat/>
    <w:rsid w:val="00065308"/>
    <w:pPr>
      <w:snapToGrid w:val="0"/>
      <w:spacing w:before="0" w:after="0" w:line="240" w:lineRule="auto"/>
    </w:pPr>
    <w:rPr>
      <w:rFonts w:ascii="Calibri" w:hAnsi="Calibri" w:cs="Times New Roman"/>
      <w:sz w:val="20"/>
      <w:szCs w:val="20"/>
      <w:lang w:val="en-US"/>
    </w:rPr>
  </w:style>
  <w:style w:type="character" w:customStyle="1" w:styleId="FootnoteTextChar">
    <w:name w:val="Footnote Text Char"/>
    <w:basedOn w:val="DefaultParagraphFont"/>
    <w:link w:val="FootnoteText"/>
    <w:uiPriority w:val="99"/>
    <w:rsid w:val="00065308"/>
    <w:rPr>
      <w:rFonts w:ascii="Calibri" w:hAnsi="Calibri" w:cs="Times New Roman"/>
      <w:sz w:val="20"/>
      <w:szCs w:val="20"/>
      <w:lang w:val="en-US"/>
    </w:rPr>
  </w:style>
  <w:style w:type="character" w:styleId="FootnoteReference">
    <w:name w:val="footnote reference"/>
    <w:uiPriority w:val="99"/>
    <w:unhideWhenUsed/>
    <w:rsid w:val="00065308"/>
    <w:rPr>
      <w:vertAlign w:val="superscript"/>
    </w:rPr>
  </w:style>
  <w:style w:type="paragraph" w:customStyle="1" w:styleId="FigureTableNote">
    <w:name w:val="Figure/Table Note"/>
    <w:basedOn w:val="Normal"/>
    <w:qFormat/>
    <w:rsid w:val="002C70CB"/>
    <w:rPr>
      <w:i/>
      <w:iCs/>
      <w:sz w:val="20"/>
      <w:szCs w:val="18"/>
    </w:rPr>
  </w:style>
  <w:style w:type="table" w:styleId="GridTable7Colorful-Accent2">
    <w:name w:val="Grid Table 7 Colorful Accent 2"/>
    <w:basedOn w:val="TableNormal"/>
    <w:uiPriority w:val="52"/>
    <w:rsid w:val="00EF494A"/>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2">
    <w:name w:val="Grid Table 4 Accent 2"/>
    <w:basedOn w:val="TableNormal"/>
    <w:uiPriority w:val="49"/>
    <w:rsid w:val="00896D9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907849"/>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textrun">
    <w:name w:val="normaltextrun"/>
    <w:basedOn w:val="DefaultParagraphFont"/>
    <w:rsid w:val="00612EED"/>
  </w:style>
  <w:style w:type="character" w:customStyle="1" w:styleId="advancedproofingissue">
    <w:name w:val="advancedproofingissue"/>
    <w:basedOn w:val="DefaultParagraphFont"/>
    <w:rsid w:val="00612EED"/>
  </w:style>
  <w:style w:type="character" w:customStyle="1" w:styleId="contextualspellingandgrammarerror">
    <w:name w:val="contextualspellingandgrammarerror"/>
    <w:basedOn w:val="DefaultParagraphFont"/>
    <w:rsid w:val="00612EED"/>
  </w:style>
  <w:style w:type="table" w:styleId="ListTable3">
    <w:name w:val="List Table 3"/>
    <w:basedOn w:val="TableNormal"/>
    <w:uiPriority w:val="48"/>
    <w:rsid w:val="00995F8C"/>
    <w:rPr>
      <w:rFonts w:eastAsiaTheme="minorHAns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Heading">
    <w:name w:val="TOC Heading"/>
    <w:basedOn w:val="Heading1"/>
    <w:next w:val="Normal"/>
    <w:uiPriority w:val="39"/>
    <w:unhideWhenUsed/>
    <w:qFormat/>
    <w:rsid w:val="00F64288"/>
    <w:pPr>
      <w:pBdr>
        <w:bottom w:val="none" w:sz="0" w:space="0" w:color="auto"/>
      </w:pBdr>
      <w:spacing w:before="240" w:after="0" w:line="259" w:lineRule="auto"/>
      <w:outlineLvl w:val="9"/>
    </w:pPr>
    <w:rPr>
      <w:b w:val="0"/>
      <w:color w:val="2F5496" w:themeColor="accent1" w:themeShade="BF"/>
      <w:sz w:val="32"/>
      <w:lang w:val="en-US" w:eastAsia="en-US"/>
    </w:rPr>
  </w:style>
  <w:style w:type="paragraph" w:styleId="Revision">
    <w:name w:val="Revision"/>
    <w:hidden/>
    <w:uiPriority w:val="99"/>
    <w:semiHidden/>
    <w:rsid w:val="0053133D"/>
    <w:rPr>
      <w:rFonts w:cs="Arial"/>
      <w:szCs w:val="22"/>
    </w:rPr>
  </w:style>
  <w:style w:type="paragraph" w:customStyle="1" w:styleId="Dotpoints15lines">
    <w:name w:val="Dot points 1.5 lines"/>
    <w:basedOn w:val="ListParagraph"/>
    <w:qFormat/>
    <w:rsid w:val="00AC30C5"/>
    <w:pPr>
      <w:numPr>
        <w:numId w:val="16"/>
      </w:numPr>
      <w:autoSpaceDE w:val="0"/>
      <w:autoSpaceDN w:val="0"/>
      <w:adjustRightInd w:val="0"/>
      <w:spacing w:before="0"/>
      <w:jc w:val="both"/>
    </w:pPr>
    <w:rPr>
      <w:rFonts w:ascii="Arial" w:eastAsia="Calibri" w:hAnsi="Arial"/>
    </w:rPr>
  </w:style>
  <w:style w:type="paragraph" w:customStyle="1" w:styleId="Normal15">
    <w:name w:val="Normal 1.5"/>
    <w:basedOn w:val="Normal"/>
    <w:qFormat/>
    <w:rsid w:val="00D84CA1"/>
    <w:pPr>
      <w:autoSpaceDE w:val="0"/>
      <w:autoSpaceDN w:val="0"/>
      <w:adjustRightInd w:val="0"/>
      <w:spacing w:before="0"/>
      <w:jc w:val="both"/>
    </w:pPr>
    <w:rPr>
      <w:rFonts w:ascii="Arial" w:hAnsi="Arial" w:cs="Times New Roman"/>
    </w:rPr>
  </w:style>
  <w:style w:type="table" w:customStyle="1" w:styleId="TableGrid1">
    <w:name w:val="Table Grid1"/>
    <w:basedOn w:val="TableNormal"/>
    <w:next w:val="TableGrid"/>
    <w:uiPriority w:val="39"/>
    <w:rsid w:val="00EE7BB9"/>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B06D52"/>
    <w:rPr>
      <w:color w:val="605E5C"/>
      <w:shd w:val="clear" w:color="auto" w:fill="E1DFDD"/>
    </w:rPr>
  </w:style>
  <w:style w:type="character" w:styleId="FollowedHyperlink">
    <w:name w:val="FollowedHyperlink"/>
    <w:basedOn w:val="DefaultParagraphFont"/>
    <w:uiPriority w:val="99"/>
    <w:semiHidden/>
    <w:unhideWhenUsed/>
    <w:rsid w:val="000F3912"/>
    <w:rPr>
      <w:color w:val="954F72" w:themeColor="followedHyperlink"/>
      <w:u w:val="single"/>
    </w:rPr>
  </w:style>
  <w:style w:type="paragraph" w:customStyle="1" w:styleId="level3textandnumbering">
    <w:name w:val="level 3 text and numbering"/>
    <w:basedOn w:val="Normal"/>
    <w:qFormat/>
    <w:rsid w:val="006052C9"/>
    <w:pPr>
      <w:keepLines/>
      <w:numPr>
        <w:ilvl w:val="2"/>
        <w:numId w:val="21"/>
      </w:numPr>
      <w:spacing w:after="60"/>
    </w:pPr>
    <w:rPr>
      <w:rFonts w:cstheme="minorHAnsi"/>
      <w:lang w:val="en-US"/>
    </w:rPr>
  </w:style>
  <w:style w:type="paragraph" w:customStyle="1" w:styleId="Alphabetlist">
    <w:name w:val="Alphabet list"/>
    <w:basedOn w:val="level3textandnumbering"/>
    <w:qFormat/>
    <w:rsid w:val="006052C9"/>
    <w:pPr>
      <w:numPr>
        <w:ilvl w:val="0"/>
        <w:numId w:val="22"/>
      </w:numPr>
    </w:pPr>
  </w:style>
  <w:style w:type="table" w:styleId="GridTable2">
    <w:name w:val="Grid Table 2"/>
    <w:basedOn w:val="TableNormal"/>
    <w:uiPriority w:val="47"/>
    <w:rsid w:val="0090472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2209A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notes">
    <w:name w:val="Table notes"/>
    <w:basedOn w:val="Normal"/>
    <w:qFormat/>
    <w:rsid w:val="00650A64"/>
    <w:rPr>
      <w:rFonts w:cstheme="minorHAnsi"/>
      <w:sz w:val="18"/>
      <w:szCs w:val="18"/>
    </w:rPr>
  </w:style>
  <w:style w:type="paragraph" w:customStyle="1" w:styleId="Appendixheading1">
    <w:name w:val="Appendix heading 1"/>
    <w:basedOn w:val="Heading1"/>
    <w:qFormat/>
    <w:rsid w:val="00EC7BAC"/>
  </w:style>
  <w:style w:type="table" w:styleId="GridTable1Light-Accent1">
    <w:name w:val="Grid Table 1 Light Accent 1"/>
    <w:basedOn w:val="TableNormal"/>
    <w:uiPriority w:val="46"/>
    <w:rsid w:val="00403B1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528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E349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349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ibri11">
    <w:name w:val="Calibri 11"/>
    <w:basedOn w:val="TableNormal"/>
    <w:uiPriority w:val="99"/>
    <w:rsid w:val="00066B5E"/>
    <w:rPr>
      <w:rFonts w:asciiTheme="majorHAnsi" w:eastAsiaTheme="minorEastAsia" w:hAnsiTheme="maj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1" w:type="dxa"/>
        <w:bottom w:w="91" w:type="dxa"/>
      </w:tblCellMar>
    </w:tblPr>
    <w:trPr>
      <w:cantSplit/>
    </w:trPr>
  </w:style>
  <w:style w:type="paragraph" w:customStyle="1" w:styleId="Default">
    <w:name w:val="Default"/>
    <w:rsid w:val="000C2BB0"/>
    <w:pPr>
      <w:autoSpaceDE w:val="0"/>
      <w:autoSpaceDN w:val="0"/>
      <w:adjustRightInd w:val="0"/>
    </w:pPr>
    <w:rPr>
      <w:rFonts w:ascii="Arial" w:hAnsi="Arial" w:cs="Arial"/>
      <w:color w:val="000000"/>
      <w:lang w:val="en-GB"/>
    </w:rPr>
  </w:style>
  <w:style w:type="table" w:styleId="LightShading">
    <w:name w:val="Light Shading"/>
    <w:basedOn w:val="TableNormal"/>
    <w:uiPriority w:val="60"/>
    <w:semiHidden/>
    <w:unhideWhenUsed/>
    <w:rsid w:val="00832DA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dotpoints">
    <w:name w:val="Table dot points"/>
    <w:basedOn w:val="ListParagraph"/>
    <w:qFormat/>
    <w:rsid w:val="00832DA4"/>
    <w:pPr>
      <w:numPr>
        <w:numId w:val="36"/>
      </w:numPr>
      <w:spacing w:beforeLines="40" w:before="96" w:afterLines="60" w:after="144" w:line="240" w:lineRule="auto"/>
      <w:ind w:left="603" w:hanging="283"/>
    </w:pPr>
    <w:rPr>
      <w:rFonts w:eastAsiaTheme="minorHAnsi" w:cstheme="minorHAnsi"/>
      <w:color w:val="000000" w:themeColor="text1" w:themeShade="BF"/>
      <w:sz w:val="20"/>
      <w:szCs w:val="20"/>
      <w:lang w:eastAsia="en-US"/>
    </w:rPr>
  </w:style>
  <w:style w:type="paragraph" w:customStyle="1" w:styleId="Tabletext0">
    <w:name w:val="Table text"/>
    <w:basedOn w:val="Normal"/>
    <w:qFormat/>
    <w:rsid w:val="00CF18D1"/>
    <w:pPr>
      <w:spacing w:before="60" w:after="60"/>
    </w:pPr>
    <w:rPr>
      <w:rFonts w:ascii="Arial" w:hAnsi="Arial" w:cs="Arial"/>
      <w:sz w:val="21"/>
      <w:szCs w:val="21"/>
    </w:rPr>
  </w:style>
  <w:style w:type="paragraph" w:customStyle="1" w:styleId="Tableheading0">
    <w:name w:val="Table heading"/>
    <w:basedOn w:val="Tabletext0"/>
    <w:qFormat/>
    <w:rsid w:val="00CF18D1"/>
    <w:rPr>
      <w:b/>
    </w:rPr>
  </w:style>
  <w:style w:type="paragraph" w:customStyle="1" w:styleId="Tablecaption">
    <w:name w:val="Table caption"/>
    <w:basedOn w:val="TOC1"/>
    <w:qFormat/>
    <w:rsid w:val="00CF18D1"/>
    <w:pPr>
      <w:spacing w:before="120" w:after="120"/>
    </w:pPr>
    <w:rPr>
      <w:b w:val="0"/>
      <w:sz w:val="20"/>
    </w:rPr>
  </w:style>
  <w:style w:type="paragraph" w:customStyle="1" w:styleId="Appendixheader">
    <w:name w:val="Appendix header"/>
    <w:basedOn w:val="Normal"/>
    <w:next w:val="Normal"/>
    <w:qFormat/>
    <w:rsid w:val="00CF18D1"/>
    <w:pPr>
      <w:spacing w:after="120" w:line="360" w:lineRule="auto"/>
      <w:ind w:left="420"/>
    </w:pPr>
    <w:rPr>
      <w:b/>
      <w:bCs/>
    </w:rPr>
  </w:style>
  <w:style w:type="table" w:styleId="ListTable4">
    <w:name w:val="List Table 4"/>
    <w:basedOn w:val="TableNormal"/>
    <w:uiPriority w:val="49"/>
    <w:rsid w:val="00995F8C"/>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Bold">
    <w:name w:val="Heading Bold"/>
    <w:basedOn w:val="Normal"/>
    <w:qFormat/>
    <w:rsid w:val="00CF18D1"/>
    <w:rPr>
      <w:rFonts w:ascii="Century Gothic" w:eastAsia="Times New Roman" w:hAnsi="Century Gothic" w:cs="Arial"/>
      <w:b/>
    </w:rPr>
  </w:style>
  <w:style w:type="paragraph" w:customStyle="1" w:styleId="Heading3CA">
    <w:name w:val="Heading 3 CA"/>
    <w:basedOn w:val="Normal"/>
    <w:qFormat/>
    <w:rsid w:val="00CF18D1"/>
    <w:pPr>
      <w:spacing w:after="120"/>
    </w:pPr>
    <w:rPr>
      <w:rFonts w:ascii="Century Gothic" w:eastAsia="Times New Roman" w:hAnsi="Century Gothic" w:cs="Arial"/>
      <w:b/>
    </w:rPr>
  </w:style>
  <w:style w:type="paragraph" w:customStyle="1" w:styleId="Insetdotpoints1">
    <w:name w:val="Inset dot points 1"/>
    <w:basedOn w:val="Normal"/>
    <w:qFormat/>
    <w:rsid w:val="00CF18D1"/>
    <w:pPr>
      <w:numPr>
        <w:numId w:val="47"/>
      </w:numPr>
      <w:spacing w:after="200"/>
    </w:pPr>
  </w:style>
  <w:style w:type="paragraph" w:customStyle="1" w:styleId="Subhead">
    <w:name w:val="Subhead"/>
    <w:basedOn w:val="Normal"/>
    <w:next w:val="Normal"/>
    <w:qFormat/>
    <w:rsid w:val="00CF18D1"/>
    <w:pPr>
      <w:spacing w:after="200"/>
    </w:pPr>
    <w:rPr>
      <w:b/>
      <w:bCs/>
    </w:rPr>
  </w:style>
  <w:style w:type="paragraph" w:customStyle="1" w:styleId="Tooltitle">
    <w:name w:val="Tool title"/>
    <w:basedOn w:val="Normal"/>
    <w:next w:val="Normal"/>
    <w:qFormat/>
    <w:rsid w:val="00CF18D1"/>
    <w:pPr>
      <w:spacing w:after="200"/>
    </w:pPr>
    <w:rPr>
      <w:b/>
      <w:bCs/>
      <w:sz w:val="28"/>
      <w:szCs w:val="28"/>
      <w:u w:val="single"/>
    </w:rPr>
  </w:style>
  <w:style w:type="paragraph" w:customStyle="1" w:styleId="Appendixheading">
    <w:name w:val="Appendix heading"/>
    <w:basedOn w:val="Normal"/>
    <w:next w:val="Tooltitle"/>
    <w:qFormat/>
    <w:rsid w:val="00CF18D1"/>
    <w:rPr>
      <w:b/>
      <w:bCs/>
      <w:sz w:val="28"/>
      <w:szCs w:val="28"/>
    </w:rPr>
  </w:style>
  <w:style w:type="paragraph" w:customStyle="1" w:styleId="Subhead1">
    <w:name w:val="Subhead 1"/>
    <w:basedOn w:val="Normal"/>
    <w:next w:val="Normal"/>
    <w:qFormat/>
    <w:rsid w:val="00CF18D1"/>
    <w:pPr>
      <w:spacing w:after="200"/>
      <w:ind w:left="426" w:right="283"/>
    </w:pPr>
    <w:rPr>
      <w:b/>
      <w:bCs/>
      <w:sz w:val="28"/>
      <w:lang w:val="en-US"/>
    </w:rPr>
  </w:style>
  <w:style w:type="paragraph" w:customStyle="1" w:styleId="Figurecaption">
    <w:name w:val="Figure caption"/>
    <w:basedOn w:val="Caption"/>
    <w:qFormat/>
    <w:rsid w:val="00CF18D1"/>
    <w:pPr>
      <w:spacing w:before="120"/>
    </w:pPr>
    <w:rPr>
      <w:b w:val="0"/>
      <w:i/>
      <w:szCs w:val="22"/>
      <w:lang w:bidi="th-TH"/>
    </w:rPr>
  </w:style>
  <w:style w:type="table" w:styleId="GridTable4">
    <w:name w:val="Grid Table 4"/>
    <w:basedOn w:val="TableNormal"/>
    <w:uiPriority w:val="49"/>
    <w:rsid w:val="00995F8C"/>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aliases w:val="Completed - Green dotty"/>
    <w:basedOn w:val="TableNormal"/>
    <w:uiPriority w:val="46"/>
    <w:rsid w:val="00552061"/>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forCA">
    <w:name w:val="Body for CA"/>
    <w:basedOn w:val="Normal"/>
    <w:qFormat/>
    <w:rsid w:val="00552061"/>
    <w:pPr>
      <w:numPr>
        <w:numId w:val="4"/>
      </w:numPr>
      <w:spacing w:before="0" w:after="120"/>
    </w:pPr>
    <w:rPr>
      <w:rFonts w:ascii="Century Gothic" w:eastAsia="Times New Roman" w:hAnsi="Century Gothic" w:cs="Arial"/>
      <w:sz w:val="21"/>
      <w:szCs w:val="21"/>
      <w:lang w:eastAsia="en-AU"/>
    </w:rPr>
  </w:style>
  <w:style w:type="character" w:customStyle="1" w:styleId="BalloonTextChar1">
    <w:name w:val="Balloon Text Char1"/>
    <w:basedOn w:val="DefaultParagraphFont"/>
    <w:uiPriority w:val="99"/>
    <w:semiHidden/>
    <w:rsid w:val="00552061"/>
    <w:rPr>
      <w:rFonts w:ascii="Times New Roman" w:hAnsi="Times New Roman" w:cs="Times New Roman"/>
      <w:sz w:val="18"/>
      <w:szCs w:val="18"/>
    </w:rPr>
  </w:style>
  <w:style w:type="character" w:customStyle="1" w:styleId="CommentTextChar1">
    <w:name w:val="Comment Text Char1"/>
    <w:basedOn w:val="DefaultParagraphFont"/>
    <w:uiPriority w:val="99"/>
    <w:semiHidden/>
    <w:rsid w:val="00552061"/>
    <w:rPr>
      <w:sz w:val="20"/>
      <w:szCs w:val="20"/>
    </w:rPr>
  </w:style>
  <w:style w:type="character" w:customStyle="1" w:styleId="TitleChar">
    <w:name w:val="Title Char"/>
    <w:basedOn w:val="DefaultParagraphFont"/>
    <w:link w:val="Title"/>
    <w:uiPriority w:val="10"/>
    <w:rsid w:val="00552061"/>
    <w:rPr>
      <w:rFonts w:asciiTheme="majorHAnsi" w:eastAsiaTheme="majorEastAsia" w:hAnsiTheme="majorHAnsi" w:cstheme="majorBidi"/>
      <w:b/>
      <w:spacing w:val="-10"/>
      <w:kern w:val="28"/>
      <w:sz w:val="56"/>
      <w:szCs w:val="56"/>
    </w:rPr>
  </w:style>
  <w:style w:type="paragraph" w:styleId="Title">
    <w:name w:val="Title"/>
    <w:basedOn w:val="Normal"/>
    <w:next w:val="Normal"/>
    <w:link w:val="TitleChar"/>
    <w:uiPriority w:val="10"/>
    <w:qFormat/>
    <w:rsid w:val="00552061"/>
    <w:pPr>
      <w:spacing w:before="0" w:after="0" w:line="240" w:lineRule="auto"/>
      <w:contextualSpacing/>
    </w:pPr>
    <w:rPr>
      <w:rFonts w:asciiTheme="majorHAnsi" w:eastAsiaTheme="majorEastAsia" w:hAnsiTheme="majorHAnsi" w:cstheme="majorBidi"/>
      <w:b/>
      <w:spacing w:val="-10"/>
      <w:kern w:val="28"/>
      <w:sz w:val="56"/>
      <w:szCs w:val="56"/>
      <w:lang w:eastAsia="en-US"/>
    </w:rPr>
  </w:style>
  <w:style w:type="character" w:customStyle="1" w:styleId="TitleChar1">
    <w:name w:val="Title Char1"/>
    <w:basedOn w:val="DefaultParagraphFont"/>
    <w:uiPriority w:val="10"/>
    <w:rsid w:val="00552061"/>
    <w:rPr>
      <w:rFonts w:asciiTheme="majorHAnsi" w:eastAsiaTheme="majorEastAsia" w:hAnsiTheme="majorHAnsi" w:cstheme="majorBidi"/>
      <w:spacing w:val="-10"/>
      <w:kern w:val="28"/>
      <w:sz w:val="56"/>
      <w:szCs w:val="56"/>
      <w:lang w:eastAsia="en-GB"/>
    </w:rPr>
  </w:style>
  <w:style w:type="character" w:customStyle="1" w:styleId="HeaderChar1">
    <w:name w:val="Header Char1"/>
    <w:basedOn w:val="DefaultParagraphFont"/>
    <w:uiPriority w:val="99"/>
    <w:semiHidden/>
    <w:rsid w:val="00552061"/>
    <w:rPr>
      <w:sz w:val="22"/>
      <w:szCs w:val="22"/>
    </w:rPr>
  </w:style>
  <w:style w:type="character" w:customStyle="1" w:styleId="FooterChar1">
    <w:name w:val="Footer Char1"/>
    <w:basedOn w:val="DefaultParagraphFont"/>
    <w:uiPriority w:val="99"/>
    <w:semiHidden/>
    <w:rsid w:val="00552061"/>
    <w:rPr>
      <w:sz w:val="22"/>
      <w:szCs w:val="22"/>
    </w:rPr>
  </w:style>
  <w:style w:type="character" w:styleId="PageNumber">
    <w:name w:val="page number"/>
    <w:basedOn w:val="DefaultParagraphFont"/>
    <w:uiPriority w:val="99"/>
    <w:semiHidden/>
    <w:unhideWhenUsed/>
    <w:rsid w:val="000122F2"/>
  </w:style>
  <w:style w:type="paragraph" w:customStyle="1" w:styleId="Dotpointslevel1">
    <w:name w:val="Dot points level 1"/>
    <w:basedOn w:val="ListParagraph"/>
    <w:qFormat/>
    <w:rsid w:val="003D7D58"/>
    <w:pPr>
      <w:numPr>
        <w:numId w:val="56"/>
      </w:numPr>
    </w:pPr>
    <w:rPr>
      <w:rFonts w:cstheme="minorHAnsi"/>
    </w:rPr>
  </w:style>
  <w:style w:type="paragraph" w:customStyle="1" w:styleId="Appendixdotinsetlevel2">
    <w:name w:val="Appendix dot inset level 2"/>
    <w:basedOn w:val="ListParagraph"/>
    <w:qFormat/>
    <w:rsid w:val="00173EDE"/>
    <w:pPr>
      <w:numPr>
        <w:ilvl w:val="1"/>
        <w:numId w:val="13"/>
      </w:numPr>
      <w:ind w:left="1418" w:hanging="338"/>
    </w:pPr>
    <w:rPr>
      <w:lang w:eastAsia="en-AU"/>
    </w:rPr>
  </w:style>
  <w:style w:type="paragraph" w:customStyle="1" w:styleId="Appendixdotlevel1">
    <w:name w:val="Appendix dot level 1"/>
    <w:basedOn w:val="ListParagraph"/>
    <w:qFormat/>
    <w:rsid w:val="00173EDE"/>
    <w:pPr>
      <w:numPr>
        <w:numId w:val="55"/>
      </w:numPr>
    </w:pPr>
    <w:rPr>
      <w:lang w:eastAsia="en-AU"/>
    </w:rPr>
  </w:style>
  <w:style w:type="table" w:customStyle="1" w:styleId="GridTable1Light-Accent11">
    <w:name w:val="Grid Table 1 Light - Accent 11"/>
    <w:basedOn w:val="TableNormal"/>
    <w:uiPriority w:val="46"/>
    <w:rsid w:val="00A74860"/>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7435">
      <w:bodyDiv w:val="1"/>
      <w:marLeft w:val="0"/>
      <w:marRight w:val="0"/>
      <w:marTop w:val="0"/>
      <w:marBottom w:val="0"/>
      <w:divBdr>
        <w:top w:val="none" w:sz="0" w:space="0" w:color="auto"/>
        <w:left w:val="none" w:sz="0" w:space="0" w:color="auto"/>
        <w:bottom w:val="none" w:sz="0" w:space="0" w:color="auto"/>
        <w:right w:val="none" w:sz="0" w:space="0" w:color="auto"/>
      </w:divBdr>
    </w:div>
    <w:div w:id="51320329">
      <w:bodyDiv w:val="1"/>
      <w:marLeft w:val="0"/>
      <w:marRight w:val="0"/>
      <w:marTop w:val="0"/>
      <w:marBottom w:val="0"/>
      <w:divBdr>
        <w:top w:val="none" w:sz="0" w:space="0" w:color="auto"/>
        <w:left w:val="none" w:sz="0" w:space="0" w:color="auto"/>
        <w:bottom w:val="none" w:sz="0" w:space="0" w:color="auto"/>
        <w:right w:val="none" w:sz="0" w:space="0" w:color="auto"/>
      </w:divBdr>
    </w:div>
    <w:div w:id="284779493">
      <w:bodyDiv w:val="1"/>
      <w:marLeft w:val="0"/>
      <w:marRight w:val="0"/>
      <w:marTop w:val="0"/>
      <w:marBottom w:val="0"/>
      <w:divBdr>
        <w:top w:val="none" w:sz="0" w:space="0" w:color="auto"/>
        <w:left w:val="none" w:sz="0" w:space="0" w:color="auto"/>
        <w:bottom w:val="none" w:sz="0" w:space="0" w:color="auto"/>
        <w:right w:val="none" w:sz="0" w:space="0" w:color="auto"/>
      </w:divBdr>
    </w:div>
    <w:div w:id="310444997">
      <w:bodyDiv w:val="1"/>
      <w:marLeft w:val="0"/>
      <w:marRight w:val="0"/>
      <w:marTop w:val="0"/>
      <w:marBottom w:val="0"/>
      <w:divBdr>
        <w:top w:val="none" w:sz="0" w:space="0" w:color="auto"/>
        <w:left w:val="none" w:sz="0" w:space="0" w:color="auto"/>
        <w:bottom w:val="none" w:sz="0" w:space="0" w:color="auto"/>
        <w:right w:val="none" w:sz="0" w:space="0" w:color="auto"/>
      </w:divBdr>
    </w:div>
    <w:div w:id="408162098">
      <w:bodyDiv w:val="1"/>
      <w:marLeft w:val="0"/>
      <w:marRight w:val="0"/>
      <w:marTop w:val="0"/>
      <w:marBottom w:val="0"/>
      <w:divBdr>
        <w:top w:val="none" w:sz="0" w:space="0" w:color="auto"/>
        <w:left w:val="none" w:sz="0" w:space="0" w:color="auto"/>
        <w:bottom w:val="none" w:sz="0" w:space="0" w:color="auto"/>
        <w:right w:val="none" w:sz="0" w:space="0" w:color="auto"/>
      </w:divBdr>
    </w:div>
    <w:div w:id="425274459">
      <w:bodyDiv w:val="1"/>
      <w:marLeft w:val="0"/>
      <w:marRight w:val="0"/>
      <w:marTop w:val="0"/>
      <w:marBottom w:val="0"/>
      <w:divBdr>
        <w:top w:val="none" w:sz="0" w:space="0" w:color="auto"/>
        <w:left w:val="none" w:sz="0" w:space="0" w:color="auto"/>
        <w:bottom w:val="none" w:sz="0" w:space="0" w:color="auto"/>
        <w:right w:val="none" w:sz="0" w:space="0" w:color="auto"/>
      </w:divBdr>
    </w:div>
    <w:div w:id="493840751">
      <w:bodyDiv w:val="1"/>
      <w:marLeft w:val="0"/>
      <w:marRight w:val="0"/>
      <w:marTop w:val="0"/>
      <w:marBottom w:val="0"/>
      <w:divBdr>
        <w:top w:val="none" w:sz="0" w:space="0" w:color="auto"/>
        <w:left w:val="none" w:sz="0" w:space="0" w:color="auto"/>
        <w:bottom w:val="none" w:sz="0" w:space="0" w:color="auto"/>
        <w:right w:val="none" w:sz="0" w:space="0" w:color="auto"/>
      </w:divBdr>
    </w:div>
    <w:div w:id="541675747">
      <w:bodyDiv w:val="1"/>
      <w:marLeft w:val="0"/>
      <w:marRight w:val="0"/>
      <w:marTop w:val="0"/>
      <w:marBottom w:val="0"/>
      <w:divBdr>
        <w:top w:val="none" w:sz="0" w:space="0" w:color="auto"/>
        <w:left w:val="none" w:sz="0" w:space="0" w:color="auto"/>
        <w:bottom w:val="none" w:sz="0" w:space="0" w:color="auto"/>
        <w:right w:val="none" w:sz="0" w:space="0" w:color="auto"/>
      </w:divBdr>
    </w:div>
    <w:div w:id="690960410">
      <w:bodyDiv w:val="1"/>
      <w:marLeft w:val="0"/>
      <w:marRight w:val="0"/>
      <w:marTop w:val="0"/>
      <w:marBottom w:val="0"/>
      <w:divBdr>
        <w:top w:val="none" w:sz="0" w:space="0" w:color="auto"/>
        <w:left w:val="none" w:sz="0" w:space="0" w:color="auto"/>
        <w:bottom w:val="none" w:sz="0" w:space="0" w:color="auto"/>
        <w:right w:val="none" w:sz="0" w:space="0" w:color="auto"/>
      </w:divBdr>
    </w:div>
    <w:div w:id="785542192">
      <w:bodyDiv w:val="1"/>
      <w:marLeft w:val="0"/>
      <w:marRight w:val="0"/>
      <w:marTop w:val="0"/>
      <w:marBottom w:val="0"/>
      <w:divBdr>
        <w:top w:val="none" w:sz="0" w:space="0" w:color="auto"/>
        <w:left w:val="none" w:sz="0" w:space="0" w:color="auto"/>
        <w:bottom w:val="none" w:sz="0" w:space="0" w:color="auto"/>
        <w:right w:val="none" w:sz="0" w:space="0" w:color="auto"/>
      </w:divBdr>
      <w:divsChild>
        <w:div w:id="29915367">
          <w:marLeft w:val="0"/>
          <w:marRight w:val="0"/>
          <w:marTop w:val="0"/>
          <w:marBottom w:val="0"/>
          <w:divBdr>
            <w:top w:val="none" w:sz="0" w:space="0" w:color="auto"/>
            <w:left w:val="none" w:sz="0" w:space="0" w:color="auto"/>
            <w:bottom w:val="none" w:sz="0" w:space="0" w:color="auto"/>
            <w:right w:val="none" w:sz="0" w:space="0" w:color="auto"/>
          </w:divBdr>
        </w:div>
        <w:div w:id="1336952628">
          <w:marLeft w:val="0"/>
          <w:marRight w:val="0"/>
          <w:marTop w:val="0"/>
          <w:marBottom w:val="0"/>
          <w:divBdr>
            <w:top w:val="none" w:sz="0" w:space="0" w:color="auto"/>
            <w:left w:val="none" w:sz="0" w:space="0" w:color="auto"/>
            <w:bottom w:val="none" w:sz="0" w:space="0" w:color="auto"/>
            <w:right w:val="none" w:sz="0" w:space="0" w:color="auto"/>
          </w:divBdr>
        </w:div>
      </w:divsChild>
    </w:div>
    <w:div w:id="1185899615">
      <w:bodyDiv w:val="1"/>
      <w:marLeft w:val="0"/>
      <w:marRight w:val="0"/>
      <w:marTop w:val="0"/>
      <w:marBottom w:val="0"/>
      <w:divBdr>
        <w:top w:val="none" w:sz="0" w:space="0" w:color="auto"/>
        <w:left w:val="none" w:sz="0" w:space="0" w:color="auto"/>
        <w:bottom w:val="none" w:sz="0" w:space="0" w:color="auto"/>
        <w:right w:val="none" w:sz="0" w:space="0" w:color="auto"/>
      </w:divBdr>
      <w:divsChild>
        <w:div w:id="162861062">
          <w:marLeft w:val="0"/>
          <w:marRight w:val="0"/>
          <w:marTop w:val="0"/>
          <w:marBottom w:val="0"/>
          <w:divBdr>
            <w:top w:val="none" w:sz="0" w:space="0" w:color="auto"/>
            <w:left w:val="none" w:sz="0" w:space="0" w:color="auto"/>
            <w:bottom w:val="none" w:sz="0" w:space="0" w:color="auto"/>
            <w:right w:val="none" w:sz="0" w:space="0" w:color="auto"/>
          </w:divBdr>
        </w:div>
      </w:divsChild>
    </w:div>
    <w:div w:id="1355032425">
      <w:bodyDiv w:val="1"/>
      <w:marLeft w:val="0"/>
      <w:marRight w:val="0"/>
      <w:marTop w:val="0"/>
      <w:marBottom w:val="0"/>
      <w:divBdr>
        <w:top w:val="none" w:sz="0" w:space="0" w:color="auto"/>
        <w:left w:val="none" w:sz="0" w:space="0" w:color="auto"/>
        <w:bottom w:val="none" w:sz="0" w:space="0" w:color="auto"/>
        <w:right w:val="none" w:sz="0" w:space="0" w:color="auto"/>
      </w:divBdr>
    </w:div>
    <w:div w:id="1400789940">
      <w:bodyDiv w:val="1"/>
      <w:marLeft w:val="0"/>
      <w:marRight w:val="0"/>
      <w:marTop w:val="0"/>
      <w:marBottom w:val="0"/>
      <w:divBdr>
        <w:top w:val="none" w:sz="0" w:space="0" w:color="auto"/>
        <w:left w:val="none" w:sz="0" w:space="0" w:color="auto"/>
        <w:bottom w:val="none" w:sz="0" w:space="0" w:color="auto"/>
        <w:right w:val="none" w:sz="0" w:space="0" w:color="auto"/>
      </w:divBdr>
    </w:div>
    <w:div w:id="1619097693">
      <w:bodyDiv w:val="1"/>
      <w:marLeft w:val="0"/>
      <w:marRight w:val="0"/>
      <w:marTop w:val="0"/>
      <w:marBottom w:val="0"/>
      <w:divBdr>
        <w:top w:val="none" w:sz="0" w:space="0" w:color="auto"/>
        <w:left w:val="none" w:sz="0" w:space="0" w:color="auto"/>
        <w:bottom w:val="none" w:sz="0" w:space="0" w:color="auto"/>
        <w:right w:val="none" w:sz="0" w:space="0" w:color="auto"/>
      </w:divBdr>
    </w:div>
    <w:div w:id="1791893214">
      <w:bodyDiv w:val="1"/>
      <w:marLeft w:val="0"/>
      <w:marRight w:val="0"/>
      <w:marTop w:val="0"/>
      <w:marBottom w:val="0"/>
      <w:divBdr>
        <w:top w:val="none" w:sz="0" w:space="0" w:color="auto"/>
        <w:left w:val="none" w:sz="0" w:space="0" w:color="auto"/>
        <w:bottom w:val="none" w:sz="0" w:space="0" w:color="auto"/>
        <w:right w:val="none" w:sz="0" w:space="0" w:color="auto"/>
      </w:divBdr>
      <w:divsChild>
        <w:div w:id="845443579">
          <w:marLeft w:val="0"/>
          <w:marRight w:val="0"/>
          <w:marTop w:val="0"/>
          <w:marBottom w:val="0"/>
          <w:divBdr>
            <w:top w:val="none" w:sz="0" w:space="0" w:color="auto"/>
            <w:left w:val="none" w:sz="0" w:space="0" w:color="auto"/>
            <w:bottom w:val="none" w:sz="0" w:space="0" w:color="auto"/>
            <w:right w:val="none" w:sz="0" w:space="0" w:color="auto"/>
          </w:divBdr>
        </w:div>
        <w:div w:id="1164006125">
          <w:marLeft w:val="0"/>
          <w:marRight w:val="0"/>
          <w:marTop w:val="0"/>
          <w:marBottom w:val="0"/>
          <w:divBdr>
            <w:top w:val="none" w:sz="0" w:space="0" w:color="auto"/>
            <w:left w:val="none" w:sz="0" w:space="0" w:color="auto"/>
            <w:bottom w:val="none" w:sz="0" w:space="0" w:color="auto"/>
            <w:right w:val="none" w:sz="0" w:space="0" w:color="auto"/>
          </w:divBdr>
        </w:div>
      </w:divsChild>
    </w:div>
    <w:div w:id="1979989453">
      <w:bodyDiv w:val="1"/>
      <w:marLeft w:val="0"/>
      <w:marRight w:val="0"/>
      <w:marTop w:val="0"/>
      <w:marBottom w:val="0"/>
      <w:divBdr>
        <w:top w:val="none" w:sz="0" w:space="0" w:color="auto"/>
        <w:left w:val="none" w:sz="0" w:space="0" w:color="auto"/>
        <w:bottom w:val="none" w:sz="0" w:space="0" w:color="auto"/>
        <w:right w:val="none" w:sz="0" w:space="0" w:color="auto"/>
      </w:divBdr>
      <w:divsChild>
        <w:div w:id="1073577338">
          <w:marLeft w:val="0"/>
          <w:marRight w:val="0"/>
          <w:marTop w:val="0"/>
          <w:marBottom w:val="0"/>
          <w:divBdr>
            <w:top w:val="none" w:sz="0" w:space="0" w:color="auto"/>
            <w:left w:val="none" w:sz="0" w:space="0" w:color="auto"/>
            <w:bottom w:val="none" w:sz="0" w:space="0" w:color="auto"/>
            <w:right w:val="none" w:sz="0" w:space="0" w:color="auto"/>
          </w:divBdr>
        </w:div>
        <w:div w:id="1751072525">
          <w:marLeft w:val="0"/>
          <w:marRight w:val="0"/>
          <w:marTop w:val="0"/>
          <w:marBottom w:val="0"/>
          <w:divBdr>
            <w:top w:val="none" w:sz="0" w:space="0" w:color="auto"/>
            <w:left w:val="none" w:sz="0" w:space="0" w:color="auto"/>
            <w:bottom w:val="none" w:sz="0" w:space="0" w:color="auto"/>
            <w:right w:val="none" w:sz="0" w:space="0" w:color="auto"/>
          </w:divBdr>
        </w:div>
      </w:divsChild>
    </w:div>
    <w:div w:id="213490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hyperlink" Target="http://www.Indigenousbowelscreen.org.au" TargetMode="External"/><Relationship Id="rId3" Type="http://schemas.openxmlformats.org/officeDocument/2006/relationships/customXml" Target="../customXml/item3.xml"/><Relationship Id="rId21" Type="http://schemas.openxmlformats.org/officeDocument/2006/relationships/hyperlink" Target="http://www.indigenousbowelscreen.com.au" TargetMode="External"/><Relationship Id="rId34" Type="http://schemas.openxmlformats.org/officeDocument/2006/relationships/image" Target="media/image11.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3.xml"/><Relationship Id="rId33" Type="http://schemas.microsoft.com/office/2007/relationships/diagramDrawing" Target="diagrams/drawing1.xml"/><Relationship Id="rId38" Type="http://schemas.openxmlformats.org/officeDocument/2006/relationships/chart" Target="charts/chart7.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indigenousbowelscreen.com.au" TargetMode="External"/><Relationship Id="rId29" Type="http://schemas.openxmlformats.org/officeDocument/2006/relationships/diagramData" Target="diagrams/data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diagramColors" Target="diagrams/colors1.xml"/><Relationship Id="rId37" Type="http://schemas.openxmlformats.org/officeDocument/2006/relationships/chart" Target="charts/chart6.xml"/><Relationship Id="rId40" Type="http://schemas.openxmlformats.org/officeDocument/2006/relationships/hyperlink" Target="http://www.cancerscreening.gov.au"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image" Target="media/image13.tif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QuickStyle" Target="diagrams/quickStyle1.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www.indigenousbowelscreen.com.au" TargetMode="External"/><Relationship Id="rId27" Type="http://schemas.openxmlformats.org/officeDocument/2006/relationships/image" Target="media/image10.emf"/><Relationship Id="rId30" Type="http://schemas.openxmlformats.org/officeDocument/2006/relationships/diagramLayout" Target="diagrams/layout1.xml"/><Relationship Id="rId35" Type="http://schemas.openxmlformats.org/officeDocument/2006/relationships/image" Target="media/image12.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enny\Documents\BS%20Phase%203\Department%20of%20Health\Reports%20submitted\Final%20report\Content%20from%20staff\Boden\Online%20verse%20F2F%20Training%20Table%20&amp;%20Gra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harlesdarwinuni-my.sharepoint.com/personal/jenny_brands_menzies_edu_au/Documents/comparison%20fab%20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harlesdarwinuni-my.sharepoint.com/personal/jenny_brands_menzies_edu_au/Documents/comparison%20fab%2015.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Pilot (n=47)</c:v>
                </c:pt>
              </c:strCache>
            </c:strRef>
          </c:tx>
          <c:spPr>
            <a:solidFill>
              <a:schemeClr val="accent2"/>
            </a:solidFill>
            <a:ln>
              <a:noFill/>
            </a:ln>
            <a:effectLst/>
          </c:spPr>
          <c:invertIfNegative val="0"/>
          <c:cat>
            <c:strRef>
              <c:f>Sheet1!$A$2:$A$8</c:f>
              <c:strCache>
                <c:ptCount val="7"/>
                <c:pt idx="0">
                  <c:v>NSW/ACT</c:v>
                </c:pt>
                <c:pt idx="1">
                  <c:v>Vic</c:v>
                </c:pt>
                <c:pt idx="2">
                  <c:v>Qld</c:v>
                </c:pt>
                <c:pt idx="3">
                  <c:v>WA</c:v>
                </c:pt>
                <c:pt idx="4">
                  <c:v>SA</c:v>
                </c:pt>
                <c:pt idx="5">
                  <c:v>Tas</c:v>
                </c:pt>
                <c:pt idx="6">
                  <c:v>NT</c:v>
                </c:pt>
              </c:strCache>
            </c:strRef>
          </c:cat>
          <c:val>
            <c:numRef>
              <c:f>Sheet1!$B$2:$B$8</c:f>
              <c:numCache>
                <c:formatCode>0%</c:formatCode>
                <c:ptCount val="7"/>
                <c:pt idx="0">
                  <c:v>0.23</c:v>
                </c:pt>
                <c:pt idx="1">
                  <c:v>0.11</c:v>
                </c:pt>
                <c:pt idx="2">
                  <c:v>0.3</c:v>
                </c:pt>
                <c:pt idx="3">
                  <c:v>0.15</c:v>
                </c:pt>
                <c:pt idx="4">
                  <c:v>0.06</c:v>
                </c:pt>
                <c:pt idx="5">
                  <c:v>0.09</c:v>
                </c:pt>
                <c:pt idx="6">
                  <c:v>0.06</c:v>
                </c:pt>
              </c:numCache>
            </c:numRef>
          </c:val>
          <c:extLst>
            <c:ext xmlns:c16="http://schemas.microsoft.com/office/drawing/2014/chart" uri="{C3380CC4-5D6E-409C-BE32-E72D297353CC}">
              <c16:uniqueId val="{00000000-1216-3B4D-8BD0-374A4A805903}"/>
            </c:ext>
          </c:extLst>
        </c:ser>
        <c:ser>
          <c:idx val="1"/>
          <c:order val="1"/>
          <c:tx>
            <c:strRef>
              <c:f>Sheet1!$C$1</c:f>
              <c:strCache>
                <c:ptCount val="1"/>
                <c:pt idx="0">
                  <c:v>OSR (n=198)</c:v>
                </c:pt>
              </c:strCache>
            </c:strRef>
          </c:tx>
          <c:spPr>
            <a:solidFill>
              <a:schemeClr val="accent4"/>
            </a:solidFill>
            <a:ln>
              <a:noFill/>
            </a:ln>
            <a:effectLst/>
          </c:spPr>
          <c:invertIfNegative val="0"/>
          <c:cat>
            <c:strRef>
              <c:f>Sheet1!$A$2:$A$8</c:f>
              <c:strCache>
                <c:ptCount val="7"/>
                <c:pt idx="0">
                  <c:v>NSW/ACT</c:v>
                </c:pt>
                <c:pt idx="1">
                  <c:v>Vic</c:v>
                </c:pt>
                <c:pt idx="2">
                  <c:v>Qld</c:v>
                </c:pt>
                <c:pt idx="3">
                  <c:v>WA</c:v>
                </c:pt>
                <c:pt idx="4">
                  <c:v>SA</c:v>
                </c:pt>
                <c:pt idx="5">
                  <c:v>Tas</c:v>
                </c:pt>
                <c:pt idx="6">
                  <c:v>NT</c:v>
                </c:pt>
              </c:strCache>
            </c:strRef>
          </c:cat>
          <c:val>
            <c:numRef>
              <c:f>Sheet1!$C$2:$C$8</c:f>
              <c:numCache>
                <c:formatCode>0%</c:formatCode>
                <c:ptCount val="7"/>
                <c:pt idx="0">
                  <c:v>0.21212121212121213</c:v>
                </c:pt>
                <c:pt idx="1">
                  <c:v>0.12121212121212122</c:v>
                </c:pt>
                <c:pt idx="2">
                  <c:v>0.14646464646464646</c:v>
                </c:pt>
                <c:pt idx="3">
                  <c:v>0.13131313131313133</c:v>
                </c:pt>
                <c:pt idx="4">
                  <c:v>7.0707070707070704E-2</c:v>
                </c:pt>
                <c:pt idx="5">
                  <c:v>3.5353535353535352E-2</c:v>
                </c:pt>
                <c:pt idx="6">
                  <c:v>0.28282828282828282</c:v>
                </c:pt>
              </c:numCache>
            </c:numRef>
          </c:val>
          <c:extLst>
            <c:ext xmlns:c16="http://schemas.microsoft.com/office/drawing/2014/chart" uri="{C3380CC4-5D6E-409C-BE32-E72D297353CC}">
              <c16:uniqueId val="{00000001-1216-3B4D-8BD0-374A4A805903}"/>
            </c:ext>
          </c:extLst>
        </c:ser>
        <c:dLbls>
          <c:showLegendKey val="0"/>
          <c:showVal val="0"/>
          <c:showCatName val="0"/>
          <c:showSerName val="0"/>
          <c:showPercent val="0"/>
          <c:showBubbleSize val="0"/>
        </c:dLbls>
        <c:gapWidth val="50"/>
        <c:axId val="161359552"/>
        <c:axId val="161080752"/>
      </c:barChart>
      <c:catAx>
        <c:axId val="1613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080752"/>
        <c:crosses val="autoZero"/>
        <c:auto val="1"/>
        <c:lblAlgn val="ctr"/>
        <c:lblOffset val="100"/>
        <c:noMultiLvlLbl val="0"/>
      </c:catAx>
      <c:valAx>
        <c:axId val="16108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 of health centres by jurisdiction within</a:t>
                </a:r>
                <a:r>
                  <a:rPr lang="en-GB" b="1" baseline="0"/>
                  <a:t> Pilot and OSR</a:t>
                </a:r>
                <a:endParaRPr lang="en-GB" b="1"/>
              </a:p>
            </c:rich>
          </c:tx>
          <c:layout>
            <c:manualLayout>
              <c:xMode val="edge"/>
              <c:yMode val="edge"/>
              <c:x val="2.5462962962962962E-2"/>
              <c:y val="4.365079365079364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3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Pilot (n=47)</c:v>
                </c:pt>
              </c:strCache>
            </c:strRef>
          </c:tx>
          <c:spPr>
            <a:solidFill>
              <a:schemeClr val="accent2"/>
            </a:solidFill>
            <a:ln>
              <a:noFill/>
            </a:ln>
            <a:effectLst/>
          </c:spPr>
          <c:invertIfNegative val="0"/>
          <c:cat>
            <c:strRef>
              <c:f>Sheet1!$A$2:$A$6</c:f>
              <c:strCache>
                <c:ptCount val="5"/>
                <c:pt idx="0">
                  <c:v>Urban</c:v>
                </c:pt>
                <c:pt idx="1">
                  <c:v>Inner Regional</c:v>
                </c:pt>
                <c:pt idx="2">
                  <c:v>Outer Regional</c:v>
                </c:pt>
                <c:pt idx="3">
                  <c:v>Remote</c:v>
                </c:pt>
                <c:pt idx="4">
                  <c:v>Very Remote</c:v>
                </c:pt>
              </c:strCache>
            </c:strRef>
          </c:cat>
          <c:val>
            <c:numRef>
              <c:f>Sheet1!$B$2:$B$6</c:f>
              <c:numCache>
                <c:formatCode>General</c:formatCode>
                <c:ptCount val="5"/>
                <c:pt idx="0">
                  <c:v>26</c:v>
                </c:pt>
                <c:pt idx="1">
                  <c:v>30</c:v>
                </c:pt>
                <c:pt idx="2">
                  <c:v>28</c:v>
                </c:pt>
                <c:pt idx="3">
                  <c:v>4</c:v>
                </c:pt>
                <c:pt idx="4">
                  <c:v>13</c:v>
                </c:pt>
              </c:numCache>
            </c:numRef>
          </c:val>
          <c:extLst>
            <c:ext xmlns:c16="http://schemas.microsoft.com/office/drawing/2014/chart" uri="{C3380CC4-5D6E-409C-BE32-E72D297353CC}">
              <c16:uniqueId val="{00000000-E8A8-3746-BBD9-13C581E242FA}"/>
            </c:ext>
          </c:extLst>
        </c:ser>
        <c:ser>
          <c:idx val="1"/>
          <c:order val="1"/>
          <c:tx>
            <c:strRef>
              <c:f>Sheet1!$C$1</c:f>
              <c:strCache>
                <c:ptCount val="1"/>
                <c:pt idx="0">
                  <c:v>OSR (n=198)</c:v>
                </c:pt>
              </c:strCache>
            </c:strRef>
          </c:tx>
          <c:spPr>
            <a:solidFill>
              <a:schemeClr val="accent4"/>
            </a:solidFill>
            <a:ln>
              <a:noFill/>
            </a:ln>
            <a:effectLst/>
          </c:spPr>
          <c:invertIfNegative val="0"/>
          <c:cat>
            <c:strRef>
              <c:f>Sheet1!$A$2:$A$6</c:f>
              <c:strCache>
                <c:ptCount val="5"/>
                <c:pt idx="0">
                  <c:v>Urban</c:v>
                </c:pt>
                <c:pt idx="1">
                  <c:v>Inner Regional</c:v>
                </c:pt>
                <c:pt idx="2">
                  <c:v>Outer Regional</c:v>
                </c:pt>
                <c:pt idx="3">
                  <c:v>Remote</c:v>
                </c:pt>
                <c:pt idx="4">
                  <c:v>Very Remote</c:v>
                </c:pt>
              </c:strCache>
            </c:strRef>
          </c:cat>
          <c:val>
            <c:numRef>
              <c:f>Sheet1!$C$2:$C$6</c:f>
              <c:numCache>
                <c:formatCode>General</c:formatCode>
                <c:ptCount val="5"/>
                <c:pt idx="0">
                  <c:v>12</c:v>
                </c:pt>
                <c:pt idx="1">
                  <c:v>20</c:v>
                </c:pt>
                <c:pt idx="2">
                  <c:v>23</c:v>
                </c:pt>
                <c:pt idx="3">
                  <c:v>13</c:v>
                </c:pt>
                <c:pt idx="4">
                  <c:v>32</c:v>
                </c:pt>
              </c:numCache>
            </c:numRef>
          </c:val>
          <c:extLst>
            <c:ext xmlns:c16="http://schemas.microsoft.com/office/drawing/2014/chart" uri="{C3380CC4-5D6E-409C-BE32-E72D297353CC}">
              <c16:uniqueId val="{00000001-E8A8-3746-BBD9-13C581E242FA}"/>
            </c:ext>
          </c:extLst>
        </c:ser>
        <c:dLbls>
          <c:showLegendKey val="0"/>
          <c:showVal val="0"/>
          <c:showCatName val="0"/>
          <c:showSerName val="0"/>
          <c:showPercent val="0"/>
          <c:showBubbleSize val="0"/>
        </c:dLbls>
        <c:gapWidth val="50"/>
        <c:axId val="130745264"/>
        <c:axId val="130664528"/>
      </c:barChart>
      <c:catAx>
        <c:axId val="13074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0664528"/>
        <c:crosses val="autoZero"/>
        <c:auto val="0"/>
        <c:lblAlgn val="ctr"/>
        <c:lblOffset val="100"/>
        <c:noMultiLvlLbl val="0"/>
      </c:catAx>
      <c:valAx>
        <c:axId val="130664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a:t>%</a:t>
                </a:r>
                <a:r>
                  <a:rPr lang="en-GB" sz="1000" b="1" baseline="0"/>
                  <a:t> of health centres</a:t>
                </a:r>
                <a:endParaRPr lang="en-GB"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0745264"/>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Pilot (n=47)</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C864-784F-9183-062F44F649E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864-784F-9183-062F44F649E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C864-784F-9183-062F44F649ED}"/>
              </c:ext>
            </c:extLst>
          </c:dPt>
          <c:cat>
            <c:strRef>
              <c:f>Sheet1!$A$2:$A$5</c:f>
              <c:strCache>
                <c:ptCount val="4"/>
                <c:pt idx="0">
                  <c:v>ACCHO</c:v>
                </c:pt>
                <c:pt idx="1">
                  <c:v>State/Territory</c:v>
                </c:pt>
                <c:pt idx="2">
                  <c:v>Private practice</c:v>
                </c:pt>
                <c:pt idx="3">
                  <c:v>Other non-govt</c:v>
                </c:pt>
              </c:strCache>
            </c:strRef>
          </c:cat>
          <c:val>
            <c:numRef>
              <c:f>Sheet1!$B$2:$B$5</c:f>
              <c:numCache>
                <c:formatCode>0</c:formatCode>
                <c:ptCount val="4"/>
                <c:pt idx="0">
                  <c:v>76.59574468085107</c:v>
                </c:pt>
                <c:pt idx="1">
                  <c:v>12.76595744680851</c:v>
                </c:pt>
                <c:pt idx="2">
                  <c:v>8.5106382978723403</c:v>
                </c:pt>
                <c:pt idx="3">
                  <c:v>2.1276595744680851</c:v>
                </c:pt>
              </c:numCache>
            </c:numRef>
          </c:val>
          <c:extLst>
            <c:ext xmlns:c16="http://schemas.microsoft.com/office/drawing/2014/chart" uri="{C3380CC4-5D6E-409C-BE32-E72D297353CC}">
              <c16:uniqueId val="{00000006-C864-784F-9183-062F44F649ED}"/>
            </c:ext>
          </c:extLst>
        </c:ser>
        <c:ser>
          <c:idx val="1"/>
          <c:order val="1"/>
          <c:tx>
            <c:strRef>
              <c:f>Sheet1!$C$1</c:f>
              <c:strCache>
                <c:ptCount val="1"/>
                <c:pt idx="0">
                  <c:v>OSR (n=198)</c:v>
                </c:pt>
              </c:strCache>
            </c:strRef>
          </c:tx>
          <c:spPr>
            <a:solidFill>
              <a:schemeClr val="accent4"/>
            </a:solidFill>
            <a:ln>
              <a:noFill/>
            </a:ln>
            <a:effectLst/>
          </c:spPr>
          <c:invertIfNegative val="0"/>
          <c:cat>
            <c:strRef>
              <c:f>Sheet1!$A$2:$A$5</c:f>
              <c:strCache>
                <c:ptCount val="4"/>
                <c:pt idx="0">
                  <c:v>ACCHO</c:v>
                </c:pt>
                <c:pt idx="1">
                  <c:v>State/Territory</c:v>
                </c:pt>
                <c:pt idx="2">
                  <c:v>Private practice</c:v>
                </c:pt>
                <c:pt idx="3">
                  <c:v>Other non-govt</c:v>
                </c:pt>
              </c:strCache>
            </c:strRef>
          </c:cat>
          <c:val>
            <c:numRef>
              <c:f>Sheet1!$C$2:$C$5</c:f>
              <c:numCache>
                <c:formatCode>0</c:formatCode>
                <c:ptCount val="4"/>
                <c:pt idx="0">
                  <c:v>70.707070707070713</c:v>
                </c:pt>
                <c:pt idx="1">
                  <c:v>24.242424242424242</c:v>
                </c:pt>
                <c:pt idx="2">
                  <c:v>0</c:v>
                </c:pt>
                <c:pt idx="3">
                  <c:v>5.0505050505050502</c:v>
                </c:pt>
              </c:numCache>
            </c:numRef>
          </c:val>
          <c:extLst>
            <c:ext xmlns:c16="http://schemas.microsoft.com/office/drawing/2014/chart" uri="{C3380CC4-5D6E-409C-BE32-E72D297353CC}">
              <c16:uniqueId val="{00000007-C864-784F-9183-062F44F649ED}"/>
            </c:ext>
          </c:extLst>
        </c:ser>
        <c:dLbls>
          <c:showLegendKey val="0"/>
          <c:showVal val="0"/>
          <c:showCatName val="0"/>
          <c:showSerName val="0"/>
          <c:showPercent val="0"/>
          <c:showBubbleSize val="0"/>
        </c:dLbls>
        <c:gapWidth val="50"/>
        <c:axId val="82377488"/>
        <c:axId val="117120288"/>
      </c:barChart>
      <c:catAx>
        <c:axId val="8237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7120288"/>
        <c:crosses val="autoZero"/>
        <c:auto val="1"/>
        <c:lblAlgn val="ctr"/>
        <c:lblOffset val="100"/>
        <c:noMultiLvlLbl val="0"/>
      </c:catAx>
      <c:valAx>
        <c:axId val="11712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a:t>
                </a:r>
                <a:r>
                  <a:rPr lang="en-GB" b="1" baseline="0"/>
                  <a:t> of health centres, by organisation type</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25400">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2377488"/>
        <c:crosses val="autoZero"/>
        <c:crossBetween val="between"/>
      </c:valAx>
      <c:spPr>
        <a:noFill/>
        <a:ln cmpd="sng">
          <a:noFill/>
          <a:prstDash val="solid"/>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Pilot (n=47)</c:v>
                </c:pt>
              </c:strCache>
            </c:strRef>
          </c:tx>
          <c:spPr>
            <a:solidFill>
              <a:schemeClr val="accent2"/>
            </a:solidFill>
            <a:ln>
              <a:noFill/>
            </a:ln>
            <a:effectLst/>
          </c:spPr>
          <c:invertIfNegative val="0"/>
          <c:cat>
            <c:strRef>
              <c:f>Sheet1!$A$2:$A$5</c:f>
              <c:strCache>
                <c:ptCount val="4"/>
                <c:pt idx="0">
                  <c:v>Small (&lt;501 clients)</c:v>
                </c:pt>
                <c:pt idx="1">
                  <c:v>Medium (501-1500)</c:v>
                </c:pt>
                <c:pt idx="2">
                  <c:v>Large (1501-3000)</c:v>
                </c:pt>
                <c:pt idx="3">
                  <c:v>Very large (&gt;3000)</c:v>
                </c:pt>
              </c:strCache>
            </c:strRef>
          </c:cat>
          <c:val>
            <c:numRef>
              <c:f>Sheet1!$B$2:$B$5</c:f>
              <c:numCache>
                <c:formatCode>General</c:formatCode>
                <c:ptCount val="4"/>
                <c:pt idx="0">
                  <c:v>8.6999999999999993</c:v>
                </c:pt>
                <c:pt idx="1">
                  <c:v>37</c:v>
                </c:pt>
                <c:pt idx="2">
                  <c:v>34.799999999999997</c:v>
                </c:pt>
                <c:pt idx="3">
                  <c:v>19.600000000000001</c:v>
                </c:pt>
              </c:numCache>
            </c:numRef>
          </c:val>
          <c:extLst>
            <c:ext xmlns:c16="http://schemas.microsoft.com/office/drawing/2014/chart" uri="{C3380CC4-5D6E-409C-BE32-E72D297353CC}">
              <c16:uniqueId val="{00000000-4C57-B649-BD80-5BE197EA6C23}"/>
            </c:ext>
          </c:extLst>
        </c:ser>
        <c:ser>
          <c:idx val="1"/>
          <c:order val="1"/>
          <c:tx>
            <c:strRef>
              <c:f>Sheet1!$C$1</c:f>
              <c:strCache>
                <c:ptCount val="1"/>
                <c:pt idx="0">
                  <c:v>OSR (n=198)</c:v>
                </c:pt>
              </c:strCache>
            </c:strRef>
          </c:tx>
          <c:spPr>
            <a:solidFill>
              <a:schemeClr val="accent4"/>
            </a:solidFill>
            <a:ln>
              <a:noFill/>
            </a:ln>
            <a:effectLst/>
          </c:spPr>
          <c:invertIfNegative val="0"/>
          <c:cat>
            <c:strRef>
              <c:f>Sheet1!$A$2:$A$5</c:f>
              <c:strCache>
                <c:ptCount val="4"/>
                <c:pt idx="0">
                  <c:v>Small (&lt;501 clients)</c:v>
                </c:pt>
                <c:pt idx="1">
                  <c:v>Medium (501-1500)</c:v>
                </c:pt>
                <c:pt idx="2">
                  <c:v>Large (1501-3000)</c:v>
                </c:pt>
                <c:pt idx="3">
                  <c:v>Very large (&gt;3000)</c:v>
                </c:pt>
              </c:strCache>
            </c:strRef>
          </c:cat>
          <c:val>
            <c:numRef>
              <c:f>Sheet1!$C$2:$C$5</c:f>
              <c:numCache>
                <c:formatCode>General</c:formatCode>
                <c:ptCount val="4"/>
                <c:pt idx="0">
                  <c:v>16.7</c:v>
                </c:pt>
                <c:pt idx="1">
                  <c:v>32.299999999999997</c:v>
                </c:pt>
                <c:pt idx="2">
                  <c:v>22.7</c:v>
                </c:pt>
                <c:pt idx="3">
                  <c:v>28.3</c:v>
                </c:pt>
              </c:numCache>
            </c:numRef>
          </c:val>
          <c:extLst>
            <c:ext xmlns:c16="http://schemas.microsoft.com/office/drawing/2014/chart" uri="{C3380CC4-5D6E-409C-BE32-E72D297353CC}">
              <c16:uniqueId val="{00000001-4C57-B649-BD80-5BE197EA6C23}"/>
            </c:ext>
          </c:extLst>
        </c:ser>
        <c:dLbls>
          <c:showLegendKey val="0"/>
          <c:showVal val="0"/>
          <c:showCatName val="0"/>
          <c:showSerName val="0"/>
          <c:showPercent val="0"/>
          <c:showBubbleSize val="0"/>
        </c:dLbls>
        <c:gapWidth val="50"/>
        <c:axId val="126108816"/>
        <c:axId val="98891888"/>
      </c:barChart>
      <c:catAx>
        <c:axId val="12610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8891888"/>
        <c:crosses val="autoZero"/>
        <c:auto val="1"/>
        <c:lblAlgn val="ctr"/>
        <c:lblOffset val="100"/>
        <c:noMultiLvlLbl val="0"/>
      </c:catAx>
      <c:valAx>
        <c:axId val="9889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a:t>
                </a:r>
                <a:r>
                  <a:rPr lang="en-GB" b="1" baseline="0"/>
                  <a:t> of health centres</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10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Training</a:t>
            </a:r>
            <a:r>
              <a:rPr lang="en-US" sz="1100" baseline="0"/>
              <a:t> attendees by professional role</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81858407079646"/>
          <c:y val="0.15472222222222223"/>
          <c:w val="0.8248451327433628"/>
          <c:h val="0.53386446485855932"/>
        </c:manualLayout>
      </c:layout>
      <c:barChart>
        <c:barDir val="col"/>
        <c:grouping val="clustered"/>
        <c:varyColors val="0"/>
        <c:ser>
          <c:idx val="0"/>
          <c:order val="0"/>
          <c:tx>
            <c:strRef>
              <c:f>Sheet1!$B$1</c:f>
              <c:strCache>
                <c:ptCount val="1"/>
                <c:pt idx="0">
                  <c:v>Online training </c:v>
                </c:pt>
              </c:strCache>
            </c:strRef>
          </c:tx>
          <c:spPr>
            <a:solidFill>
              <a:srgbClr val="EA7B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GPs</c:v>
                </c:pt>
                <c:pt idx="1">
                  <c:v>Nurses</c:v>
                </c:pt>
                <c:pt idx="2">
                  <c:v>IHWs</c:v>
                </c:pt>
                <c:pt idx="3">
                  <c:v>Other</c:v>
                </c:pt>
              </c:strCache>
            </c:strRef>
          </c:cat>
          <c:val>
            <c:numRef>
              <c:f>Sheet1!$B$2:$B$5</c:f>
              <c:numCache>
                <c:formatCode>0</c:formatCode>
                <c:ptCount val="4"/>
                <c:pt idx="0">
                  <c:v>19</c:v>
                </c:pt>
                <c:pt idx="1">
                  <c:v>54</c:v>
                </c:pt>
                <c:pt idx="2">
                  <c:v>25</c:v>
                </c:pt>
                <c:pt idx="3">
                  <c:v>14</c:v>
                </c:pt>
              </c:numCache>
            </c:numRef>
          </c:val>
          <c:extLst>
            <c:ext xmlns:c16="http://schemas.microsoft.com/office/drawing/2014/chart" uri="{C3380CC4-5D6E-409C-BE32-E72D297353CC}">
              <c16:uniqueId val="{00000000-C027-D04D-B794-F164D1552201}"/>
            </c:ext>
          </c:extLst>
        </c:ser>
        <c:ser>
          <c:idx val="1"/>
          <c:order val="1"/>
          <c:tx>
            <c:strRef>
              <c:f>Sheet1!$C$1</c:f>
              <c:strCache>
                <c:ptCount val="1"/>
                <c:pt idx="0">
                  <c:v>Face-to-face training </c:v>
                </c:pt>
              </c:strCache>
            </c:strRef>
          </c:tx>
          <c:spPr>
            <a:solidFill>
              <a:srgbClr val="FFC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GPs</c:v>
                </c:pt>
                <c:pt idx="1">
                  <c:v>Nurses</c:v>
                </c:pt>
                <c:pt idx="2">
                  <c:v>IHWs</c:v>
                </c:pt>
                <c:pt idx="3">
                  <c:v>Other</c:v>
                </c:pt>
              </c:strCache>
            </c:strRef>
          </c:cat>
          <c:val>
            <c:numRef>
              <c:f>Sheet1!$C$2:$C$5</c:f>
              <c:numCache>
                <c:formatCode>0</c:formatCode>
                <c:ptCount val="4"/>
                <c:pt idx="0">
                  <c:v>54</c:v>
                </c:pt>
                <c:pt idx="1">
                  <c:v>59</c:v>
                </c:pt>
                <c:pt idx="2">
                  <c:v>39</c:v>
                </c:pt>
                <c:pt idx="3">
                  <c:v>49</c:v>
                </c:pt>
              </c:numCache>
            </c:numRef>
          </c:val>
          <c:extLst>
            <c:ext xmlns:c16="http://schemas.microsoft.com/office/drawing/2014/chart" uri="{C3380CC4-5D6E-409C-BE32-E72D297353CC}">
              <c16:uniqueId val="{00000001-C027-D04D-B794-F164D1552201}"/>
            </c:ext>
          </c:extLst>
        </c:ser>
        <c:dLbls>
          <c:dLblPos val="outEnd"/>
          <c:showLegendKey val="0"/>
          <c:showVal val="1"/>
          <c:showCatName val="0"/>
          <c:showSerName val="0"/>
          <c:showPercent val="0"/>
          <c:showBubbleSize val="0"/>
        </c:dLbls>
        <c:gapWidth val="219"/>
        <c:overlap val="-27"/>
        <c:axId val="427970680"/>
        <c:axId val="427969696"/>
      </c:barChart>
      <c:catAx>
        <c:axId val="427970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Attendees</a:t>
                </a:r>
                <a:r>
                  <a:rPr lang="en-AU" baseline="0"/>
                  <a:t> by </a:t>
                </a:r>
                <a:r>
                  <a:rPr lang="en-AU"/>
                  <a:t>professional role</a:t>
                </a:r>
              </a:p>
            </c:rich>
          </c:tx>
          <c:layout>
            <c:manualLayout>
              <c:xMode val="edge"/>
              <c:yMode val="edge"/>
              <c:x val="0.34842920353982298"/>
              <c:y val="0.7913181685622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69696"/>
        <c:crosses val="autoZero"/>
        <c:auto val="1"/>
        <c:lblAlgn val="ctr"/>
        <c:lblOffset val="100"/>
        <c:noMultiLvlLbl val="0"/>
      </c:catAx>
      <c:valAx>
        <c:axId val="42796969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attendee</a:t>
                </a:r>
                <a:r>
                  <a:rPr lang="en-US" baseline="0"/>
                  <a:t>s</a:t>
                </a:r>
                <a:endParaRPr lang="en-US"/>
              </a:p>
            </c:rich>
          </c:tx>
          <c:layout>
            <c:manualLayout>
              <c:xMode val="edge"/>
              <c:yMode val="edge"/>
              <c:x val="3.7610619469026552E-2"/>
              <c:y val="0.215415937591134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70680"/>
        <c:crosses val="autoZero"/>
        <c:crossBetween val="between"/>
        <c:majorUnit val="10"/>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Rates of return of kits given out, </a:t>
            </a:r>
            <a:r>
              <a:rPr lang="en-GB" sz="1100" baseline="0"/>
              <a:t>by pathway, Indigenous status and jurisdiction</a:t>
            </a:r>
            <a:br>
              <a:rPr lang="en-GB" sz="1100" baseline="0"/>
            </a:br>
            <a:r>
              <a:rPr lang="en-GB" sz="1100" baseline="0"/>
              <a:t>1 November 2018 to 31 October 2019</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56329765874608E-2"/>
          <c:y val="0.16230106942972505"/>
          <c:w val="0.85709456423302666"/>
          <c:h val="0.67041825905997954"/>
        </c:manualLayout>
      </c:layout>
      <c:barChart>
        <c:barDir val="col"/>
        <c:grouping val="clustered"/>
        <c:varyColors val="0"/>
        <c:ser>
          <c:idx val="0"/>
          <c:order val="0"/>
          <c:tx>
            <c:strRef>
              <c:f>Sheet16!$A$3</c:f>
              <c:strCache>
                <c:ptCount val="1"/>
                <c:pt idx="0">
                  <c:v>Alternative Pathway</c:v>
                </c:pt>
              </c:strCache>
            </c:strRef>
          </c:tx>
          <c:spPr>
            <a:solidFill>
              <a:srgbClr val="EA7B30"/>
            </a:solidFill>
            <a:ln>
              <a:noFill/>
            </a:ln>
            <a:effectLst/>
          </c:spPr>
          <c:invertIfNegative val="0"/>
          <c:dPt>
            <c:idx val="0"/>
            <c:invertIfNegative val="0"/>
            <c:bubble3D val="0"/>
            <c:spPr>
              <a:solidFill>
                <a:srgbClr val="EA7B30"/>
              </a:solidFill>
              <a:ln>
                <a:noFill/>
              </a:ln>
              <a:effectLst/>
            </c:spPr>
            <c:extLst>
              <c:ext xmlns:c16="http://schemas.microsoft.com/office/drawing/2014/chart" uri="{C3380CC4-5D6E-409C-BE32-E72D297353CC}">
                <c16:uniqueId val="{00000001-0BBE-A648-8064-FBF092D1FCF6}"/>
              </c:ext>
            </c:extLst>
          </c:dPt>
          <c:cat>
            <c:strRef>
              <c:f>Sheet16!$B$2:$I$2</c:f>
              <c:strCache>
                <c:ptCount val="8"/>
                <c:pt idx="0">
                  <c:v>NSW</c:v>
                </c:pt>
                <c:pt idx="1">
                  <c:v>NT</c:v>
                </c:pt>
                <c:pt idx="2">
                  <c:v>QLD</c:v>
                </c:pt>
                <c:pt idx="3">
                  <c:v>SA</c:v>
                </c:pt>
                <c:pt idx="4">
                  <c:v>TAS</c:v>
                </c:pt>
                <c:pt idx="5">
                  <c:v>VIC</c:v>
                </c:pt>
                <c:pt idx="6">
                  <c:v>WA</c:v>
                </c:pt>
                <c:pt idx="7">
                  <c:v>Total</c:v>
                </c:pt>
              </c:strCache>
            </c:strRef>
          </c:cat>
          <c:val>
            <c:numRef>
              <c:f>Sheet16!$B$3:$I$3</c:f>
              <c:numCache>
                <c:formatCode>General</c:formatCode>
                <c:ptCount val="8"/>
                <c:pt idx="0">
                  <c:v>47</c:v>
                </c:pt>
                <c:pt idx="1">
                  <c:v>36</c:v>
                </c:pt>
                <c:pt idx="2">
                  <c:v>43.9</c:v>
                </c:pt>
                <c:pt idx="3">
                  <c:v>50</c:v>
                </c:pt>
                <c:pt idx="4">
                  <c:v>41.2</c:v>
                </c:pt>
                <c:pt idx="5">
                  <c:v>53.4</c:v>
                </c:pt>
                <c:pt idx="6">
                  <c:v>45.5</c:v>
                </c:pt>
                <c:pt idx="7" formatCode="0.0">
                  <c:v>45.086705202312139</c:v>
                </c:pt>
              </c:numCache>
            </c:numRef>
          </c:val>
          <c:extLst>
            <c:ext xmlns:c16="http://schemas.microsoft.com/office/drawing/2014/chart" uri="{C3380CC4-5D6E-409C-BE32-E72D297353CC}">
              <c16:uniqueId val="{00000002-0BBE-A648-8064-FBF092D1FCF6}"/>
            </c:ext>
          </c:extLst>
        </c:ser>
        <c:ser>
          <c:idx val="1"/>
          <c:order val="1"/>
          <c:tx>
            <c:strRef>
              <c:f>Sheet16!$A$4</c:f>
              <c:strCache>
                <c:ptCount val="1"/>
                <c:pt idx="0">
                  <c:v>Usual pathway - Indigenous</c:v>
                </c:pt>
              </c:strCache>
            </c:strRef>
          </c:tx>
          <c:spPr>
            <a:solidFill>
              <a:srgbClr val="EACC00"/>
            </a:solidFill>
            <a:ln>
              <a:noFill/>
            </a:ln>
            <a:effectLst/>
          </c:spPr>
          <c:invertIfNegative val="0"/>
          <c:cat>
            <c:strRef>
              <c:f>Sheet16!$B$2:$I$2</c:f>
              <c:strCache>
                <c:ptCount val="8"/>
                <c:pt idx="0">
                  <c:v>NSW</c:v>
                </c:pt>
                <c:pt idx="1">
                  <c:v>NT</c:v>
                </c:pt>
                <c:pt idx="2">
                  <c:v>QLD</c:v>
                </c:pt>
                <c:pt idx="3">
                  <c:v>SA</c:v>
                </c:pt>
                <c:pt idx="4">
                  <c:v>TAS</c:v>
                </c:pt>
                <c:pt idx="5">
                  <c:v>VIC</c:v>
                </c:pt>
                <c:pt idx="6">
                  <c:v>WA</c:v>
                </c:pt>
                <c:pt idx="7">
                  <c:v>Total</c:v>
                </c:pt>
              </c:strCache>
            </c:strRef>
          </c:cat>
          <c:val>
            <c:numRef>
              <c:f>Sheet16!$B$4:$I$4</c:f>
              <c:numCache>
                <c:formatCode>0.0</c:formatCode>
                <c:ptCount val="8"/>
                <c:pt idx="0">
                  <c:v>24.785900051859592</c:v>
                </c:pt>
                <c:pt idx="1">
                  <c:v>7.3253062445526886</c:v>
                </c:pt>
                <c:pt idx="2">
                  <c:v>23.091843587860904</c:v>
                </c:pt>
                <c:pt idx="3">
                  <c:v>26.716294458229942</c:v>
                </c:pt>
                <c:pt idx="4">
                  <c:v>38.421919565610033</c:v>
                </c:pt>
                <c:pt idx="5">
                  <c:v>32.192207541107578</c:v>
                </c:pt>
                <c:pt idx="6">
                  <c:v>18.472992564858622</c:v>
                </c:pt>
                <c:pt idx="7">
                  <c:v>23.255517491688884</c:v>
                </c:pt>
              </c:numCache>
            </c:numRef>
          </c:val>
          <c:extLst>
            <c:ext xmlns:c16="http://schemas.microsoft.com/office/drawing/2014/chart" uri="{C3380CC4-5D6E-409C-BE32-E72D297353CC}">
              <c16:uniqueId val="{00000003-0BBE-A648-8064-FBF092D1FCF6}"/>
            </c:ext>
          </c:extLst>
        </c:ser>
        <c:ser>
          <c:idx val="2"/>
          <c:order val="2"/>
          <c:tx>
            <c:strRef>
              <c:f>Sheet16!$A$5</c:f>
              <c:strCache>
                <c:ptCount val="1"/>
                <c:pt idx="0">
                  <c:v>Usual pathway - all</c:v>
                </c:pt>
              </c:strCache>
            </c:strRef>
          </c:tx>
          <c:spPr>
            <a:solidFill>
              <a:schemeClr val="accent1"/>
            </a:solidFill>
            <a:ln>
              <a:noFill/>
            </a:ln>
            <a:effectLst/>
          </c:spPr>
          <c:invertIfNegative val="0"/>
          <c:cat>
            <c:strRef>
              <c:f>Sheet16!$B$2:$I$2</c:f>
              <c:strCache>
                <c:ptCount val="8"/>
                <c:pt idx="0">
                  <c:v>NSW</c:v>
                </c:pt>
                <c:pt idx="1">
                  <c:v>NT</c:v>
                </c:pt>
                <c:pt idx="2">
                  <c:v>QLD</c:v>
                </c:pt>
                <c:pt idx="3">
                  <c:v>SA</c:v>
                </c:pt>
                <c:pt idx="4">
                  <c:v>TAS</c:v>
                </c:pt>
                <c:pt idx="5">
                  <c:v>VIC</c:v>
                </c:pt>
                <c:pt idx="6">
                  <c:v>WA</c:v>
                </c:pt>
                <c:pt idx="7">
                  <c:v>Total</c:v>
                </c:pt>
              </c:strCache>
            </c:strRef>
          </c:cat>
          <c:val>
            <c:numRef>
              <c:f>Sheet16!$B$5:$I$5</c:f>
              <c:numCache>
                <c:formatCode>0.0</c:formatCode>
                <c:ptCount val="8"/>
                <c:pt idx="0">
                  <c:v>35.482335546660032</c:v>
                </c:pt>
                <c:pt idx="1">
                  <c:v>29.923284618351691</c:v>
                </c:pt>
                <c:pt idx="2">
                  <c:v>37.700091545151373</c:v>
                </c:pt>
                <c:pt idx="3">
                  <c:v>43.277375031059691</c:v>
                </c:pt>
                <c:pt idx="4">
                  <c:v>44.155407770388521</c:v>
                </c:pt>
                <c:pt idx="5">
                  <c:v>41.256368359251859</c:v>
                </c:pt>
                <c:pt idx="6">
                  <c:v>42.390794544163882</c:v>
                </c:pt>
                <c:pt idx="7">
                  <c:v>38.87938387121627</c:v>
                </c:pt>
              </c:numCache>
            </c:numRef>
          </c:val>
          <c:extLst>
            <c:ext xmlns:c16="http://schemas.microsoft.com/office/drawing/2014/chart" uri="{C3380CC4-5D6E-409C-BE32-E72D297353CC}">
              <c16:uniqueId val="{00000004-0BBE-A648-8064-FBF092D1FCF6}"/>
            </c:ext>
          </c:extLst>
        </c:ser>
        <c:dLbls>
          <c:showLegendKey val="0"/>
          <c:showVal val="0"/>
          <c:showCatName val="0"/>
          <c:showSerName val="0"/>
          <c:showPercent val="0"/>
          <c:showBubbleSize val="0"/>
        </c:dLbls>
        <c:gapWidth val="221"/>
        <c:axId val="1999339903"/>
        <c:axId val="2005691231"/>
      </c:barChart>
      <c:catAx>
        <c:axId val="1999339903"/>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no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5691231"/>
        <c:crosses val="autoZero"/>
        <c:auto val="1"/>
        <c:lblAlgn val="ctr"/>
        <c:lblOffset val="100"/>
        <c:noMultiLvlLbl val="0"/>
      </c:catAx>
      <c:valAx>
        <c:axId val="200569123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Partiicipation rate (%)</a:t>
                </a:r>
              </a:p>
            </c:rich>
          </c:tx>
          <c:layout>
            <c:manualLayout>
              <c:xMode val="edge"/>
              <c:yMode val="edge"/>
              <c:x val="1.6146446217504409E-2"/>
              <c:y val="0.272544296812731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339903"/>
        <c:crosses val="autoZero"/>
        <c:crossBetween val="between"/>
      </c:valAx>
      <c:spPr>
        <a:noFill/>
        <a:ln>
          <a:solidFill>
            <a:srgbClr val="E7E6E6">
              <a:lumMod val="75000"/>
            </a:srgbClr>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0" i="0" u="none" strike="noStrike" kern="1200" cap="none" spc="20" baseline="0">
                <a:solidFill>
                  <a:schemeClr val="tx1"/>
                </a:solidFill>
                <a:latin typeface="+mn-lt"/>
                <a:ea typeface="+mn-ea"/>
                <a:cs typeface="Arial" panose="020B0604020202020204" pitchFamily="34" charset="0"/>
              </a:defRPr>
            </a:pPr>
            <a:r>
              <a:rPr lang="en-GB" sz="1000">
                <a:solidFill>
                  <a:schemeClr val="tx1"/>
                </a:solidFill>
                <a:latin typeface="+mn-lt"/>
                <a:cs typeface="Arial" panose="020B0604020202020204" pitchFamily="34" charset="0"/>
              </a:rPr>
              <a:t>Positivity</a:t>
            </a:r>
            <a:r>
              <a:rPr lang="en-GB" sz="1000" baseline="0">
                <a:solidFill>
                  <a:schemeClr val="tx1"/>
                </a:solidFill>
                <a:latin typeface="+mn-lt"/>
                <a:cs typeface="Arial" panose="020B0604020202020204" pitchFamily="34" charset="0"/>
              </a:rPr>
              <a:t> rates, by remoteness, pathway and Indigenous status</a:t>
            </a:r>
            <a:endParaRPr lang="en-GB" sz="1000">
              <a:solidFill>
                <a:schemeClr val="tx1"/>
              </a:solidFill>
              <a:latin typeface="+mn-lt"/>
              <a:cs typeface="Arial" panose="020B0604020202020204" pitchFamily="34" charset="0"/>
            </a:endParaRPr>
          </a:p>
        </c:rich>
      </c:tx>
      <c:layout>
        <c:manualLayout>
          <c:xMode val="edge"/>
          <c:yMode val="edge"/>
          <c:x val="0.18531033399095628"/>
          <c:y val="2.4271844660194174E-2"/>
        </c:manualLayout>
      </c:layout>
      <c:overlay val="0"/>
      <c:spPr>
        <a:noFill/>
        <a:ln>
          <a:noFill/>
        </a:ln>
        <a:effectLst/>
      </c:spPr>
      <c:txPr>
        <a:bodyPr rot="0" spcFirstLastPara="1" vertOverflow="ellipsis" vert="horz" wrap="square" anchor="ctr" anchorCtr="1"/>
        <a:lstStyle/>
        <a:p>
          <a:pPr>
            <a:defRPr sz="1000" b="0" i="0" u="none" strike="noStrike" kern="1200" cap="none" spc="20" baseline="0">
              <a:solidFill>
                <a:schemeClr val="tx1"/>
              </a:solidFill>
              <a:latin typeface="+mn-lt"/>
              <a:ea typeface="+mn-ea"/>
              <a:cs typeface="Arial" panose="020B0604020202020204" pitchFamily="34" charset="0"/>
            </a:defRPr>
          </a:pPr>
          <a:endParaRPr lang="en-US"/>
        </a:p>
      </c:txPr>
    </c:title>
    <c:autoTitleDeleted val="0"/>
    <c:plotArea>
      <c:layout>
        <c:manualLayout>
          <c:layoutTarget val="inner"/>
          <c:xMode val="edge"/>
          <c:yMode val="edge"/>
          <c:x val="9.9591649880974187E-2"/>
          <c:y val="0.12793313069908815"/>
          <c:w val="0.88213592486985637"/>
          <c:h val="0.68297804953151819"/>
        </c:manualLayout>
      </c:layout>
      <c:barChart>
        <c:barDir val="col"/>
        <c:grouping val="clustered"/>
        <c:varyColors val="0"/>
        <c:ser>
          <c:idx val="0"/>
          <c:order val="0"/>
          <c:tx>
            <c:strRef>
              <c:f>'Positivity compared'!$J$14</c:f>
              <c:strCache>
                <c:ptCount val="1"/>
                <c:pt idx="0">
                  <c:v>Alternative Pathway</c:v>
                </c:pt>
              </c:strCache>
            </c:strRef>
          </c:tx>
          <c:spPr>
            <a:solidFill>
              <a:srgbClr val="EA7B30"/>
            </a:solidFill>
            <a:ln w="9525" cap="flat" cmpd="sng" algn="ctr">
              <a:noFill/>
              <a:round/>
            </a:ln>
            <a:effectLst/>
          </c:spPr>
          <c:invertIfNegative val="0"/>
          <c:dLbls>
            <c:delete val="1"/>
          </c:dLbls>
          <c:cat>
            <c:strRef>
              <c:f>'Positivity compared'!$K$13:$Q$13</c:f>
              <c:strCache>
                <c:ptCount val="6"/>
                <c:pt idx="0">
                  <c:v>Major cities</c:v>
                </c:pt>
                <c:pt idx="1">
                  <c:v>Inner regional</c:v>
                </c:pt>
                <c:pt idx="2">
                  <c:v>Outer regional</c:v>
                </c:pt>
                <c:pt idx="3">
                  <c:v>Remote</c:v>
                </c:pt>
                <c:pt idx="4">
                  <c:v>Very remote</c:v>
                </c:pt>
                <c:pt idx="5">
                  <c:v>All areas</c:v>
                </c:pt>
              </c:strCache>
            </c:strRef>
          </c:cat>
          <c:val>
            <c:numRef>
              <c:f>'Positivity compared'!$K$14:$Q$14</c:f>
              <c:numCache>
                <c:formatCode>General</c:formatCode>
                <c:ptCount val="6"/>
                <c:pt idx="0">
                  <c:v>11.9</c:v>
                </c:pt>
                <c:pt idx="1">
                  <c:v>16</c:v>
                </c:pt>
                <c:pt idx="2">
                  <c:v>15.5</c:v>
                </c:pt>
                <c:pt idx="3">
                  <c:v>18.899999999999999</c:v>
                </c:pt>
                <c:pt idx="4">
                  <c:v>17.8</c:v>
                </c:pt>
                <c:pt idx="5">
                  <c:v>14.1</c:v>
                </c:pt>
              </c:numCache>
            </c:numRef>
          </c:val>
          <c:extLst>
            <c:ext xmlns:c16="http://schemas.microsoft.com/office/drawing/2014/chart" uri="{C3380CC4-5D6E-409C-BE32-E72D297353CC}">
              <c16:uniqueId val="{00000000-7697-0541-ADBE-E4B4C2841EFB}"/>
            </c:ext>
          </c:extLst>
        </c:ser>
        <c:ser>
          <c:idx val="1"/>
          <c:order val="1"/>
          <c:tx>
            <c:strRef>
              <c:f>'Positivity compared'!$J$15</c:f>
              <c:strCache>
                <c:ptCount val="1"/>
                <c:pt idx="0">
                  <c:v>Usual pathway Indigenous</c:v>
                </c:pt>
              </c:strCache>
            </c:strRef>
          </c:tx>
          <c:spPr>
            <a:solidFill>
              <a:srgbClr val="FFC900"/>
            </a:solidFill>
            <a:ln w="9525" cap="flat" cmpd="sng" algn="ctr">
              <a:noFill/>
              <a:round/>
            </a:ln>
            <a:effectLst/>
          </c:spPr>
          <c:invertIfNegative val="0"/>
          <c:dLbls>
            <c:delete val="1"/>
          </c:dLbls>
          <c:cat>
            <c:strRef>
              <c:f>'Positivity compared'!$K$13:$Q$13</c:f>
              <c:strCache>
                <c:ptCount val="6"/>
                <c:pt idx="0">
                  <c:v>Major cities</c:v>
                </c:pt>
                <c:pt idx="1">
                  <c:v>Inner regional</c:v>
                </c:pt>
                <c:pt idx="2">
                  <c:v>Outer regional</c:v>
                </c:pt>
                <c:pt idx="3">
                  <c:v>Remote</c:v>
                </c:pt>
                <c:pt idx="4">
                  <c:v>Very remote</c:v>
                </c:pt>
                <c:pt idx="5">
                  <c:v>All areas</c:v>
                </c:pt>
              </c:strCache>
            </c:strRef>
          </c:cat>
          <c:val>
            <c:numRef>
              <c:f>'Positivity compared'!$K$15:$Q$15</c:f>
              <c:numCache>
                <c:formatCode>General</c:formatCode>
                <c:ptCount val="6"/>
                <c:pt idx="0">
                  <c:v>9.1</c:v>
                </c:pt>
                <c:pt idx="1">
                  <c:v>9</c:v>
                </c:pt>
                <c:pt idx="2">
                  <c:v>10.6</c:v>
                </c:pt>
                <c:pt idx="3">
                  <c:v>11</c:v>
                </c:pt>
                <c:pt idx="4">
                  <c:v>11.5</c:v>
                </c:pt>
                <c:pt idx="5">
                  <c:v>9.5</c:v>
                </c:pt>
              </c:numCache>
            </c:numRef>
          </c:val>
          <c:extLst>
            <c:ext xmlns:c16="http://schemas.microsoft.com/office/drawing/2014/chart" uri="{C3380CC4-5D6E-409C-BE32-E72D297353CC}">
              <c16:uniqueId val="{00000001-7697-0541-ADBE-E4B4C2841EFB}"/>
            </c:ext>
          </c:extLst>
        </c:ser>
        <c:ser>
          <c:idx val="4"/>
          <c:order val="2"/>
          <c:tx>
            <c:strRef>
              <c:f>'Positivity compared'!$J$18</c:f>
              <c:strCache>
                <c:ptCount val="1"/>
                <c:pt idx="0">
                  <c:v>Usual pathway All</c:v>
                </c:pt>
              </c:strCache>
            </c:strRef>
          </c:tx>
          <c:spPr>
            <a:solidFill>
              <a:srgbClr val="007DD6"/>
            </a:solidFill>
            <a:ln w="9525" cap="flat" cmpd="sng" algn="ctr">
              <a:noFill/>
              <a:round/>
            </a:ln>
            <a:effectLst/>
          </c:spPr>
          <c:invertIfNegative val="0"/>
          <c:dLbls>
            <c:delete val="1"/>
          </c:dLbls>
          <c:cat>
            <c:strRef>
              <c:f>'Positivity compared'!$K$13:$Q$13</c:f>
              <c:strCache>
                <c:ptCount val="6"/>
                <c:pt idx="0">
                  <c:v>Major cities</c:v>
                </c:pt>
                <c:pt idx="1">
                  <c:v>Inner regional</c:v>
                </c:pt>
                <c:pt idx="2">
                  <c:v>Outer regional</c:v>
                </c:pt>
                <c:pt idx="3">
                  <c:v>Remote</c:v>
                </c:pt>
                <c:pt idx="4">
                  <c:v>Very remote</c:v>
                </c:pt>
                <c:pt idx="5">
                  <c:v>All areas</c:v>
                </c:pt>
              </c:strCache>
            </c:strRef>
          </c:cat>
          <c:val>
            <c:numRef>
              <c:f>'Positivity compared'!$K$18:$Q$18</c:f>
              <c:numCache>
                <c:formatCode>General</c:formatCode>
                <c:ptCount val="6"/>
                <c:pt idx="0">
                  <c:v>6.3</c:v>
                </c:pt>
                <c:pt idx="1">
                  <c:v>7</c:v>
                </c:pt>
                <c:pt idx="2">
                  <c:v>7.6</c:v>
                </c:pt>
                <c:pt idx="3">
                  <c:v>8.4</c:v>
                </c:pt>
                <c:pt idx="4">
                  <c:v>7.5</c:v>
                </c:pt>
                <c:pt idx="5">
                  <c:v>6.6</c:v>
                </c:pt>
              </c:numCache>
            </c:numRef>
          </c:val>
          <c:extLst>
            <c:ext xmlns:c16="http://schemas.microsoft.com/office/drawing/2014/chart" uri="{C3380CC4-5D6E-409C-BE32-E72D297353CC}">
              <c16:uniqueId val="{00000002-7697-0541-ADBE-E4B4C2841EFB}"/>
            </c:ext>
          </c:extLst>
        </c:ser>
        <c:dLbls>
          <c:dLblPos val="outEnd"/>
          <c:showLegendKey val="0"/>
          <c:showVal val="1"/>
          <c:showCatName val="0"/>
          <c:showSerName val="0"/>
          <c:showPercent val="0"/>
          <c:showBubbleSize val="0"/>
        </c:dLbls>
        <c:gapWidth val="151"/>
        <c:overlap val="1"/>
        <c:axId val="155627184"/>
        <c:axId val="155628864"/>
      </c:barChart>
      <c:catAx>
        <c:axId val="15562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5628864"/>
        <c:crosses val="autoZero"/>
        <c:auto val="1"/>
        <c:lblAlgn val="ctr"/>
        <c:lblOffset val="100"/>
        <c:noMultiLvlLbl val="0"/>
      </c:catAx>
      <c:valAx>
        <c:axId val="15562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baseline="0">
                    <a:ln>
                      <a:noFill/>
                    </a:ln>
                    <a:solidFill>
                      <a:schemeClr val="tx1">
                        <a:lumMod val="50000"/>
                        <a:lumOff val="50000"/>
                      </a:schemeClr>
                    </a:solidFill>
                    <a:latin typeface="+mn-lt"/>
                    <a:ea typeface="+mn-ea"/>
                    <a:cs typeface="+mn-cs"/>
                  </a:defRPr>
                </a:pPr>
                <a:r>
                  <a:rPr lang="en-GB" sz="1000" b="0" cap="none" baseline="0">
                    <a:ln>
                      <a:noFill/>
                    </a:ln>
                    <a:solidFill>
                      <a:schemeClr val="tx1">
                        <a:lumMod val="50000"/>
                        <a:lumOff val="50000"/>
                      </a:schemeClr>
                    </a:solidFill>
                    <a:latin typeface="+mn-lt"/>
                  </a:rPr>
                  <a:t>Positivity Rate (%)</a:t>
                </a:r>
              </a:p>
            </c:rich>
          </c:tx>
          <c:layout>
            <c:manualLayout>
              <c:xMode val="edge"/>
              <c:yMode val="edge"/>
              <c:x val="1.2169282609075193E-2"/>
              <c:y val="0.33594132970220819"/>
            </c:manualLayout>
          </c:layout>
          <c:overlay val="0"/>
          <c:spPr>
            <a:noFill/>
            <a:ln>
              <a:noFill/>
            </a:ln>
            <a:effectLst/>
          </c:spPr>
          <c:txPr>
            <a:bodyPr rot="-5400000" spcFirstLastPara="1" vertOverflow="ellipsis" vert="horz" wrap="square" anchor="ctr" anchorCtr="1"/>
            <a:lstStyle/>
            <a:p>
              <a:pPr>
                <a:defRPr sz="1000" b="0" i="0" u="none" strike="noStrike" kern="1200" cap="none" baseline="0">
                  <a:ln>
                    <a:noFill/>
                  </a:ln>
                  <a:solidFill>
                    <a:schemeClr val="tx1">
                      <a:lumMod val="50000"/>
                      <a:lumOff val="50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5627184"/>
        <c:crosses val="autoZero"/>
        <c:crossBetween val="between"/>
        <c:majorUnit val="5"/>
      </c:valAx>
      <c:spPr>
        <a:noFill/>
        <a:ln>
          <a:noFill/>
        </a:ln>
        <a:effectLst/>
      </c:spPr>
    </c:plotArea>
    <c:legend>
      <c:legendPos val="b"/>
      <c:layout>
        <c:manualLayout>
          <c:xMode val="edge"/>
          <c:yMode val="edge"/>
          <c:x val="0.10209001868114603"/>
          <c:y val="0.91426890423613261"/>
          <c:w val="0.79002304589975036"/>
          <c:h val="5.449174116393345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9F941C-1D9D-4AAA-8994-EFEDF709BBC2}" type="doc">
      <dgm:prSet loTypeId="urn:microsoft.com/office/officeart/2005/8/layout/orgChart1" loCatId="hierarchy" qsTypeId="urn:microsoft.com/office/officeart/2005/8/quickstyle/simple1" qsCatId="simple" csTypeId="urn:microsoft.com/office/officeart/2005/8/colors/accent2_4" csCatId="accent2" phldr="1"/>
      <dgm:spPr/>
      <dgm:t>
        <a:bodyPr/>
        <a:lstStyle/>
        <a:p>
          <a:endParaRPr lang="en-AU"/>
        </a:p>
      </dgm:t>
    </dgm:pt>
    <dgm:pt modelId="{B93B89ED-9472-497F-A51B-144C26049DAB}">
      <dgm:prSet phldrT="[Text]" custT="1"/>
      <dgm:spPr>
        <a:xfrm>
          <a:off x="1858245" y="1396"/>
          <a:ext cx="1796655" cy="486620"/>
        </a:xfrm>
        <a:prstGeom prst="rect">
          <a:avLst/>
        </a:prstGeom>
        <a:solidFill>
          <a:srgbClr val="ED7F39"/>
        </a:solidFill>
      </dgm:spPr>
      <dgm:t>
        <a:bodyPr/>
        <a:lstStyle/>
        <a:p>
          <a:pPr algn="ctr">
            <a:buNone/>
          </a:pPr>
          <a:r>
            <a:rPr lang="en-AU" sz="1000" b="1">
              <a:latin typeface="Calibri" panose="020F0502020204030204"/>
              <a:ea typeface="+mn-ea"/>
              <a:cs typeface="+mn-cs"/>
            </a:rPr>
            <a:t>Total training participants</a:t>
          </a:r>
          <a:br>
            <a:rPr lang="en-AU" sz="1000" b="1">
              <a:latin typeface="Calibri" panose="020F0502020204030204"/>
              <a:ea typeface="+mn-ea"/>
              <a:cs typeface="+mn-cs"/>
            </a:rPr>
          </a:br>
          <a:r>
            <a:rPr lang="en-AU" sz="1000" b="1">
              <a:latin typeface="Calibri" panose="020F0502020204030204"/>
              <a:ea typeface="+mn-ea"/>
              <a:cs typeface="+mn-cs"/>
            </a:rPr>
            <a:t>N = 316</a:t>
          </a:r>
        </a:p>
      </dgm:t>
    </dgm:pt>
    <dgm:pt modelId="{291D2633-285F-4A48-9BE2-7A0CB7AC352D}" type="parTrans" cxnId="{446D642B-3317-4EAD-87AF-D10B600A9687}">
      <dgm:prSet/>
      <dgm:spPr/>
      <dgm:t>
        <a:bodyPr/>
        <a:lstStyle/>
        <a:p>
          <a:pPr algn="ctr"/>
          <a:endParaRPr lang="en-AU"/>
        </a:p>
      </dgm:t>
    </dgm:pt>
    <dgm:pt modelId="{B6F5696F-C73B-4747-BB7A-089C4C4E68BB}" type="sibTrans" cxnId="{446D642B-3317-4EAD-87AF-D10B600A9687}">
      <dgm:prSet/>
      <dgm:spPr/>
      <dgm:t>
        <a:bodyPr/>
        <a:lstStyle/>
        <a:p>
          <a:pPr algn="ctr"/>
          <a:endParaRPr lang="en-AU"/>
        </a:p>
      </dgm:t>
    </dgm:pt>
    <dgm:pt modelId="{F3A89A4D-444D-419B-91EE-9EC1D366EBAE}">
      <dgm:prSet phldrT="[Text]" custT="1"/>
      <dgm:spPr>
        <a:xfrm>
          <a:off x="1037618" y="631539"/>
          <a:ext cx="1644602" cy="488157"/>
        </a:xfrm>
        <a:prstGeom prst="rect">
          <a:avLst/>
        </a:prstGeom>
        <a:solidFill>
          <a:srgbClr val="ED7F39"/>
        </a:solidFill>
      </dgm:spPr>
      <dgm:t>
        <a:bodyPr/>
        <a:lstStyle/>
        <a:p>
          <a:pPr algn="ctr">
            <a:buNone/>
          </a:pPr>
          <a:r>
            <a:rPr lang="en-AU" sz="1000" b="1">
              <a:latin typeface="Calibri" panose="020F0502020204030204"/>
              <a:ea typeface="+mn-ea"/>
              <a:cs typeface="+mn-cs"/>
            </a:rPr>
            <a:t>Online training</a:t>
          </a:r>
          <a:br>
            <a:rPr lang="en-AU" sz="1000" b="1">
              <a:latin typeface="Calibri" panose="020F0502020204030204"/>
              <a:ea typeface="+mn-ea"/>
              <a:cs typeface="+mn-cs"/>
            </a:rPr>
          </a:br>
          <a:r>
            <a:rPr lang="en-AU" sz="1000" b="1">
              <a:latin typeface="Calibri" panose="020F0502020204030204"/>
              <a:ea typeface="+mn-ea"/>
              <a:cs typeface="+mn-cs"/>
            </a:rPr>
            <a:t>participants</a:t>
          </a:r>
          <a:br>
            <a:rPr lang="en-AU" sz="1000">
              <a:latin typeface="Calibri" panose="020F0502020204030204"/>
              <a:ea typeface="+mn-ea"/>
              <a:cs typeface="+mn-cs"/>
            </a:rPr>
          </a:br>
          <a:r>
            <a:rPr lang="en-AU" sz="1000">
              <a:latin typeface="Calibri" panose="020F0502020204030204"/>
              <a:ea typeface="+mn-ea"/>
              <a:cs typeface="+mn-cs"/>
            </a:rPr>
            <a:t>n = 115</a:t>
          </a:r>
        </a:p>
      </dgm:t>
    </dgm:pt>
    <dgm:pt modelId="{070FA1FE-763D-4C64-A98C-C36DB7CEDD4A}" type="parTrans" cxnId="{7204A827-F5D1-40A5-83D7-029B1268D8FC}">
      <dgm:prSet/>
      <dgm:spPr>
        <a:xfrm>
          <a:off x="1859919" y="488016"/>
          <a:ext cx="896653" cy="143523"/>
        </a:xfrm>
        <a:custGeom>
          <a:avLst/>
          <a:gdLst/>
          <a:ahLst/>
          <a:cxnLst/>
          <a:rect l="0" t="0" r="0" b="0"/>
          <a:pathLst>
            <a:path>
              <a:moveTo>
                <a:pt x="896653" y="0"/>
              </a:moveTo>
              <a:lnTo>
                <a:pt x="896653" y="71761"/>
              </a:lnTo>
              <a:lnTo>
                <a:pt x="0" y="71761"/>
              </a:lnTo>
              <a:lnTo>
                <a:pt x="0" y="143523"/>
              </a:lnTo>
            </a:path>
          </a:pathLst>
        </a:custGeom>
      </dgm:spPr>
      <dgm:t>
        <a:bodyPr/>
        <a:lstStyle/>
        <a:p>
          <a:pPr algn="ctr"/>
          <a:endParaRPr lang="en-AU"/>
        </a:p>
      </dgm:t>
    </dgm:pt>
    <dgm:pt modelId="{0352D4C1-529F-47EC-A31D-6F07983033D6}" type="sibTrans" cxnId="{7204A827-F5D1-40A5-83D7-029B1268D8FC}">
      <dgm:prSet/>
      <dgm:spPr/>
      <dgm:t>
        <a:bodyPr/>
        <a:lstStyle/>
        <a:p>
          <a:pPr algn="ctr"/>
          <a:endParaRPr lang="en-AU"/>
        </a:p>
      </dgm:t>
    </dgm:pt>
    <dgm:pt modelId="{E59347A5-5A73-4413-A618-FFB588584489}">
      <dgm:prSet phldrT="[Text]" custT="1"/>
      <dgm:spPr>
        <a:xfrm>
          <a:off x="2825744" y="631539"/>
          <a:ext cx="1649782" cy="488157"/>
        </a:xfrm>
        <a:prstGeom prst="rect">
          <a:avLst/>
        </a:prstGeom>
        <a:solidFill>
          <a:srgbClr val="ED7F39"/>
        </a:solidFill>
      </dgm:spPr>
      <dgm:t>
        <a:bodyPr/>
        <a:lstStyle/>
        <a:p>
          <a:pPr algn="ctr">
            <a:buNone/>
          </a:pPr>
          <a:r>
            <a:rPr lang="en-AU" sz="1000" b="1">
              <a:latin typeface="Calibri" panose="020F0502020204030204"/>
              <a:ea typeface="+mn-ea"/>
              <a:cs typeface="+mn-cs"/>
            </a:rPr>
            <a:t>Face-to-face training participants</a:t>
          </a:r>
          <a:br>
            <a:rPr lang="en-AU" sz="1000">
              <a:latin typeface="Calibri" panose="020F0502020204030204"/>
              <a:ea typeface="+mn-ea"/>
              <a:cs typeface="+mn-cs"/>
            </a:rPr>
          </a:br>
          <a:r>
            <a:rPr lang="en-AU" sz="1000">
              <a:latin typeface="Calibri" panose="020F0502020204030204"/>
              <a:ea typeface="+mn-ea"/>
              <a:cs typeface="+mn-cs"/>
            </a:rPr>
            <a:t>n = 201</a:t>
          </a:r>
        </a:p>
      </dgm:t>
    </dgm:pt>
    <dgm:pt modelId="{770BCBEA-206B-4B1E-84EB-1A96B8BFD2E0}" type="parTrans" cxnId="{CCFDF1F4-14A7-40A7-BAE0-A062AB1F7470}">
      <dgm:prSet/>
      <dgm:spPr>
        <a:xfrm>
          <a:off x="2756572" y="488016"/>
          <a:ext cx="894062" cy="143523"/>
        </a:xfrm>
        <a:custGeom>
          <a:avLst/>
          <a:gdLst/>
          <a:ahLst/>
          <a:cxnLst/>
          <a:rect l="0" t="0" r="0" b="0"/>
          <a:pathLst>
            <a:path>
              <a:moveTo>
                <a:pt x="0" y="0"/>
              </a:moveTo>
              <a:lnTo>
                <a:pt x="0" y="71761"/>
              </a:lnTo>
              <a:lnTo>
                <a:pt x="894062" y="71761"/>
              </a:lnTo>
              <a:lnTo>
                <a:pt x="894062" y="143523"/>
              </a:lnTo>
            </a:path>
          </a:pathLst>
        </a:custGeom>
      </dgm:spPr>
      <dgm:t>
        <a:bodyPr/>
        <a:lstStyle/>
        <a:p>
          <a:pPr algn="ctr"/>
          <a:endParaRPr lang="en-AU"/>
        </a:p>
      </dgm:t>
    </dgm:pt>
    <dgm:pt modelId="{5EC08423-B66D-4337-BA77-630F828FD765}" type="sibTrans" cxnId="{CCFDF1F4-14A7-40A7-BAE0-A062AB1F7470}">
      <dgm:prSet/>
      <dgm:spPr/>
      <dgm:t>
        <a:bodyPr/>
        <a:lstStyle/>
        <a:p>
          <a:pPr algn="ctr"/>
          <a:endParaRPr lang="en-AU"/>
        </a:p>
      </dgm:t>
    </dgm:pt>
    <dgm:pt modelId="{6C6BB43F-67A6-4177-8443-B22D4E8E2DE9}">
      <dgm:prSet custT="1"/>
      <dgm:spPr>
        <a:xfrm>
          <a:off x="3213551" y="1263220"/>
          <a:ext cx="2045306" cy="609872"/>
        </a:xfrm>
        <a:prstGeom prst="rect">
          <a:avLst/>
        </a:prstGeom>
      </dgm:spPr>
      <dgm:t>
        <a:bodyPr lIns="108000" tIns="72000" rIns="108000" bIns="72000"/>
        <a:lstStyle/>
        <a:p>
          <a:pPr algn="ctr">
            <a:buNone/>
          </a:pPr>
          <a:r>
            <a:rPr lang="en-AU" sz="1000">
              <a:latin typeface="Calibri" panose="020F0502020204030204"/>
              <a:ea typeface="+mn-ea"/>
              <a:cs typeface="+mn-cs"/>
            </a:rPr>
            <a:t>Consented to take part</a:t>
          </a:r>
          <a:br>
            <a:rPr lang="en-AU" sz="1000">
              <a:latin typeface="Calibri" panose="020F0502020204030204"/>
              <a:ea typeface="+mn-ea"/>
              <a:cs typeface="+mn-cs"/>
            </a:rPr>
          </a:br>
          <a:r>
            <a:rPr lang="en-AU" sz="1000">
              <a:latin typeface="Calibri" panose="020F0502020204030204"/>
              <a:ea typeface="+mn-ea"/>
              <a:cs typeface="+mn-cs"/>
            </a:rPr>
            <a:t>in research</a:t>
          </a:r>
          <a:br>
            <a:rPr lang="en-AU" sz="1000">
              <a:latin typeface="Calibri" panose="020F0502020204030204"/>
              <a:ea typeface="+mn-ea"/>
              <a:cs typeface="+mn-cs"/>
            </a:rPr>
          </a:br>
          <a:r>
            <a:rPr lang="en-AU" sz="1000">
              <a:latin typeface="Calibri" panose="020F0502020204030204"/>
              <a:ea typeface="+mn-ea"/>
              <a:cs typeface="+mn-cs"/>
            </a:rPr>
            <a:t>n = 154</a:t>
          </a:r>
        </a:p>
      </dgm:t>
    </dgm:pt>
    <dgm:pt modelId="{DA02EDB0-1E52-45CF-984F-F5706F16F298}" type="parTrans" cxnId="{F9677297-6DE1-4305-90A5-64E8FF309EF1}">
      <dgm:prSet/>
      <dgm:spPr>
        <a:xfrm>
          <a:off x="2990722" y="1119697"/>
          <a:ext cx="222829" cy="448459"/>
        </a:xfrm>
        <a:custGeom>
          <a:avLst/>
          <a:gdLst/>
          <a:ahLst/>
          <a:cxnLst/>
          <a:rect l="0" t="0" r="0" b="0"/>
          <a:pathLst>
            <a:path>
              <a:moveTo>
                <a:pt x="0" y="0"/>
              </a:moveTo>
              <a:lnTo>
                <a:pt x="0" y="448459"/>
              </a:lnTo>
              <a:lnTo>
                <a:pt x="222829" y="448459"/>
              </a:lnTo>
            </a:path>
          </a:pathLst>
        </a:custGeom>
      </dgm:spPr>
      <dgm:t>
        <a:bodyPr/>
        <a:lstStyle/>
        <a:p>
          <a:pPr algn="ctr"/>
          <a:endParaRPr lang="en-AU"/>
        </a:p>
      </dgm:t>
    </dgm:pt>
    <dgm:pt modelId="{BB662A91-7770-4780-88C7-2FDCC4C8EC68}" type="sibTrans" cxnId="{F9677297-6DE1-4305-90A5-64E8FF309EF1}">
      <dgm:prSet/>
      <dgm:spPr/>
      <dgm:t>
        <a:bodyPr/>
        <a:lstStyle/>
        <a:p>
          <a:pPr algn="ctr"/>
          <a:endParaRPr lang="en-AU"/>
        </a:p>
      </dgm:t>
    </dgm:pt>
    <dgm:pt modelId="{04A09E06-118D-4306-8C83-53B003C4B398}">
      <dgm:prSet custT="1"/>
      <dgm:spPr>
        <a:xfrm>
          <a:off x="3213551" y="2016617"/>
          <a:ext cx="2045306" cy="609872"/>
        </a:xfrm>
        <a:prstGeom prst="rect">
          <a:avLst/>
        </a:prstGeom>
      </dgm:spPr>
      <dgm:t>
        <a:bodyPr lIns="108000" tIns="72000" rIns="108000" bIns="72000"/>
        <a:lstStyle/>
        <a:p>
          <a:pPr algn="ctr">
            <a:buNone/>
          </a:pPr>
          <a:r>
            <a:rPr lang="en-AU" sz="1000">
              <a:latin typeface="Calibri" panose="020F0502020204030204"/>
              <a:ea typeface="+mn-ea"/>
              <a:cs typeface="+mn-cs"/>
            </a:rPr>
            <a:t>Completed both pre- &amp; post- questionnaires</a:t>
          </a:r>
          <a:br>
            <a:rPr lang="en-AU" sz="1000">
              <a:latin typeface="Calibri" panose="020F0502020204030204"/>
              <a:ea typeface="+mn-ea"/>
              <a:cs typeface="+mn-cs"/>
            </a:rPr>
          </a:br>
          <a:r>
            <a:rPr lang="en-AU" sz="1000">
              <a:latin typeface="Calibri" panose="020F0502020204030204"/>
              <a:ea typeface="+mn-ea"/>
              <a:cs typeface="+mn-cs"/>
            </a:rPr>
            <a:t>n = 141</a:t>
          </a:r>
        </a:p>
      </dgm:t>
    </dgm:pt>
    <dgm:pt modelId="{5862249E-0B6C-4325-BD4D-CDC680D22E92}" type="parTrans" cxnId="{A24F4467-8D25-4EFA-8B92-0A46D4DD650C}">
      <dgm:prSet/>
      <dgm:spPr>
        <a:xfrm>
          <a:off x="2990722" y="1119697"/>
          <a:ext cx="222829" cy="1201855"/>
        </a:xfrm>
        <a:custGeom>
          <a:avLst/>
          <a:gdLst/>
          <a:ahLst/>
          <a:cxnLst/>
          <a:rect l="0" t="0" r="0" b="0"/>
          <a:pathLst>
            <a:path>
              <a:moveTo>
                <a:pt x="0" y="0"/>
              </a:moveTo>
              <a:lnTo>
                <a:pt x="0" y="1201855"/>
              </a:lnTo>
              <a:lnTo>
                <a:pt x="222829" y="1201855"/>
              </a:lnTo>
            </a:path>
          </a:pathLst>
        </a:custGeom>
      </dgm:spPr>
      <dgm:t>
        <a:bodyPr/>
        <a:lstStyle/>
        <a:p>
          <a:pPr algn="ctr"/>
          <a:endParaRPr lang="en-AU"/>
        </a:p>
      </dgm:t>
    </dgm:pt>
    <dgm:pt modelId="{E5DF09FA-9F64-4559-AD82-604B6AFF30AE}" type="sibTrans" cxnId="{A24F4467-8D25-4EFA-8B92-0A46D4DD650C}">
      <dgm:prSet/>
      <dgm:spPr/>
      <dgm:t>
        <a:bodyPr/>
        <a:lstStyle/>
        <a:p>
          <a:pPr algn="ctr"/>
          <a:endParaRPr lang="en-AU"/>
        </a:p>
      </dgm:t>
    </dgm:pt>
    <dgm:pt modelId="{F11C0916-EEA9-4123-9B3D-96D5E183BC88}">
      <dgm:prSet custT="1"/>
      <dgm:spPr>
        <a:xfrm>
          <a:off x="3213551" y="2770013"/>
          <a:ext cx="2045306" cy="609872"/>
        </a:xfrm>
        <a:prstGeom prst="rect">
          <a:avLst/>
        </a:prstGeom>
      </dgm:spPr>
      <dgm:t>
        <a:bodyPr lIns="108000" tIns="72000" rIns="108000" bIns="72000"/>
        <a:lstStyle/>
        <a:p>
          <a:pPr algn="ctr">
            <a:buNone/>
          </a:pPr>
          <a:r>
            <a:rPr lang="en-AU" sz="1000">
              <a:latin typeface="Calibri" panose="020F0502020204030204"/>
              <a:ea typeface="+mn-ea"/>
              <a:cs typeface="+mn-cs"/>
            </a:rPr>
            <a:t>Consent withdrawn / removed from data</a:t>
          </a:r>
          <a:br>
            <a:rPr lang="en-AU" sz="1000">
              <a:latin typeface="Calibri" panose="020F0502020204030204"/>
              <a:ea typeface="+mn-ea"/>
              <a:cs typeface="+mn-cs"/>
            </a:rPr>
          </a:br>
          <a:r>
            <a:rPr lang="en-AU" sz="1050">
              <a:latin typeface="Calibri" panose="020F0502020204030204"/>
              <a:ea typeface="+mn-ea"/>
              <a:cs typeface="+mn-cs"/>
            </a:rPr>
            <a:t>n = 2</a:t>
          </a:r>
          <a:endParaRPr lang="en-AU" sz="1000">
            <a:latin typeface="Calibri" panose="020F0502020204030204"/>
            <a:ea typeface="+mn-ea"/>
            <a:cs typeface="+mn-cs"/>
          </a:endParaRPr>
        </a:p>
      </dgm:t>
    </dgm:pt>
    <dgm:pt modelId="{8178D595-A67B-44B3-918C-641AAB0C9593}" type="parTrans" cxnId="{0DF32D65-65A8-4610-8E28-B0868DDE7DC9}">
      <dgm:prSet/>
      <dgm:spPr>
        <a:xfrm>
          <a:off x="2990722" y="1119697"/>
          <a:ext cx="222829" cy="1955252"/>
        </a:xfrm>
        <a:custGeom>
          <a:avLst/>
          <a:gdLst/>
          <a:ahLst/>
          <a:cxnLst/>
          <a:rect l="0" t="0" r="0" b="0"/>
          <a:pathLst>
            <a:path>
              <a:moveTo>
                <a:pt x="0" y="0"/>
              </a:moveTo>
              <a:lnTo>
                <a:pt x="0" y="1955252"/>
              </a:lnTo>
              <a:lnTo>
                <a:pt x="222829" y="1955252"/>
              </a:lnTo>
            </a:path>
          </a:pathLst>
        </a:custGeom>
      </dgm:spPr>
      <dgm:t>
        <a:bodyPr/>
        <a:lstStyle/>
        <a:p>
          <a:pPr algn="ctr"/>
          <a:endParaRPr lang="en-AU"/>
        </a:p>
      </dgm:t>
    </dgm:pt>
    <dgm:pt modelId="{F1F6DD2E-3B07-448A-8313-BB4167736CBE}" type="sibTrans" cxnId="{0DF32D65-65A8-4610-8E28-B0868DDE7DC9}">
      <dgm:prSet/>
      <dgm:spPr/>
      <dgm:t>
        <a:bodyPr/>
        <a:lstStyle/>
        <a:p>
          <a:pPr algn="ctr"/>
          <a:endParaRPr lang="en-AU"/>
        </a:p>
      </dgm:t>
    </dgm:pt>
    <dgm:pt modelId="{6F25D1FA-3BEB-4A12-AC66-083CBD42FDE9}">
      <dgm:prSet custT="1"/>
      <dgm:spPr>
        <a:xfrm>
          <a:off x="3238189" y="3523409"/>
          <a:ext cx="2045306" cy="609872"/>
        </a:xfrm>
        <a:prstGeom prst="rect">
          <a:avLst/>
        </a:prstGeom>
      </dgm:spPr>
      <dgm:t>
        <a:bodyPr lIns="108000" tIns="251999" rIns="108000" bIns="72000" anchor="ctr" anchorCtr="0"/>
        <a:lstStyle/>
        <a:p>
          <a:pPr algn="ctr">
            <a:buNone/>
          </a:pPr>
          <a:r>
            <a:rPr lang="en-AU" sz="1000" b="1">
              <a:latin typeface="Calibri" panose="020F0502020204030204"/>
              <a:ea typeface="+mn-ea"/>
              <a:cs typeface="+mn-cs"/>
            </a:rPr>
            <a:t>Total face-to-face sample</a:t>
          </a:r>
          <a:br>
            <a:rPr lang="en-AU" sz="1000" b="1">
              <a:latin typeface="Calibri" panose="020F0502020204030204"/>
              <a:ea typeface="+mn-ea"/>
              <a:cs typeface="+mn-cs"/>
            </a:rPr>
          </a:br>
          <a:r>
            <a:rPr lang="en-AU" sz="1000" b="1">
              <a:latin typeface="Calibri" panose="020F0502020204030204"/>
              <a:ea typeface="+mn-ea"/>
              <a:cs typeface="+mn-cs"/>
            </a:rPr>
            <a:t>n = 139</a:t>
          </a:r>
        </a:p>
        <a:p>
          <a:pPr algn="ctr">
            <a:buNone/>
          </a:pPr>
          <a:r>
            <a:rPr lang="en-AU" sz="900">
              <a:latin typeface="Calibri" panose="020F0502020204030204"/>
              <a:ea typeface="+mn-ea"/>
              <a:cs typeface="+mn-cs"/>
            </a:rPr>
            <a:t>Female = 108; Male = 30; Other = 1</a:t>
          </a:r>
          <a:br>
            <a:rPr lang="en-AU" sz="1000">
              <a:latin typeface="Calibri" panose="020F0502020204030204"/>
              <a:ea typeface="+mn-ea"/>
              <a:cs typeface="+mn-cs"/>
            </a:rPr>
          </a:br>
          <a:endParaRPr lang="en-AU" sz="1000">
            <a:latin typeface="Calibri" panose="020F0502020204030204"/>
            <a:ea typeface="+mn-ea"/>
            <a:cs typeface="+mn-cs"/>
          </a:endParaRPr>
        </a:p>
      </dgm:t>
    </dgm:pt>
    <dgm:pt modelId="{7B88F26E-93C9-48FD-8345-F804C264422F}" type="parTrans" cxnId="{813CCBED-6F25-4E6E-8F64-227DA1378125}">
      <dgm:prSet/>
      <dgm:spPr>
        <a:xfrm>
          <a:off x="2990722" y="1119697"/>
          <a:ext cx="247467" cy="2708648"/>
        </a:xfrm>
        <a:custGeom>
          <a:avLst/>
          <a:gdLst/>
          <a:ahLst/>
          <a:cxnLst/>
          <a:rect l="0" t="0" r="0" b="0"/>
          <a:pathLst>
            <a:path>
              <a:moveTo>
                <a:pt x="0" y="0"/>
              </a:moveTo>
              <a:lnTo>
                <a:pt x="0" y="2708648"/>
              </a:lnTo>
              <a:lnTo>
                <a:pt x="247467" y="2708648"/>
              </a:lnTo>
            </a:path>
          </a:pathLst>
        </a:custGeom>
      </dgm:spPr>
      <dgm:t>
        <a:bodyPr/>
        <a:lstStyle/>
        <a:p>
          <a:pPr algn="ctr"/>
          <a:endParaRPr lang="en-AU"/>
        </a:p>
      </dgm:t>
    </dgm:pt>
    <dgm:pt modelId="{7B116320-71BC-4215-A430-8383C33FB683}" type="sibTrans" cxnId="{813CCBED-6F25-4E6E-8F64-227DA1378125}">
      <dgm:prSet/>
      <dgm:spPr/>
      <dgm:t>
        <a:bodyPr/>
        <a:lstStyle/>
        <a:p>
          <a:pPr algn="ctr"/>
          <a:endParaRPr lang="en-AU"/>
        </a:p>
      </dgm:t>
    </dgm:pt>
    <dgm:pt modelId="{F9F8B4BC-EA25-4D20-828C-905A467E3960}">
      <dgm:prSet custT="1"/>
      <dgm:spPr>
        <a:xfrm>
          <a:off x="201125" y="1263220"/>
          <a:ext cx="2045306" cy="609872"/>
        </a:xfrm>
        <a:prstGeom prst="rect">
          <a:avLst/>
        </a:prstGeom>
      </dgm:spPr>
      <dgm:t>
        <a:bodyPr lIns="108000" tIns="72000" rIns="108000" bIns="72000"/>
        <a:lstStyle/>
        <a:p>
          <a:pPr algn="ctr">
            <a:buNone/>
          </a:pPr>
          <a:r>
            <a:rPr lang="en-AU" sz="1000">
              <a:latin typeface="Calibri" panose="020F0502020204030204"/>
              <a:ea typeface="+mn-ea"/>
              <a:cs typeface="+mn-cs"/>
            </a:rPr>
            <a:t>Consented to take part</a:t>
          </a:r>
          <a:br>
            <a:rPr lang="en-AU" sz="1000">
              <a:latin typeface="Calibri" panose="020F0502020204030204"/>
              <a:ea typeface="+mn-ea"/>
              <a:cs typeface="+mn-cs"/>
            </a:rPr>
          </a:br>
          <a:r>
            <a:rPr lang="en-AU" sz="1000">
              <a:latin typeface="Calibri" panose="020F0502020204030204"/>
              <a:ea typeface="+mn-ea"/>
              <a:cs typeface="+mn-cs"/>
            </a:rPr>
            <a:t> in research</a:t>
          </a:r>
          <a:br>
            <a:rPr lang="en-AU" sz="1000">
              <a:latin typeface="Calibri" panose="020F0502020204030204"/>
              <a:ea typeface="+mn-ea"/>
              <a:cs typeface="+mn-cs"/>
            </a:rPr>
          </a:br>
          <a:r>
            <a:rPr lang="en-AU" sz="1000">
              <a:latin typeface="Calibri" panose="020F0502020204030204"/>
              <a:ea typeface="+mn-ea"/>
              <a:cs typeface="+mn-cs"/>
            </a:rPr>
            <a:t>n = 86</a:t>
          </a:r>
        </a:p>
      </dgm:t>
    </dgm:pt>
    <dgm:pt modelId="{1A7FA6E3-7DEB-4CC3-A779-4B3146ED3970}" type="parTrans" cxnId="{BF3C60EC-899B-4F4B-9E1A-D6C720172C01}">
      <dgm:prSet/>
      <dgm:spPr>
        <a:xfrm>
          <a:off x="2246431" y="1119697"/>
          <a:ext cx="271328" cy="448459"/>
        </a:xfrm>
        <a:custGeom>
          <a:avLst/>
          <a:gdLst/>
          <a:ahLst/>
          <a:cxnLst/>
          <a:rect l="0" t="0" r="0" b="0"/>
          <a:pathLst>
            <a:path>
              <a:moveTo>
                <a:pt x="271328" y="0"/>
              </a:moveTo>
              <a:lnTo>
                <a:pt x="271328" y="448459"/>
              </a:lnTo>
              <a:lnTo>
                <a:pt x="0" y="448459"/>
              </a:lnTo>
            </a:path>
          </a:pathLst>
        </a:custGeom>
      </dgm:spPr>
      <dgm:t>
        <a:bodyPr/>
        <a:lstStyle/>
        <a:p>
          <a:pPr algn="ctr"/>
          <a:endParaRPr lang="en-AU"/>
        </a:p>
      </dgm:t>
    </dgm:pt>
    <dgm:pt modelId="{163328EC-2DB8-471E-9DAA-6F6CABE1D447}" type="sibTrans" cxnId="{BF3C60EC-899B-4F4B-9E1A-D6C720172C01}">
      <dgm:prSet/>
      <dgm:spPr/>
      <dgm:t>
        <a:bodyPr/>
        <a:lstStyle/>
        <a:p>
          <a:pPr algn="ctr"/>
          <a:endParaRPr lang="en-AU"/>
        </a:p>
      </dgm:t>
    </dgm:pt>
    <dgm:pt modelId="{65C80382-5CAC-484E-BC14-DD3A0AD94689}">
      <dgm:prSet custT="1"/>
      <dgm:spPr>
        <a:xfrm>
          <a:off x="201125" y="2016617"/>
          <a:ext cx="2045306" cy="609872"/>
        </a:xfrm>
        <a:prstGeom prst="rect">
          <a:avLst/>
        </a:prstGeom>
      </dgm:spPr>
      <dgm:t>
        <a:bodyPr lIns="108000" tIns="72000" rIns="108000" bIns="72000"/>
        <a:lstStyle/>
        <a:p>
          <a:pPr algn="ctr">
            <a:buNone/>
          </a:pPr>
          <a:r>
            <a:rPr lang="en-AU" sz="1000">
              <a:latin typeface="Calibri" panose="020F0502020204030204"/>
              <a:ea typeface="+mn-ea"/>
              <a:cs typeface="+mn-cs"/>
            </a:rPr>
            <a:t>Completed both pre- &amp; post- questionnaires</a:t>
          </a:r>
          <a:br>
            <a:rPr lang="en-AU" sz="1000">
              <a:latin typeface="Calibri" panose="020F0502020204030204"/>
              <a:ea typeface="+mn-ea"/>
              <a:cs typeface="+mn-cs"/>
            </a:rPr>
          </a:br>
          <a:r>
            <a:rPr lang="en-AU" sz="1000">
              <a:latin typeface="Calibri" panose="020F0502020204030204"/>
              <a:ea typeface="+mn-ea"/>
              <a:cs typeface="+mn-cs"/>
            </a:rPr>
            <a:t>n = 57</a:t>
          </a:r>
        </a:p>
      </dgm:t>
    </dgm:pt>
    <dgm:pt modelId="{6DD57259-73D1-43E0-9551-70B5669A6E6E}" type="parTrans" cxnId="{45CD4863-19D4-4710-9A0E-FB6554ECD578}">
      <dgm:prSet/>
      <dgm:spPr>
        <a:xfrm>
          <a:off x="2246431" y="1119697"/>
          <a:ext cx="271328" cy="1201855"/>
        </a:xfrm>
        <a:custGeom>
          <a:avLst/>
          <a:gdLst/>
          <a:ahLst/>
          <a:cxnLst/>
          <a:rect l="0" t="0" r="0" b="0"/>
          <a:pathLst>
            <a:path>
              <a:moveTo>
                <a:pt x="271328" y="0"/>
              </a:moveTo>
              <a:lnTo>
                <a:pt x="271328" y="1201855"/>
              </a:lnTo>
              <a:lnTo>
                <a:pt x="0" y="1201855"/>
              </a:lnTo>
            </a:path>
          </a:pathLst>
        </a:custGeom>
      </dgm:spPr>
      <dgm:t>
        <a:bodyPr/>
        <a:lstStyle/>
        <a:p>
          <a:pPr algn="ctr"/>
          <a:endParaRPr lang="en-AU"/>
        </a:p>
      </dgm:t>
    </dgm:pt>
    <dgm:pt modelId="{31F488BB-9CA1-46AA-B6EC-206B7015E662}" type="sibTrans" cxnId="{45CD4863-19D4-4710-9A0E-FB6554ECD578}">
      <dgm:prSet/>
      <dgm:spPr/>
      <dgm:t>
        <a:bodyPr/>
        <a:lstStyle/>
        <a:p>
          <a:pPr algn="ctr"/>
          <a:endParaRPr lang="en-AU"/>
        </a:p>
      </dgm:t>
    </dgm:pt>
    <dgm:pt modelId="{0D25F018-0F6D-4AB7-8D7F-A4ECEF262990}">
      <dgm:prSet custT="1"/>
      <dgm:spPr>
        <a:xfrm>
          <a:off x="201125" y="2770013"/>
          <a:ext cx="2045306" cy="609872"/>
        </a:xfrm>
        <a:prstGeom prst="rect">
          <a:avLst/>
        </a:prstGeom>
      </dgm:spPr>
      <dgm:t>
        <a:bodyPr lIns="108000" tIns="72000" rIns="108000" bIns="72000"/>
        <a:lstStyle/>
        <a:p>
          <a:pPr algn="ctr">
            <a:buNone/>
          </a:pPr>
          <a:r>
            <a:rPr lang="en-AU" sz="1000">
              <a:latin typeface="Calibri" panose="020F0502020204030204"/>
              <a:ea typeface="+mn-ea"/>
              <a:cs typeface="+mn-cs"/>
            </a:rPr>
            <a:t>Consent withdrawn / removed</a:t>
          </a:r>
          <a:br>
            <a:rPr lang="en-AU" sz="1000">
              <a:latin typeface="Calibri" panose="020F0502020204030204"/>
              <a:ea typeface="+mn-ea"/>
              <a:cs typeface="+mn-cs"/>
            </a:rPr>
          </a:br>
          <a:r>
            <a:rPr lang="en-AU" sz="1000">
              <a:latin typeface="Calibri" panose="020F0502020204030204"/>
              <a:ea typeface="+mn-ea"/>
              <a:cs typeface="+mn-cs"/>
            </a:rPr>
            <a:t>from data</a:t>
          </a:r>
        </a:p>
        <a:p>
          <a:pPr algn="ctr">
            <a:buNone/>
          </a:pPr>
          <a:r>
            <a:rPr lang="en-AU" sz="1000">
              <a:latin typeface="Calibri" panose="020F0502020204030204"/>
              <a:ea typeface="+mn-ea"/>
              <a:cs typeface="+mn-cs"/>
            </a:rPr>
            <a:t>No participants withdrew consent</a:t>
          </a:r>
        </a:p>
      </dgm:t>
    </dgm:pt>
    <dgm:pt modelId="{8CF0CB60-2EE1-4B06-B8A6-83EF9BC476FA}" type="parTrans" cxnId="{0263D833-2D80-459A-A813-511BBECF6A32}">
      <dgm:prSet/>
      <dgm:spPr>
        <a:xfrm>
          <a:off x="2246431" y="1119697"/>
          <a:ext cx="271328" cy="1955252"/>
        </a:xfrm>
        <a:custGeom>
          <a:avLst/>
          <a:gdLst/>
          <a:ahLst/>
          <a:cxnLst/>
          <a:rect l="0" t="0" r="0" b="0"/>
          <a:pathLst>
            <a:path>
              <a:moveTo>
                <a:pt x="271328" y="0"/>
              </a:moveTo>
              <a:lnTo>
                <a:pt x="271328" y="1955252"/>
              </a:lnTo>
              <a:lnTo>
                <a:pt x="0" y="1955252"/>
              </a:lnTo>
            </a:path>
          </a:pathLst>
        </a:custGeom>
      </dgm:spPr>
      <dgm:t>
        <a:bodyPr/>
        <a:lstStyle/>
        <a:p>
          <a:pPr algn="ctr"/>
          <a:endParaRPr lang="en-AU"/>
        </a:p>
      </dgm:t>
    </dgm:pt>
    <dgm:pt modelId="{B88AC40F-BF89-43DD-9D1E-38FDE3944DCD}" type="sibTrans" cxnId="{0263D833-2D80-459A-A813-511BBECF6A32}">
      <dgm:prSet/>
      <dgm:spPr/>
      <dgm:t>
        <a:bodyPr/>
        <a:lstStyle/>
        <a:p>
          <a:pPr algn="ctr"/>
          <a:endParaRPr lang="en-AU"/>
        </a:p>
      </dgm:t>
    </dgm:pt>
    <dgm:pt modelId="{CB0945A7-CB46-4761-A69F-3828FEB8971D}">
      <dgm:prSet custT="1"/>
      <dgm:spPr>
        <a:xfrm>
          <a:off x="225763" y="3523409"/>
          <a:ext cx="2045306" cy="609872"/>
        </a:xfrm>
        <a:prstGeom prst="rect">
          <a:avLst/>
        </a:prstGeom>
      </dgm:spPr>
      <dgm:t>
        <a:bodyPr lIns="108000" tIns="36000" rIns="108000" bIns="72000" anchor="ctr" anchorCtr="0"/>
        <a:lstStyle/>
        <a:p>
          <a:pPr algn="ctr">
            <a:buNone/>
          </a:pPr>
          <a:r>
            <a:rPr lang="en-AU" sz="1000" b="1">
              <a:latin typeface="Calibri" panose="020F0502020204030204"/>
              <a:ea typeface="+mn-ea"/>
              <a:cs typeface="+mn-cs"/>
            </a:rPr>
            <a:t>Total online sample</a:t>
          </a:r>
          <a:br>
            <a:rPr lang="en-AU" sz="1000" b="1">
              <a:latin typeface="Calibri" panose="020F0502020204030204"/>
              <a:ea typeface="+mn-ea"/>
              <a:cs typeface="+mn-cs"/>
            </a:rPr>
          </a:br>
          <a:r>
            <a:rPr lang="en-AU" sz="1000" b="1">
              <a:latin typeface="Calibri" panose="020F0502020204030204"/>
              <a:ea typeface="+mn-ea"/>
              <a:cs typeface="+mn-cs"/>
            </a:rPr>
            <a:t> n= 57</a:t>
          </a:r>
        </a:p>
        <a:p>
          <a:pPr algn="ctr">
            <a:buNone/>
          </a:pPr>
          <a:r>
            <a:rPr lang="en-AU" sz="900">
              <a:latin typeface="Calibri" panose="020F0502020204030204"/>
              <a:ea typeface="+mn-ea"/>
              <a:cs typeface="+mn-cs"/>
            </a:rPr>
            <a:t>Female = 48; Male = 9; Other = 0 </a:t>
          </a:r>
        </a:p>
      </dgm:t>
    </dgm:pt>
    <dgm:pt modelId="{1E7D899D-4114-4DBF-9F30-F98F4E2AB036}" type="parTrans" cxnId="{5CC04B30-E19E-4049-909F-879C8D308D91}">
      <dgm:prSet/>
      <dgm:spPr>
        <a:xfrm>
          <a:off x="2271070" y="1119697"/>
          <a:ext cx="246690" cy="2708648"/>
        </a:xfrm>
        <a:custGeom>
          <a:avLst/>
          <a:gdLst/>
          <a:ahLst/>
          <a:cxnLst/>
          <a:rect l="0" t="0" r="0" b="0"/>
          <a:pathLst>
            <a:path>
              <a:moveTo>
                <a:pt x="246690" y="0"/>
              </a:moveTo>
              <a:lnTo>
                <a:pt x="246690" y="2708648"/>
              </a:lnTo>
              <a:lnTo>
                <a:pt x="0" y="2708648"/>
              </a:lnTo>
            </a:path>
          </a:pathLst>
        </a:custGeom>
      </dgm:spPr>
      <dgm:t>
        <a:bodyPr/>
        <a:lstStyle/>
        <a:p>
          <a:pPr algn="ctr"/>
          <a:endParaRPr lang="en-AU"/>
        </a:p>
      </dgm:t>
    </dgm:pt>
    <dgm:pt modelId="{3FF755E4-D701-41D4-A3C8-6A69C7ED2C00}" type="sibTrans" cxnId="{5CC04B30-E19E-4049-909F-879C8D308D91}">
      <dgm:prSet/>
      <dgm:spPr/>
      <dgm:t>
        <a:bodyPr/>
        <a:lstStyle/>
        <a:p>
          <a:pPr algn="ctr"/>
          <a:endParaRPr lang="en-AU"/>
        </a:p>
      </dgm:t>
    </dgm:pt>
    <dgm:pt modelId="{A84384F8-439A-474A-9A9D-2FED61A2D21F}" type="pres">
      <dgm:prSet presAssocID="{519F941C-1D9D-4AAA-8994-EFEDF709BBC2}" presName="hierChild1" presStyleCnt="0">
        <dgm:presLayoutVars>
          <dgm:orgChart val="1"/>
          <dgm:chPref val="1"/>
          <dgm:dir/>
          <dgm:animOne val="branch"/>
          <dgm:animLvl val="lvl"/>
          <dgm:resizeHandles/>
        </dgm:presLayoutVars>
      </dgm:prSet>
      <dgm:spPr/>
    </dgm:pt>
    <dgm:pt modelId="{603C76F9-7FE1-4476-A8F7-5D47AF8230BE}" type="pres">
      <dgm:prSet presAssocID="{B93B89ED-9472-497F-A51B-144C26049DAB}" presName="hierRoot1" presStyleCnt="0">
        <dgm:presLayoutVars>
          <dgm:hierBranch val="init"/>
        </dgm:presLayoutVars>
      </dgm:prSet>
      <dgm:spPr/>
    </dgm:pt>
    <dgm:pt modelId="{7ABED8F7-F3FB-4410-BA04-BA70A9E571AD}" type="pres">
      <dgm:prSet presAssocID="{B93B89ED-9472-497F-A51B-144C26049DAB}" presName="rootComposite1" presStyleCnt="0"/>
      <dgm:spPr/>
    </dgm:pt>
    <dgm:pt modelId="{99CC276A-A234-4ECB-89F1-E4A1ACA42BFA}" type="pres">
      <dgm:prSet presAssocID="{B93B89ED-9472-497F-A51B-144C26049DAB}" presName="rootText1" presStyleLbl="node0" presStyleIdx="0" presStyleCnt="1" custScaleX="262882" custScaleY="142402">
        <dgm:presLayoutVars>
          <dgm:chPref val="3"/>
        </dgm:presLayoutVars>
      </dgm:prSet>
      <dgm:spPr/>
    </dgm:pt>
    <dgm:pt modelId="{0148C8EE-D356-4E0D-9D82-AA2F04738490}" type="pres">
      <dgm:prSet presAssocID="{B93B89ED-9472-497F-A51B-144C26049DAB}" presName="rootConnector1" presStyleLbl="node1" presStyleIdx="0" presStyleCnt="0"/>
      <dgm:spPr/>
    </dgm:pt>
    <dgm:pt modelId="{F74BAF5E-BB1F-4C5C-BD33-D8AFD305F484}" type="pres">
      <dgm:prSet presAssocID="{B93B89ED-9472-497F-A51B-144C26049DAB}" presName="hierChild2" presStyleCnt="0"/>
      <dgm:spPr/>
    </dgm:pt>
    <dgm:pt modelId="{DE9E2AA4-10D8-4895-89E4-FE0ACA367C67}" type="pres">
      <dgm:prSet presAssocID="{070FA1FE-763D-4C64-A98C-C36DB7CEDD4A}" presName="Name37" presStyleLbl="parChTrans1D2" presStyleIdx="0" presStyleCnt="2"/>
      <dgm:spPr/>
    </dgm:pt>
    <dgm:pt modelId="{D4D1C80E-93F2-41D0-B84D-606272CC90FB}" type="pres">
      <dgm:prSet presAssocID="{F3A89A4D-444D-419B-91EE-9EC1D366EBAE}" presName="hierRoot2" presStyleCnt="0">
        <dgm:presLayoutVars>
          <dgm:hierBranch val="l"/>
        </dgm:presLayoutVars>
      </dgm:prSet>
      <dgm:spPr/>
    </dgm:pt>
    <dgm:pt modelId="{33BF66BA-C66B-41A2-861C-7303606E6196}" type="pres">
      <dgm:prSet presAssocID="{F3A89A4D-444D-419B-91EE-9EC1D366EBAE}" presName="rootComposite" presStyleCnt="0"/>
      <dgm:spPr/>
    </dgm:pt>
    <dgm:pt modelId="{60ABFC96-8C0F-43D4-9A0E-BFFFE8C8F813}" type="pres">
      <dgm:prSet presAssocID="{F3A89A4D-444D-419B-91EE-9EC1D366EBAE}" presName="rootText" presStyleLbl="node2" presStyleIdx="0" presStyleCnt="2" custScaleX="240634" custScaleY="142852">
        <dgm:presLayoutVars>
          <dgm:chPref val="3"/>
        </dgm:presLayoutVars>
      </dgm:prSet>
      <dgm:spPr/>
    </dgm:pt>
    <dgm:pt modelId="{3BCB9008-943B-4795-8363-BBC927AC67D1}" type="pres">
      <dgm:prSet presAssocID="{F3A89A4D-444D-419B-91EE-9EC1D366EBAE}" presName="rootConnector" presStyleLbl="node2" presStyleIdx="0" presStyleCnt="2"/>
      <dgm:spPr/>
    </dgm:pt>
    <dgm:pt modelId="{A64417BE-4069-4A86-B63B-A7A6EA9CF46F}" type="pres">
      <dgm:prSet presAssocID="{F3A89A4D-444D-419B-91EE-9EC1D366EBAE}" presName="hierChild4" presStyleCnt="0"/>
      <dgm:spPr/>
    </dgm:pt>
    <dgm:pt modelId="{BD3580E3-B811-4A0A-A2B4-6A465F789656}" type="pres">
      <dgm:prSet presAssocID="{1A7FA6E3-7DEB-4CC3-A779-4B3146ED3970}" presName="Name50" presStyleLbl="parChTrans1D3" presStyleIdx="0" presStyleCnt="8"/>
      <dgm:spPr/>
    </dgm:pt>
    <dgm:pt modelId="{FB2568A6-B6DF-44D8-9A3B-0DDBC177523A}" type="pres">
      <dgm:prSet presAssocID="{F9F8B4BC-EA25-4D20-828C-905A467E3960}" presName="hierRoot2" presStyleCnt="0">
        <dgm:presLayoutVars>
          <dgm:hierBranch val="l"/>
        </dgm:presLayoutVars>
      </dgm:prSet>
      <dgm:spPr/>
    </dgm:pt>
    <dgm:pt modelId="{FC77E90C-13BD-4E03-9170-0884A2BA29CD}" type="pres">
      <dgm:prSet presAssocID="{F9F8B4BC-EA25-4D20-828C-905A467E3960}" presName="rootComposite" presStyleCnt="0"/>
      <dgm:spPr/>
    </dgm:pt>
    <dgm:pt modelId="{0F7198E5-2BE4-4D19-A6E3-9ED5BE77E593}" type="pres">
      <dgm:prSet presAssocID="{F9F8B4BC-EA25-4D20-828C-905A467E3960}" presName="rootText" presStyleLbl="node3" presStyleIdx="0" presStyleCnt="8" custScaleX="299264" custScaleY="178470" custLinFactNeighborX="-3605">
        <dgm:presLayoutVars>
          <dgm:chPref val="3"/>
        </dgm:presLayoutVars>
      </dgm:prSet>
      <dgm:spPr/>
    </dgm:pt>
    <dgm:pt modelId="{3E2A086A-8388-4BA3-99A5-4671E322DCAD}" type="pres">
      <dgm:prSet presAssocID="{F9F8B4BC-EA25-4D20-828C-905A467E3960}" presName="rootConnector" presStyleLbl="node3" presStyleIdx="0" presStyleCnt="8"/>
      <dgm:spPr/>
    </dgm:pt>
    <dgm:pt modelId="{F2513A86-A3BC-4BBC-B3F2-E8AEB3E70E9F}" type="pres">
      <dgm:prSet presAssocID="{F9F8B4BC-EA25-4D20-828C-905A467E3960}" presName="hierChild4" presStyleCnt="0"/>
      <dgm:spPr/>
    </dgm:pt>
    <dgm:pt modelId="{FF26D8BC-E05B-421A-ABF8-A28BFA02BE21}" type="pres">
      <dgm:prSet presAssocID="{F9F8B4BC-EA25-4D20-828C-905A467E3960}" presName="hierChild5" presStyleCnt="0"/>
      <dgm:spPr/>
    </dgm:pt>
    <dgm:pt modelId="{787108E0-BB6D-4457-84B4-9C76E17EE96C}" type="pres">
      <dgm:prSet presAssocID="{6DD57259-73D1-43E0-9551-70B5669A6E6E}" presName="Name50" presStyleLbl="parChTrans1D3" presStyleIdx="1" presStyleCnt="8"/>
      <dgm:spPr/>
    </dgm:pt>
    <dgm:pt modelId="{6B48D45E-EF8D-45A3-A250-4468C6678235}" type="pres">
      <dgm:prSet presAssocID="{65C80382-5CAC-484E-BC14-DD3A0AD94689}" presName="hierRoot2" presStyleCnt="0">
        <dgm:presLayoutVars>
          <dgm:hierBranch val="init"/>
        </dgm:presLayoutVars>
      </dgm:prSet>
      <dgm:spPr/>
    </dgm:pt>
    <dgm:pt modelId="{030FD2E4-32AB-4650-9535-D6DD3B2B8306}" type="pres">
      <dgm:prSet presAssocID="{65C80382-5CAC-484E-BC14-DD3A0AD94689}" presName="rootComposite" presStyleCnt="0"/>
      <dgm:spPr/>
    </dgm:pt>
    <dgm:pt modelId="{78E41C50-5C57-4762-81E7-1173A16B286D}" type="pres">
      <dgm:prSet presAssocID="{65C80382-5CAC-484E-BC14-DD3A0AD94689}" presName="rootText" presStyleLbl="node3" presStyleIdx="1" presStyleCnt="8" custScaleX="299264" custScaleY="178470" custLinFactNeighborX="-3605">
        <dgm:presLayoutVars>
          <dgm:chPref val="3"/>
        </dgm:presLayoutVars>
      </dgm:prSet>
      <dgm:spPr/>
    </dgm:pt>
    <dgm:pt modelId="{14EDF829-DED3-4737-A830-814E90D8EBFA}" type="pres">
      <dgm:prSet presAssocID="{65C80382-5CAC-484E-BC14-DD3A0AD94689}" presName="rootConnector" presStyleLbl="node3" presStyleIdx="1" presStyleCnt="8"/>
      <dgm:spPr/>
    </dgm:pt>
    <dgm:pt modelId="{E4EA0FF6-15F5-406C-B017-1D168AF2CFE3}" type="pres">
      <dgm:prSet presAssocID="{65C80382-5CAC-484E-BC14-DD3A0AD94689}" presName="hierChild4" presStyleCnt="0"/>
      <dgm:spPr/>
    </dgm:pt>
    <dgm:pt modelId="{C854C60C-0340-429F-BDB9-EA01B1E46A87}" type="pres">
      <dgm:prSet presAssocID="{65C80382-5CAC-484E-BC14-DD3A0AD94689}" presName="hierChild5" presStyleCnt="0"/>
      <dgm:spPr/>
    </dgm:pt>
    <dgm:pt modelId="{D772D91A-C443-48A7-B91D-A53C950FAAAA}" type="pres">
      <dgm:prSet presAssocID="{8CF0CB60-2EE1-4B06-B8A6-83EF9BC476FA}" presName="Name50" presStyleLbl="parChTrans1D3" presStyleIdx="2" presStyleCnt="8"/>
      <dgm:spPr/>
    </dgm:pt>
    <dgm:pt modelId="{7B1A6D16-AC02-48E1-8A26-1A355B77AAE1}" type="pres">
      <dgm:prSet presAssocID="{0D25F018-0F6D-4AB7-8D7F-A4ECEF262990}" presName="hierRoot2" presStyleCnt="0">
        <dgm:presLayoutVars>
          <dgm:hierBranch val="init"/>
        </dgm:presLayoutVars>
      </dgm:prSet>
      <dgm:spPr/>
    </dgm:pt>
    <dgm:pt modelId="{66BED1A3-1E00-4C0B-BF73-121DAB9CA2D7}" type="pres">
      <dgm:prSet presAssocID="{0D25F018-0F6D-4AB7-8D7F-A4ECEF262990}" presName="rootComposite" presStyleCnt="0"/>
      <dgm:spPr/>
    </dgm:pt>
    <dgm:pt modelId="{8B0CD91D-3FAF-4496-A1CA-8578EF9E2E00}" type="pres">
      <dgm:prSet presAssocID="{0D25F018-0F6D-4AB7-8D7F-A4ECEF262990}" presName="rootText" presStyleLbl="node3" presStyleIdx="2" presStyleCnt="8" custScaleX="299264" custScaleY="178470" custLinFactNeighborX="-3605">
        <dgm:presLayoutVars>
          <dgm:chPref val="3"/>
        </dgm:presLayoutVars>
      </dgm:prSet>
      <dgm:spPr/>
    </dgm:pt>
    <dgm:pt modelId="{1592234B-D72E-49A8-88F1-4B47A44493E6}" type="pres">
      <dgm:prSet presAssocID="{0D25F018-0F6D-4AB7-8D7F-A4ECEF262990}" presName="rootConnector" presStyleLbl="node3" presStyleIdx="2" presStyleCnt="8"/>
      <dgm:spPr/>
    </dgm:pt>
    <dgm:pt modelId="{D32956D0-D09F-4B7A-9CCC-E06A81C76488}" type="pres">
      <dgm:prSet presAssocID="{0D25F018-0F6D-4AB7-8D7F-A4ECEF262990}" presName="hierChild4" presStyleCnt="0"/>
      <dgm:spPr/>
    </dgm:pt>
    <dgm:pt modelId="{54401CB7-B149-4AEB-8273-C96B9143DAB5}" type="pres">
      <dgm:prSet presAssocID="{0D25F018-0F6D-4AB7-8D7F-A4ECEF262990}" presName="hierChild5" presStyleCnt="0"/>
      <dgm:spPr/>
    </dgm:pt>
    <dgm:pt modelId="{699804D2-2020-46BE-B0F2-9E4DFF811A3B}" type="pres">
      <dgm:prSet presAssocID="{1E7D899D-4114-4DBF-9F30-F98F4E2AB036}" presName="Name50" presStyleLbl="parChTrans1D3" presStyleIdx="3" presStyleCnt="8"/>
      <dgm:spPr/>
    </dgm:pt>
    <dgm:pt modelId="{D12DDC2C-6B2C-4AC0-BC40-6206D8BE6097}" type="pres">
      <dgm:prSet presAssocID="{CB0945A7-CB46-4761-A69F-3828FEB8971D}" presName="hierRoot2" presStyleCnt="0">
        <dgm:presLayoutVars>
          <dgm:hierBranch val="init"/>
        </dgm:presLayoutVars>
      </dgm:prSet>
      <dgm:spPr/>
    </dgm:pt>
    <dgm:pt modelId="{C3244D4A-3C8A-4BAB-8378-BA8F23514AC0}" type="pres">
      <dgm:prSet presAssocID="{CB0945A7-CB46-4761-A69F-3828FEB8971D}" presName="rootComposite" presStyleCnt="0"/>
      <dgm:spPr/>
    </dgm:pt>
    <dgm:pt modelId="{1BDE5D9E-D3C6-4501-90DE-BC6BF97656FB}" type="pres">
      <dgm:prSet presAssocID="{CB0945A7-CB46-4761-A69F-3828FEB8971D}" presName="rootText" presStyleLbl="node3" presStyleIdx="3" presStyleCnt="8" custScaleX="299264" custScaleY="178470">
        <dgm:presLayoutVars>
          <dgm:chPref val="3"/>
        </dgm:presLayoutVars>
      </dgm:prSet>
      <dgm:spPr/>
    </dgm:pt>
    <dgm:pt modelId="{5E366784-11E3-44EA-9E13-477038874CFA}" type="pres">
      <dgm:prSet presAssocID="{CB0945A7-CB46-4761-A69F-3828FEB8971D}" presName="rootConnector" presStyleLbl="node3" presStyleIdx="3" presStyleCnt="8"/>
      <dgm:spPr/>
    </dgm:pt>
    <dgm:pt modelId="{ACD135C5-33E2-47F0-A60B-5FACD37DBB4E}" type="pres">
      <dgm:prSet presAssocID="{CB0945A7-CB46-4761-A69F-3828FEB8971D}" presName="hierChild4" presStyleCnt="0"/>
      <dgm:spPr/>
    </dgm:pt>
    <dgm:pt modelId="{B256392B-E752-424F-B1E5-5A1CC79D8719}" type="pres">
      <dgm:prSet presAssocID="{CB0945A7-CB46-4761-A69F-3828FEB8971D}" presName="hierChild5" presStyleCnt="0"/>
      <dgm:spPr/>
    </dgm:pt>
    <dgm:pt modelId="{FB4FC930-23C6-417A-9107-56F7B75F41E7}" type="pres">
      <dgm:prSet presAssocID="{F3A89A4D-444D-419B-91EE-9EC1D366EBAE}" presName="hierChild5" presStyleCnt="0"/>
      <dgm:spPr/>
    </dgm:pt>
    <dgm:pt modelId="{DBB6E8D0-A1B9-4720-93A3-0EE04420555B}" type="pres">
      <dgm:prSet presAssocID="{770BCBEA-206B-4B1E-84EB-1A96B8BFD2E0}" presName="Name37" presStyleLbl="parChTrans1D2" presStyleIdx="1" presStyleCnt="2"/>
      <dgm:spPr/>
    </dgm:pt>
    <dgm:pt modelId="{1CA27C1E-CCA9-4046-9B50-45B4DEB061E9}" type="pres">
      <dgm:prSet presAssocID="{E59347A5-5A73-4413-A618-FFB588584489}" presName="hierRoot2" presStyleCnt="0">
        <dgm:presLayoutVars>
          <dgm:hierBranch val="init"/>
        </dgm:presLayoutVars>
      </dgm:prSet>
      <dgm:spPr/>
    </dgm:pt>
    <dgm:pt modelId="{53869EA4-BB2D-40B7-8C24-46956B8FD54A}" type="pres">
      <dgm:prSet presAssocID="{E59347A5-5A73-4413-A618-FFB588584489}" presName="rootComposite" presStyleCnt="0"/>
      <dgm:spPr/>
    </dgm:pt>
    <dgm:pt modelId="{D6791699-7A41-44E7-89C4-77B4D91C9131}" type="pres">
      <dgm:prSet presAssocID="{E59347A5-5A73-4413-A618-FFB588584489}" presName="rootText" presStyleLbl="node2" presStyleIdx="1" presStyleCnt="2" custScaleX="241392" custScaleY="142852">
        <dgm:presLayoutVars>
          <dgm:chPref val="3"/>
        </dgm:presLayoutVars>
      </dgm:prSet>
      <dgm:spPr/>
    </dgm:pt>
    <dgm:pt modelId="{28F8EA95-EB28-4154-A89D-B9CFF3173B5C}" type="pres">
      <dgm:prSet presAssocID="{E59347A5-5A73-4413-A618-FFB588584489}" presName="rootConnector" presStyleLbl="node2" presStyleIdx="1" presStyleCnt="2"/>
      <dgm:spPr/>
    </dgm:pt>
    <dgm:pt modelId="{9B83DE2A-2660-4D7E-8EB1-82350C90528F}" type="pres">
      <dgm:prSet presAssocID="{E59347A5-5A73-4413-A618-FFB588584489}" presName="hierChild4" presStyleCnt="0"/>
      <dgm:spPr/>
    </dgm:pt>
    <dgm:pt modelId="{F31F90B8-5E61-402F-A965-F962D65660F3}" type="pres">
      <dgm:prSet presAssocID="{DA02EDB0-1E52-45CF-984F-F5706F16F298}" presName="Name37" presStyleLbl="parChTrans1D3" presStyleIdx="4" presStyleCnt="8"/>
      <dgm:spPr/>
    </dgm:pt>
    <dgm:pt modelId="{1867F0F6-1B77-4506-8486-E57892214F0D}" type="pres">
      <dgm:prSet presAssocID="{6C6BB43F-67A6-4177-8443-B22D4E8E2DE9}" presName="hierRoot2" presStyleCnt="0">
        <dgm:presLayoutVars>
          <dgm:hierBranch val="init"/>
        </dgm:presLayoutVars>
      </dgm:prSet>
      <dgm:spPr/>
    </dgm:pt>
    <dgm:pt modelId="{04D3A29D-D5A3-4095-9578-1B55E41A26E7}" type="pres">
      <dgm:prSet presAssocID="{6C6BB43F-67A6-4177-8443-B22D4E8E2DE9}" presName="rootComposite" presStyleCnt="0"/>
      <dgm:spPr/>
    </dgm:pt>
    <dgm:pt modelId="{27A15F4E-7102-4CF5-9ED3-C01571DFE64A}" type="pres">
      <dgm:prSet presAssocID="{6C6BB43F-67A6-4177-8443-B22D4E8E2DE9}" presName="rootText" presStyleLbl="node3" presStyleIdx="4" presStyleCnt="8" custScaleX="299264" custScaleY="178470" custLinFactNeighborX="-3605">
        <dgm:presLayoutVars>
          <dgm:chPref val="3"/>
        </dgm:presLayoutVars>
      </dgm:prSet>
      <dgm:spPr/>
    </dgm:pt>
    <dgm:pt modelId="{FA7A24CA-EEAF-4335-B1D9-76490A234F5F}" type="pres">
      <dgm:prSet presAssocID="{6C6BB43F-67A6-4177-8443-B22D4E8E2DE9}" presName="rootConnector" presStyleLbl="node3" presStyleIdx="4" presStyleCnt="8"/>
      <dgm:spPr/>
    </dgm:pt>
    <dgm:pt modelId="{3ABC70BD-3446-42CC-91F1-6E00BF5E00C7}" type="pres">
      <dgm:prSet presAssocID="{6C6BB43F-67A6-4177-8443-B22D4E8E2DE9}" presName="hierChild4" presStyleCnt="0"/>
      <dgm:spPr/>
    </dgm:pt>
    <dgm:pt modelId="{058B0D3D-032D-4988-9EA4-E127142FB08C}" type="pres">
      <dgm:prSet presAssocID="{6C6BB43F-67A6-4177-8443-B22D4E8E2DE9}" presName="hierChild5" presStyleCnt="0"/>
      <dgm:spPr/>
    </dgm:pt>
    <dgm:pt modelId="{15858E8A-0C70-4B3D-8743-993F22B705F8}" type="pres">
      <dgm:prSet presAssocID="{5862249E-0B6C-4325-BD4D-CDC680D22E92}" presName="Name37" presStyleLbl="parChTrans1D3" presStyleIdx="5" presStyleCnt="8"/>
      <dgm:spPr/>
    </dgm:pt>
    <dgm:pt modelId="{A3BA1A92-2346-4C24-98E0-AE3850D3E640}" type="pres">
      <dgm:prSet presAssocID="{04A09E06-118D-4306-8C83-53B003C4B398}" presName="hierRoot2" presStyleCnt="0">
        <dgm:presLayoutVars>
          <dgm:hierBranch val="init"/>
        </dgm:presLayoutVars>
      </dgm:prSet>
      <dgm:spPr/>
    </dgm:pt>
    <dgm:pt modelId="{10BCC87E-B619-41EF-9647-0526BAC04590}" type="pres">
      <dgm:prSet presAssocID="{04A09E06-118D-4306-8C83-53B003C4B398}" presName="rootComposite" presStyleCnt="0"/>
      <dgm:spPr/>
    </dgm:pt>
    <dgm:pt modelId="{E574D6DF-FA10-4DFF-9889-4F4D58B15410}" type="pres">
      <dgm:prSet presAssocID="{04A09E06-118D-4306-8C83-53B003C4B398}" presName="rootText" presStyleLbl="node3" presStyleIdx="5" presStyleCnt="8" custScaleX="299264" custScaleY="178470" custLinFactNeighborX="-3605">
        <dgm:presLayoutVars>
          <dgm:chPref val="3"/>
        </dgm:presLayoutVars>
      </dgm:prSet>
      <dgm:spPr/>
    </dgm:pt>
    <dgm:pt modelId="{6703C454-21A7-4F3E-A00B-90505B24A587}" type="pres">
      <dgm:prSet presAssocID="{04A09E06-118D-4306-8C83-53B003C4B398}" presName="rootConnector" presStyleLbl="node3" presStyleIdx="5" presStyleCnt="8"/>
      <dgm:spPr/>
    </dgm:pt>
    <dgm:pt modelId="{FD1A2E4C-2842-402B-87C1-E10ECD327507}" type="pres">
      <dgm:prSet presAssocID="{04A09E06-118D-4306-8C83-53B003C4B398}" presName="hierChild4" presStyleCnt="0"/>
      <dgm:spPr/>
    </dgm:pt>
    <dgm:pt modelId="{644B7598-9196-428D-BA3A-7A906E40699E}" type="pres">
      <dgm:prSet presAssocID="{04A09E06-118D-4306-8C83-53B003C4B398}" presName="hierChild5" presStyleCnt="0"/>
      <dgm:spPr/>
    </dgm:pt>
    <dgm:pt modelId="{2E876C98-947F-4B41-B4DC-33EE42393C21}" type="pres">
      <dgm:prSet presAssocID="{8178D595-A67B-44B3-918C-641AAB0C9593}" presName="Name37" presStyleLbl="parChTrans1D3" presStyleIdx="6" presStyleCnt="8"/>
      <dgm:spPr/>
    </dgm:pt>
    <dgm:pt modelId="{D1266298-E20E-4DA7-B8F2-E6E792072843}" type="pres">
      <dgm:prSet presAssocID="{F11C0916-EEA9-4123-9B3D-96D5E183BC88}" presName="hierRoot2" presStyleCnt="0">
        <dgm:presLayoutVars>
          <dgm:hierBranch val="init"/>
        </dgm:presLayoutVars>
      </dgm:prSet>
      <dgm:spPr/>
    </dgm:pt>
    <dgm:pt modelId="{97ECA991-9289-4732-B3E5-4D0E5796947F}" type="pres">
      <dgm:prSet presAssocID="{F11C0916-EEA9-4123-9B3D-96D5E183BC88}" presName="rootComposite" presStyleCnt="0"/>
      <dgm:spPr/>
    </dgm:pt>
    <dgm:pt modelId="{E0D6B4B9-1E36-4FF7-8E89-0C83C4697495}" type="pres">
      <dgm:prSet presAssocID="{F11C0916-EEA9-4123-9B3D-96D5E183BC88}" presName="rootText" presStyleLbl="node3" presStyleIdx="6" presStyleCnt="8" custScaleX="299264" custScaleY="178470" custLinFactNeighborX="-3605">
        <dgm:presLayoutVars>
          <dgm:chPref val="3"/>
        </dgm:presLayoutVars>
      </dgm:prSet>
      <dgm:spPr/>
    </dgm:pt>
    <dgm:pt modelId="{79E84AD8-4896-4830-8816-3CB6A33393B0}" type="pres">
      <dgm:prSet presAssocID="{F11C0916-EEA9-4123-9B3D-96D5E183BC88}" presName="rootConnector" presStyleLbl="node3" presStyleIdx="6" presStyleCnt="8"/>
      <dgm:spPr/>
    </dgm:pt>
    <dgm:pt modelId="{6E78FE9B-9B50-4906-BCA2-4ACD58460A0C}" type="pres">
      <dgm:prSet presAssocID="{F11C0916-EEA9-4123-9B3D-96D5E183BC88}" presName="hierChild4" presStyleCnt="0"/>
      <dgm:spPr/>
    </dgm:pt>
    <dgm:pt modelId="{D012D90A-7AE9-4380-91FB-E29D5EB30D72}" type="pres">
      <dgm:prSet presAssocID="{F11C0916-EEA9-4123-9B3D-96D5E183BC88}" presName="hierChild5" presStyleCnt="0"/>
      <dgm:spPr/>
    </dgm:pt>
    <dgm:pt modelId="{A9437C5B-C944-47EF-BB3E-DEBB245DDCC9}" type="pres">
      <dgm:prSet presAssocID="{7B88F26E-93C9-48FD-8345-F804C264422F}" presName="Name37" presStyleLbl="parChTrans1D3" presStyleIdx="7" presStyleCnt="8"/>
      <dgm:spPr/>
    </dgm:pt>
    <dgm:pt modelId="{C04B9BDE-D06A-4D28-B2AC-DCABB762E73A}" type="pres">
      <dgm:prSet presAssocID="{6F25D1FA-3BEB-4A12-AC66-083CBD42FDE9}" presName="hierRoot2" presStyleCnt="0">
        <dgm:presLayoutVars>
          <dgm:hierBranch val="init"/>
        </dgm:presLayoutVars>
      </dgm:prSet>
      <dgm:spPr/>
    </dgm:pt>
    <dgm:pt modelId="{6E5556C5-2A37-400C-9E2B-8344DCA93667}" type="pres">
      <dgm:prSet presAssocID="{6F25D1FA-3BEB-4A12-AC66-083CBD42FDE9}" presName="rootComposite" presStyleCnt="0"/>
      <dgm:spPr/>
    </dgm:pt>
    <dgm:pt modelId="{34A065D0-C6AA-4FDF-93D9-BE5EF5D113D7}" type="pres">
      <dgm:prSet presAssocID="{6F25D1FA-3BEB-4A12-AC66-083CBD42FDE9}" presName="rootText" presStyleLbl="node3" presStyleIdx="7" presStyleCnt="8" custScaleX="299264" custScaleY="178470">
        <dgm:presLayoutVars>
          <dgm:chPref val="3"/>
        </dgm:presLayoutVars>
      </dgm:prSet>
      <dgm:spPr/>
    </dgm:pt>
    <dgm:pt modelId="{883B043B-D955-42CA-AA99-D3F88BB595B9}" type="pres">
      <dgm:prSet presAssocID="{6F25D1FA-3BEB-4A12-AC66-083CBD42FDE9}" presName="rootConnector" presStyleLbl="node3" presStyleIdx="7" presStyleCnt="8"/>
      <dgm:spPr/>
    </dgm:pt>
    <dgm:pt modelId="{FE617867-962E-4165-BBD9-F0F11BCEDE8B}" type="pres">
      <dgm:prSet presAssocID="{6F25D1FA-3BEB-4A12-AC66-083CBD42FDE9}" presName="hierChild4" presStyleCnt="0"/>
      <dgm:spPr/>
    </dgm:pt>
    <dgm:pt modelId="{871CCF4F-4E40-45C6-993D-AFA4AD5C025D}" type="pres">
      <dgm:prSet presAssocID="{6F25D1FA-3BEB-4A12-AC66-083CBD42FDE9}" presName="hierChild5" presStyleCnt="0"/>
      <dgm:spPr/>
    </dgm:pt>
    <dgm:pt modelId="{4F44535B-1F68-4FAA-93AB-B69C4571EEA0}" type="pres">
      <dgm:prSet presAssocID="{E59347A5-5A73-4413-A618-FFB588584489}" presName="hierChild5" presStyleCnt="0"/>
      <dgm:spPr/>
    </dgm:pt>
    <dgm:pt modelId="{C1759CE0-2577-4F0F-9710-9BC041F5A05B}" type="pres">
      <dgm:prSet presAssocID="{B93B89ED-9472-497F-A51B-144C26049DAB}" presName="hierChild3" presStyleCnt="0"/>
      <dgm:spPr/>
    </dgm:pt>
  </dgm:ptLst>
  <dgm:cxnLst>
    <dgm:cxn modelId="{5BCEBA05-572F-4D78-9E6D-5AD1FE1DD8A0}" type="presOf" srcId="{F3A89A4D-444D-419B-91EE-9EC1D366EBAE}" destId="{3BCB9008-943B-4795-8363-BBC927AC67D1}" srcOrd="1" destOrd="0" presId="urn:microsoft.com/office/officeart/2005/8/layout/orgChart1"/>
    <dgm:cxn modelId="{87020616-6D11-4851-95C9-EBC350115456}" type="presOf" srcId="{F9F8B4BC-EA25-4D20-828C-905A467E3960}" destId="{3E2A086A-8388-4BA3-99A5-4671E322DCAD}" srcOrd="1" destOrd="0" presId="urn:microsoft.com/office/officeart/2005/8/layout/orgChart1"/>
    <dgm:cxn modelId="{F6A33225-8D15-4C16-8C78-990003A3F1F8}" type="presOf" srcId="{8CF0CB60-2EE1-4B06-B8A6-83EF9BC476FA}" destId="{D772D91A-C443-48A7-B91D-A53C950FAAAA}" srcOrd="0" destOrd="0" presId="urn:microsoft.com/office/officeart/2005/8/layout/orgChart1"/>
    <dgm:cxn modelId="{7204A827-F5D1-40A5-83D7-029B1268D8FC}" srcId="{B93B89ED-9472-497F-A51B-144C26049DAB}" destId="{F3A89A4D-444D-419B-91EE-9EC1D366EBAE}" srcOrd="0" destOrd="0" parTransId="{070FA1FE-763D-4C64-A98C-C36DB7CEDD4A}" sibTransId="{0352D4C1-529F-47EC-A31D-6F07983033D6}"/>
    <dgm:cxn modelId="{8D437D28-F70B-45E9-89C0-72B1DBD8E611}" type="presOf" srcId="{E59347A5-5A73-4413-A618-FFB588584489}" destId="{D6791699-7A41-44E7-89C4-77B4D91C9131}" srcOrd="0" destOrd="0" presId="urn:microsoft.com/office/officeart/2005/8/layout/orgChart1"/>
    <dgm:cxn modelId="{446D642B-3317-4EAD-87AF-D10B600A9687}" srcId="{519F941C-1D9D-4AAA-8994-EFEDF709BBC2}" destId="{B93B89ED-9472-497F-A51B-144C26049DAB}" srcOrd="0" destOrd="0" parTransId="{291D2633-285F-4A48-9BE2-7A0CB7AC352D}" sibTransId="{B6F5696F-C73B-4747-BB7A-089C4C4E68BB}"/>
    <dgm:cxn modelId="{8E28782E-71D8-4DE1-A35E-9BE0EAFD70AD}" type="presOf" srcId="{6C6BB43F-67A6-4177-8443-B22D4E8E2DE9}" destId="{FA7A24CA-EEAF-4335-B1D9-76490A234F5F}" srcOrd="1" destOrd="0" presId="urn:microsoft.com/office/officeart/2005/8/layout/orgChart1"/>
    <dgm:cxn modelId="{5CC04B30-E19E-4049-909F-879C8D308D91}" srcId="{F3A89A4D-444D-419B-91EE-9EC1D366EBAE}" destId="{CB0945A7-CB46-4761-A69F-3828FEB8971D}" srcOrd="3" destOrd="0" parTransId="{1E7D899D-4114-4DBF-9F30-F98F4E2AB036}" sibTransId="{3FF755E4-D701-41D4-A3C8-6A69C7ED2C00}"/>
    <dgm:cxn modelId="{0263D833-2D80-459A-A813-511BBECF6A32}" srcId="{F3A89A4D-444D-419B-91EE-9EC1D366EBAE}" destId="{0D25F018-0F6D-4AB7-8D7F-A4ECEF262990}" srcOrd="2" destOrd="0" parTransId="{8CF0CB60-2EE1-4B06-B8A6-83EF9BC476FA}" sibTransId="{B88AC40F-BF89-43DD-9D1E-38FDE3944DCD}"/>
    <dgm:cxn modelId="{50E38F5F-5791-4878-8F87-1F7F5B9607F4}" type="presOf" srcId="{519F941C-1D9D-4AAA-8994-EFEDF709BBC2}" destId="{A84384F8-439A-474A-9A9D-2FED61A2D21F}" srcOrd="0" destOrd="0" presId="urn:microsoft.com/office/officeart/2005/8/layout/orgChart1"/>
    <dgm:cxn modelId="{4392AF60-639C-4C41-8783-F10B2B11E293}" type="presOf" srcId="{770BCBEA-206B-4B1E-84EB-1A96B8BFD2E0}" destId="{DBB6E8D0-A1B9-4720-93A3-0EE04420555B}" srcOrd="0" destOrd="0" presId="urn:microsoft.com/office/officeart/2005/8/layout/orgChart1"/>
    <dgm:cxn modelId="{09F32E42-E34A-450A-A94A-8193D87EBC59}" type="presOf" srcId="{F11C0916-EEA9-4123-9B3D-96D5E183BC88}" destId="{E0D6B4B9-1E36-4FF7-8E89-0C83C4697495}" srcOrd="0" destOrd="0" presId="urn:microsoft.com/office/officeart/2005/8/layout/orgChart1"/>
    <dgm:cxn modelId="{45CD4863-19D4-4710-9A0E-FB6554ECD578}" srcId="{F3A89A4D-444D-419B-91EE-9EC1D366EBAE}" destId="{65C80382-5CAC-484E-BC14-DD3A0AD94689}" srcOrd="1" destOrd="0" parTransId="{6DD57259-73D1-43E0-9551-70B5669A6E6E}" sibTransId="{31F488BB-9CA1-46AA-B6EC-206B7015E662}"/>
    <dgm:cxn modelId="{273CED43-6538-4897-A76E-25D86102E01D}" type="presOf" srcId="{1A7FA6E3-7DEB-4CC3-A779-4B3146ED3970}" destId="{BD3580E3-B811-4A0A-A2B4-6A465F789656}" srcOrd="0" destOrd="0" presId="urn:microsoft.com/office/officeart/2005/8/layout/orgChart1"/>
    <dgm:cxn modelId="{0DF32D65-65A8-4610-8E28-B0868DDE7DC9}" srcId="{E59347A5-5A73-4413-A618-FFB588584489}" destId="{F11C0916-EEA9-4123-9B3D-96D5E183BC88}" srcOrd="2" destOrd="0" parTransId="{8178D595-A67B-44B3-918C-641AAB0C9593}" sibTransId="{F1F6DD2E-3B07-448A-8313-BB4167736CBE}"/>
    <dgm:cxn modelId="{022A7246-A79F-440D-B5EB-6F17690C2DFC}" type="presOf" srcId="{04A09E06-118D-4306-8C83-53B003C4B398}" destId="{6703C454-21A7-4F3E-A00B-90505B24A587}" srcOrd="1" destOrd="0" presId="urn:microsoft.com/office/officeart/2005/8/layout/orgChart1"/>
    <dgm:cxn modelId="{A24F4467-8D25-4EFA-8B92-0A46D4DD650C}" srcId="{E59347A5-5A73-4413-A618-FFB588584489}" destId="{04A09E06-118D-4306-8C83-53B003C4B398}" srcOrd="1" destOrd="0" parTransId="{5862249E-0B6C-4325-BD4D-CDC680D22E92}" sibTransId="{E5DF09FA-9F64-4559-AD82-604B6AFF30AE}"/>
    <dgm:cxn modelId="{F18F3769-95FF-455A-BE74-3FB5AE2DE4BB}" type="presOf" srcId="{CB0945A7-CB46-4761-A69F-3828FEB8971D}" destId="{1BDE5D9E-D3C6-4501-90DE-BC6BF97656FB}" srcOrd="0" destOrd="0" presId="urn:microsoft.com/office/officeart/2005/8/layout/orgChart1"/>
    <dgm:cxn modelId="{EB47694C-B4AD-4180-9F43-9796D41F413E}" type="presOf" srcId="{0D25F018-0F6D-4AB7-8D7F-A4ECEF262990}" destId="{1592234B-D72E-49A8-88F1-4B47A44493E6}" srcOrd="1" destOrd="0" presId="urn:microsoft.com/office/officeart/2005/8/layout/orgChart1"/>
    <dgm:cxn modelId="{5517774C-BE3C-4E9B-A96A-7C26AB1827A7}" type="presOf" srcId="{6DD57259-73D1-43E0-9551-70B5669A6E6E}" destId="{787108E0-BB6D-4457-84B4-9C76E17EE96C}" srcOrd="0" destOrd="0" presId="urn:microsoft.com/office/officeart/2005/8/layout/orgChart1"/>
    <dgm:cxn modelId="{0338CE70-F470-4E37-A0D2-B9612A67F3A9}" type="presOf" srcId="{65C80382-5CAC-484E-BC14-DD3A0AD94689}" destId="{78E41C50-5C57-4762-81E7-1173A16B286D}" srcOrd="0" destOrd="0" presId="urn:microsoft.com/office/officeart/2005/8/layout/orgChart1"/>
    <dgm:cxn modelId="{7F5DAC59-5E10-4415-AC37-DB54812E44D1}" type="presOf" srcId="{04A09E06-118D-4306-8C83-53B003C4B398}" destId="{E574D6DF-FA10-4DFF-9889-4F4D58B15410}" srcOrd="0" destOrd="0" presId="urn:microsoft.com/office/officeart/2005/8/layout/orgChart1"/>
    <dgm:cxn modelId="{E2D5637C-6B60-4C09-860B-3E1F48F8873C}" type="presOf" srcId="{F9F8B4BC-EA25-4D20-828C-905A467E3960}" destId="{0F7198E5-2BE4-4D19-A6E3-9ED5BE77E593}" srcOrd="0" destOrd="0" presId="urn:microsoft.com/office/officeart/2005/8/layout/orgChart1"/>
    <dgm:cxn modelId="{A27B8B80-8ACD-4467-A059-4E2D4E0E064B}" type="presOf" srcId="{6C6BB43F-67A6-4177-8443-B22D4E8E2DE9}" destId="{27A15F4E-7102-4CF5-9ED3-C01571DFE64A}" srcOrd="0" destOrd="0" presId="urn:microsoft.com/office/officeart/2005/8/layout/orgChart1"/>
    <dgm:cxn modelId="{55056C87-16C6-4C72-AB10-ABCDF8C52506}" type="presOf" srcId="{B93B89ED-9472-497F-A51B-144C26049DAB}" destId="{0148C8EE-D356-4E0D-9D82-AA2F04738490}" srcOrd="1" destOrd="0" presId="urn:microsoft.com/office/officeart/2005/8/layout/orgChart1"/>
    <dgm:cxn modelId="{F9677297-6DE1-4305-90A5-64E8FF309EF1}" srcId="{E59347A5-5A73-4413-A618-FFB588584489}" destId="{6C6BB43F-67A6-4177-8443-B22D4E8E2DE9}" srcOrd="0" destOrd="0" parTransId="{DA02EDB0-1E52-45CF-984F-F5706F16F298}" sibTransId="{BB662A91-7770-4780-88C7-2FDCC4C8EC68}"/>
    <dgm:cxn modelId="{37750E9C-E72D-40DA-9667-8EFE84C77C92}" type="presOf" srcId="{65C80382-5CAC-484E-BC14-DD3A0AD94689}" destId="{14EDF829-DED3-4737-A830-814E90D8EBFA}" srcOrd="1" destOrd="0" presId="urn:microsoft.com/office/officeart/2005/8/layout/orgChart1"/>
    <dgm:cxn modelId="{59F162A1-BB33-4C28-B3EE-FC02342B129A}" type="presOf" srcId="{6F25D1FA-3BEB-4A12-AC66-083CBD42FDE9}" destId="{883B043B-D955-42CA-AA99-D3F88BB595B9}" srcOrd="1" destOrd="0" presId="urn:microsoft.com/office/officeart/2005/8/layout/orgChart1"/>
    <dgm:cxn modelId="{09BB85A1-563F-4DF1-A0E2-3461F6BB142C}" type="presOf" srcId="{1E7D899D-4114-4DBF-9F30-F98F4E2AB036}" destId="{699804D2-2020-46BE-B0F2-9E4DFF811A3B}" srcOrd="0" destOrd="0" presId="urn:microsoft.com/office/officeart/2005/8/layout/orgChart1"/>
    <dgm:cxn modelId="{EDB8EAAD-BAFB-42A3-94EE-9457CE9B965C}" type="presOf" srcId="{7B88F26E-93C9-48FD-8345-F804C264422F}" destId="{A9437C5B-C944-47EF-BB3E-DEBB245DDCC9}" srcOrd="0" destOrd="0" presId="urn:microsoft.com/office/officeart/2005/8/layout/orgChart1"/>
    <dgm:cxn modelId="{5D9090B6-7971-43B5-AEB1-8422EDF93708}" type="presOf" srcId="{8178D595-A67B-44B3-918C-641AAB0C9593}" destId="{2E876C98-947F-4B41-B4DC-33EE42393C21}" srcOrd="0" destOrd="0" presId="urn:microsoft.com/office/officeart/2005/8/layout/orgChart1"/>
    <dgm:cxn modelId="{D4CB1BB7-BF66-45C5-8DCA-EBD334B71ECC}" type="presOf" srcId="{F3A89A4D-444D-419B-91EE-9EC1D366EBAE}" destId="{60ABFC96-8C0F-43D4-9A0E-BFFFE8C8F813}" srcOrd="0" destOrd="0" presId="urn:microsoft.com/office/officeart/2005/8/layout/orgChart1"/>
    <dgm:cxn modelId="{BBE011D7-E71C-4AD8-9DDE-5E933593139C}" type="presOf" srcId="{6F25D1FA-3BEB-4A12-AC66-083CBD42FDE9}" destId="{34A065D0-C6AA-4FDF-93D9-BE5EF5D113D7}" srcOrd="0" destOrd="0" presId="urn:microsoft.com/office/officeart/2005/8/layout/orgChart1"/>
    <dgm:cxn modelId="{CA5EEEE0-D630-471E-BF5B-6372BC654B07}" type="presOf" srcId="{F11C0916-EEA9-4123-9B3D-96D5E183BC88}" destId="{79E84AD8-4896-4830-8816-3CB6A33393B0}" srcOrd="1" destOrd="0" presId="urn:microsoft.com/office/officeart/2005/8/layout/orgChart1"/>
    <dgm:cxn modelId="{8C0C3AE6-7931-4E71-885F-98F41CF15CC2}" type="presOf" srcId="{E59347A5-5A73-4413-A618-FFB588584489}" destId="{28F8EA95-EB28-4154-A89D-B9CFF3173B5C}" srcOrd="1" destOrd="0" presId="urn:microsoft.com/office/officeart/2005/8/layout/orgChart1"/>
    <dgm:cxn modelId="{BF3C60EC-899B-4F4B-9E1A-D6C720172C01}" srcId="{F3A89A4D-444D-419B-91EE-9EC1D366EBAE}" destId="{F9F8B4BC-EA25-4D20-828C-905A467E3960}" srcOrd="0" destOrd="0" parTransId="{1A7FA6E3-7DEB-4CC3-A779-4B3146ED3970}" sibTransId="{163328EC-2DB8-471E-9DAA-6F6CABE1D447}"/>
    <dgm:cxn modelId="{98F467ED-1B14-4B8A-9C92-84A800345D8C}" type="presOf" srcId="{B93B89ED-9472-497F-A51B-144C26049DAB}" destId="{99CC276A-A234-4ECB-89F1-E4A1ACA42BFA}" srcOrd="0" destOrd="0" presId="urn:microsoft.com/office/officeart/2005/8/layout/orgChart1"/>
    <dgm:cxn modelId="{813CCBED-6F25-4E6E-8F64-227DA1378125}" srcId="{E59347A5-5A73-4413-A618-FFB588584489}" destId="{6F25D1FA-3BEB-4A12-AC66-083CBD42FDE9}" srcOrd="3" destOrd="0" parTransId="{7B88F26E-93C9-48FD-8345-F804C264422F}" sibTransId="{7B116320-71BC-4215-A430-8383C33FB683}"/>
    <dgm:cxn modelId="{B8F107F0-6D9C-49A3-AFF6-369C6339C6D1}" type="presOf" srcId="{0D25F018-0F6D-4AB7-8D7F-A4ECEF262990}" destId="{8B0CD91D-3FAF-4496-A1CA-8578EF9E2E00}" srcOrd="0" destOrd="0" presId="urn:microsoft.com/office/officeart/2005/8/layout/orgChart1"/>
    <dgm:cxn modelId="{122910D3-D327-440F-85C9-C1DB725E149E}" type="presOf" srcId="{CB0945A7-CB46-4761-A69F-3828FEB8971D}" destId="{5E366784-11E3-44EA-9E13-477038874CFA}" srcOrd="1" destOrd="0" presId="urn:microsoft.com/office/officeart/2005/8/layout/orgChart1"/>
    <dgm:cxn modelId="{158831F4-D260-452E-B908-4EC8F28107CC}" type="presOf" srcId="{DA02EDB0-1E52-45CF-984F-F5706F16F298}" destId="{F31F90B8-5E61-402F-A965-F962D65660F3}" srcOrd="0" destOrd="0" presId="urn:microsoft.com/office/officeart/2005/8/layout/orgChart1"/>
    <dgm:cxn modelId="{CCFDF1F4-14A7-40A7-BAE0-A062AB1F7470}" srcId="{B93B89ED-9472-497F-A51B-144C26049DAB}" destId="{E59347A5-5A73-4413-A618-FFB588584489}" srcOrd="1" destOrd="0" parTransId="{770BCBEA-206B-4B1E-84EB-1A96B8BFD2E0}" sibTransId="{5EC08423-B66D-4337-BA77-630F828FD765}"/>
    <dgm:cxn modelId="{397551F7-232F-4359-BFA3-5CF684D7D746}" type="presOf" srcId="{5862249E-0B6C-4325-BD4D-CDC680D22E92}" destId="{15858E8A-0C70-4B3D-8743-993F22B705F8}" srcOrd="0" destOrd="0" presId="urn:microsoft.com/office/officeart/2005/8/layout/orgChart1"/>
    <dgm:cxn modelId="{440A00D9-BE66-4632-8B04-42AA1840AD83}" type="presOf" srcId="{070FA1FE-763D-4C64-A98C-C36DB7CEDD4A}" destId="{DE9E2AA4-10D8-4895-89E4-FE0ACA367C67}" srcOrd="0" destOrd="0" presId="urn:microsoft.com/office/officeart/2005/8/layout/orgChart1"/>
    <dgm:cxn modelId="{91F7A082-A1F3-4473-A208-5817E9E0A9FF}" type="presParOf" srcId="{A84384F8-439A-474A-9A9D-2FED61A2D21F}" destId="{603C76F9-7FE1-4476-A8F7-5D47AF8230BE}" srcOrd="0" destOrd="0" presId="urn:microsoft.com/office/officeart/2005/8/layout/orgChart1"/>
    <dgm:cxn modelId="{FB72A29E-0AAF-4DC3-BFDE-9FFAFFAD25AA}" type="presParOf" srcId="{603C76F9-7FE1-4476-A8F7-5D47AF8230BE}" destId="{7ABED8F7-F3FB-4410-BA04-BA70A9E571AD}" srcOrd="0" destOrd="0" presId="urn:microsoft.com/office/officeart/2005/8/layout/orgChart1"/>
    <dgm:cxn modelId="{6A46EB1C-F8AB-4BA2-80A8-A39D27302DC1}" type="presParOf" srcId="{7ABED8F7-F3FB-4410-BA04-BA70A9E571AD}" destId="{99CC276A-A234-4ECB-89F1-E4A1ACA42BFA}" srcOrd="0" destOrd="0" presId="urn:microsoft.com/office/officeart/2005/8/layout/orgChart1"/>
    <dgm:cxn modelId="{E270FACA-23C2-46E4-83C3-B63013ABB3F2}" type="presParOf" srcId="{7ABED8F7-F3FB-4410-BA04-BA70A9E571AD}" destId="{0148C8EE-D356-4E0D-9D82-AA2F04738490}" srcOrd="1" destOrd="0" presId="urn:microsoft.com/office/officeart/2005/8/layout/orgChart1"/>
    <dgm:cxn modelId="{0D1C352A-6925-46FF-832C-F3E23238DD97}" type="presParOf" srcId="{603C76F9-7FE1-4476-A8F7-5D47AF8230BE}" destId="{F74BAF5E-BB1F-4C5C-BD33-D8AFD305F484}" srcOrd="1" destOrd="0" presId="urn:microsoft.com/office/officeart/2005/8/layout/orgChart1"/>
    <dgm:cxn modelId="{92AD11A5-265A-4AED-999D-18AF6D0606CD}" type="presParOf" srcId="{F74BAF5E-BB1F-4C5C-BD33-D8AFD305F484}" destId="{DE9E2AA4-10D8-4895-89E4-FE0ACA367C67}" srcOrd="0" destOrd="0" presId="urn:microsoft.com/office/officeart/2005/8/layout/orgChart1"/>
    <dgm:cxn modelId="{1927727B-EB61-4F5C-B6AB-14E2A8361976}" type="presParOf" srcId="{F74BAF5E-BB1F-4C5C-BD33-D8AFD305F484}" destId="{D4D1C80E-93F2-41D0-B84D-606272CC90FB}" srcOrd="1" destOrd="0" presId="urn:microsoft.com/office/officeart/2005/8/layout/orgChart1"/>
    <dgm:cxn modelId="{C868BAE8-D4BA-44B3-A672-DE54E9A6F3F0}" type="presParOf" srcId="{D4D1C80E-93F2-41D0-B84D-606272CC90FB}" destId="{33BF66BA-C66B-41A2-861C-7303606E6196}" srcOrd="0" destOrd="0" presId="urn:microsoft.com/office/officeart/2005/8/layout/orgChart1"/>
    <dgm:cxn modelId="{67B7AD47-A32B-4C47-829B-B902EEF61836}" type="presParOf" srcId="{33BF66BA-C66B-41A2-861C-7303606E6196}" destId="{60ABFC96-8C0F-43D4-9A0E-BFFFE8C8F813}" srcOrd="0" destOrd="0" presId="urn:microsoft.com/office/officeart/2005/8/layout/orgChart1"/>
    <dgm:cxn modelId="{28C35D27-6111-4F8B-8409-495BED7F4216}" type="presParOf" srcId="{33BF66BA-C66B-41A2-861C-7303606E6196}" destId="{3BCB9008-943B-4795-8363-BBC927AC67D1}" srcOrd="1" destOrd="0" presId="urn:microsoft.com/office/officeart/2005/8/layout/orgChart1"/>
    <dgm:cxn modelId="{37C4D2DF-5922-43B3-B72C-0F23B3585310}" type="presParOf" srcId="{D4D1C80E-93F2-41D0-B84D-606272CC90FB}" destId="{A64417BE-4069-4A86-B63B-A7A6EA9CF46F}" srcOrd="1" destOrd="0" presId="urn:microsoft.com/office/officeart/2005/8/layout/orgChart1"/>
    <dgm:cxn modelId="{5B4A5707-7FAF-445C-AB75-C1C5F1E46EFA}" type="presParOf" srcId="{A64417BE-4069-4A86-B63B-A7A6EA9CF46F}" destId="{BD3580E3-B811-4A0A-A2B4-6A465F789656}" srcOrd="0" destOrd="0" presId="urn:microsoft.com/office/officeart/2005/8/layout/orgChart1"/>
    <dgm:cxn modelId="{35867E6E-D462-42F4-B359-014F24D6A811}" type="presParOf" srcId="{A64417BE-4069-4A86-B63B-A7A6EA9CF46F}" destId="{FB2568A6-B6DF-44D8-9A3B-0DDBC177523A}" srcOrd="1" destOrd="0" presId="urn:microsoft.com/office/officeart/2005/8/layout/orgChart1"/>
    <dgm:cxn modelId="{03E00680-9193-49D0-B5F0-F3FC7496F3D5}" type="presParOf" srcId="{FB2568A6-B6DF-44D8-9A3B-0DDBC177523A}" destId="{FC77E90C-13BD-4E03-9170-0884A2BA29CD}" srcOrd="0" destOrd="0" presId="urn:microsoft.com/office/officeart/2005/8/layout/orgChart1"/>
    <dgm:cxn modelId="{48C9E70B-1828-4FD7-9ED7-DE6AEBE47AAB}" type="presParOf" srcId="{FC77E90C-13BD-4E03-9170-0884A2BA29CD}" destId="{0F7198E5-2BE4-4D19-A6E3-9ED5BE77E593}" srcOrd="0" destOrd="0" presId="urn:microsoft.com/office/officeart/2005/8/layout/orgChart1"/>
    <dgm:cxn modelId="{8CB57E35-6502-4CBD-B51D-9170A9E44D5B}" type="presParOf" srcId="{FC77E90C-13BD-4E03-9170-0884A2BA29CD}" destId="{3E2A086A-8388-4BA3-99A5-4671E322DCAD}" srcOrd="1" destOrd="0" presId="urn:microsoft.com/office/officeart/2005/8/layout/orgChart1"/>
    <dgm:cxn modelId="{BB40E712-6E9A-4464-8F8B-39D2485B5C11}" type="presParOf" srcId="{FB2568A6-B6DF-44D8-9A3B-0DDBC177523A}" destId="{F2513A86-A3BC-4BBC-B3F2-E8AEB3E70E9F}" srcOrd="1" destOrd="0" presId="urn:microsoft.com/office/officeart/2005/8/layout/orgChart1"/>
    <dgm:cxn modelId="{956112B9-7436-4D33-A9D9-50414F632DAC}" type="presParOf" srcId="{FB2568A6-B6DF-44D8-9A3B-0DDBC177523A}" destId="{FF26D8BC-E05B-421A-ABF8-A28BFA02BE21}" srcOrd="2" destOrd="0" presId="urn:microsoft.com/office/officeart/2005/8/layout/orgChart1"/>
    <dgm:cxn modelId="{788D31FC-715A-4379-A8B5-F51362619786}" type="presParOf" srcId="{A64417BE-4069-4A86-B63B-A7A6EA9CF46F}" destId="{787108E0-BB6D-4457-84B4-9C76E17EE96C}" srcOrd="2" destOrd="0" presId="urn:microsoft.com/office/officeart/2005/8/layout/orgChart1"/>
    <dgm:cxn modelId="{79F2D7FD-BB6D-4483-B6B2-6DCD74FE0B4D}" type="presParOf" srcId="{A64417BE-4069-4A86-B63B-A7A6EA9CF46F}" destId="{6B48D45E-EF8D-45A3-A250-4468C6678235}" srcOrd="3" destOrd="0" presId="urn:microsoft.com/office/officeart/2005/8/layout/orgChart1"/>
    <dgm:cxn modelId="{42E95637-C907-460A-8B79-E80E280114F9}" type="presParOf" srcId="{6B48D45E-EF8D-45A3-A250-4468C6678235}" destId="{030FD2E4-32AB-4650-9535-D6DD3B2B8306}" srcOrd="0" destOrd="0" presId="urn:microsoft.com/office/officeart/2005/8/layout/orgChart1"/>
    <dgm:cxn modelId="{CE9BA7C4-6656-4A40-A82E-F3E46C69C955}" type="presParOf" srcId="{030FD2E4-32AB-4650-9535-D6DD3B2B8306}" destId="{78E41C50-5C57-4762-81E7-1173A16B286D}" srcOrd="0" destOrd="0" presId="urn:microsoft.com/office/officeart/2005/8/layout/orgChart1"/>
    <dgm:cxn modelId="{A732E574-478C-41A7-A11C-452F899C0FBA}" type="presParOf" srcId="{030FD2E4-32AB-4650-9535-D6DD3B2B8306}" destId="{14EDF829-DED3-4737-A830-814E90D8EBFA}" srcOrd="1" destOrd="0" presId="urn:microsoft.com/office/officeart/2005/8/layout/orgChart1"/>
    <dgm:cxn modelId="{9208B58E-4145-497C-BF5C-F352C73ED785}" type="presParOf" srcId="{6B48D45E-EF8D-45A3-A250-4468C6678235}" destId="{E4EA0FF6-15F5-406C-B017-1D168AF2CFE3}" srcOrd="1" destOrd="0" presId="urn:microsoft.com/office/officeart/2005/8/layout/orgChart1"/>
    <dgm:cxn modelId="{1C9A9ED6-28AF-4648-83BC-23BE877EDED0}" type="presParOf" srcId="{6B48D45E-EF8D-45A3-A250-4468C6678235}" destId="{C854C60C-0340-429F-BDB9-EA01B1E46A87}" srcOrd="2" destOrd="0" presId="urn:microsoft.com/office/officeart/2005/8/layout/orgChart1"/>
    <dgm:cxn modelId="{88CE7270-4520-496C-8B6D-DC629D960FAC}" type="presParOf" srcId="{A64417BE-4069-4A86-B63B-A7A6EA9CF46F}" destId="{D772D91A-C443-48A7-B91D-A53C950FAAAA}" srcOrd="4" destOrd="0" presId="urn:microsoft.com/office/officeart/2005/8/layout/orgChart1"/>
    <dgm:cxn modelId="{76F6F39F-885D-49C0-BD04-4B0AE2ADAA07}" type="presParOf" srcId="{A64417BE-4069-4A86-B63B-A7A6EA9CF46F}" destId="{7B1A6D16-AC02-48E1-8A26-1A355B77AAE1}" srcOrd="5" destOrd="0" presId="urn:microsoft.com/office/officeart/2005/8/layout/orgChart1"/>
    <dgm:cxn modelId="{AD336977-8EC7-4FC4-AB6B-BF905EADB24C}" type="presParOf" srcId="{7B1A6D16-AC02-48E1-8A26-1A355B77AAE1}" destId="{66BED1A3-1E00-4C0B-BF73-121DAB9CA2D7}" srcOrd="0" destOrd="0" presId="urn:microsoft.com/office/officeart/2005/8/layout/orgChart1"/>
    <dgm:cxn modelId="{E0B7D990-3394-4836-818C-97D80A8AB576}" type="presParOf" srcId="{66BED1A3-1E00-4C0B-BF73-121DAB9CA2D7}" destId="{8B0CD91D-3FAF-4496-A1CA-8578EF9E2E00}" srcOrd="0" destOrd="0" presId="urn:microsoft.com/office/officeart/2005/8/layout/orgChart1"/>
    <dgm:cxn modelId="{0360D98E-AFB5-4B3A-99A3-54C66B07FA42}" type="presParOf" srcId="{66BED1A3-1E00-4C0B-BF73-121DAB9CA2D7}" destId="{1592234B-D72E-49A8-88F1-4B47A44493E6}" srcOrd="1" destOrd="0" presId="urn:microsoft.com/office/officeart/2005/8/layout/orgChart1"/>
    <dgm:cxn modelId="{3DDA1688-3021-400A-B6C6-391AEFF44774}" type="presParOf" srcId="{7B1A6D16-AC02-48E1-8A26-1A355B77AAE1}" destId="{D32956D0-D09F-4B7A-9CCC-E06A81C76488}" srcOrd="1" destOrd="0" presId="urn:microsoft.com/office/officeart/2005/8/layout/orgChart1"/>
    <dgm:cxn modelId="{ACCB0301-2202-42C0-A4E3-7DB2075576B5}" type="presParOf" srcId="{7B1A6D16-AC02-48E1-8A26-1A355B77AAE1}" destId="{54401CB7-B149-4AEB-8273-C96B9143DAB5}" srcOrd="2" destOrd="0" presId="urn:microsoft.com/office/officeart/2005/8/layout/orgChart1"/>
    <dgm:cxn modelId="{9462FF9B-2783-443D-90CF-07725F2C197A}" type="presParOf" srcId="{A64417BE-4069-4A86-B63B-A7A6EA9CF46F}" destId="{699804D2-2020-46BE-B0F2-9E4DFF811A3B}" srcOrd="6" destOrd="0" presId="urn:microsoft.com/office/officeart/2005/8/layout/orgChart1"/>
    <dgm:cxn modelId="{8CD527CF-EC44-4FD7-979E-03C666F220FA}" type="presParOf" srcId="{A64417BE-4069-4A86-B63B-A7A6EA9CF46F}" destId="{D12DDC2C-6B2C-4AC0-BC40-6206D8BE6097}" srcOrd="7" destOrd="0" presId="urn:microsoft.com/office/officeart/2005/8/layout/orgChart1"/>
    <dgm:cxn modelId="{73AF0FB8-0914-4031-A21D-09C6A1912667}" type="presParOf" srcId="{D12DDC2C-6B2C-4AC0-BC40-6206D8BE6097}" destId="{C3244D4A-3C8A-4BAB-8378-BA8F23514AC0}" srcOrd="0" destOrd="0" presId="urn:microsoft.com/office/officeart/2005/8/layout/orgChart1"/>
    <dgm:cxn modelId="{90AC3368-579B-4461-94EB-781E4F52B861}" type="presParOf" srcId="{C3244D4A-3C8A-4BAB-8378-BA8F23514AC0}" destId="{1BDE5D9E-D3C6-4501-90DE-BC6BF97656FB}" srcOrd="0" destOrd="0" presId="urn:microsoft.com/office/officeart/2005/8/layout/orgChart1"/>
    <dgm:cxn modelId="{FF261E6B-F58A-4354-A5A0-A04285723A1D}" type="presParOf" srcId="{C3244D4A-3C8A-4BAB-8378-BA8F23514AC0}" destId="{5E366784-11E3-44EA-9E13-477038874CFA}" srcOrd="1" destOrd="0" presId="urn:microsoft.com/office/officeart/2005/8/layout/orgChart1"/>
    <dgm:cxn modelId="{130D3799-3862-4B96-843E-A6DD94D8C19C}" type="presParOf" srcId="{D12DDC2C-6B2C-4AC0-BC40-6206D8BE6097}" destId="{ACD135C5-33E2-47F0-A60B-5FACD37DBB4E}" srcOrd="1" destOrd="0" presId="urn:microsoft.com/office/officeart/2005/8/layout/orgChart1"/>
    <dgm:cxn modelId="{E2D3DE41-0126-416B-8846-A3EC3614B039}" type="presParOf" srcId="{D12DDC2C-6B2C-4AC0-BC40-6206D8BE6097}" destId="{B256392B-E752-424F-B1E5-5A1CC79D8719}" srcOrd="2" destOrd="0" presId="urn:microsoft.com/office/officeart/2005/8/layout/orgChart1"/>
    <dgm:cxn modelId="{6239C7DB-2381-4575-91C1-AB41EE31A3A9}" type="presParOf" srcId="{D4D1C80E-93F2-41D0-B84D-606272CC90FB}" destId="{FB4FC930-23C6-417A-9107-56F7B75F41E7}" srcOrd="2" destOrd="0" presId="urn:microsoft.com/office/officeart/2005/8/layout/orgChart1"/>
    <dgm:cxn modelId="{9F160B7C-80AC-473F-B1A1-FEEA31D58636}" type="presParOf" srcId="{F74BAF5E-BB1F-4C5C-BD33-D8AFD305F484}" destId="{DBB6E8D0-A1B9-4720-93A3-0EE04420555B}" srcOrd="2" destOrd="0" presId="urn:microsoft.com/office/officeart/2005/8/layout/orgChart1"/>
    <dgm:cxn modelId="{32AAA706-E0D8-405E-8EF3-B8512795BB6D}" type="presParOf" srcId="{F74BAF5E-BB1F-4C5C-BD33-D8AFD305F484}" destId="{1CA27C1E-CCA9-4046-9B50-45B4DEB061E9}" srcOrd="3" destOrd="0" presId="urn:microsoft.com/office/officeart/2005/8/layout/orgChart1"/>
    <dgm:cxn modelId="{D9E62E78-F878-4631-A709-79D741F3B7F0}" type="presParOf" srcId="{1CA27C1E-CCA9-4046-9B50-45B4DEB061E9}" destId="{53869EA4-BB2D-40B7-8C24-46956B8FD54A}" srcOrd="0" destOrd="0" presId="urn:microsoft.com/office/officeart/2005/8/layout/orgChart1"/>
    <dgm:cxn modelId="{3FA3AF0B-E71A-4112-AF1B-DEECB721ADF5}" type="presParOf" srcId="{53869EA4-BB2D-40B7-8C24-46956B8FD54A}" destId="{D6791699-7A41-44E7-89C4-77B4D91C9131}" srcOrd="0" destOrd="0" presId="urn:microsoft.com/office/officeart/2005/8/layout/orgChart1"/>
    <dgm:cxn modelId="{B15C2C64-F45F-48EE-A5C6-5B9F9EB5E02D}" type="presParOf" srcId="{53869EA4-BB2D-40B7-8C24-46956B8FD54A}" destId="{28F8EA95-EB28-4154-A89D-B9CFF3173B5C}" srcOrd="1" destOrd="0" presId="urn:microsoft.com/office/officeart/2005/8/layout/orgChart1"/>
    <dgm:cxn modelId="{3E0122B2-3D17-44ED-9A49-BDDD80A46B8A}" type="presParOf" srcId="{1CA27C1E-CCA9-4046-9B50-45B4DEB061E9}" destId="{9B83DE2A-2660-4D7E-8EB1-82350C90528F}" srcOrd="1" destOrd="0" presId="urn:microsoft.com/office/officeart/2005/8/layout/orgChart1"/>
    <dgm:cxn modelId="{B58AC12B-8E57-4A0F-AF30-35392C090F51}" type="presParOf" srcId="{9B83DE2A-2660-4D7E-8EB1-82350C90528F}" destId="{F31F90B8-5E61-402F-A965-F962D65660F3}" srcOrd="0" destOrd="0" presId="urn:microsoft.com/office/officeart/2005/8/layout/orgChart1"/>
    <dgm:cxn modelId="{6D9C6843-DB2D-4D4F-8F37-514C61BE23CF}" type="presParOf" srcId="{9B83DE2A-2660-4D7E-8EB1-82350C90528F}" destId="{1867F0F6-1B77-4506-8486-E57892214F0D}" srcOrd="1" destOrd="0" presId="urn:microsoft.com/office/officeart/2005/8/layout/orgChart1"/>
    <dgm:cxn modelId="{B9EF0B5B-02EF-4BFC-A9B0-A8B5034B2ED2}" type="presParOf" srcId="{1867F0F6-1B77-4506-8486-E57892214F0D}" destId="{04D3A29D-D5A3-4095-9578-1B55E41A26E7}" srcOrd="0" destOrd="0" presId="urn:microsoft.com/office/officeart/2005/8/layout/orgChart1"/>
    <dgm:cxn modelId="{9FFE054C-60CA-418C-BC5B-E1B85D5EF7BA}" type="presParOf" srcId="{04D3A29D-D5A3-4095-9578-1B55E41A26E7}" destId="{27A15F4E-7102-4CF5-9ED3-C01571DFE64A}" srcOrd="0" destOrd="0" presId="urn:microsoft.com/office/officeart/2005/8/layout/orgChart1"/>
    <dgm:cxn modelId="{0A348B50-B7B9-45F4-BB57-B0D6955A5B0E}" type="presParOf" srcId="{04D3A29D-D5A3-4095-9578-1B55E41A26E7}" destId="{FA7A24CA-EEAF-4335-B1D9-76490A234F5F}" srcOrd="1" destOrd="0" presId="urn:microsoft.com/office/officeart/2005/8/layout/orgChart1"/>
    <dgm:cxn modelId="{E61ED431-AE6B-473C-AE03-E1AC106BB9A2}" type="presParOf" srcId="{1867F0F6-1B77-4506-8486-E57892214F0D}" destId="{3ABC70BD-3446-42CC-91F1-6E00BF5E00C7}" srcOrd="1" destOrd="0" presId="urn:microsoft.com/office/officeart/2005/8/layout/orgChart1"/>
    <dgm:cxn modelId="{9F8B1356-4D47-4BED-B2BE-C3C072102FF5}" type="presParOf" srcId="{1867F0F6-1B77-4506-8486-E57892214F0D}" destId="{058B0D3D-032D-4988-9EA4-E127142FB08C}" srcOrd="2" destOrd="0" presId="urn:microsoft.com/office/officeart/2005/8/layout/orgChart1"/>
    <dgm:cxn modelId="{7F2F8047-A412-43B0-98A5-A4BDF3615949}" type="presParOf" srcId="{9B83DE2A-2660-4D7E-8EB1-82350C90528F}" destId="{15858E8A-0C70-4B3D-8743-993F22B705F8}" srcOrd="2" destOrd="0" presId="urn:microsoft.com/office/officeart/2005/8/layout/orgChart1"/>
    <dgm:cxn modelId="{B3E3DE8A-51F7-43BB-BBF7-272B1A1478CB}" type="presParOf" srcId="{9B83DE2A-2660-4D7E-8EB1-82350C90528F}" destId="{A3BA1A92-2346-4C24-98E0-AE3850D3E640}" srcOrd="3" destOrd="0" presId="urn:microsoft.com/office/officeart/2005/8/layout/orgChart1"/>
    <dgm:cxn modelId="{8BFDE799-F10C-4152-9A39-F1BBA3896592}" type="presParOf" srcId="{A3BA1A92-2346-4C24-98E0-AE3850D3E640}" destId="{10BCC87E-B619-41EF-9647-0526BAC04590}" srcOrd="0" destOrd="0" presId="urn:microsoft.com/office/officeart/2005/8/layout/orgChart1"/>
    <dgm:cxn modelId="{ADC72B11-1A0B-4C7E-9B8D-60D15CCD156A}" type="presParOf" srcId="{10BCC87E-B619-41EF-9647-0526BAC04590}" destId="{E574D6DF-FA10-4DFF-9889-4F4D58B15410}" srcOrd="0" destOrd="0" presId="urn:microsoft.com/office/officeart/2005/8/layout/orgChart1"/>
    <dgm:cxn modelId="{88C0E8E2-150E-43CC-B245-888828D3E59B}" type="presParOf" srcId="{10BCC87E-B619-41EF-9647-0526BAC04590}" destId="{6703C454-21A7-4F3E-A00B-90505B24A587}" srcOrd="1" destOrd="0" presId="urn:microsoft.com/office/officeart/2005/8/layout/orgChart1"/>
    <dgm:cxn modelId="{047D2439-61EB-4758-A365-354A11FC9386}" type="presParOf" srcId="{A3BA1A92-2346-4C24-98E0-AE3850D3E640}" destId="{FD1A2E4C-2842-402B-87C1-E10ECD327507}" srcOrd="1" destOrd="0" presId="urn:microsoft.com/office/officeart/2005/8/layout/orgChart1"/>
    <dgm:cxn modelId="{1B007DAA-3FDB-46B9-858C-7F6271B844F3}" type="presParOf" srcId="{A3BA1A92-2346-4C24-98E0-AE3850D3E640}" destId="{644B7598-9196-428D-BA3A-7A906E40699E}" srcOrd="2" destOrd="0" presId="urn:microsoft.com/office/officeart/2005/8/layout/orgChart1"/>
    <dgm:cxn modelId="{BCC682B6-A63E-49B7-9872-6E05CCC39EFE}" type="presParOf" srcId="{9B83DE2A-2660-4D7E-8EB1-82350C90528F}" destId="{2E876C98-947F-4B41-B4DC-33EE42393C21}" srcOrd="4" destOrd="0" presId="urn:microsoft.com/office/officeart/2005/8/layout/orgChart1"/>
    <dgm:cxn modelId="{DBFFCC30-10F2-4039-94F6-4B7AC87A11CF}" type="presParOf" srcId="{9B83DE2A-2660-4D7E-8EB1-82350C90528F}" destId="{D1266298-E20E-4DA7-B8F2-E6E792072843}" srcOrd="5" destOrd="0" presId="urn:microsoft.com/office/officeart/2005/8/layout/orgChart1"/>
    <dgm:cxn modelId="{D1353273-CC83-4838-BB1C-3C9556BAD0AD}" type="presParOf" srcId="{D1266298-E20E-4DA7-B8F2-E6E792072843}" destId="{97ECA991-9289-4732-B3E5-4D0E5796947F}" srcOrd="0" destOrd="0" presId="urn:microsoft.com/office/officeart/2005/8/layout/orgChart1"/>
    <dgm:cxn modelId="{59E60CD8-16BF-42E7-82BA-DF4EFE7D5061}" type="presParOf" srcId="{97ECA991-9289-4732-B3E5-4D0E5796947F}" destId="{E0D6B4B9-1E36-4FF7-8E89-0C83C4697495}" srcOrd="0" destOrd="0" presId="urn:microsoft.com/office/officeart/2005/8/layout/orgChart1"/>
    <dgm:cxn modelId="{82DF2A3D-684A-4009-A4E9-1F7E5E77AAEB}" type="presParOf" srcId="{97ECA991-9289-4732-B3E5-4D0E5796947F}" destId="{79E84AD8-4896-4830-8816-3CB6A33393B0}" srcOrd="1" destOrd="0" presId="urn:microsoft.com/office/officeart/2005/8/layout/orgChart1"/>
    <dgm:cxn modelId="{97830146-D6EF-4180-A456-2EE0867E3857}" type="presParOf" srcId="{D1266298-E20E-4DA7-B8F2-E6E792072843}" destId="{6E78FE9B-9B50-4906-BCA2-4ACD58460A0C}" srcOrd="1" destOrd="0" presId="urn:microsoft.com/office/officeart/2005/8/layout/orgChart1"/>
    <dgm:cxn modelId="{580DDF74-7035-441C-B8E3-7317350CA132}" type="presParOf" srcId="{D1266298-E20E-4DA7-B8F2-E6E792072843}" destId="{D012D90A-7AE9-4380-91FB-E29D5EB30D72}" srcOrd="2" destOrd="0" presId="urn:microsoft.com/office/officeart/2005/8/layout/orgChart1"/>
    <dgm:cxn modelId="{716CA634-3C53-4D61-8C50-00D92E59A295}" type="presParOf" srcId="{9B83DE2A-2660-4D7E-8EB1-82350C90528F}" destId="{A9437C5B-C944-47EF-BB3E-DEBB245DDCC9}" srcOrd="6" destOrd="0" presId="urn:microsoft.com/office/officeart/2005/8/layout/orgChart1"/>
    <dgm:cxn modelId="{1BFF237C-C234-4C84-859E-8BC4652BCF22}" type="presParOf" srcId="{9B83DE2A-2660-4D7E-8EB1-82350C90528F}" destId="{C04B9BDE-D06A-4D28-B2AC-DCABB762E73A}" srcOrd="7" destOrd="0" presId="urn:microsoft.com/office/officeart/2005/8/layout/orgChart1"/>
    <dgm:cxn modelId="{58F1FEF5-09E5-44CF-B176-1AAD1145BB07}" type="presParOf" srcId="{C04B9BDE-D06A-4D28-B2AC-DCABB762E73A}" destId="{6E5556C5-2A37-400C-9E2B-8344DCA93667}" srcOrd="0" destOrd="0" presId="urn:microsoft.com/office/officeart/2005/8/layout/orgChart1"/>
    <dgm:cxn modelId="{0A2B2B11-B54B-49C0-A67E-20540D6032F0}" type="presParOf" srcId="{6E5556C5-2A37-400C-9E2B-8344DCA93667}" destId="{34A065D0-C6AA-4FDF-93D9-BE5EF5D113D7}" srcOrd="0" destOrd="0" presId="urn:microsoft.com/office/officeart/2005/8/layout/orgChart1"/>
    <dgm:cxn modelId="{388A3A06-67DC-4E7A-B89D-A877C690C3B4}" type="presParOf" srcId="{6E5556C5-2A37-400C-9E2B-8344DCA93667}" destId="{883B043B-D955-42CA-AA99-D3F88BB595B9}" srcOrd="1" destOrd="0" presId="urn:microsoft.com/office/officeart/2005/8/layout/orgChart1"/>
    <dgm:cxn modelId="{AD175F57-FB32-4E51-8FE4-607E4253831A}" type="presParOf" srcId="{C04B9BDE-D06A-4D28-B2AC-DCABB762E73A}" destId="{FE617867-962E-4165-BBD9-F0F11BCEDE8B}" srcOrd="1" destOrd="0" presId="urn:microsoft.com/office/officeart/2005/8/layout/orgChart1"/>
    <dgm:cxn modelId="{BC2CC762-56A3-4D66-973C-06BEF82E2142}" type="presParOf" srcId="{C04B9BDE-D06A-4D28-B2AC-DCABB762E73A}" destId="{871CCF4F-4E40-45C6-993D-AFA4AD5C025D}" srcOrd="2" destOrd="0" presId="urn:microsoft.com/office/officeart/2005/8/layout/orgChart1"/>
    <dgm:cxn modelId="{71A34ADF-80E4-43FC-BE1C-0807632D11FE}" type="presParOf" srcId="{1CA27C1E-CCA9-4046-9B50-45B4DEB061E9}" destId="{4F44535B-1F68-4FAA-93AB-B69C4571EEA0}" srcOrd="2" destOrd="0" presId="urn:microsoft.com/office/officeart/2005/8/layout/orgChart1"/>
    <dgm:cxn modelId="{3DA3E331-0712-4350-A194-9624B663DC19}" type="presParOf" srcId="{603C76F9-7FE1-4476-A8F7-5D47AF8230BE}" destId="{C1759CE0-2577-4F0F-9710-9BC041F5A05B}"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37C5B-C944-47EF-BB3E-DEBB245DDCC9}">
      <dsp:nvSpPr>
        <dsp:cNvPr id="0" name=""/>
        <dsp:cNvSpPr/>
      </dsp:nvSpPr>
      <dsp:spPr>
        <a:xfrm>
          <a:off x="2990722" y="1119697"/>
          <a:ext cx="247467" cy="2708648"/>
        </a:xfrm>
        <a:custGeom>
          <a:avLst/>
          <a:gdLst/>
          <a:ahLst/>
          <a:cxnLst/>
          <a:rect l="0" t="0" r="0" b="0"/>
          <a:pathLst>
            <a:path>
              <a:moveTo>
                <a:pt x="0" y="0"/>
              </a:moveTo>
              <a:lnTo>
                <a:pt x="0" y="2708648"/>
              </a:lnTo>
              <a:lnTo>
                <a:pt x="247467" y="270864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76C98-947F-4B41-B4DC-33EE42393C21}">
      <dsp:nvSpPr>
        <dsp:cNvPr id="0" name=""/>
        <dsp:cNvSpPr/>
      </dsp:nvSpPr>
      <dsp:spPr>
        <a:xfrm>
          <a:off x="2990722" y="1119697"/>
          <a:ext cx="222829" cy="1955252"/>
        </a:xfrm>
        <a:custGeom>
          <a:avLst/>
          <a:gdLst/>
          <a:ahLst/>
          <a:cxnLst/>
          <a:rect l="0" t="0" r="0" b="0"/>
          <a:pathLst>
            <a:path>
              <a:moveTo>
                <a:pt x="0" y="0"/>
              </a:moveTo>
              <a:lnTo>
                <a:pt x="0" y="1955252"/>
              </a:lnTo>
              <a:lnTo>
                <a:pt x="222829" y="1955252"/>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858E8A-0C70-4B3D-8743-993F22B705F8}">
      <dsp:nvSpPr>
        <dsp:cNvPr id="0" name=""/>
        <dsp:cNvSpPr/>
      </dsp:nvSpPr>
      <dsp:spPr>
        <a:xfrm>
          <a:off x="2990722" y="1119697"/>
          <a:ext cx="222829" cy="1201855"/>
        </a:xfrm>
        <a:custGeom>
          <a:avLst/>
          <a:gdLst/>
          <a:ahLst/>
          <a:cxnLst/>
          <a:rect l="0" t="0" r="0" b="0"/>
          <a:pathLst>
            <a:path>
              <a:moveTo>
                <a:pt x="0" y="0"/>
              </a:moveTo>
              <a:lnTo>
                <a:pt x="0" y="1201855"/>
              </a:lnTo>
              <a:lnTo>
                <a:pt x="222829" y="120185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1F90B8-5E61-402F-A965-F962D65660F3}">
      <dsp:nvSpPr>
        <dsp:cNvPr id="0" name=""/>
        <dsp:cNvSpPr/>
      </dsp:nvSpPr>
      <dsp:spPr>
        <a:xfrm>
          <a:off x="2990722" y="1119697"/>
          <a:ext cx="222829" cy="448459"/>
        </a:xfrm>
        <a:custGeom>
          <a:avLst/>
          <a:gdLst/>
          <a:ahLst/>
          <a:cxnLst/>
          <a:rect l="0" t="0" r="0" b="0"/>
          <a:pathLst>
            <a:path>
              <a:moveTo>
                <a:pt x="0" y="0"/>
              </a:moveTo>
              <a:lnTo>
                <a:pt x="0" y="448459"/>
              </a:lnTo>
              <a:lnTo>
                <a:pt x="222829" y="44845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B6E8D0-A1B9-4720-93A3-0EE04420555B}">
      <dsp:nvSpPr>
        <dsp:cNvPr id="0" name=""/>
        <dsp:cNvSpPr/>
      </dsp:nvSpPr>
      <dsp:spPr>
        <a:xfrm>
          <a:off x="2756572" y="488016"/>
          <a:ext cx="894062" cy="143523"/>
        </a:xfrm>
        <a:custGeom>
          <a:avLst/>
          <a:gdLst/>
          <a:ahLst/>
          <a:cxnLst/>
          <a:rect l="0" t="0" r="0" b="0"/>
          <a:pathLst>
            <a:path>
              <a:moveTo>
                <a:pt x="0" y="0"/>
              </a:moveTo>
              <a:lnTo>
                <a:pt x="0" y="71761"/>
              </a:lnTo>
              <a:lnTo>
                <a:pt x="894062" y="71761"/>
              </a:lnTo>
              <a:lnTo>
                <a:pt x="894062" y="14352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9804D2-2020-46BE-B0F2-9E4DFF811A3B}">
      <dsp:nvSpPr>
        <dsp:cNvPr id="0" name=""/>
        <dsp:cNvSpPr/>
      </dsp:nvSpPr>
      <dsp:spPr>
        <a:xfrm>
          <a:off x="2271070" y="1119697"/>
          <a:ext cx="246690" cy="2708648"/>
        </a:xfrm>
        <a:custGeom>
          <a:avLst/>
          <a:gdLst/>
          <a:ahLst/>
          <a:cxnLst/>
          <a:rect l="0" t="0" r="0" b="0"/>
          <a:pathLst>
            <a:path>
              <a:moveTo>
                <a:pt x="246690" y="0"/>
              </a:moveTo>
              <a:lnTo>
                <a:pt x="246690" y="2708648"/>
              </a:lnTo>
              <a:lnTo>
                <a:pt x="0" y="270864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2D91A-C443-48A7-B91D-A53C950FAAAA}">
      <dsp:nvSpPr>
        <dsp:cNvPr id="0" name=""/>
        <dsp:cNvSpPr/>
      </dsp:nvSpPr>
      <dsp:spPr>
        <a:xfrm>
          <a:off x="2246431" y="1119697"/>
          <a:ext cx="271328" cy="1955252"/>
        </a:xfrm>
        <a:custGeom>
          <a:avLst/>
          <a:gdLst/>
          <a:ahLst/>
          <a:cxnLst/>
          <a:rect l="0" t="0" r="0" b="0"/>
          <a:pathLst>
            <a:path>
              <a:moveTo>
                <a:pt x="271328" y="0"/>
              </a:moveTo>
              <a:lnTo>
                <a:pt x="271328" y="1955252"/>
              </a:lnTo>
              <a:lnTo>
                <a:pt x="0" y="1955252"/>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108E0-BB6D-4457-84B4-9C76E17EE96C}">
      <dsp:nvSpPr>
        <dsp:cNvPr id="0" name=""/>
        <dsp:cNvSpPr/>
      </dsp:nvSpPr>
      <dsp:spPr>
        <a:xfrm>
          <a:off x="2246431" y="1119697"/>
          <a:ext cx="271328" cy="1201855"/>
        </a:xfrm>
        <a:custGeom>
          <a:avLst/>
          <a:gdLst/>
          <a:ahLst/>
          <a:cxnLst/>
          <a:rect l="0" t="0" r="0" b="0"/>
          <a:pathLst>
            <a:path>
              <a:moveTo>
                <a:pt x="271328" y="0"/>
              </a:moveTo>
              <a:lnTo>
                <a:pt x="271328" y="1201855"/>
              </a:lnTo>
              <a:lnTo>
                <a:pt x="0" y="120185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3580E3-B811-4A0A-A2B4-6A465F789656}">
      <dsp:nvSpPr>
        <dsp:cNvPr id="0" name=""/>
        <dsp:cNvSpPr/>
      </dsp:nvSpPr>
      <dsp:spPr>
        <a:xfrm>
          <a:off x="2246431" y="1119697"/>
          <a:ext cx="271328" cy="448459"/>
        </a:xfrm>
        <a:custGeom>
          <a:avLst/>
          <a:gdLst/>
          <a:ahLst/>
          <a:cxnLst/>
          <a:rect l="0" t="0" r="0" b="0"/>
          <a:pathLst>
            <a:path>
              <a:moveTo>
                <a:pt x="271328" y="0"/>
              </a:moveTo>
              <a:lnTo>
                <a:pt x="271328" y="448459"/>
              </a:lnTo>
              <a:lnTo>
                <a:pt x="0" y="44845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9E2AA4-10D8-4895-89E4-FE0ACA367C67}">
      <dsp:nvSpPr>
        <dsp:cNvPr id="0" name=""/>
        <dsp:cNvSpPr/>
      </dsp:nvSpPr>
      <dsp:spPr>
        <a:xfrm>
          <a:off x="1859919" y="488016"/>
          <a:ext cx="896653" cy="143523"/>
        </a:xfrm>
        <a:custGeom>
          <a:avLst/>
          <a:gdLst/>
          <a:ahLst/>
          <a:cxnLst/>
          <a:rect l="0" t="0" r="0" b="0"/>
          <a:pathLst>
            <a:path>
              <a:moveTo>
                <a:pt x="896653" y="0"/>
              </a:moveTo>
              <a:lnTo>
                <a:pt x="896653" y="71761"/>
              </a:lnTo>
              <a:lnTo>
                <a:pt x="0" y="71761"/>
              </a:lnTo>
              <a:lnTo>
                <a:pt x="0" y="14352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C276A-A234-4ECB-89F1-E4A1ACA42BFA}">
      <dsp:nvSpPr>
        <dsp:cNvPr id="0" name=""/>
        <dsp:cNvSpPr/>
      </dsp:nvSpPr>
      <dsp:spPr>
        <a:xfrm>
          <a:off x="1858245" y="1396"/>
          <a:ext cx="1796655" cy="486620"/>
        </a:xfrm>
        <a:prstGeom prst="rect">
          <a:avLst/>
        </a:prstGeom>
        <a:solidFill>
          <a:srgbClr val="ED7F3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latin typeface="Calibri" panose="020F0502020204030204"/>
              <a:ea typeface="+mn-ea"/>
              <a:cs typeface="+mn-cs"/>
            </a:rPr>
            <a:t>Total training participants</a:t>
          </a:r>
          <a:br>
            <a:rPr lang="en-AU" sz="1000" b="1" kern="1200">
              <a:latin typeface="Calibri" panose="020F0502020204030204"/>
              <a:ea typeface="+mn-ea"/>
              <a:cs typeface="+mn-cs"/>
            </a:rPr>
          </a:br>
          <a:r>
            <a:rPr lang="en-AU" sz="1000" b="1" kern="1200">
              <a:latin typeface="Calibri" panose="020F0502020204030204"/>
              <a:ea typeface="+mn-ea"/>
              <a:cs typeface="+mn-cs"/>
            </a:rPr>
            <a:t>N = 316</a:t>
          </a:r>
        </a:p>
      </dsp:txBody>
      <dsp:txXfrm>
        <a:off x="1858245" y="1396"/>
        <a:ext cx="1796655" cy="486620"/>
      </dsp:txXfrm>
    </dsp:sp>
    <dsp:sp modelId="{60ABFC96-8C0F-43D4-9A0E-BFFFE8C8F813}">
      <dsp:nvSpPr>
        <dsp:cNvPr id="0" name=""/>
        <dsp:cNvSpPr/>
      </dsp:nvSpPr>
      <dsp:spPr>
        <a:xfrm>
          <a:off x="1037618" y="631539"/>
          <a:ext cx="1644602" cy="488157"/>
        </a:xfrm>
        <a:prstGeom prst="rect">
          <a:avLst/>
        </a:prstGeom>
        <a:solidFill>
          <a:srgbClr val="ED7F3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latin typeface="Calibri" panose="020F0502020204030204"/>
              <a:ea typeface="+mn-ea"/>
              <a:cs typeface="+mn-cs"/>
            </a:rPr>
            <a:t>Online training</a:t>
          </a:r>
          <a:br>
            <a:rPr lang="en-AU" sz="1000" b="1" kern="1200">
              <a:latin typeface="Calibri" panose="020F0502020204030204"/>
              <a:ea typeface="+mn-ea"/>
              <a:cs typeface="+mn-cs"/>
            </a:rPr>
          </a:br>
          <a:r>
            <a:rPr lang="en-AU" sz="1000" b="1" kern="1200">
              <a:latin typeface="Calibri" panose="020F0502020204030204"/>
              <a:ea typeface="+mn-ea"/>
              <a:cs typeface="+mn-cs"/>
            </a:rPr>
            <a:t>participants</a:t>
          </a:r>
          <a:br>
            <a:rPr lang="en-AU" sz="1000" kern="1200">
              <a:latin typeface="Calibri" panose="020F0502020204030204"/>
              <a:ea typeface="+mn-ea"/>
              <a:cs typeface="+mn-cs"/>
            </a:rPr>
          </a:br>
          <a:r>
            <a:rPr lang="en-AU" sz="1000" kern="1200">
              <a:latin typeface="Calibri" panose="020F0502020204030204"/>
              <a:ea typeface="+mn-ea"/>
              <a:cs typeface="+mn-cs"/>
            </a:rPr>
            <a:t>n = 115</a:t>
          </a:r>
        </a:p>
      </dsp:txBody>
      <dsp:txXfrm>
        <a:off x="1037618" y="631539"/>
        <a:ext cx="1644602" cy="488157"/>
      </dsp:txXfrm>
    </dsp:sp>
    <dsp:sp modelId="{0F7198E5-2BE4-4D19-A6E3-9ED5BE77E593}">
      <dsp:nvSpPr>
        <dsp:cNvPr id="0" name=""/>
        <dsp:cNvSpPr/>
      </dsp:nvSpPr>
      <dsp:spPr>
        <a:xfrm>
          <a:off x="201125" y="1263220"/>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72000" rIns="108000" bIns="720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a:ea typeface="+mn-ea"/>
              <a:cs typeface="+mn-cs"/>
            </a:rPr>
            <a:t>Consented to take part</a:t>
          </a:r>
          <a:br>
            <a:rPr lang="en-AU" sz="1000" kern="1200">
              <a:latin typeface="Calibri" panose="020F0502020204030204"/>
              <a:ea typeface="+mn-ea"/>
              <a:cs typeface="+mn-cs"/>
            </a:rPr>
          </a:br>
          <a:r>
            <a:rPr lang="en-AU" sz="1000" kern="1200">
              <a:latin typeface="Calibri" panose="020F0502020204030204"/>
              <a:ea typeface="+mn-ea"/>
              <a:cs typeface="+mn-cs"/>
            </a:rPr>
            <a:t> in research</a:t>
          </a:r>
          <a:br>
            <a:rPr lang="en-AU" sz="1000" kern="1200">
              <a:latin typeface="Calibri" panose="020F0502020204030204"/>
              <a:ea typeface="+mn-ea"/>
              <a:cs typeface="+mn-cs"/>
            </a:rPr>
          </a:br>
          <a:r>
            <a:rPr lang="en-AU" sz="1000" kern="1200">
              <a:latin typeface="Calibri" panose="020F0502020204030204"/>
              <a:ea typeface="+mn-ea"/>
              <a:cs typeface="+mn-cs"/>
            </a:rPr>
            <a:t>n = 86</a:t>
          </a:r>
        </a:p>
      </dsp:txBody>
      <dsp:txXfrm>
        <a:off x="201125" y="1263220"/>
        <a:ext cx="2045306" cy="609872"/>
      </dsp:txXfrm>
    </dsp:sp>
    <dsp:sp modelId="{78E41C50-5C57-4762-81E7-1173A16B286D}">
      <dsp:nvSpPr>
        <dsp:cNvPr id="0" name=""/>
        <dsp:cNvSpPr/>
      </dsp:nvSpPr>
      <dsp:spPr>
        <a:xfrm>
          <a:off x="201125" y="2016617"/>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72000" rIns="108000" bIns="720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a:ea typeface="+mn-ea"/>
              <a:cs typeface="+mn-cs"/>
            </a:rPr>
            <a:t>Completed both pre- &amp; post- questionnaires</a:t>
          </a:r>
          <a:br>
            <a:rPr lang="en-AU" sz="1000" kern="1200">
              <a:latin typeface="Calibri" panose="020F0502020204030204"/>
              <a:ea typeface="+mn-ea"/>
              <a:cs typeface="+mn-cs"/>
            </a:rPr>
          </a:br>
          <a:r>
            <a:rPr lang="en-AU" sz="1000" kern="1200">
              <a:latin typeface="Calibri" panose="020F0502020204030204"/>
              <a:ea typeface="+mn-ea"/>
              <a:cs typeface="+mn-cs"/>
            </a:rPr>
            <a:t>n = 57</a:t>
          </a:r>
        </a:p>
      </dsp:txBody>
      <dsp:txXfrm>
        <a:off x="201125" y="2016617"/>
        <a:ext cx="2045306" cy="609872"/>
      </dsp:txXfrm>
    </dsp:sp>
    <dsp:sp modelId="{8B0CD91D-3FAF-4496-A1CA-8578EF9E2E00}">
      <dsp:nvSpPr>
        <dsp:cNvPr id="0" name=""/>
        <dsp:cNvSpPr/>
      </dsp:nvSpPr>
      <dsp:spPr>
        <a:xfrm>
          <a:off x="201125" y="2770013"/>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72000" rIns="108000" bIns="720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a:ea typeface="+mn-ea"/>
              <a:cs typeface="+mn-cs"/>
            </a:rPr>
            <a:t>Consent withdrawn / removed</a:t>
          </a:r>
          <a:br>
            <a:rPr lang="en-AU" sz="1000" kern="1200">
              <a:latin typeface="Calibri" panose="020F0502020204030204"/>
              <a:ea typeface="+mn-ea"/>
              <a:cs typeface="+mn-cs"/>
            </a:rPr>
          </a:br>
          <a:r>
            <a:rPr lang="en-AU" sz="1000" kern="1200">
              <a:latin typeface="Calibri" panose="020F0502020204030204"/>
              <a:ea typeface="+mn-ea"/>
              <a:cs typeface="+mn-cs"/>
            </a:rPr>
            <a:t>from data</a:t>
          </a:r>
        </a:p>
        <a:p>
          <a:pPr marL="0" lvl="0" indent="0" algn="ctr" defTabSz="444500">
            <a:lnSpc>
              <a:spcPct val="90000"/>
            </a:lnSpc>
            <a:spcBef>
              <a:spcPct val="0"/>
            </a:spcBef>
            <a:spcAft>
              <a:spcPct val="35000"/>
            </a:spcAft>
            <a:buNone/>
          </a:pPr>
          <a:r>
            <a:rPr lang="en-AU" sz="1000" kern="1200">
              <a:latin typeface="Calibri" panose="020F0502020204030204"/>
              <a:ea typeface="+mn-ea"/>
              <a:cs typeface="+mn-cs"/>
            </a:rPr>
            <a:t>No participants withdrew consent</a:t>
          </a:r>
        </a:p>
      </dsp:txBody>
      <dsp:txXfrm>
        <a:off x="201125" y="2770013"/>
        <a:ext cx="2045306" cy="609872"/>
      </dsp:txXfrm>
    </dsp:sp>
    <dsp:sp modelId="{1BDE5D9E-D3C6-4501-90DE-BC6BF97656FB}">
      <dsp:nvSpPr>
        <dsp:cNvPr id="0" name=""/>
        <dsp:cNvSpPr/>
      </dsp:nvSpPr>
      <dsp:spPr>
        <a:xfrm>
          <a:off x="225763" y="3523409"/>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36000" rIns="108000" bIns="72000" numCol="1" spcCol="1270" anchor="ctr" anchorCtr="0">
          <a:noAutofit/>
        </a:bodyPr>
        <a:lstStyle/>
        <a:p>
          <a:pPr marL="0" lvl="0" indent="0" algn="ctr" defTabSz="444500">
            <a:lnSpc>
              <a:spcPct val="90000"/>
            </a:lnSpc>
            <a:spcBef>
              <a:spcPct val="0"/>
            </a:spcBef>
            <a:spcAft>
              <a:spcPct val="35000"/>
            </a:spcAft>
            <a:buNone/>
          </a:pPr>
          <a:r>
            <a:rPr lang="en-AU" sz="1000" b="1" kern="1200">
              <a:latin typeface="Calibri" panose="020F0502020204030204"/>
              <a:ea typeface="+mn-ea"/>
              <a:cs typeface="+mn-cs"/>
            </a:rPr>
            <a:t>Total online sample</a:t>
          </a:r>
          <a:br>
            <a:rPr lang="en-AU" sz="1000" b="1" kern="1200">
              <a:latin typeface="Calibri" panose="020F0502020204030204"/>
              <a:ea typeface="+mn-ea"/>
              <a:cs typeface="+mn-cs"/>
            </a:rPr>
          </a:br>
          <a:r>
            <a:rPr lang="en-AU" sz="1000" b="1" kern="1200">
              <a:latin typeface="Calibri" panose="020F0502020204030204"/>
              <a:ea typeface="+mn-ea"/>
              <a:cs typeface="+mn-cs"/>
            </a:rPr>
            <a:t> n= 57</a:t>
          </a:r>
        </a:p>
        <a:p>
          <a:pPr marL="0" lvl="0" indent="0" algn="ctr" defTabSz="444500">
            <a:lnSpc>
              <a:spcPct val="90000"/>
            </a:lnSpc>
            <a:spcBef>
              <a:spcPct val="0"/>
            </a:spcBef>
            <a:spcAft>
              <a:spcPct val="35000"/>
            </a:spcAft>
            <a:buNone/>
          </a:pPr>
          <a:r>
            <a:rPr lang="en-AU" sz="900" kern="1200">
              <a:latin typeface="Calibri" panose="020F0502020204030204"/>
              <a:ea typeface="+mn-ea"/>
              <a:cs typeface="+mn-cs"/>
            </a:rPr>
            <a:t>Female = 48; Male = 9; Other = 0 </a:t>
          </a:r>
        </a:p>
      </dsp:txBody>
      <dsp:txXfrm>
        <a:off x="225763" y="3523409"/>
        <a:ext cx="2045306" cy="609872"/>
      </dsp:txXfrm>
    </dsp:sp>
    <dsp:sp modelId="{D6791699-7A41-44E7-89C4-77B4D91C9131}">
      <dsp:nvSpPr>
        <dsp:cNvPr id="0" name=""/>
        <dsp:cNvSpPr/>
      </dsp:nvSpPr>
      <dsp:spPr>
        <a:xfrm>
          <a:off x="2825744" y="631539"/>
          <a:ext cx="1649782" cy="488157"/>
        </a:xfrm>
        <a:prstGeom prst="rect">
          <a:avLst/>
        </a:prstGeom>
        <a:solidFill>
          <a:srgbClr val="ED7F3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latin typeface="Calibri" panose="020F0502020204030204"/>
              <a:ea typeface="+mn-ea"/>
              <a:cs typeface="+mn-cs"/>
            </a:rPr>
            <a:t>Face-to-face training participants</a:t>
          </a:r>
          <a:br>
            <a:rPr lang="en-AU" sz="1000" kern="1200">
              <a:latin typeface="Calibri" panose="020F0502020204030204"/>
              <a:ea typeface="+mn-ea"/>
              <a:cs typeface="+mn-cs"/>
            </a:rPr>
          </a:br>
          <a:r>
            <a:rPr lang="en-AU" sz="1000" kern="1200">
              <a:latin typeface="Calibri" panose="020F0502020204030204"/>
              <a:ea typeface="+mn-ea"/>
              <a:cs typeface="+mn-cs"/>
            </a:rPr>
            <a:t>n = 201</a:t>
          </a:r>
        </a:p>
      </dsp:txBody>
      <dsp:txXfrm>
        <a:off x="2825744" y="631539"/>
        <a:ext cx="1649782" cy="488157"/>
      </dsp:txXfrm>
    </dsp:sp>
    <dsp:sp modelId="{27A15F4E-7102-4CF5-9ED3-C01571DFE64A}">
      <dsp:nvSpPr>
        <dsp:cNvPr id="0" name=""/>
        <dsp:cNvSpPr/>
      </dsp:nvSpPr>
      <dsp:spPr>
        <a:xfrm>
          <a:off x="3213551" y="1263220"/>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72000" rIns="108000" bIns="720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a:ea typeface="+mn-ea"/>
              <a:cs typeface="+mn-cs"/>
            </a:rPr>
            <a:t>Consented to take part</a:t>
          </a:r>
          <a:br>
            <a:rPr lang="en-AU" sz="1000" kern="1200">
              <a:latin typeface="Calibri" panose="020F0502020204030204"/>
              <a:ea typeface="+mn-ea"/>
              <a:cs typeface="+mn-cs"/>
            </a:rPr>
          </a:br>
          <a:r>
            <a:rPr lang="en-AU" sz="1000" kern="1200">
              <a:latin typeface="Calibri" panose="020F0502020204030204"/>
              <a:ea typeface="+mn-ea"/>
              <a:cs typeface="+mn-cs"/>
            </a:rPr>
            <a:t>in research</a:t>
          </a:r>
          <a:br>
            <a:rPr lang="en-AU" sz="1000" kern="1200">
              <a:latin typeface="Calibri" panose="020F0502020204030204"/>
              <a:ea typeface="+mn-ea"/>
              <a:cs typeface="+mn-cs"/>
            </a:rPr>
          </a:br>
          <a:r>
            <a:rPr lang="en-AU" sz="1000" kern="1200">
              <a:latin typeface="Calibri" panose="020F0502020204030204"/>
              <a:ea typeface="+mn-ea"/>
              <a:cs typeface="+mn-cs"/>
            </a:rPr>
            <a:t>n = 154</a:t>
          </a:r>
        </a:p>
      </dsp:txBody>
      <dsp:txXfrm>
        <a:off x="3213551" y="1263220"/>
        <a:ext cx="2045306" cy="609872"/>
      </dsp:txXfrm>
    </dsp:sp>
    <dsp:sp modelId="{E574D6DF-FA10-4DFF-9889-4F4D58B15410}">
      <dsp:nvSpPr>
        <dsp:cNvPr id="0" name=""/>
        <dsp:cNvSpPr/>
      </dsp:nvSpPr>
      <dsp:spPr>
        <a:xfrm>
          <a:off x="3213551" y="2016617"/>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72000" rIns="108000" bIns="720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a:ea typeface="+mn-ea"/>
              <a:cs typeface="+mn-cs"/>
            </a:rPr>
            <a:t>Completed both pre- &amp; post- questionnaires</a:t>
          </a:r>
          <a:br>
            <a:rPr lang="en-AU" sz="1000" kern="1200">
              <a:latin typeface="Calibri" panose="020F0502020204030204"/>
              <a:ea typeface="+mn-ea"/>
              <a:cs typeface="+mn-cs"/>
            </a:rPr>
          </a:br>
          <a:r>
            <a:rPr lang="en-AU" sz="1000" kern="1200">
              <a:latin typeface="Calibri" panose="020F0502020204030204"/>
              <a:ea typeface="+mn-ea"/>
              <a:cs typeface="+mn-cs"/>
            </a:rPr>
            <a:t>n = 141</a:t>
          </a:r>
        </a:p>
      </dsp:txBody>
      <dsp:txXfrm>
        <a:off x="3213551" y="2016617"/>
        <a:ext cx="2045306" cy="609872"/>
      </dsp:txXfrm>
    </dsp:sp>
    <dsp:sp modelId="{E0D6B4B9-1E36-4FF7-8E89-0C83C4697495}">
      <dsp:nvSpPr>
        <dsp:cNvPr id="0" name=""/>
        <dsp:cNvSpPr/>
      </dsp:nvSpPr>
      <dsp:spPr>
        <a:xfrm>
          <a:off x="3213551" y="2770013"/>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72000" rIns="108000" bIns="72000" numCol="1" spcCol="1270" anchor="ctr" anchorCtr="0">
          <a:noAutofit/>
        </a:bodyPr>
        <a:lstStyle/>
        <a:p>
          <a:pPr marL="0" lvl="0" indent="0" algn="ctr" defTabSz="444500">
            <a:lnSpc>
              <a:spcPct val="90000"/>
            </a:lnSpc>
            <a:spcBef>
              <a:spcPct val="0"/>
            </a:spcBef>
            <a:spcAft>
              <a:spcPct val="35000"/>
            </a:spcAft>
            <a:buNone/>
          </a:pPr>
          <a:r>
            <a:rPr lang="en-AU" sz="1000" kern="1200">
              <a:latin typeface="Calibri" panose="020F0502020204030204"/>
              <a:ea typeface="+mn-ea"/>
              <a:cs typeface="+mn-cs"/>
            </a:rPr>
            <a:t>Consent withdrawn / removed from data</a:t>
          </a:r>
          <a:br>
            <a:rPr lang="en-AU" sz="1000" kern="1200">
              <a:latin typeface="Calibri" panose="020F0502020204030204"/>
              <a:ea typeface="+mn-ea"/>
              <a:cs typeface="+mn-cs"/>
            </a:rPr>
          </a:br>
          <a:r>
            <a:rPr lang="en-AU" sz="1050" kern="1200">
              <a:latin typeface="Calibri" panose="020F0502020204030204"/>
              <a:ea typeface="+mn-ea"/>
              <a:cs typeface="+mn-cs"/>
            </a:rPr>
            <a:t>n = 2</a:t>
          </a:r>
          <a:endParaRPr lang="en-AU" sz="1000" kern="1200">
            <a:latin typeface="Calibri" panose="020F0502020204030204"/>
            <a:ea typeface="+mn-ea"/>
            <a:cs typeface="+mn-cs"/>
          </a:endParaRPr>
        </a:p>
      </dsp:txBody>
      <dsp:txXfrm>
        <a:off x="3213551" y="2770013"/>
        <a:ext cx="2045306" cy="609872"/>
      </dsp:txXfrm>
    </dsp:sp>
    <dsp:sp modelId="{34A065D0-C6AA-4FDF-93D9-BE5EF5D113D7}">
      <dsp:nvSpPr>
        <dsp:cNvPr id="0" name=""/>
        <dsp:cNvSpPr/>
      </dsp:nvSpPr>
      <dsp:spPr>
        <a:xfrm>
          <a:off x="3238189" y="3523409"/>
          <a:ext cx="2045306" cy="609872"/>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251999" rIns="108000" bIns="72000" numCol="1" spcCol="1270" anchor="ctr" anchorCtr="0">
          <a:noAutofit/>
        </a:bodyPr>
        <a:lstStyle/>
        <a:p>
          <a:pPr marL="0" lvl="0" indent="0" algn="ctr" defTabSz="444500">
            <a:lnSpc>
              <a:spcPct val="90000"/>
            </a:lnSpc>
            <a:spcBef>
              <a:spcPct val="0"/>
            </a:spcBef>
            <a:spcAft>
              <a:spcPct val="35000"/>
            </a:spcAft>
            <a:buNone/>
          </a:pPr>
          <a:r>
            <a:rPr lang="en-AU" sz="1000" b="1" kern="1200">
              <a:latin typeface="Calibri" panose="020F0502020204030204"/>
              <a:ea typeface="+mn-ea"/>
              <a:cs typeface="+mn-cs"/>
            </a:rPr>
            <a:t>Total face-to-face sample</a:t>
          </a:r>
          <a:br>
            <a:rPr lang="en-AU" sz="1000" b="1" kern="1200">
              <a:latin typeface="Calibri" panose="020F0502020204030204"/>
              <a:ea typeface="+mn-ea"/>
              <a:cs typeface="+mn-cs"/>
            </a:rPr>
          </a:br>
          <a:r>
            <a:rPr lang="en-AU" sz="1000" b="1" kern="1200">
              <a:latin typeface="Calibri" panose="020F0502020204030204"/>
              <a:ea typeface="+mn-ea"/>
              <a:cs typeface="+mn-cs"/>
            </a:rPr>
            <a:t>n = 139</a:t>
          </a:r>
        </a:p>
        <a:p>
          <a:pPr marL="0" lvl="0" indent="0" algn="ctr" defTabSz="444500">
            <a:lnSpc>
              <a:spcPct val="90000"/>
            </a:lnSpc>
            <a:spcBef>
              <a:spcPct val="0"/>
            </a:spcBef>
            <a:spcAft>
              <a:spcPct val="35000"/>
            </a:spcAft>
            <a:buNone/>
          </a:pPr>
          <a:r>
            <a:rPr lang="en-AU" sz="900" kern="1200">
              <a:latin typeface="Calibri" panose="020F0502020204030204"/>
              <a:ea typeface="+mn-ea"/>
              <a:cs typeface="+mn-cs"/>
            </a:rPr>
            <a:t>Female = 108; Male = 30; Other = 1</a:t>
          </a:r>
          <a:br>
            <a:rPr lang="en-AU" sz="1000" kern="1200">
              <a:latin typeface="Calibri" panose="020F0502020204030204"/>
              <a:ea typeface="+mn-ea"/>
              <a:cs typeface="+mn-cs"/>
            </a:rPr>
          </a:br>
          <a:endParaRPr lang="en-AU" sz="1000" kern="1200">
            <a:latin typeface="Calibri" panose="020F0502020204030204"/>
            <a:ea typeface="+mn-ea"/>
            <a:cs typeface="+mn-cs"/>
          </a:endParaRPr>
        </a:p>
      </dsp:txBody>
      <dsp:txXfrm>
        <a:off x="3238189" y="3523409"/>
        <a:ext cx="2045306" cy="6098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36487dd-ec90-4f99-8970-1318e5f29791">
      <UserInfo>
        <DisplayName>Cylence Fewquandie</DisplayName>
        <AccountId>213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16" ma:contentTypeDescription="Create a new document." ma:contentTypeScope="" ma:versionID="9df34c50d087ac73e645bebf37be71ca">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a10b7c6b2bdffd3aa1d9fd76c1e6f657"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13A73-C608-4E29-8EA4-46D247EADA95}">
  <ds:schemaRefs>
    <ds:schemaRef ds:uri="http://purl.org/dc/terms/"/>
    <ds:schemaRef ds:uri="http://schemas.openxmlformats.org/package/2006/metadata/core-properties"/>
    <ds:schemaRef ds:uri="http://purl.org/dc/dcmitype/"/>
    <ds:schemaRef ds:uri="http://schemas.microsoft.com/office/infopath/2007/PartnerControls"/>
    <ds:schemaRef ds:uri="236487dd-ec90-4f99-8970-1318e5f29791"/>
    <ds:schemaRef ds:uri="http://purl.org/dc/elements/1.1/"/>
    <ds:schemaRef ds:uri="http://schemas.microsoft.com/office/2006/documentManagement/types"/>
    <ds:schemaRef ds:uri="dcf7b372-aaaa-46d8-9da6-ade9aab953d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06B066A-27CA-457F-925C-A97DA786D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18C8DA-FCDA-4A45-8886-1B4A74F9CECD}">
  <ds:schemaRefs>
    <ds:schemaRef ds:uri="http://schemas.microsoft.com/sharepoint/v3/contenttype/forms"/>
  </ds:schemaRefs>
</ds:datastoreItem>
</file>

<file path=customXml/itemProps4.xml><?xml version="1.0" encoding="utf-8"?>
<ds:datastoreItem xmlns:ds="http://schemas.openxmlformats.org/officeDocument/2006/customXml" ds:itemID="{C95E846C-2280-4B6C-BC66-9F5A7C8F3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143</Pages>
  <Words>51303</Words>
  <Characters>275503</Characters>
  <Application>Microsoft Office Word</Application>
  <DocSecurity>0</DocSecurity>
  <Lines>5739</Lines>
  <Paragraphs>3235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Indigenous Bowel Screening Pilot final report, October 2020</dc:title>
  <dc:subject/>
  <dc:creator>Menzies School of Health Research</dc:creator>
  <cp:keywords>Aboriginal and Torres Strait Islander health, Cancer, Preventive health</cp:keywords>
  <dc:description/>
  <cp:lastModifiedBy>ROBERTSON, Jen</cp:lastModifiedBy>
  <cp:revision>9</cp:revision>
  <cp:lastPrinted>2020-10-30T02:56:00Z</cp:lastPrinted>
  <dcterms:created xsi:type="dcterms:W3CDTF">2020-11-04T21:57:00Z</dcterms:created>
  <dcterms:modified xsi:type="dcterms:W3CDTF">2021-06-22T06:41:00Z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